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4052</w:t>
                  </w:r>
                  <w:r>
                    <w:t>7</w:t>
                  </w:r>
                  <w:r>
                    <w:rPr>
                      <w:lang w:val="en-US"/>
                    </w:rPr>
                    <w:fldChar w:fldCharType="end"/>
                  </w:r>
                  <w:r>
                    <w:rPr>
                      <w:lang w:val="en-US"/>
                    </w:rPr>
                    <w:t xml:space="preserve">   (R)</w:t>
                  </w:r>
                  <w:r>
                    <w:t xml:space="preserve">    020306    110406</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416"/>
        <w:gridCol w:w="269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95080" r:id="rId8"/>
              </w:object>
            </w:r>
          </w:p>
        </w:tc>
        <w:tc>
          <w:tcPr>
            <w:tcW w:w="541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269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E/C.12/4/Add.16</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25 February 2005</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sz w:val="16"/>
          <w:lang w:val="en-US"/>
        </w:rPr>
      </w:pPr>
    </w:p>
    <w:p w:rsidR="00000000" w:rsidRDefault="00000000">
      <w:pPr>
        <w:rPr>
          <w:lang w:val="en-US"/>
        </w:rPr>
      </w:pPr>
      <w:r>
        <w:t>Основная</w:t>
      </w:r>
      <w:r>
        <w:rPr>
          <w:lang w:val="en-US"/>
        </w:rPr>
        <w:t xml:space="preserve"> </w:t>
      </w:r>
      <w:r>
        <w:t>сессия</w:t>
      </w:r>
      <w:r>
        <w:rPr>
          <w:lang w:val="en-US"/>
        </w:rPr>
        <w:t xml:space="preserve"> 2005 </w:t>
      </w:r>
      <w:r>
        <w:t>года</w:t>
      </w:r>
    </w:p>
    <w:p w:rsidR="00000000" w:rsidRDefault="00000000">
      <w:pPr>
        <w:rPr>
          <w:lang w:val="en-US"/>
        </w:rPr>
      </w:pPr>
    </w:p>
    <w:p w:rsidR="00000000" w:rsidRDefault="00000000">
      <w:pPr>
        <w:rPr>
          <w:lang w:val="en-US"/>
        </w:rPr>
      </w:pPr>
    </w:p>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sz w:val="16"/>
        </w:rPr>
      </w:pPr>
    </w:p>
    <w:p w:rsidR="00000000" w:rsidRDefault="00000000">
      <w:pPr>
        <w:jc w:val="center"/>
        <w:rPr>
          <w:b/>
          <w:bCs/>
          <w:sz w:val="16"/>
        </w:rPr>
      </w:pPr>
    </w:p>
    <w:p w:rsidR="00000000" w:rsidRDefault="00000000">
      <w:pPr>
        <w:jc w:val="center"/>
        <w:rPr>
          <w:b/>
          <w:bCs/>
        </w:rPr>
      </w:pPr>
      <w:r>
        <w:rPr>
          <w:b/>
          <w:bCs/>
        </w:rPr>
        <w:t>Четвертые периодические доклады, подлежащие представлению</w:t>
      </w:r>
      <w:r>
        <w:rPr>
          <w:b/>
          <w:bCs/>
        </w:rPr>
        <w:br/>
        <w:t>государствами-участниками в соответствии со статьями 16 и 17 Пакта</w:t>
      </w:r>
    </w:p>
    <w:p w:rsidR="00000000" w:rsidRDefault="00000000">
      <w:pPr>
        <w:jc w:val="center"/>
        <w:rPr>
          <w:b/>
          <w:bCs/>
          <w:sz w:val="16"/>
        </w:rPr>
      </w:pPr>
    </w:p>
    <w:p w:rsidR="00000000" w:rsidRDefault="00000000">
      <w:pPr>
        <w:jc w:val="center"/>
        <w:rPr>
          <w:b/>
          <w:bCs/>
        </w:rPr>
      </w:pPr>
      <w:r>
        <w:rPr>
          <w:b/>
          <w:bCs/>
        </w:rPr>
        <w:t>Добавление</w:t>
      </w:r>
    </w:p>
    <w:p w:rsidR="00000000" w:rsidRDefault="00000000">
      <w:pPr>
        <w:jc w:val="center"/>
        <w:rPr>
          <w:b/>
          <w:bCs/>
          <w:sz w:val="16"/>
        </w:rPr>
      </w:pPr>
    </w:p>
    <w:p w:rsidR="00000000" w:rsidRDefault="00000000">
      <w:pPr>
        <w:jc w:val="center"/>
        <w:rPr>
          <w:b/>
          <w:bCs/>
        </w:rPr>
      </w:pPr>
      <w:r>
        <w:t>Мексика</w:t>
      </w:r>
      <w:r>
        <w:rPr>
          <w:b/>
          <w:bCs/>
        </w:rPr>
        <w:t>* ** ***</w:t>
      </w:r>
    </w:p>
    <w:p w:rsidR="00000000" w:rsidRDefault="00000000">
      <w:pPr>
        <w:jc w:val="right"/>
      </w:pPr>
    </w:p>
    <w:p w:rsidR="00000000" w:rsidRDefault="00000000">
      <w:pPr>
        <w:jc w:val="right"/>
      </w:pPr>
      <w:r>
        <w:rPr>
          <w:lang w:val="en-US"/>
        </w:rPr>
        <w:t xml:space="preserve">[20 </w:t>
      </w:r>
      <w:r>
        <w:t>декабря 2004 года</w:t>
      </w:r>
      <w:r>
        <w:rPr>
          <w:lang w:val="en-US"/>
        </w:rPr>
        <w:t>]</w:t>
      </w:r>
    </w:p>
    <w:p w:rsidR="00000000" w:rsidRDefault="00000000">
      <w:pPr>
        <w:jc w:val="right"/>
      </w:pPr>
    </w:p>
    <w:p w:rsidR="00000000" w:rsidRDefault="00000000">
      <w:pPr>
        <w:spacing w:line="240" w:lineRule="auto"/>
      </w:pPr>
      <w:r>
        <w:t>___________________</w:t>
      </w:r>
    </w:p>
    <w:p w:rsidR="00000000" w:rsidRDefault="00000000">
      <w:pPr>
        <w:spacing w:line="240" w:lineRule="auto"/>
      </w:pPr>
    </w:p>
    <w:p w:rsidR="00000000" w:rsidRDefault="00000000">
      <w:pPr>
        <w:spacing w:line="240" w:lineRule="auto"/>
      </w:pPr>
      <w:r>
        <w:t>*</w:t>
      </w:r>
      <w:r>
        <w:tab/>
        <w:t xml:space="preserve">Третий периодический доклад, представленный правительством Мексики, в отношении прав, охватываемых статьями 1-15 Пакта, был рассмотрен Комитетом по экономическим, социальным и культурным правам на его двадцать первой сессии в 1999 году (см. документы </w:t>
      </w:r>
      <w:r>
        <w:rPr>
          <w:lang w:val="en-US"/>
        </w:rPr>
        <w:t>E</w:t>
      </w:r>
      <w:r>
        <w:t>/</w:t>
      </w:r>
      <w:r>
        <w:rPr>
          <w:lang w:val="en-US"/>
        </w:rPr>
        <w:t>C</w:t>
      </w:r>
      <w:r>
        <w:t>.12/1999/</w:t>
      </w:r>
      <w:r>
        <w:rPr>
          <w:lang w:val="en-US"/>
        </w:rPr>
        <w:t>SR</w:t>
      </w:r>
      <w:r>
        <w:t xml:space="preserve">.44-46;  </w:t>
      </w:r>
      <w:r>
        <w:rPr>
          <w:lang w:val="en-US"/>
        </w:rPr>
        <w:t>E</w:t>
      </w:r>
      <w:r>
        <w:t>/</w:t>
      </w:r>
      <w:r>
        <w:rPr>
          <w:lang w:val="en-US"/>
        </w:rPr>
        <w:t>C</w:t>
      </w:r>
      <w:r>
        <w:t>.12/1/</w:t>
      </w:r>
      <w:r>
        <w:rPr>
          <w:lang w:val="en-US"/>
        </w:rPr>
        <w:t>Add</w:t>
      </w:r>
      <w:r>
        <w:t>.41).</w:t>
      </w:r>
    </w:p>
    <w:p w:rsidR="00000000" w:rsidRDefault="00000000">
      <w:pPr>
        <w:spacing w:line="240" w:lineRule="auto"/>
      </w:pPr>
    </w:p>
    <w:p w:rsidR="00000000" w:rsidRDefault="00000000">
      <w:pPr>
        <w:spacing w:line="240" w:lineRule="auto"/>
      </w:pPr>
      <w:r>
        <w:t>**</w:t>
      </w:r>
      <w:r>
        <w:tab/>
        <w:t xml:space="preserve">Информация, представленная в соответствии со сводными руководящими принципами в отношении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.12/</w:t>
      </w:r>
      <w:r>
        <w:rPr>
          <w:lang w:val="en-US"/>
        </w:rPr>
        <w:t>Rev</w:t>
      </w:r>
      <w:r>
        <w:t>.1.</w:t>
      </w:r>
    </w:p>
    <w:p w:rsidR="00000000" w:rsidRDefault="00000000">
      <w:pPr>
        <w:spacing w:line="240" w:lineRule="auto"/>
      </w:pPr>
    </w:p>
    <w:p w:rsidR="00000000" w:rsidRDefault="00000000">
      <w:pPr>
        <w:spacing w:line="240" w:lineRule="auto"/>
      </w:pPr>
      <w:r>
        <w:t>***</w:t>
      </w:r>
      <w:r>
        <w:tab/>
        <w:t>В соответствии с информацией, препровожденной государствам-участникам в отношении оформления их докладов, настоящий доклад не был официально отредактирован до его передачи в переводческие службы Организации Объединенных Наций.</w:t>
      </w:r>
    </w:p>
    <w:p w:rsidR="00000000" w:rsidRDefault="00000000">
      <w:pPr>
        <w:tabs>
          <w:tab w:val="clear" w:pos="6237"/>
          <w:tab w:val="decimal" w:pos="567"/>
          <w:tab w:val="right" w:leader="dot" w:pos="8391"/>
          <w:tab w:val="center" w:pos="9122"/>
        </w:tabs>
        <w:jc w:val="center"/>
      </w:pPr>
      <w:r>
        <w:br w:type="page"/>
        <w:t>СОДЕРЖАНИЕ</w:t>
      </w:r>
    </w:p>
    <w:p w:rsidR="00000000" w:rsidRDefault="00000000">
      <w:pPr>
        <w:tabs>
          <w:tab w:val="clear" w:pos="6237"/>
          <w:tab w:val="decimal" w:pos="567"/>
          <w:tab w:val="right" w:leader="dot" w:pos="8391"/>
          <w:tab w:val="center" w:pos="9122"/>
        </w:tabs>
        <w:jc w:val="center"/>
      </w:pPr>
    </w:p>
    <w:p w:rsidR="00000000" w:rsidRDefault="00000000">
      <w:pPr>
        <w:tabs>
          <w:tab w:val="clear" w:pos="6237"/>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center" w:pos="8039"/>
          <w:tab w:val="center" w:pos="9122"/>
        </w:tabs>
        <w:rPr>
          <w:i/>
          <w:iCs/>
        </w:rPr>
      </w:pPr>
    </w:p>
    <w:p w:rsidR="00000000" w:rsidRDefault="00000000">
      <w:pPr>
        <w:tabs>
          <w:tab w:val="clear" w:pos="1134"/>
          <w:tab w:val="clear" w:pos="1701"/>
          <w:tab w:val="clear" w:pos="2268"/>
          <w:tab w:val="clear" w:pos="6237"/>
          <w:tab w:val="decimal" w:pos="567"/>
          <w:tab w:val="right" w:leader="dot" w:pos="7172"/>
          <w:tab w:val="decimal" w:pos="8039"/>
          <w:tab w:val="center" w:pos="9122"/>
        </w:tabs>
        <w:spacing w:line="240" w:lineRule="auto"/>
      </w:pPr>
      <w:r>
        <w:t>Введение</w:t>
      </w:r>
      <w:r>
        <w:tab/>
      </w:r>
      <w:r>
        <w:tab/>
        <w:t>1 - 17</w:t>
      </w:r>
      <w:r>
        <w:tab/>
        <w:t>3</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rPr>
          <w:lang w:val="en-US"/>
        </w:rPr>
        <w:t>I</w:t>
      </w:r>
      <w:r>
        <w:t>.</w:t>
      </w:r>
      <w:r>
        <w:tab/>
        <w:t xml:space="preserve">ОБЩИЕ ПОЛОЖЕНИЯ ПАКТА </w:t>
      </w:r>
      <w:r>
        <w:tab/>
      </w:r>
      <w:r>
        <w:tab/>
        <w:t>18 - 55</w:t>
      </w:r>
      <w:r>
        <w:tab/>
        <w:t>6</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A</w:t>
      </w:r>
      <w:r>
        <w:t>.</w:t>
      </w:r>
      <w:r>
        <w:tab/>
        <w:t xml:space="preserve">Статья 1 </w:t>
      </w:r>
      <w:r>
        <w:tab/>
      </w:r>
      <w:r>
        <w:tab/>
        <w:t>18 - 20</w:t>
      </w:r>
      <w:r>
        <w:tab/>
        <w:t>6</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B</w:t>
      </w:r>
      <w:r>
        <w:t>.</w:t>
      </w:r>
      <w:r>
        <w:tab/>
        <w:t xml:space="preserve">Статья 2 </w:t>
      </w:r>
      <w:r>
        <w:tab/>
      </w:r>
      <w:r>
        <w:tab/>
        <w:t>21 - 31</w:t>
      </w:r>
      <w:r>
        <w:tab/>
        <w:t>7</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C</w:t>
      </w:r>
      <w:r>
        <w:t>.</w:t>
      </w:r>
      <w:r>
        <w:tab/>
        <w:t xml:space="preserve">Статья 3 </w:t>
      </w:r>
      <w:r>
        <w:tab/>
      </w:r>
      <w:r>
        <w:tab/>
        <w:t>32 - 52</w:t>
      </w:r>
      <w:r>
        <w:tab/>
        <w:t>11</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center" w:pos="8039"/>
          <w:tab w:val="center" w:pos="9122"/>
        </w:tabs>
        <w:spacing w:line="240" w:lineRule="auto"/>
      </w:pPr>
      <w:r>
        <w:tab/>
      </w:r>
      <w:r>
        <w:tab/>
      </w:r>
      <w:r>
        <w:rPr>
          <w:lang w:val="en-US"/>
        </w:rPr>
        <w:t>D</w:t>
      </w:r>
      <w:r>
        <w:t>.</w:t>
      </w:r>
      <w:r>
        <w:tab/>
        <w:t xml:space="preserve">Статья 4 </w:t>
      </w:r>
      <w:r>
        <w:tab/>
      </w:r>
      <w:r>
        <w:tab/>
        <w:t>53</w:t>
      </w:r>
      <w:r>
        <w:tab/>
        <w:t>15</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E</w:t>
      </w:r>
      <w:r>
        <w:t>.</w:t>
      </w:r>
      <w:r>
        <w:tab/>
        <w:t xml:space="preserve">Статья 5 </w:t>
      </w:r>
      <w:r>
        <w:tab/>
      </w:r>
      <w:r>
        <w:tab/>
        <w:t>54 - 55</w:t>
      </w:r>
      <w:r>
        <w:tab/>
        <w:t>15</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rPr>
          <w:lang w:val="en-US"/>
        </w:rPr>
        <w:t>II</w:t>
      </w:r>
      <w:r>
        <w:t>.</w:t>
      </w:r>
      <w:r>
        <w:tab/>
        <w:t>ПОЛОЖЕНИЯ, КАСАЮЩИЕСЯ КОНКРЕТНЫХ ПРАВ</w:t>
      </w:r>
      <w:r>
        <w:tab/>
      </w:r>
      <w:r>
        <w:tab/>
        <w:t>56 - 935</w:t>
      </w:r>
      <w:r>
        <w:tab/>
        <w:t>16</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A</w:t>
      </w:r>
      <w:r>
        <w:t>.</w:t>
      </w:r>
      <w:r>
        <w:tab/>
        <w:t xml:space="preserve">Статья 6 </w:t>
      </w:r>
      <w:r>
        <w:tab/>
      </w:r>
      <w:r>
        <w:tab/>
        <w:t>56 - 174</w:t>
      </w:r>
      <w:r>
        <w:tab/>
        <w:t>16</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B</w:t>
      </w:r>
      <w:r>
        <w:t>.</w:t>
      </w:r>
      <w:r>
        <w:tab/>
        <w:t xml:space="preserve">Статья 7 </w:t>
      </w:r>
      <w:r>
        <w:tab/>
      </w:r>
      <w:r>
        <w:tab/>
        <w:t>175 - 270</w:t>
      </w:r>
      <w:r>
        <w:tab/>
        <w:t>59</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C</w:t>
      </w:r>
      <w:r>
        <w:t>.</w:t>
      </w:r>
      <w:r>
        <w:tab/>
        <w:t xml:space="preserve">Статья 8 </w:t>
      </w:r>
      <w:r>
        <w:tab/>
      </w:r>
      <w:r>
        <w:tab/>
        <w:t>271 - 317</w:t>
      </w:r>
      <w:r>
        <w:tab/>
        <w:t>90</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D</w:t>
      </w:r>
      <w:r>
        <w:t>.</w:t>
      </w:r>
      <w:r>
        <w:tab/>
        <w:t xml:space="preserve">Статья 9 </w:t>
      </w:r>
      <w:r>
        <w:tab/>
      </w:r>
      <w:r>
        <w:tab/>
        <w:t>318 - 361</w:t>
      </w:r>
      <w:r>
        <w:tab/>
        <w:t>106</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E</w:t>
      </w:r>
      <w:r>
        <w:t>.</w:t>
      </w:r>
      <w:r>
        <w:tab/>
        <w:t xml:space="preserve">Статья 10 </w:t>
      </w:r>
      <w:r>
        <w:tab/>
      </w:r>
      <w:r>
        <w:tab/>
        <w:t>362 - 402</w:t>
      </w:r>
      <w:r>
        <w:tab/>
        <w:t>132</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F</w:t>
      </w:r>
      <w:r>
        <w:t>.</w:t>
      </w:r>
      <w:r>
        <w:tab/>
        <w:t xml:space="preserve">Статья 11 </w:t>
      </w:r>
      <w:r>
        <w:tab/>
      </w:r>
      <w:r>
        <w:tab/>
        <w:t>403 - 492</w:t>
      </w:r>
      <w:r>
        <w:tab/>
        <w:t>142</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G</w:t>
      </w:r>
      <w:r>
        <w:t>.</w:t>
      </w:r>
      <w:r>
        <w:tab/>
        <w:t xml:space="preserve">Статья 12 </w:t>
      </w:r>
      <w:r>
        <w:tab/>
      </w:r>
      <w:r>
        <w:tab/>
        <w:t>493 - 618</w:t>
      </w:r>
      <w:r>
        <w:tab/>
        <w:t>163</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H</w:t>
      </w:r>
      <w:r>
        <w:t>.</w:t>
      </w:r>
      <w:r>
        <w:tab/>
        <w:t xml:space="preserve">Статья 13 </w:t>
      </w:r>
      <w:r>
        <w:tab/>
      </w:r>
      <w:r>
        <w:tab/>
        <w:t>619 - 720</w:t>
      </w:r>
      <w:r>
        <w:tab/>
        <w:t>199</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center" w:pos="8039"/>
          <w:tab w:val="center" w:pos="9122"/>
        </w:tabs>
        <w:spacing w:line="240" w:lineRule="auto"/>
      </w:pPr>
      <w:r>
        <w:tab/>
      </w:r>
      <w:r>
        <w:tab/>
      </w:r>
      <w:r>
        <w:rPr>
          <w:lang w:val="en-US"/>
        </w:rPr>
        <w:t>I</w:t>
      </w:r>
      <w:r>
        <w:t>.</w:t>
      </w:r>
      <w:r>
        <w:tab/>
        <w:t xml:space="preserve">Статья 14 </w:t>
      </w:r>
      <w:r>
        <w:tab/>
      </w:r>
      <w:r>
        <w:tab/>
        <w:t>721</w:t>
      </w:r>
      <w:r>
        <w:tab/>
        <w:t>222</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tab/>
      </w:r>
      <w:r>
        <w:rPr>
          <w:lang w:val="en-US"/>
        </w:rPr>
        <w:t>J</w:t>
      </w:r>
      <w:r>
        <w:t>.</w:t>
      </w:r>
      <w:r>
        <w:tab/>
        <w:t xml:space="preserve">Статья 15 </w:t>
      </w:r>
      <w:r>
        <w:tab/>
      </w:r>
      <w:r>
        <w:tab/>
        <w:t>722 - 934</w:t>
      </w:r>
      <w:r>
        <w:tab/>
        <w:t>222</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rPr>
          <w:lang w:val="en-US"/>
        </w:rPr>
        <w:t>III</w:t>
      </w:r>
      <w:r>
        <w:t>.</w:t>
      </w:r>
      <w:r>
        <w:tab/>
        <w:t>ОТВЕТЫ НА ЗАКЛЮЧИТЕЛЬНЫЕ ЗАМЕЧАНИЯ</w:t>
      </w:r>
      <w:r>
        <w:br/>
      </w:r>
      <w:r>
        <w:tab/>
      </w:r>
      <w:r>
        <w:tab/>
        <w:t xml:space="preserve">И РЕКОМЕНДАЦИИ </w:t>
      </w:r>
      <w:r>
        <w:tab/>
      </w:r>
      <w:r>
        <w:tab/>
        <w:t>935 - 1243</w:t>
      </w:r>
      <w:r>
        <w:tab/>
        <w:t>290</w:t>
      </w:r>
    </w:p>
    <w:p w:rsidR="00000000" w:rsidRDefault="00000000">
      <w:pPr>
        <w:tabs>
          <w:tab w:val="clear" w:pos="6237"/>
          <w:tab w:val="decimal" w:pos="567"/>
          <w:tab w:val="right" w:leader="dot" w:pos="7172"/>
          <w:tab w:val="decimal" w:pos="8039"/>
          <w:tab w:val="center" w:pos="9122"/>
        </w:tabs>
        <w:spacing w:line="240" w:lineRule="auto"/>
      </w:pPr>
    </w:p>
    <w:p w:rsidR="00000000" w:rsidRDefault="00000000">
      <w:pPr>
        <w:tabs>
          <w:tab w:val="clear" w:pos="6237"/>
          <w:tab w:val="decimal" w:pos="567"/>
          <w:tab w:val="right" w:leader="dot" w:pos="7172"/>
          <w:tab w:val="decimal" w:pos="8039"/>
          <w:tab w:val="center" w:pos="9122"/>
        </w:tabs>
        <w:spacing w:line="240" w:lineRule="auto"/>
      </w:pPr>
      <w:r>
        <w:tab/>
      </w:r>
      <w:r>
        <w:rPr>
          <w:lang w:val="en-US"/>
        </w:rPr>
        <w:t>IV</w:t>
      </w:r>
      <w:r>
        <w:t>.</w:t>
      </w:r>
      <w:r>
        <w:tab/>
        <w:t xml:space="preserve">ВЫВОДЫ </w:t>
      </w:r>
      <w:r>
        <w:tab/>
      </w:r>
      <w:r>
        <w:tab/>
        <w:t>1244 - 1251</w:t>
      </w:r>
      <w:r>
        <w:tab/>
        <w:t>369</w:t>
      </w:r>
    </w:p>
    <w:p w:rsidR="00000000" w:rsidRDefault="00000000">
      <w:pPr>
        <w:tabs>
          <w:tab w:val="clear" w:pos="6237"/>
          <w:tab w:val="decimal" w:pos="567"/>
          <w:tab w:val="right" w:leader="dot" w:pos="7172"/>
          <w:tab w:val="center" w:pos="8039"/>
          <w:tab w:val="center" w:pos="9122"/>
        </w:tabs>
      </w:pPr>
    </w:p>
    <w:p w:rsidR="00000000" w:rsidRDefault="00000000">
      <w:pPr>
        <w:pageBreakBefore/>
        <w:tabs>
          <w:tab w:val="clear" w:pos="6237"/>
          <w:tab w:val="decimal" w:pos="567"/>
          <w:tab w:val="right" w:leader="dot" w:pos="8391"/>
          <w:tab w:val="center" w:pos="9122"/>
        </w:tabs>
        <w:jc w:val="center"/>
        <w:rPr>
          <w:b/>
          <w:bCs/>
        </w:rPr>
      </w:pPr>
      <w:r>
        <w:rPr>
          <w:b/>
          <w:bCs/>
        </w:rPr>
        <w:t>ВВЕДЕНИЕ</w:t>
      </w:r>
    </w:p>
    <w:p w:rsidR="00000000" w:rsidRDefault="00000000">
      <w:pPr>
        <w:tabs>
          <w:tab w:val="clear" w:pos="6237"/>
          <w:tab w:val="decimal" w:pos="567"/>
          <w:tab w:val="right" w:leader="dot" w:pos="8391"/>
          <w:tab w:val="center" w:pos="9122"/>
        </w:tabs>
        <w:jc w:val="center"/>
        <w:rPr>
          <w:b/>
          <w:bCs/>
        </w:rPr>
      </w:pPr>
    </w:p>
    <w:p w:rsidR="00000000" w:rsidRDefault="00000000">
      <w:r>
        <w:t>1.</w:t>
      </w:r>
      <w:r>
        <w:tab/>
        <w:t>В соответствии со статьями 16 и 17 Международного пакта об экономических, социальных и культурных правах (МПЭСКП или Пакта) и во исполнение своих обязательств Мексика представляет свой четвертый периодический доклад относительно осуществления этого договора.</w:t>
      </w:r>
    </w:p>
    <w:p w:rsidR="00000000" w:rsidRDefault="00000000"/>
    <w:p w:rsidR="00000000" w:rsidRDefault="00000000">
      <w:r>
        <w:t>2.</w:t>
      </w:r>
      <w:r>
        <w:tab/>
        <w:t>Всеобщее поощрение и защита прав человека является для Мексики вопросом первостепенной важности.  В этой связи Мексика предпринимает меры, направленные на защиту как гражданских и политических прав, так и экономических, социальных и культурных прав (ЭСКП).</w:t>
      </w:r>
    </w:p>
    <w:p w:rsidR="00000000" w:rsidRDefault="00000000"/>
    <w:p w:rsidR="00000000" w:rsidRDefault="00000000">
      <w:r>
        <w:t>3.</w:t>
      </w:r>
      <w:r>
        <w:tab/>
        <w:t>Правительство Мексики полагает, что всестороннее осуществление прав человека и уважение основных свобод индивидов является не только неотъемлемой обязанностью государственной власти, но и условием развития демократии и соответственно развития всего общества.</w:t>
      </w:r>
    </w:p>
    <w:p w:rsidR="00000000" w:rsidRDefault="00000000"/>
    <w:p w:rsidR="00000000" w:rsidRDefault="00000000">
      <w:r>
        <w:t>4.</w:t>
      </w:r>
      <w:r>
        <w:tab/>
        <w:t xml:space="preserve">Уважение и защита ЭСКП является неотъемлемым элементом исторической традиции Мексики в контексте нормотворческой деятельности в этой области, включая прежде всего социальные права.  Представляется важным отметить, что Конституция Мексики, принятая в 1917 году, содержит положения об ЭСКП и что Мексика была одной из первых стран, которые включили в свой Основной закон право на образование (статья 3), земельные права (статья 27) и права трудящихся (статья 123) в качестве конкретных социальных прав.  </w:t>
      </w:r>
    </w:p>
    <w:p w:rsidR="00000000" w:rsidRDefault="00000000"/>
    <w:p w:rsidR="00000000" w:rsidRDefault="00000000">
      <w:r>
        <w:t>5.</w:t>
      </w:r>
      <w:r>
        <w:tab/>
        <w:t>Полномасштабное осуществление экономических, социальных и культурных прав мексиканского населения затрудняется рядом экономических проблем на национальном и международном уровне.</w:t>
      </w:r>
    </w:p>
    <w:p w:rsidR="00000000" w:rsidRDefault="00000000"/>
    <w:p w:rsidR="00000000" w:rsidRDefault="00000000">
      <w:r>
        <w:t>6.</w:t>
      </w:r>
      <w:r>
        <w:tab/>
        <w:t xml:space="preserve">Вместе с тем, несмотря на существующие проблемы, правительство Мексики вновь заявляет о своей решимости и готовности выполнять свои обязательства в области прав человека.  Разработанный правительством Мексики комплекс стратегий и мероприятий в области прав человека, включая, в частности, меры по осуществлению экономических, социальных и культурных прав, как это предусматривается МПЭСКП, является фундаментом проводимой государством широкой политики в области прав человека в соответствии с международными правозащитными нормами и свидетельствует о наличии у правительства Мексики политической воли выполнять свои международные обязательства. </w:t>
      </w:r>
    </w:p>
    <w:p w:rsidR="00000000" w:rsidRDefault="00000000"/>
    <w:p w:rsidR="00000000" w:rsidRDefault="00000000">
      <w:r>
        <w:t>7.</w:t>
      </w:r>
      <w:r>
        <w:tab/>
        <w:t>В целях дальнейшего обогащения практики в области осуществления прав человека нынешнее правительство Мексики в 2001 году добровольно и на постоянной основе открыло страну для органов международного надзора, предложив всем представителям международных механизмов по защите и поощрению прав человека Организации Объединенных Наций и других международных органов посещать Мексику в интересах более эффективного осуществления прав человека на основе формулируемых этими органами рекомендаций.</w:t>
      </w:r>
    </w:p>
    <w:p w:rsidR="00000000" w:rsidRDefault="00000000"/>
    <w:p w:rsidR="00000000" w:rsidRDefault="00000000">
      <w:r>
        <w:t>8.</w:t>
      </w:r>
      <w:r>
        <w:tab/>
        <w:t>В рамках одного из направлений своей внешней политики Мексика предусматривает развитие сотрудничества с международными органами и международным сообществом в контексте мероприятий, направленных на осуществление необходимых преобразований, содействующих поощрению и соблюдению прав человека в стране.  Такое сотрудничество осуществляется по линии ряда конкретных программ, подробная информация о которых содержится в базовом докладе.</w:t>
      </w:r>
    </w:p>
    <w:p w:rsidR="00000000" w:rsidRDefault="00000000"/>
    <w:p w:rsidR="00000000" w:rsidRDefault="00000000">
      <w:r>
        <w:t>9.</w:t>
      </w:r>
      <w:r>
        <w:tab/>
        <w:t>Что касается конкретно ЭСКП, то с учетом необходимости укрепления правовых актов, содействующих их осуществлению и развитию в обществе гражданской культуры в интересах осуществления этих прав, Мексика принимает активное участие в разработке факультативного протокола к Пакту, который предусматривает создание механизмов, способствующих приданию этим правам исковой силы.  В этой связи на шестидесятой сессии Комиссии по правам человека Организации Объединенных Наций Мексика поддержала резолюцию 2004/29, которая предусматривает продление на два года мандата рабочей группы по разработке соответствующего протокола.</w:t>
      </w:r>
    </w:p>
    <w:p w:rsidR="00000000" w:rsidRDefault="00000000"/>
    <w:p w:rsidR="00000000" w:rsidRDefault="00000000">
      <w:r>
        <w:t>10.</w:t>
      </w:r>
      <w:r>
        <w:tab/>
        <w:t>Кроме того, следует особо отметить, что 11 марта 2003 года в стране была создана Комиссия по государственной политике в области прав человека, в состав которой вошли представители правительства и организаций гражданского общества.  Цель Комиссии заключается в совместном формулировании предложений о проведении государственной политики и разработке норм в области прав человека, а также в подготовке инициатив, направленных на осуществление необходимых институциональных преобразований в целях более эффективного поощрения и защиты прав человека.  В состав Комиссии входят девять подкомиссий, которые рассматривают любые вопросы, касающиеся поощрения и защиты различных прав человека, включая, в частности, Подкомиссию по ЭСКП.</w:t>
      </w:r>
    </w:p>
    <w:p w:rsidR="00000000" w:rsidRDefault="00000000"/>
    <w:p w:rsidR="00000000" w:rsidRDefault="00000000">
      <w:r>
        <w:t>11.</w:t>
      </w:r>
      <w:r>
        <w:tab/>
        <w:t>Хорошо понимая важность проблематики в области прав человека, нынешнее правительство Мексики осуществляет различные мероприятия, направленные на распространение среди населения информации о Пакте и обязательствах Мексики в данной области.  В этой связи подкомиссия по ЭСКП также способствует пропаганде Пакта и углублению знаний в области прав человека среди представителей государственных структур и гражданского общества.  Кроме того, представители правительства принимают участие в семинарах по экономической и социальной политике, в ходе которых соответствующие вопросы анализируются в контексте прав человека с учетом того, что юридический характер этих прав указывает на то, что их осуществление является частью взятых государствами обязательств.</w:t>
      </w:r>
    </w:p>
    <w:p w:rsidR="00000000" w:rsidRDefault="00000000"/>
    <w:p w:rsidR="00000000" w:rsidRDefault="00000000">
      <w:r>
        <w:t>12.</w:t>
      </w:r>
      <w:r>
        <w:tab/>
        <w:t>Помимо этого, на базе соглашения о сотрудничестве между министерством иностранных дел (МИД), Национальным автономным университетом Мексики (НАУМ), Ибероамериканского университета (ИАУ) и Организацией Объединенных Наций по вопросам образования, науки и культуры (ЮНЕСКО), заключенного в 2002 году для целей организации семинаров и проведения других научных мероприятий, способствующих проведению дебатов в интересах поощрения прав человека, 4-5 июля 2002 года состоялся первый семинар по теме:  "Препятствия на пути осуществления экономических, социальных и культурных прав в Латинской Америке".  По итогам этого семинара была опубликована книга "Экономические, социальные и культурные права (ЭСКП) в Латинской Америке:  препятствия на пути их эффективного осуществления и основные международные документы" (ЮНЕСКО-МИД-ИАУ-НАУМ, Мексика, 2003 год).</w:t>
      </w:r>
    </w:p>
    <w:p w:rsidR="00000000" w:rsidRDefault="00000000"/>
    <w:p w:rsidR="00000000" w:rsidRDefault="00000000">
      <w:r>
        <w:t>13.</w:t>
      </w:r>
      <w:r>
        <w:tab/>
        <w:t>Правительство Мексики понимает, что постепенное осуществление экономических, социальных и культурных прав позволяет повышать благосостояние мексиканского населения и способствует более эффективному осуществлению принципов справедливости и равноправия в мексиканском обществе, в связи с чем правительство предпринимает все усилия для того, чтобы как можно большее число мексиканцев получили возможность в полной мере пользоваться соответствующими правами.  В настоящем докладе содержится информация, касающаяся принятых правительством Мексики мер и целевых показателей в контексте обязательств по МПЭСКП.</w:t>
      </w:r>
    </w:p>
    <w:p w:rsidR="00000000" w:rsidRDefault="00000000"/>
    <w:p w:rsidR="00000000" w:rsidRDefault="00000000">
      <w:r>
        <w:t>14.</w:t>
      </w:r>
      <w:r>
        <w:tab/>
        <w:t>При подготовке настоящего доклада правительство Мексики использовало новаторскую методологию, предусматривающую подключение к работе нынешнего консультанта из числа сотрудников Национального автономного университета Мексики, специализирующегося в области экономических, социальных и культурных прав.</w:t>
      </w:r>
    </w:p>
    <w:p w:rsidR="00000000" w:rsidRDefault="00000000"/>
    <w:p w:rsidR="00000000" w:rsidRDefault="00000000">
      <w:r>
        <w:t>15.</w:t>
      </w:r>
      <w:r>
        <w:tab/>
        <w:t xml:space="preserve">Этот эксперт участвовал в работе по составлению доклада и консультировал вовлеченных в этот процесс представителей различных органов власти по вопросам более эффективной систематизации информации, а также отбора конкретных и полезных </w:t>
      </w:r>
    </w:p>
    <w:p w:rsidR="00000000" w:rsidRDefault="00000000">
      <w:r>
        <w:br w:type="page"/>
        <w:t>данных, соответствующих руководящим принципам Комитета по ЭСКП.  Эта деятельность способствовала более ясному и глубокому пониманию места прав человека в осуществляемой государством политике.</w:t>
      </w:r>
    </w:p>
    <w:p w:rsidR="00000000" w:rsidRDefault="00000000"/>
    <w:p w:rsidR="00000000" w:rsidRDefault="00000000">
      <w:r>
        <w:t>16.</w:t>
      </w:r>
      <w:r>
        <w:tab/>
        <w:t xml:space="preserve">На заседаниях Подкомиссии по ЭСКП организации гражданского общества (ОГО) имели возможность высказывать замечания и отражать их в настоящем докладе, который представляет собой объективное и сбалансированное исследование о положении в стране, о достигнутом прогрессе и о еще нерешенных проблемах. </w:t>
      </w:r>
    </w:p>
    <w:p w:rsidR="00000000" w:rsidRDefault="00000000"/>
    <w:p w:rsidR="00000000" w:rsidRDefault="00000000">
      <w:r>
        <w:t>17.</w:t>
      </w:r>
      <w:r>
        <w:tab/>
        <w:t>Часть замечаний ОГО была включена в заключительный раздел настоящего доклада, а часть была принята к сведению правительством Мексики с целью устранения имевшихся в этом документе недостатков и пробелов и подготовки как максимально полного исследования, которое не только позволяет Мексике выполнить международные обязательства в соответствии с руководящими принципами Комитета по ЭСКП, но и представляет несомненную ценность в контексте более эффективного развития страны.</w:t>
      </w:r>
    </w:p>
    <w:p w:rsidR="00000000" w:rsidRDefault="00000000"/>
    <w:p w:rsidR="00000000" w:rsidRDefault="00000000">
      <w:pPr>
        <w:jc w:val="center"/>
        <w:rPr>
          <w:b/>
          <w:bCs/>
        </w:rPr>
      </w:pPr>
      <w:r>
        <w:rPr>
          <w:b/>
          <w:bCs/>
          <w:lang w:val="en-US"/>
        </w:rPr>
        <w:t>I</w:t>
      </w:r>
      <w:r>
        <w:rPr>
          <w:b/>
          <w:bCs/>
        </w:rPr>
        <w:t>.</w:t>
      </w:r>
      <w:r>
        <w:rPr>
          <w:b/>
          <w:bCs/>
        </w:rPr>
        <w:tab/>
        <w:t>ОБЩИЕ ПОЛОЖЕНИЯ ПАКТА</w:t>
      </w:r>
    </w:p>
    <w:p w:rsidR="00000000" w:rsidRDefault="00000000">
      <w:pPr>
        <w:jc w:val="center"/>
      </w:pPr>
    </w:p>
    <w:p w:rsidR="00000000" w:rsidRDefault="00000000">
      <w:pPr>
        <w:jc w:val="center"/>
        <w:rPr>
          <w:b/>
          <w:bCs/>
        </w:rPr>
      </w:pPr>
      <w:r>
        <w:rPr>
          <w:b/>
          <w:bCs/>
        </w:rPr>
        <w:t>А.</w:t>
      </w:r>
      <w:r>
        <w:rPr>
          <w:b/>
          <w:bCs/>
        </w:rPr>
        <w:tab/>
        <w:t>Статья 1</w:t>
      </w:r>
    </w:p>
    <w:p w:rsidR="00000000" w:rsidRDefault="00000000">
      <w:pPr>
        <w:jc w:val="center"/>
        <w:rPr>
          <w:b/>
          <w:bCs/>
        </w:rPr>
      </w:pPr>
    </w:p>
    <w:p w:rsidR="00000000" w:rsidRDefault="00000000">
      <w:r>
        <w:t>18.</w:t>
      </w:r>
      <w:r>
        <w:tab/>
        <w:t xml:space="preserve">Мексика подтверждает свое обязательство в отношении права народов на самоопределение, которое предусмотрено в статье 1 МПЭСКП, через создание более благоприятных политических условий для их экономического, социального и культурного развития.  Готовность Мексики соблюдать этот основополагающий принцип системы международных отношений, имеющий целью обеспечение мира и международного сотрудничества, многократно находила свое подтверждение в позиции, занимаемой страной в Организации Объединенных Наций (ООН), в Уставе которой провозглашается принцип самоопределения народов как основа политической стабильности в мире.  Мексика поддержала целый ряд резолюций, принятых Генеральной Ассамблеей начиная со второй половины 40-х годов </w:t>
      </w:r>
      <w:r>
        <w:rPr>
          <w:lang w:val="en-US"/>
        </w:rPr>
        <w:t>XX</w:t>
      </w:r>
      <w:r>
        <w:t xml:space="preserve"> века, в которых закреплялись рамки процесса деколонизации, начавшегося после второй мировой войны.  Кроме того, Мексика поддержала резолюцию 1803 (</w:t>
      </w:r>
      <w:r>
        <w:rPr>
          <w:lang w:val="en-US"/>
        </w:rPr>
        <w:t>XVII</w:t>
      </w:r>
      <w:r>
        <w:t>) от 6 августа 1964 года, в которой провозглашался постоянный суверенитет государств над своими естественными ресурсами, что равнозначно осуществлению права на самоопределение.  О готовности Мексики соблюдать эти принципы свидетельствовала ее приверженность резолюции 3016 (</w:t>
      </w:r>
      <w:r>
        <w:rPr>
          <w:lang w:val="en-US"/>
        </w:rPr>
        <w:t>XXVII</w:t>
      </w:r>
      <w:r>
        <w:t>) 1972 года о неотъемлемом суверенитете государств над национальными ресурсами как на суше, так и в прибрежных водах.</w:t>
      </w:r>
    </w:p>
    <w:p w:rsidR="00000000" w:rsidRDefault="00000000"/>
    <w:p w:rsidR="00000000" w:rsidRDefault="00000000">
      <w:r>
        <w:t>19.</w:t>
      </w:r>
      <w:r>
        <w:tab/>
        <w:t>Помимо этого Мексика поддержала резолюцию 1815 (</w:t>
      </w:r>
      <w:r>
        <w:rPr>
          <w:lang w:val="en-US"/>
        </w:rPr>
        <w:t>XVII</w:t>
      </w:r>
      <w:r>
        <w:t xml:space="preserve">) от 18 декабря 1962 года, в которой перечисляются принципы международного права, касающиеся дружественных взаимоотношений и сотрудничества государств.  В этой резолюции упоминается право на самоопределение народов.  Указанное обязательство Мексика закрепила путем его включения в статьи 2 и 89, раздел </w:t>
      </w:r>
      <w:r>
        <w:rPr>
          <w:lang w:val="en-US"/>
        </w:rPr>
        <w:t>X</w:t>
      </w:r>
      <w:r>
        <w:t xml:space="preserve">, Конституции страны. </w:t>
      </w:r>
    </w:p>
    <w:p w:rsidR="00000000" w:rsidRDefault="00000000"/>
    <w:p w:rsidR="00000000" w:rsidRDefault="00000000">
      <w:r>
        <w:t>20.</w:t>
      </w:r>
      <w:r>
        <w:tab/>
        <w:t xml:space="preserve">Соответствующее положение фигурирует в тексте статьи 2 Конституции, где говорится, что мексиканская нация является единой и неделимой и имеет многокультурный уклад, в основе которого находятся коренные народы.  Конституция признает и гарантирует право коренных народов на самоопределение и, соответственно, признает за ними автономию в решении вопросов, касающихся их социальной, экономической, политической, правовой и культурной организации.  </w:t>
      </w:r>
    </w:p>
    <w:p w:rsidR="00000000" w:rsidRDefault="00000000"/>
    <w:p w:rsidR="00000000" w:rsidRDefault="00000000">
      <w:pPr>
        <w:jc w:val="center"/>
        <w:rPr>
          <w:b/>
          <w:bCs/>
        </w:rPr>
      </w:pPr>
      <w:r>
        <w:rPr>
          <w:b/>
          <w:bCs/>
        </w:rPr>
        <w:t>В.</w:t>
      </w:r>
      <w:r>
        <w:rPr>
          <w:b/>
          <w:bCs/>
        </w:rPr>
        <w:tab/>
        <w:t>Статья 2</w:t>
      </w:r>
    </w:p>
    <w:p w:rsidR="00000000" w:rsidRDefault="00000000">
      <w:pPr>
        <w:jc w:val="center"/>
        <w:rPr>
          <w:b/>
          <w:bCs/>
        </w:rPr>
      </w:pPr>
    </w:p>
    <w:p w:rsidR="00000000" w:rsidRDefault="00000000">
      <w:r>
        <w:t>21.</w:t>
      </w:r>
      <w:r>
        <w:tab/>
        <w:t xml:space="preserve">Что касается деятельности мексиканского правительства в сфере борьбы с дискриминацией, то 9 июня 2003 года был подписан указ о промульгации федерального закона о предупреждении и искоренении дискриминации, который вступил в силу 12 июня 2003 года (см. </w:t>
      </w:r>
      <w:r>
        <w:rPr>
          <w:b/>
          <w:bCs/>
        </w:rPr>
        <w:t>приложение 1</w:t>
      </w:r>
      <w:r>
        <w:t>).</w:t>
      </w:r>
    </w:p>
    <w:p w:rsidR="00000000" w:rsidRDefault="00000000"/>
    <w:p w:rsidR="00000000" w:rsidRDefault="00000000">
      <w:r>
        <w:t>22.</w:t>
      </w:r>
      <w:r>
        <w:tab/>
        <w:t>При разработке этого закона учитывалось широкое распространение практики дискриминации в отношении женщин и существование в стране таких уязвимых групп, как пожилые люди, инвалиды, женщины из числа коренного населения, лица, отстаивающие право на гендерную идентичность и право на негетеросексуальную ориентацию, а также необходимость закрепления принципов социального равноправия мексиканцев, в связи с чем было признано необходимым обеспечить создание правовой базы для предупреждения и искоренения проявлений дискриминации в некоторых сферах жизни общества.  В соответствии с конституционным принципом равенства и недискриминации</w:t>
      </w:r>
      <w:r>
        <w:rPr>
          <w:rStyle w:val="FootnoteReference"/>
        </w:rPr>
        <w:footnoteReference w:id="1"/>
      </w:r>
      <w:r>
        <w:t>, который был включен в Конституцию в 2001 году, а также с учетом норм международного права и сравнительного правоведения в области предупреждения, пресечения и искоренения дискриминации, такая база предусматривает принятие действенных законов, позволяющих осуществлять конкретные меры в целях ликвидации различных форм социального отчуждения, которые препятствуют всемерному осуществлению населением Мексики своих прав и свобод.</w:t>
      </w:r>
    </w:p>
    <w:p w:rsidR="00000000" w:rsidRDefault="00000000">
      <w:r>
        <w:t>23.</w:t>
      </w:r>
      <w:r>
        <w:tab/>
        <w:t>В соответствии с федеральным законом о предупреждении и искоренении дискриминации были созданы правовые механизмы и институты, которые позволяют обеспечить эффективное применение пункта 3 статьи 1 Конституции Мексиканских Соединенных Штатов, положения которого запрещают любые формы дискриминации в Мексике.</w:t>
      </w:r>
    </w:p>
    <w:p w:rsidR="00000000" w:rsidRDefault="00000000"/>
    <w:p w:rsidR="00000000" w:rsidRDefault="00000000">
      <w:r>
        <w:t>24.</w:t>
      </w:r>
      <w:r>
        <w:tab/>
        <w:t xml:space="preserve">В этом законе дискриминация определяется как "…любое различие, исключение или ограничение, основанные на признаках </w:t>
      </w:r>
      <w:r>
        <w:rPr>
          <w:u w:val="single"/>
        </w:rPr>
        <w:t>этнического или национального происхождения, пола, возраста, недееспособности, социального или экономического положения, состояния здоровья, беременности, языка, религии, убеждений, сексуальной ориентации, гражданского статуса или любых других особенностей</w:t>
      </w:r>
      <w:r>
        <w:t>, которые имеют целью умаление или уничтожение признания или осуществления на равных началах прав человека и принципа равных возможностей"</w:t>
      </w:r>
      <w:r>
        <w:rPr>
          <w:rStyle w:val="FootnoteReference"/>
        </w:rPr>
        <w:footnoteReference w:id="2"/>
      </w:r>
      <w:r>
        <w:t>.  Цель закона заключается в предупреждении и искоренении любых форм дискриминации в отношении любого лица, которое находится на территории Мексики, в соответствии с пунктом 3 статьи 1 Политической конституции Мексиканских Соединенных Штатов, а также в поощрении действенного осуществления принципа равенства возможностей и обращения.  В законе предусматривается обязанность властей и государственных органов принимать все возможные меры в целях предупреждения любых проявлений дискриминации и отмечается, что государственные власти должны осуществлять в рамках своей компетенции конкретные позитивные и компенсационные меры в интересах обеспечения равенства возможностей для вышеупомянутых уязвимых групп.</w:t>
      </w:r>
    </w:p>
    <w:p w:rsidR="00000000" w:rsidRDefault="00000000"/>
    <w:p w:rsidR="00000000" w:rsidRDefault="00000000">
      <w:r>
        <w:t>25.</w:t>
      </w:r>
      <w:r>
        <w:tab/>
        <w:t xml:space="preserve">Меры, которые предусматриваются указанным законом, </w:t>
      </w:r>
      <w:r>
        <w:rPr>
          <w:u w:val="single"/>
        </w:rPr>
        <w:t>устанавливают обязательство государства</w:t>
      </w:r>
      <w:r>
        <w:rPr>
          <w:b/>
          <w:bCs/>
        </w:rPr>
        <w:t xml:space="preserve"> </w:t>
      </w:r>
      <w:r>
        <w:t>по выравниванию положения наиболее уязвимых групп населения и созданию относительно схожих и равноправных исходных условий для всех граждан.  Речь идет о положительных действиях в интересах женщин, женщин из числа коренного населения, инвалидов, детей и пожилых людей, и на эти цели предусматривается выделение соответствующих средств из государственного бюджета.</w:t>
      </w:r>
    </w:p>
    <w:p w:rsidR="00000000" w:rsidRDefault="00000000"/>
    <w:p w:rsidR="00000000" w:rsidRDefault="00000000">
      <w:r>
        <w:t>26.</w:t>
      </w:r>
      <w:r>
        <w:tab/>
        <w:t>Кроме того, этот закон предполагает выполнение обязательств, закрепленных в подписанных и ратифицированных Мексикой международных документах в области борьбы с дискриминацией, поскольку предусматриваемые в законе специальные и позитивные меры позволяют включить в федеральное законодательство Мексики положения Международных пактов о правах человека, Международной конвенции ООН о ликвидации всех форм расовой дискриминации, Конвенции ООН о ликвидации всех форм дискриминации в отношении женщин (КЛДЖ), Конвенции о правах ребенка и Межамериканской конвенции о ликвидации всех форм дискриминации в отношении лиц с умственными или физическими недостатками.  Кроме того, в законе отмечается, что при наличии нескольких толкований одной и той же нормы предпочтение отдается норме, которая обеспечивает наиболее эффективную защиту соответствующих уязвимых лиц или групп.</w:t>
      </w:r>
    </w:p>
    <w:p w:rsidR="00000000" w:rsidRDefault="00000000"/>
    <w:p w:rsidR="00000000" w:rsidRDefault="00000000">
      <w:r>
        <w:t>27.</w:t>
      </w:r>
      <w:r>
        <w:tab/>
        <w:t>Новый закон о борьбе с дискриминацией в Мексике предусматривает, усиливает и систематизирует обязательства Мексики по указанным выше международно-правовым актам.  Кроме того, в соответствии с этим законом был создан Национальный совет по предупреждению дискриминации, в обязанности которого входит осуществление контроля за его применением и проведение государственной политики по борьбе с дискриминацией в целях осуществления и координации информационных, просветительских и пропагандистских мероприятий и других инициатив в интересах борьбы с дискриминацией и упрочения в обществе культуры взаимно равноправного отношения.  Эта децентрализованная структура федерального правительства имеет собственную правосубъектность и собственное имущество и располагает автономией в сфере технического обеспечения и управления;  она никому не подчиняется и, соответственно, принимает свои решения по претензиям или жалобам в условиях полной независимости.</w:t>
      </w:r>
    </w:p>
    <w:p w:rsidR="00000000" w:rsidRDefault="00000000"/>
    <w:p w:rsidR="00000000" w:rsidRDefault="00000000">
      <w:r>
        <w:t>28.</w:t>
      </w:r>
      <w:r>
        <w:tab/>
        <w:t>Кроме того, функции этого совета заключаются в содействии культурному и социальному развитию страны в соответствующей области;  осуществлении инициатив в правовой сфере, направленных на предупреждение и искоренение дискриминации;  разработке и поощрении государственной политики в целях обеспечения соблюдения принципа равенства возможностей и обращения в интересах лиц, находящихся на территории Мексики;  а также в координации деятельности структур и органов федеральной исполнительной власти в области предупреждения и искоренения дискриминации.</w:t>
      </w:r>
    </w:p>
    <w:p w:rsidR="00000000" w:rsidRDefault="00000000"/>
    <w:p w:rsidR="00000000" w:rsidRDefault="00000000">
      <w:r>
        <w:t>29.</w:t>
      </w:r>
      <w:r>
        <w:tab/>
        <w:t xml:space="preserve">К числу функций этого органа относятся следующие:  разработка стратегий и механизмов;  внесение предложений и оценка хода осуществления Национальной программы по предупреждению и искоренению дискриминации;  принятие мер и программ с целью предупреждения и искоренения дискриминации в государственных и частных учреждениях и организациях;  содействие разработке и пропаганде исследований относительно форм дискриминации в политической, экономической, социальной и культурной области;  подготовка исследований, касающихся ныне действующих законов и подзаконных актов в данной сфере;  внесение при необходимости предложений о соответствующих изменениях;  анализ нормативных актов и практики предположительно </w:t>
      </w:r>
    </w:p>
    <w:p w:rsidR="00000000" w:rsidRDefault="00000000">
      <w:r>
        <w:br w:type="page"/>
        <w:t>дискриминационного характера;  принятие к рассмотрению и урегулирование жалоб и претензий в соответствии с этим законом;  координация деятельности государственных учреждений федерального, местного и муниципального уровня и деятельности отдельных лиц и общественных и частных организаций.  Однако главное нововведение здесь заключается в том, что совет имеет возможность принимать к рассмотрению жалобы на случаи дискриминации в различных сферах общественной жизни (образование, производство, медицинское обслуживание, спорт, досуг и т.д.).  В таких случаях совет может выполнять функции посредника для целей урегулирования сторонами возникшего спора без ущерба для права потерпевших прибегнуть к тем средствам судебной защиты, которые они считают целесообразными.</w:t>
      </w:r>
    </w:p>
    <w:p w:rsidR="00000000" w:rsidRDefault="00000000"/>
    <w:p w:rsidR="00000000" w:rsidRDefault="00000000">
      <w:r>
        <w:t>30.</w:t>
      </w:r>
      <w:r>
        <w:tab/>
        <w:t>Деятельностью Комиссии руководит правительственный Комитет, в состав которого входят представители правительства и организаций гражданского общества</w:t>
      </w:r>
      <w:r>
        <w:rPr>
          <w:rStyle w:val="FootnoteReference"/>
        </w:rPr>
        <w:footnoteReference w:id="3"/>
      </w:r>
      <w:r>
        <w:t>, и при участии Консультативного совета, что дает возможность высказаться тем, кто борется против социального отчуждения.  Кроме того, в состав Совета входит консультативная ассамблея, состоящая из представителей частного сектора, общественности и научных кругов и выполняющая функции рекомендательного и консультативного органа в контексте осуществляемых советом инициатив, стратегий, программ и проектов.</w:t>
      </w:r>
    </w:p>
    <w:p w:rsidR="00000000" w:rsidRDefault="00000000"/>
    <w:p w:rsidR="00000000" w:rsidRDefault="00000000">
      <w:r>
        <w:t>31.</w:t>
      </w:r>
      <w:r>
        <w:tab/>
        <w:t>Подводя итог вышеуказанному, можно отметить, что основной целью федерального закона о предупреждении и искоренении дискриминации, который устанавливает порядок осуществления права на недискриминацию в соответствии с пунктом 3 статьи 1 Конституции, является внедрение норм и процедур, направленных на предотвращение и ликвидацию дискриминации, и осуществление позитивных и корректирующих мер в интересах эффективного осуществления принципа равенства возможностей.  В этой связи можно заключить, что в стране существует правовая база, позволяющая принимать меры, направленные на борьбу с любыми проявлениями дискриминации, и обеспечивать эффективное осуществление права на равенство обращения и возможностей.</w:t>
      </w:r>
    </w:p>
    <w:p w:rsidR="00000000" w:rsidRDefault="00000000"/>
    <w:p w:rsidR="00000000" w:rsidRDefault="00000000">
      <w:pPr>
        <w:rPr>
          <w:i/>
        </w:rPr>
      </w:pPr>
    </w:p>
    <w:p w:rsidR="00000000" w:rsidRDefault="00000000">
      <w:pPr>
        <w:jc w:val="center"/>
        <w:rPr>
          <w:b/>
          <w:bCs/>
        </w:rPr>
      </w:pPr>
      <w:r>
        <w:rPr>
          <w:b/>
          <w:bCs/>
        </w:rPr>
        <w:t>С.</w:t>
      </w:r>
      <w:r>
        <w:rPr>
          <w:b/>
          <w:bCs/>
        </w:rPr>
        <w:tab/>
        <w:t>Статья 3</w:t>
      </w:r>
    </w:p>
    <w:p w:rsidR="00000000" w:rsidRDefault="00000000">
      <w:pPr>
        <w:jc w:val="center"/>
        <w:rPr>
          <w:b/>
          <w:bCs/>
        </w:rPr>
      </w:pPr>
    </w:p>
    <w:p w:rsidR="00000000" w:rsidRDefault="00000000">
      <w:r>
        <w:t>32.</w:t>
      </w:r>
      <w:r>
        <w:tab/>
        <w:t>В дополнение к вышеизложенной информации о федеральном законе по предупреждению и искоренению дискриминации следует указать на новаторский характер двух осуществленных в Мексике инициатив:  Мексика является первой страной в мире, где в мирное время было создано представительство Управления Верховного комиссара Организации Объединенных Наций по правам человека, а также первой страной, правительство которой согласилось на то, чтобы Организация Объединенных Наций проводила общенациональные исследования, посвященные положению в области прав человека в Мексике.</w:t>
      </w:r>
    </w:p>
    <w:p w:rsidR="00000000" w:rsidRDefault="00000000"/>
    <w:p w:rsidR="00000000" w:rsidRDefault="00000000">
      <w:r>
        <w:t>33.</w:t>
      </w:r>
      <w:r>
        <w:tab/>
        <w:t>В пятой главе такого исследования, представленного в декабре 2003 года, идет речь о правах человека женщин.  В первом разделе этой главы содержится общая формулировка, предусматривающая включение положений международных конвенций, в том числе КЛДЖ и Беленской конвенции, в законодательство Мексики и обеспечение их надлежащего соблюдения.  Кроме того, там же упоминается программа "Проэкидад" и отмечается, что цель этой программы заключается в том, чтобы "содействовать разработке в стране действенной правовой базы, согласующейся с международными обязательствами страны в области прав человека женщин и девочек, в интересах поощрения и обеспечения полного соблюдения этих основополагающих норм в отношении женщин и детей".  Кроме того, в документе намечается ряд стратегических инициатив в интересах защиты, укрепления и поощрения прав человека женщин.</w:t>
      </w:r>
    </w:p>
    <w:p w:rsidR="00000000" w:rsidRDefault="00000000"/>
    <w:p w:rsidR="00000000" w:rsidRDefault="00000000">
      <w:r>
        <w:t>34.</w:t>
      </w:r>
      <w:r>
        <w:tab/>
        <w:t>В целях реальной конкретизации мер по защите и поощрению указанных прав был разработан проект "Законодательная деятельность с учетом гендерного подхода", направленный на содействие подготовке законодательной повестки дня, гарантирующей осуществление принципов равноправия и недискриминации.  В конце 2003 года было проведено четыре рабочих совещания:  одно - с законодателями федерального конгресса и еще три - с законодателями регионального уровня и законодателями комиссий по равноправию и гендерным факторам, функционирующих в составе 27 местных конгрессов из 32 существующих, в работе которых принимали участие и представители государственных структур по делам женщин.</w:t>
      </w:r>
    </w:p>
    <w:p w:rsidR="00000000" w:rsidRDefault="00000000"/>
    <w:p w:rsidR="00000000" w:rsidRDefault="00000000">
      <w:r>
        <w:t>35.</w:t>
      </w:r>
      <w:r>
        <w:tab/>
        <w:t>В результате осуществленных мероприятий были созданы основные инструменты для целей распространения базовых юридических знаний, необходимых для учета гендерного фактора в законодательных инициативах с уделением особого внимания в рамках соответствующей нормотворческой деятельности международным документам в области прав человека женщин.</w:t>
      </w:r>
    </w:p>
    <w:p w:rsidR="00000000" w:rsidRDefault="00000000"/>
    <w:p w:rsidR="00000000" w:rsidRDefault="00000000">
      <w:r>
        <w:t>36.</w:t>
      </w:r>
      <w:r>
        <w:tab/>
        <w:t xml:space="preserve">В ходе совещаний обсуждались вопросы, касающиеся, в частности, учета гендерных факторов при выделении бюджетных ассигнований, трудовых прав женщин, системы квот в интересах участия женщин в политической жизни и несовершеннолетних правонарушителей. </w:t>
      </w:r>
    </w:p>
    <w:p w:rsidR="00000000" w:rsidRDefault="00000000"/>
    <w:p w:rsidR="00000000" w:rsidRDefault="00000000">
      <w:r>
        <w:t>37.</w:t>
      </w:r>
      <w:r>
        <w:tab/>
        <w:t>Проблемы, обсуждавшиеся в ходе этих совещаний, свидетельствовали о настоятельной необходимости отмены юридических норм, ущемляющих права человека женщин и детей, повышения эффективности механизмов, позволяющих осуществлять на постоянной основе и в условиях независимости работу по обновлению депутатского корпуса раз в три года, и повышения информированности законодателей в гендерной области путем регулярного проведения совещаний, разъясняющих важность гендерной проблематики и механизмов ее отражения в законодательной деятельности.</w:t>
      </w:r>
    </w:p>
    <w:p w:rsidR="00000000" w:rsidRDefault="00000000"/>
    <w:p w:rsidR="00000000" w:rsidRDefault="00000000">
      <w:r>
        <w:t>38.</w:t>
      </w:r>
      <w:r>
        <w:tab/>
        <w:t>К числу последних важных достижений в законодательной области относится промульгация общего закона о социальном развитии, который предусматривает, в частности, разработку национальной политики в области социального развития, способствующей созданию условий, обеспечивающих осуществление индивидуальных или коллективных социальных прав, гарантируя при этом доступ к программам социального развития и принцип равенства возможностей, а также искоренение проблемы дискриминации и социального отчуждения на основе уважения права на разнообразие, что предполагает, в частности, учет гендерных факторов и запрещение любой дискриминационной практики предоставления льгот и услуг в рамках программ социального развития.</w:t>
      </w:r>
    </w:p>
    <w:p w:rsidR="00000000" w:rsidRDefault="00000000"/>
    <w:p w:rsidR="00000000" w:rsidRDefault="00000000">
      <w:r>
        <w:t>39.</w:t>
      </w:r>
      <w:r>
        <w:tab/>
        <w:t xml:space="preserve">В области финансирования и расходов следует особо выделить положения, в соответствии с которыми </w:t>
      </w:r>
      <w:r>
        <w:rPr>
          <w:i/>
          <w:iCs/>
        </w:rPr>
        <w:t>"программы, фонды и средства, направленные на цели социального развития имеют приоритетный характер и государственное значение… и их бюджетное финансирование не подлежит сокращению".</w:t>
      </w:r>
      <w:r>
        <w:t xml:space="preserve">  Кроме того, предусмотренные в федеральном бюджете объемы расходов на социальные нужды не могут быть ниже уровня соответствующих расходов за предшествующий финансовый год и должны возрастать по мере роста валового внутреннего продукта.</w:t>
      </w:r>
    </w:p>
    <w:p w:rsidR="00000000" w:rsidRDefault="00000000"/>
    <w:p w:rsidR="00000000" w:rsidRDefault="00000000">
      <w:r>
        <w:t>40.</w:t>
      </w:r>
      <w:r>
        <w:tab/>
        <w:t xml:space="preserve">В апреле 2003 года было внесено предложение о внесении изменений и дополнений в ряд статей закона о планировании с целью подготовки планов участия федеральных государственных органов в разработке стратегий с учетом гендерных факторов.  Кроме того, представленное 18 ноября 2003 года предложение о внесении изменений в закон о планировании и в закон о статистической информации и географии имеет целью </w:t>
      </w:r>
    </w:p>
    <w:p w:rsidR="00000000" w:rsidRDefault="00000000">
      <w:r>
        <w:br w:type="page"/>
        <w:t>разработку демографических стратегий, отражающих гендерную проблематику и в обеспечивающих применение в сфере национального планирования критериев, основанных на принципе гендерного равноправия.</w:t>
      </w:r>
    </w:p>
    <w:p w:rsidR="00000000" w:rsidRDefault="00000000"/>
    <w:p w:rsidR="00000000" w:rsidRDefault="00000000">
      <w:r>
        <w:t>41.</w:t>
      </w:r>
      <w:r>
        <w:tab/>
        <w:t xml:space="preserve">Что касается сферы избирательного права, то были внесены изменения в Федеральный кодекс избирательных институтов и процедур (ФКИИП).  Кроме того, следует отметить, что наличие в 22 из 32 избирательных законов на уровне штатов положений об позитивных мерах свидетельствует о все более широком признании гражданских и политических прав женщин и о прогрессе в деле осуществления мер, направленных на расширение доступа женщин к государственной службе.  </w:t>
      </w:r>
    </w:p>
    <w:p w:rsidR="00000000" w:rsidRDefault="00000000"/>
    <w:p w:rsidR="00000000" w:rsidRDefault="00000000">
      <w:pPr>
        <w:rPr>
          <w:b/>
          <w:bCs/>
        </w:rPr>
      </w:pPr>
      <w:r>
        <w:rPr>
          <w:b/>
          <w:bCs/>
        </w:rPr>
        <w:t>Бюджетные статьи, учитывающие гендерные факторы</w:t>
      </w:r>
    </w:p>
    <w:p w:rsidR="00000000" w:rsidRDefault="00000000">
      <w:pPr>
        <w:rPr>
          <w:b/>
          <w:bCs/>
        </w:rPr>
      </w:pPr>
    </w:p>
    <w:p w:rsidR="00000000" w:rsidRDefault="00000000">
      <w:r>
        <w:t>42.</w:t>
      </w:r>
      <w:r>
        <w:tab/>
        <w:t>В контексте учета гендерных факторов в бюджетных статьях следует особо отметить внесение изменений в статью 43 Правил исполнения расходной части федерального бюджета 2004 года (РЧФБ), в соответствии с которыми сотрудникам соответствующих органов предписывается включать в оценку осуществляемых ими проектов показатели в разбивке по полу и возрастным группам.  Кроме того, эти изменения предусматривают обеспечение равноправного и недискриминационного доступа женщин в целом, а также женщин из числа коренного населения к социальным программам.</w:t>
      </w:r>
    </w:p>
    <w:p w:rsidR="00000000" w:rsidRDefault="00000000"/>
    <w:p w:rsidR="00000000" w:rsidRDefault="00000000">
      <w:r>
        <w:t>43.</w:t>
      </w:r>
      <w:r>
        <w:tab/>
        <w:t>В рамках такой оценки следует указывать объемы ресурсов, перечисляемых бюджетопользователям, и включать в конкретный раздел, посвященный воздействию и результатам осуществляемых программ в интересах благосостояния, равноправия и недискриминации женщин.</w:t>
      </w:r>
    </w:p>
    <w:p w:rsidR="00000000" w:rsidRDefault="00000000"/>
    <w:p w:rsidR="00000000" w:rsidRDefault="00000000">
      <w:r>
        <w:t>44.</w:t>
      </w:r>
      <w:r>
        <w:tab/>
        <w:t xml:space="preserve">Общий пересмотр РЧФБ свидетельствует о том, что структуры и органы федеральной государственной администрации (ФГА) располагают ресурсами, которые они могут направить на осуществление мероприятий в интересах женщин.  Так, по состоянию </w:t>
      </w:r>
      <w:r>
        <w:rPr>
          <w:i/>
          <w:iCs/>
        </w:rPr>
        <w:t>на 2004 год в стране осуществлялось 134 программы или инициативы в интересах женщин на общую сумму 133 901 462 069 песо</w:t>
      </w:r>
      <w:r>
        <w:t>.  Следует отметить, что согласно статье 16 РЧФБ средства, выделенные на осуществление программ в области гендерного равноправия, не подлежат никаким последующим бюджетным корректировкам.</w:t>
      </w:r>
    </w:p>
    <w:p w:rsidR="00000000" w:rsidRDefault="00000000"/>
    <w:p w:rsidR="00000000" w:rsidRDefault="00000000">
      <w:r>
        <w:t>45.</w:t>
      </w:r>
      <w:r>
        <w:tab/>
        <w:t>В целях укрепления структур ФГА в этой области Национальный институт по делам женщин (НИЖ) организовал ряд методологических и просветительских семинаров для сотрудников 36 государственных учреждений.</w:t>
      </w:r>
    </w:p>
    <w:p w:rsidR="00000000" w:rsidRDefault="00000000"/>
    <w:p w:rsidR="00000000" w:rsidRDefault="00000000">
      <w:r>
        <w:t>46.</w:t>
      </w:r>
      <w:r>
        <w:tab/>
        <w:t>Цель этих семинаров заключалась в том, чтобы обеспечить справедливое распределение соответствующими государственными учреждениями расходов с учетом принципа равноправия женщин и мужчин.  Кроме того, следует отметить, что в этой связи были изданы</w:t>
      </w:r>
      <w:r>
        <w:rPr>
          <w:i/>
          <w:iCs/>
        </w:rPr>
        <w:t xml:space="preserve"> Базовое руководство 2004 года по разработке бюджетов административных структур с учетом гендерных факторов </w:t>
      </w:r>
      <w:r>
        <w:t xml:space="preserve">и черновой вариант </w:t>
      </w:r>
      <w:r>
        <w:rPr>
          <w:i/>
          <w:iCs/>
        </w:rPr>
        <w:t>Аналитического руководства по оформлению и применению гендерного подхода при исчислении расходной части федерального бюджета</w:t>
      </w:r>
      <w:r>
        <w:t>.  Осуществление этих стратегий способствовало повышению уровня транспарентности при подготовке бюджетов и увеличению числа соответствующих мероприятий.</w:t>
      </w:r>
    </w:p>
    <w:p w:rsidR="00000000" w:rsidRDefault="00000000"/>
    <w:p w:rsidR="00000000" w:rsidRDefault="00000000">
      <w:r>
        <w:t>47.</w:t>
      </w:r>
      <w:r>
        <w:tab/>
        <w:t>На основе общенационального механизма были проверены 74 норматива осуществления федеральных программ и тщательно проанализированы с упором на гендерные аспекты еще 24 практические нормы, в которых были отражены предложения о показателях по оценке учета гендерной проблематики применительно к 11 подведомственным структурам и учреждениям ФГА.</w:t>
      </w:r>
    </w:p>
    <w:p w:rsidR="00000000" w:rsidRDefault="00000000"/>
    <w:p w:rsidR="00000000" w:rsidRDefault="00000000">
      <w:r>
        <w:t>48.</w:t>
      </w:r>
      <w:r>
        <w:tab/>
        <w:t>Социальная политика Мексики предусматривает осуществление конкретных мероприятий с целью удовлетворения потребностей женщин, живущих в условиях бедности.  Что касается пересмотра административных норм и процедур в целях обеспечения равноправия женщин и их равного доступа к экономическим ресурсам, то министерство социального развития (МСР) приступило к пересмотру нормативов осуществления федеральных программ с целью отражения гендерной проблематики в 16 конкретных программах.</w:t>
      </w:r>
    </w:p>
    <w:p w:rsidR="00000000" w:rsidRDefault="00000000"/>
    <w:p w:rsidR="00000000" w:rsidRDefault="00000000">
      <w:r>
        <w:t>49.</w:t>
      </w:r>
      <w:r>
        <w:tab/>
        <w:t xml:space="preserve">В целях ускорения такого процесса пересмотра при содействии государственных служащих, несущих прямую ответственность за осуществление федеральных программ, было разработано </w:t>
      </w:r>
      <w:r>
        <w:rPr>
          <w:i/>
          <w:iCs/>
        </w:rPr>
        <w:t>руководство по базовым процедурам</w:t>
      </w:r>
      <w:r>
        <w:t xml:space="preserve">.  В соответствии с этим руководством в 94 правилах осуществления федеральных программ содержится положение, предусматривающее отражение в соответствующих программах принципа недискриминации женщин в соответствии со статьей 55 Декрета о расходовании расходной части федерального бюджета на 2004 год.  </w:t>
      </w:r>
    </w:p>
    <w:p w:rsidR="00000000" w:rsidRDefault="00000000"/>
    <w:p w:rsidR="00000000" w:rsidRDefault="00000000">
      <w:r>
        <w:t>50.</w:t>
      </w:r>
      <w:r>
        <w:tab/>
      </w:r>
      <w:r>
        <w:rPr>
          <w:i/>
          <w:iCs/>
        </w:rPr>
        <w:t>Федеральный закон о содействии деятельности организаций гражданского общества</w:t>
      </w:r>
      <w:r>
        <w:t xml:space="preserve"> красноречиво свидетельствует о наличии тесного взаимодействия между правительством и организациями гражданского общества, занимающимися вопросами поощрения гендерного равноправия.</w:t>
      </w:r>
    </w:p>
    <w:p w:rsidR="00000000" w:rsidRDefault="00000000"/>
    <w:p w:rsidR="00000000" w:rsidRDefault="00000000">
      <w:r>
        <w:br w:type="page"/>
        <w:t>51.</w:t>
      </w:r>
      <w:r>
        <w:tab/>
        <w:t xml:space="preserve">Кроме того, следует отметить, что в статье 20 </w:t>
      </w:r>
      <w:r>
        <w:rPr>
          <w:i/>
          <w:iCs/>
        </w:rPr>
        <w:t>закона о защите прав мигрантов и эмигрантов</w:t>
      </w:r>
      <w:r>
        <w:t xml:space="preserve"> содержится положение, предусматривающее обязательное соблюдение международных конвенций и договоров в области гендерного равноправия и других международно-правовых актов, направленных на предупреждение маргинализации по признакам пола, а также осуществление инициатив, направленных на предупреждение злоупотреблений при применении миграционных процедур и любых проявлений бесчеловечного и унижающего достоинство обращения с женщинами-мигрантами независимо от их статуса пребывания в стране.</w:t>
      </w:r>
    </w:p>
    <w:p w:rsidR="00000000" w:rsidRDefault="00000000"/>
    <w:p w:rsidR="00000000" w:rsidRDefault="00000000">
      <w:pPr>
        <w:rPr>
          <w:b/>
          <w:bCs/>
        </w:rPr>
      </w:pPr>
      <w:r>
        <w:t>52.</w:t>
      </w:r>
      <w:r>
        <w:tab/>
        <w:t>В рамках программы "</w:t>
      </w:r>
      <w:r>
        <w:rPr>
          <w:i/>
          <w:iCs/>
        </w:rPr>
        <w:t>Солидарность</w:t>
      </w:r>
      <w:r>
        <w:t>" по линии проекта "Щедрость", которая осуществляется Национальным институтом по делам женщин при финансировании Всемирного банка, организуются учебные семинары для женщин и мужчин из числа руководителей, которые способствуют развитию и улучшению взаимоотношений как в рамках соответствующих организаций, так и на уровне общинных структур.  В ходе семинаров обсуждаются самые различные проблемы, включая, в частности, насилие в семье.</w:t>
      </w:r>
    </w:p>
    <w:p w:rsidR="00000000" w:rsidRDefault="00000000">
      <w:pPr>
        <w:rPr>
          <w:b/>
          <w:bCs/>
        </w:rPr>
      </w:pPr>
    </w:p>
    <w:p w:rsidR="00000000" w:rsidRDefault="00000000">
      <w:pPr>
        <w:jc w:val="center"/>
        <w:rPr>
          <w:b/>
          <w:bCs/>
        </w:rPr>
      </w:pPr>
      <w:r>
        <w:rPr>
          <w:b/>
          <w:bCs/>
          <w:lang w:val="en-US"/>
        </w:rPr>
        <w:t>D</w:t>
      </w:r>
      <w:r>
        <w:rPr>
          <w:b/>
          <w:bCs/>
        </w:rPr>
        <w:t>.</w:t>
      </w:r>
      <w:r>
        <w:rPr>
          <w:b/>
          <w:bCs/>
        </w:rPr>
        <w:tab/>
        <w:t>Статья 4</w:t>
      </w:r>
    </w:p>
    <w:p w:rsidR="00000000" w:rsidRDefault="00000000">
      <w:pPr>
        <w:jc w:val="center"/>
        <w:rPr>
          <w:b/>
          <w:bCs/>
        </w:rPr>
      </w:pPr>
    </w:p>
    <w:p w:rsidR="00000000" w:rsidRDefault="00000000">
      <w:r>
        <w:t>53.</w:t>
      </w:r>
      <w:r>
        <w:tab/>
        <w:t>Государства - участники Пакта признают, что в процессе осуществления гарантированных настоящим Пактом прав соответствующие права могут ограничиваться только на основании закона и лишь таким образом, чтобы это не вступало в противоречие с характером указанных прав и основополагающей целью, призванной способствовать всеобщему благу в условиях демократического общества.</w:t>
      </w:r>
    </w:p>
    <w:p w:rsidR="00000000" w:rsidRDefault="00000000"/>
    <w:p w:rsidR="00000000" w:rsidRDefault="00000000">
      <w:pPr>
        <w:jc w:val="center"/>
        <w:rPr>
          <w:b/>
          <w:bCs/>
        </w:rPr>
      </w:pPr>
      <w:r>
        <w:rPr>
          <w:b/>
          <w:bCs/>
          <w:lang w:val="en-US"/>
        </w:rPr>
        <w:t>E</w:t>
      </w:r>
      <w:r>
        <w:rPr>
          <w:b/>
          <w:bCs/>
        </w:rPr>
        <w:t>.</w:t>
      </w:r>
      <w:r>
        <w:rPr>
          <w:b/>
          <w:bCs/>
        </w:rPr>
        <w:tab/>
        <w:t>Статья 5</w:t>
      </w:r>
    </w:p>
    <w:p w:rsidR="00000000" w:rsidRDefault="00000000">
      <w:pPr>
        <w:jc w:val="center"/>
        <w:rPr>
          <w:b/>
          <w:bCs/>
        </w:rPr>
      </w:pPr>
    </w:p>
    <w:p w:rsidR="00000000" w:rsidRDefault="00000000">
      <w:r>
        <w:t>54.</w:t>
      </w:r>
      <w:r>
        <w:tab/>
        <w:t>Ничто в настоящем Пакте не может толковаться как означающее, что какое-либо государство, какая-либо группа или какое-либо лицо имеет право заниматься какой бы то ни было деятельностью или совершать какие-либо действия, направленные на уничтожение любых прав или свобод, признанных в настоящем Пакте, или на ограничение их в большей мере, чем это в нем предусматривается.</w:t>
      </w:r>
    </w:p>
    <w:p w:rsidR="00000000" w:rsidRDefault="00000000"/>
    <w:p w:rsidR="00000000" w:rsidRDefault="00000000">
      <w:r>
        <w:t>55.</w:t>
      </w:r>
      <w:r>
        <w:tab/>
        <w:t xml:space="preserve">Никакое ограничение или умаление каких бы то ни было основных прав человека, признаваемых или существующих в какой-либо стране в силу закона, конвенций, правил или обычаев, не допускается под тем предлогом, что в настоящем Пакте не признаются такие права или что в нем они признаются в меньшем объеме. </w:t>
      </w:r>
    </w:p>
    <w:p w:rsidR="00000000" w:rsidRDefault="00000000"/>
    <w:p w:rsidR="00000000" w:rsidRDefault="00000000">
      <w:pPr>
        <w:jc w:val="center"/>
      </w:pPr>
      <w:r>
        <w:rPr>
          <w:b/>
          <w:bCs/>
          <w:lang w:val="en-US"/>
        </w:rPr>
        <w:br w:type="page"/>
        <w:t>II</w:t>
      </w:r>
      <w:r>
        <w:rPr>
          <w:b/>
          <w:bCs/>
        </w:rPr>
        <w:t>.</w:t>
      </w:r>
      <w:r>
        <w:rPr>
          <w:b/>
          <w:bCs/>
        </w:rPr>
        <w:tab/>
        <w:t>ПОЛОЖЕНИЯ, КАСАЮЩИЕСЯ КОНКРЕТНЫХ ПРАВ</w:t>
      </w:r>
    </w:p>
    <w:p w:rsidR="00000000" w:rsidRDefault="00000000">
      <w:pPr>
        <w:jc w:val="center"/>
      </w:pPr>
    </w:p>
    <w:p w:rsidR="00000000" w:rsidRDefault="00000000">
      <w:pPr>
        <w:jc w:val="center"/>
        <w:rPr>
          <w:b/>
          <w:bCs/>
        </w:rPr>
      </w:pPr>
      <w:r>
        <w:rPr>
          <w:b/>
          <w:bCs/>
          <w:lang w:val="en-US"/>
        </w:rPr>
        <w:t>A</w:t>
      </w:r>
      <w:r>
        <w:rPr>
          <w:b/>
          <w:bCs/>
        </w:rPr>
        <w:t>.</w:t>
      </w:r>
      <w:r>
        <w:rPr>
          <w:b/>
          <w:bCs/>
        </w:rPr>
        <w:tab/>
        <w:t>Статья 6</w:t>
      </w:r>
    </w:p>
    <w:p w:rsidR="00000000" w:rsidRDefault="00000000">
      <w:pPr>
        <w:jc w:val="center"/>
        <w:rPr>
          <w:b/>
          <w:bCs/>
        </w:rPr>
      </w:pPr>
    </w:p>
    <w:p w:rsidR="00000000" w:rsidRDefault="00000000">
      <w:pPr>
        <w:rPr>
          <w:bCs/>
          <w:sz w:val="28"/>
        </w:rPr>
      </w:pPr>
      <w:r>
        <w:rPr>
          <w:b/>
          <w:bCs/>
        </w:rPr>
        <w:t>Пункт 9 а) руководящих принципов</w:t>
      </w:r>
      <w:r>
        <w:rPr>
          <w:rStyle w:val="FootnoteReference"/>
          <w:b w:val="0"/>
          <w:bCs/>
          <w:sz w:val="28"/>
        </w:rPr>
        <w:footnoteReference w:customMarkFollows="1" w:id="4"/>
        <w:sym w:font="Symbol" w:char="F02A"/>
      </w:r>
    </w:p>
    <w:p w:rsidR="00000000" w:rsidRDefault="00000000">
      <w:pPr>
        <w:rPr>
          <w:bCs/>
          <w:sz w:val="28"/>
        </w:rPr>
      </w:pPr>
    </w:p>
    <w:p w:rsidR="00000000" w:rsidRDefault="00000000">
      <w:pPr>
        <w:rPr>
          <w:bCs/>
        </w:rPr>
      </w:pPr>
      <w:r>
        <w:rPr>
          <w:bCs/>
        </w:rPr>
        <w:t>56.</w:t>
      </w:r>
      <w:r>
        <w:rPr>
          <w:bCs/>
        </w:rPr>
        <w:tab/>
        <w:t>По состоянию на первый квартал 2004 года численность занятого населения составляла 41,6 млн. человек, из которых 27,1 млн. (65,2%) приходится на мужчин и 14,5 млн. (34,8%) - на женщин</w:t>
      </w:r>
      <w:r>
        <w:rPr>
          <w:rStyle w:val="FootnoteReference"/>
          <w:bCs/>
        </w:rPr>
        <w:footnoteReference w:id="5"/>
      </w:r>
      <w:r>
        <w:rPr>
          <w:bCs/>
        </w:rPr>
        <w:t>.  Хотя доля женщин на рынке труда в целом остается низкой, женщины по сравнению с мужчинами быстрее включаются в трудовую деятельность, о чем свидетельствует тот факт, что за последние пять лет средний показатель ежегодного прироста числа работающих женщин составлял 2,1%, а за последние девять лет (базовым годом является 1995 год, поскольку в 1994 проводилось Национальное обследование занятости - НОЗ) - 3,3%, в то время как для мужчин этот показатель составлял за аналогичный период соответственно 0,9% и 1,6%.</w:t>
      </w:r>
    </w:p>
    <w:p w:rsidR="00000000" w:rsidRDefault="00000000">
      <w:pPr>
        <w:rPr>
          <w:bCs/>
        </w:rPr>
      </w:pPr>
    </w:p>
    <w:p w:rsidR="00000000" w:rsidRDefault="00000000">
      <w:pPr>
        <w:rPr>
          <w:bCs/>
        </w:rPr>
      </w:pPr>
      <w:r>
        <w:rPr>
          <w:bCs/>
        </w:rPr>
        <w:t>57.</w:t>
      </w:r>
      <w:r>
        <w:rPr>
          <w:bCs/>
        </w:rPr>
        <w:tab/>
        <w:t>Значительная часть занятых женщин работает неполный рабочий день.  Вместе с тем количество женщин, работающих неполный рабочий день, постепенно сокращается:  если в 1995 году доля женщин, работающих неполный рабочий день (менее 35 часов в неделю) составляла 40%, то в настоящее время этот показатель составляет 34,4%.  За последние десять лет средний показатель безработицы среди женщин составил 2,9%, а среди мужчин</w:t>
      </w:r>
      <w:r>
        <w:rPr>
          <w:bCs/>
          <w:lang w:val="en-US"/>
        </w:rPr>
        <w:t> </w:t>
      </w:r>
      <w:r>
        <w:rPr>
          <w:bCs/>
        </w:rPr>
        <w:noBreakHyphen/>
        <w:t xml:space="preserve"> 2,4%.</w:t>
      </w:r>
    </w:p>
    <w:p w:rsidR="00000000" w:rsidRDefault="00000000">
      <w:pPr>
        <w:rPr>
          <w:bCs/>
        </w:rPr>
      </w:pPr>
    </w:p>
    <w:p w:rsidR="00000000" w:rsidRDefault="00000000">
      <w:r>
        <w:rPr>
          <w:bCs/>
        </w:rPr>
        <w:t>58.</w:t>
      </w:r>
      <w:r>
        <w:rPr>
          <w:bCs/>
        </w:rPr>
        <w:tab/>
        <w:t>В последние десять лет наблюдалось сокращение доли занятости среди молодежи (возрастная группа от 12 до 24 лет).  Отчасти это объясняется повышением планки обязательного образования вплоть до уровня средней школы.  Вместе с тем среди молодежи наблюдается самый высокий показатель безработицы (за последние десять лет безработица среди молодежи составила в среднем 4,5%), который более чем в два раза превышает уровень безработицы среди трудящихся более старших возрастных групп (1,9%).</w:t>
      </w:r>
    </w:p>
    <w:p w:rsidR="00000000" w:rsidRDefault="00000000"/>
    <w:p w:rsidR="00000000" w:rsidRDefault="00000000">
      <w:r>
        <w:br w:type="page"/>
        <w:t>59.</w:t>
      </w:r>
      <w:r>
        <w:tab/>
        <w:t>Кроме того, постепенно увеличивается доля занятого населения в старшей возрастной группе (60 лет и более).  Так, за последнее десятилетие усредненный ежегодный показатель роста занятости среди этой категории населения составил 3,3%, лишь немного отстав от соответствующего общего показателя для взрослого населения (3,5%).  Чуть менее трети занятых пожилых лиц работают неполный рабочий день.</w:t>
      </w:r>
    </w:p>
    <w:p w:rsidR="00000000" w:rsidRDefault="00000000"/>
    <w:p w:rsidR="00000000" w:rsidRDefault="00000000">
      <w:r>
        <w:t>60.</w:t>
      </w:r>
      <w:r>
        <w:tab/>
        <w:t xml:space="preserve">К настоящему документу прилагаются дополнительные статистические данные по результатам Национального обследования занятости (НОЗ) в разбивке по полу и группам населения, а также данные о динамике численности занятого населения в разбивке по субъектам федерации (за каждые три месяца) и сводная таблица о динамике занятости (приложение </w:t>
      </w:r>
      <w:r>
        <w:rPr>
          <w:lang w:val="en-US"/>
        </w:rPr>
        <w:t>II</w:t>
      </w:r>
      <w:r>
        <w:t>).</w:t>
      </w:r>
    </w:p>
    <w:p w:rsidR="00000000" w:rsidRDefault="00000000"/>
    <w:p w:rsidR="00000000" w:rsidRDefault="00000000"/>
    <w:p w:rsidR="00000000" w:rsidRDefault="00000000">
      <w:pPr>
        <w:pBdr>
          <w:top w:val="single" w:sz="8" w:space="1" w:color="auto"/>
          <w:left w:val="single" w:sz="8" w:space="4" w:color="auto"/>
          <w:bottom w:val="single" w:sz="8" w:space="1" w:color="auto"/>
          <w:right w:val="single" w:sz="8" w:space="4" w:color="auto"/>
        </w:pBdr>
        <w:ind w:left="434" w:right="620"/>
        <w:jc w:val="center"/>
        <w:rPr>
          <w:rFonts w:ascii="Arial" w:hAnsi="Arial"/>
          <w:sz w:val="22"/>
          <w:szCs w:val="22"/>
          <w:lang w:val="en-US"/>
        </w:rPr>
      </w:pPr>
      <w:r>
        <w:rPr>
          <w:rFonts w:ascii="Arial" w:hAnsi="Arial"/>
          <w:noProof/>
          <w:sz w:val="20"/>
          <w:szCs w:val="22"/>
          <w:lang w:eastAsia="ru-RU"/>
        </w:rPr>
        <w:pict>
          <v:shape id="_x0000_s1034" type="#_x0000_t202" style="position:absolute;left:0;text-align:left;margin-left:132pt;margin-top:177.1pt;width:161.5pt;height:14.1pt;z-index:5" stroked="f">
            <v:textbox inset=".5mm,.5mm,.5mm,.5mm">
              <w:txbxContent>
                <w:p w:rsidR="00000000" w:rsidRDefault="00000000">
                  <w:pPr>
                    <w:spacing w:line="168" w:lineRule="auto"/>
                  </w:pPr>
                  <w:r>
                    <w:rPr>
                      <w:b/>
                      <w:bCs/>
                      <w:color w:val="000000"/>
                      <w:sz w:val="16"/>
                      <w:szCs w:val="16"/>
                    </w:rPr>
                    <w:t>Обрабатывающая промышленность</w:t>
                  </w:r>
                </w:p>
              </w:txbxContent>
            </v:textbox>
          </v:shape>
        </w:pict>
      </w:r>
      <w:r>
        <w:rPr>
          <w:rFonts w:ascii="Arial" w:hAnsi="Arial"/>
          <w:noProof/>
          <w:sz w:val="20"/>
          <w:szCs w:val="22"/>
          <w:lang w:eastAsia="ru-RU"/>
        </w:rPr>
        <w:pict>
          <v:shape id="_x0000_s1031" type="#_x0000_t202" style="position:absolute;left:0;text-align:left;margin-left:74.8pt;margin-top:3.05pt;width:327.25pt;height:44.15pt;z-index:2" stroked="f">
            <v:textbox>
              <w:txbxContent>
                <w:p w:rsidR="00000000" w:rsidRDefault="00000000">
                  <w:pPr>
                    <w:jc w:val="center"/>
                    <w:rPr>
                      <w:sz w:val="18"/>
                    </w:rPr>
                  </w:pPr>
                  <w:r>
                    <w:rPr>
                      <w:b/>
                      <w:bCs/>
                      <w:sz w:val="18"/>
                    </w:rPr>
                    <w:t>На конец 2003 года отмечалось незначительное увеличение числа занятых в обрабатывающей промышленности и в сфере сборочно-экспортного производства</w:t>
                  </w:r>
                </w:p>
              </w:txbxContent>
            </v:textbox>
          </v:shape>
        </w:pict>
      </w:r>
      <w:r>
        <w:rPr>
          <w:rFonts w:ascii="Arial" w:hAnsi="Arial"/>
          <w:noProof/>
          <w:sz w:val="20"/>
          <w:szCs w:val="22"/>
          <w:lang w:eastAsia="ru-RU"/>
        </w:rPr>
        <w:pict>
          <v:shape id="_x0000_s1033" type="#_x0000_t202" style="position:absolute;left:0;text-align:left;margin-left:202.2pt;margin-top:112.3pt;width:135pt;height:13.2pt;z-index:4" stroked="f">
            <v:textbox inset=".5mm,.5mm,.5mm,.5mm">
              <w:txbxContent>
                <w:p w:rsidR="00000000" w:rsidRDefault="00000000">
                  <w:pPr>
                    <w:spacing w:line="168" w:lineRule="auto"/>
                    <w:rPr>
                      <w:lang w:val="en-US"/>
                    </w:rPr>
                  </w:pPr>
                  <w:r>
                    <w:rPr>
                      <w:b/>
                      <w:bCs/>
                      <w:color w:val="000000"/>
                      <w:sz w:val="16"/>
                      <w:szCs w:val="16"/>
                    </w:rPr>
                    <w:t>Сборочно-экспортное производство</w:t>
                  </w:r>
                </w:p>
              </w:txbxContent>
            </v:textbox>
          </v:shape>
        </w:pict>
      </w:r>
      <w:r>
        <w:rPr>
          <w:rFonts w:ascii="Arial" w:hAnsi="Arial"/>
          <w:noProof/>
          <w:sz w:val="20"/>
          <w:szCs w:val="22"/>
          <w:lang w:eastAsia="ru-RU"/>
        </w:rPr>
        <w:pict>
          <v:shape id="_x0000_s1032" type="#_x0000_t202" style="position:absolute;left:0;text-align:left;margin-left:140.25pt;margin-top:58.35pt;width:168.3pt;height:39.95pt;z-index:3" stroked="f">
            <v:textbox>
              <w:txbxContent>
                <w:p w:rsidR="00000000" w:rsidRDefault="00000000">
                  <w:pPr>
                    <w:spacing w:line="216" w:lineRule="auto"/>
                    <w:jc w:val="center"/>
                    <w:rPr>
                      <w:b/>
                      <w:bCs/>
                      <w:color w:val="000000"/>
                      <w:sz w:val="18"/>
                      <w:szCs w:val="18"/>
                    </w:rPr>
                  </w:pPr>
                  <w:r>
                    <w:rPr>
                      <w:b/>
                      <w:bCs/>
                      <w:color w:val="000000"/>
                      <w:sz w:val="18"/>
                      <w:szCs w:val="18"/>
                    </w:rPr>
                    <w:t>Число занятых</w:t>
                  </w:r>
                </w:p>
                <w:p w:rsidR="00000000" w:rsidRDefault="00000000">
                  <w:pPr>
                    <w:spacing w:line="216" w:lineRule="auto"/>
                    <w:jc w:val="center"/>
                    <w:rPr>
                      <w:b/>
                      <w:bCs/>
                    </w:rPr>
                  </w:pPr>
                  <w:r>
                    <w:rPr>
                      <w:b/>
                      <w:bCs/>
                      <w:sz w:val="18"/>
                    </w:rPr>
                    <w:t>Изменение в % к предыдущему году</w:t>
                  </w:r>
                </w:p>
              </w:txbxContent>
            </v:textbox>
          </v:shape>
        </w:pict>
      </w:r>
      <w:bookmarkStart w:id="5" w:name="_MON_1204356873"/>
      <w:bookmarkStart w:id="6" w:name="_MON_1204700027"/>
      <w:bookmarkEnd w:id="5"/>
      <w:bookmarkEnd w:id="6"/>
      <w:r>
        <w:rPr>
          <w:rFonts w:ascii="Arial" w:hAnsi="Arial"/>
          <w:sz w:val="22"/>
          <w:szCs w:val="22"/>
        </w:rPr>
        <w:object w:dxaOrig="7171" w:dyaOrig="5386">
          <v:shape id="_x0000_i1026" type="#_x0000_t75" style="width:358.5pt;height:269.25pt" o:ole="" fillcolor="window">
            <v:imagedata r:id="rId9" o:title=""/>
          </v:shape>
          <o:OLEObject Type="Embed" ProgID="Word.Picture.8" ShapeID="_x0000_i1026" DrawAspect="Content" ObjectID="_1394895081" r:id="rId10"/>
        </w:object>
      </w:r>
    </w:p>
    <w:p w:rsidR="00000000" w:rsidRDefault="00000000">
      <w:pPr>
        <w:rPr>
          <w:i/>
          <w:iCs/>
        </w:rPr>
      </w:pPr>
    </w:p>
    <w:p w:rsidR="00000000" w:rsidRDefault="00000000">
      <w:pPr>
        <w:spacing w:line="240" w:lineRule="auto"/>
        <w:rPr>
          <w:sz w:val="18"/>
        </w:rPr>
      </w:pPr>
      <w:r>
        <w:rPr>
          <w:i/>
          <w:iCs/>
          <w:sz w:val="18"/>
        </w:rPr>
        <w:t>Источник</w:t>
      </w:r>
      <w:r>
        <w:rPr>
          <w:sz w:val="18"/>
        </w:rPr>
        <w:t>:  министерство труда и социального обеспечения.</w:t>
      </w:r>
    </w:p>
    <w:p w:rsidR="00000000" w:rsidRDefault="00000000">
      <w:pPr>
        <w:jc w:val="center"/>
      </w:pPr>
    </w:p>
    <w:p w:rsidR="00000000" w:rsidRDefault="00000000">
      <w:pPr>
        <w:jc w:val="center"/>
        <w:rPr>
          <w:lang w:val="en-US"/>
        </w:rPr>
      </w:pPr>
      <w:r>
        <w:br w:type="page"/>
      </w:r>
      <w:bookmarkStart w:id="7" w:name="_MON_1190806691"/>
      <w:bookmarkStart w:id="8" w:name="_MON_1204701383"/>
      <w:bookmarkStart w:id="9" w:name="_MON_1204701733"/>
      <w:bookmarkStart w:id="10" w:name="_MON_1204701839"/>
      <w:bookmarkStart w:id="11" w:name="_MON_1204703330"/>
      <w:bookmarkStart w:id="12" w:name="_MON_1204712271"/>
      <w:bookmarkStart w:id="13" w:name="_MON_1204712278"/>
      <w:bookmarkEnd w:id="7"/>
      <w:bookmarkEnd w:id="8"/>
      <w:bookmarkEnd w:id="9"/>
      <w:bookmarkEnd w:id="10"/>
      <w:bookmarkEnd w:id="11"/>
      <w:bookmarkEnd w:id="12"/>
      <w:bookmarkEnd w:id="13"/>
      <w:r>
        <w:rPr>
          <w:lang w:val="en-US"/>
        </w:rPr>
        <w:object w:dxaOrig="7167" w:dyaOrig="5376">
          <v:shape id="_x0000_i1027" type="#_x0000_t75" style="width:411pt;height:279pt" o:ole="" o:bordertopcolor="this" o:borderleftcolor="this" o:borderbottomcolor="this" o:borderrightcolor="this" fillcolor="window">
            <v:imagedata r:id="rId11" o:title="" grayscale="t"/>
            <w10:bordertop type="single" width="8"/>
            <w10:borderleft type="single" width="8"/>
            <w10:borderbottom type="single" width="8"/>
            <w10:borderright type="single" width="8"/>
          </v:shape>
          <o:OLEObject Type="Embed" ProgID="Word.Picture.8" ShapeID="_x0000_i1027" DrawAspect="Content" ObjectID="_1394895082" r:id="rId12"/>
        </w:object>
      </w:r>
    </w:p>
    <w:p w:rsidR="00000000" w:rsidRDefault="00000000">
      <w:pPr>
        <w:spacing w:line="240" w:lineRule="auto"/>
        <w:rPr>
          <w:lang w:val="en-US"/>
        </w:rPr>
      </w:pPr>
    </w:p>
    <w:p w:rsidR="00000000" w:rsidRDefault="00000000">
      <w:pPr>
        <w:spacing w:line="240" w:lineRule="auto"/>
        <w:rPr>
          <w:sz w:val="20"/>
        </w:rPr>
      </w:pPr>
      <w:r>
        <w:rPr>
          <w:i/>
          <w:iCs/>
          <w:sz w:val="20"/>
        </w:rPr>
        <w:t xml:space="preserve">Источник:  </w:t>
      </w:r>
      <w:r>
        <w:rPr>
          <w:sz w:val="20"/>
        </w:rPr>
        <w:t>министерство труда и социального обеспечения.</w:t>
      </w:r>
    </w:p>
    <w:p w:rsidR="00000000" w:rsidRDefault="00000000">
      <w:pPr>
        <w:spacing w:line="240" w:lineRule="auto"/>
      </w:pPr>
    </w:p>
    <w:bookmarkStart w:id="14" w:name="_MON_1204702388"/>
    <w:bookmarkStart w:id="15" w:name="_MON_1204702790"/>
    <w:bookmarkStart w:id="16" w:name="_MON_1204702899"/>
    <w:bookmarkStart w:id="17" w:name="_MON_1204702936"/>
    <w:bookmarkStart w:id="18" w:name="_MON_1204702953"/>
    <w:bookmarkStart w:id="19" w:name="_MON_1204703074"/>
    <w:bookmarkStart w:id="20" w:name="_MON_1204703139"/>
    <w:bookmarkStart w:id="21" w:name="_MON_1204703277"/>
    <w:bookmarkStart w:id="22" w:name="_MON_1204703316"/>
    <w:bookmarkStart w:id="23" w:name="_MON_1204703369"/>
    <w:bookmarkStart w:id="24" w:name="_MON_1204703710"/>
    <w:bookmarkStart w:id="25" w:name="_MON_1204705197"/>
    <w:bookmarkStart w:id="26" w:name="_MON_1204705272"/>
    <w:bookmarkEnd w:id="14"/>
    <w:bookmarkEnd w:id="15"/>
    <w:bookmarkEnd w:id="16"/>
    <w:bookmarkEnd w:id="17"/>
    <w:bookmarkEnd w:id="18"/>
    <w:bookmarkEnd w:id="19"/>
    <w:bookmarkEnd w:id="20"/>
    <w:bookmarkEnd w:id="21"/>
    <w:bookmarkEnd w:id="22"/>
    <w:bookmarkEnd w:id="23"/>
    <w:bookmarkEnd w:id="24"/>
    <w:bookmarkEnd w:id="25"/>
    <w:bookmarkEnd w:id="26"/>
    <w:p w:rsidR="00000000" w:rsidRDefault="00000000">
      <w:pPr>
        <w:jc w:val="center"/>
        <w:rPr>
          <w:lang w:val="en-US"/>
        </w:rPr>
      </w:pPr>
      <w:r>
        <w:rPr>
          <w:lang w:val="en-US"/>
        </w:rPr>
        <w:object w:dxaOrig="7181" w:dyaOrig="5381">
          <v:shape id="_x0000_i1028" type="#_x0000_t75" style="width:417pt;height:297pt" o:ole="">
            <v:imagedata r:id="rId13" o:title=""/>
          </v:shape>
          <o:OLEObject Type="Embed" ProgID="Word.Picture.8" ShapeID="_x0000_i1028" DrawAspect="Content" ObjectID="_1394895083" r:id="rId14"/>
        </w:object>
      </w:r>
    </w:p>
    <w:p w:rsidR="00000000" w:rsidRDefault="00000000"/>
    <w:p w:rsidR="00000000" w:rsidRDefault="00000000">
      <w:pPr>
        <w:spacing w:line="240" w:lineRule="auto"/>
      </w:pPr>
      <w:r>
        <w:rPr>
          <w:i/>
          <w:iCs/>
          <w:sz w:val="20"/>
        </w:rPr>
        <w:t xml:space="preserve">Источник:  </w:t>
      </w:r>
      <w:r>
        <w:rPr>
          <w:sz w:val="20"/>
        </w:rPr>
        <w:t>министерство труда и социального обеспечения.</w:t>
      </w:r>
    </w:p>
    <w:p w:rsidR="00000000" w:rsidRDefault="00000000">
      <w:r>
        <w:br w:type="page"/>
      </w:r>
    </w:p>
    <w:bookmarkStart w:id="27" w:name="_MON_1190806840"/>
    <w:bookmarkStart w:id="28" w:name="_MON_1204705680"/>
    <w:bookmarkStart w:id="29" w:name="_MON_1204705762"/>
    <w:bookmarkStart w:id="30" w:name="_MON_1204705800"/>
    <w:bookmarkStart w:id="31" w:name="_MON_1204706043"/>
    <w:bookmarkStart w:id="32" w:name="_MON_1204711382"/>
    <w:bookmarkStart w:id="33" w:name="_MON_1204711440"/>
    <w:bookmarkStart w:id="34" w:name="_MON_1204711494"/>
    <w:bookmarkStart w:id="35" w:name="_MON_1204711514"/>
    <w:bookmarkEnd w:id="27"/>
    <w:bookmarkEnd w:id="28"/>
    <w:bookmarkEnd w:id="29"/>
    <w:bookmarkEnd w:id="30"/>
    <w:bookmarkEnd w:id="31"/>
    <w:bookmarkEnd w:id="32"/>
    <w:bookmarkEnd w:id="33"/>
    <w:bookmarkEnd w:id="34"/>
    <w:bookmarkEnd w:id="35"/>
    <w:p w:rsidR="00000000" w:rsidRDefault="00000000">
      <w:pPr>
        <w:jc w:val="center"/>
        <w:rPr>
          <w:lang w:val="en-US"/>
        </w:rPr>
      </w:pPr>
      <w:r>
        <w:rPr>
          <w:lang w:val="en-US"/>
        </w:rPr>
        <w:object w:dxaOrig="8701" w:dyaOrig="6481">
          <v:shape id="_x0000_i1029" type="#_x0000_t75" style="width:435pt;height:267pt" o:ole="">
            <v:imagedata r:id="rId15" o:title=""/>
            <w10:bordertop type="single" width="4"/>
            <w10:borderleft type="single" width="4"/>
            <w10:borderbottom type="single" width="4"/>
            <w10:borderright type="single" width="4"/>
          </v:shape>
          <o:OLEObject Type="Embed" ProgID="Word.Picture.8" ShapeID="_x0000_i1029" DrawAspect="Content" ObjectID="_1394895084" r:id="rId16"/>
        </w:object>
      </w:r>
    </w:p>
    <w:p w:rsidR="00000000" w:rsidRDefault="00000000">
      <w:pPr>
        <w:jc w:val="center"/>
      </w:pPr>
    </w:p>
    <w:p w:rsidR="00000000" w:rsidRDefault="00000000">
      <w:pPr>
        <w:spacing w:line="240" w:lineRule="auto"/>
        <w:rPr>
          <w:sz w:val="18"/>
        </w:rPr>
      </w:pPr>
      <w:r>
        <w:rPr>
          <w:i/>
          <w:iCs/>
          <w:sz w:val="18"/>
        </w:rPr>
        <w:t xml:space="preserve">Источник:  </w:t>
      </w:r>
      <w:r>
        <w:rPr>
          <w:sz w:val="18"/>
        </w:rPr>
        <w:t>министерство труда и социального обеспечения.</w:t>
      </w:r>
    </w:p>
    <w:p w:rsidR="00000000" w:rsidRDefault="00000000">
      <w:pPr>
        <w:spacing w:line="240" w:lineRule="auto"/>
        <w:rPr>
          <w:sz w:val="18"/>
        </w:rPr>
      </w:pPr>
    </w:p>
    <w:p w:rsidR="00000000" w:rsidRDefault="00000000">
      <w:pPr>
        <w:spacing w:line="240" w:lineRule="auto"/>
        <w:rPr>
          <w:sz w:val="18"/>
        </w:rPr>
      </w:pPr>
    </w:p>
    <w:bookmarkStart w:id="36" w:name="_MON_1190725077"/>
    <w:bookmarkStart w:id="37" w:name="_MON_1204711572"/>
    <w:bookmarkStart w:id="38" w:name="_MON_1204711610"/>
    <w:bookmarkStart w:id="39" w:name="_MON_1204711664"/>
    <w:bookmarkStart w:id="40" w:name="_MON_1204711678"/>
    <w:bookmarkStart w:id="41" w:name="_MON_1204711724"/>
    <w:bookmarkStart w:id="42" w:name="_MON_1204712343"/>
    <w:bookmarkStart w:id="43" w:name="_MON_1204712409"/>
    <w:bookmarkStart w:id="44" w:name="_MON_1204712541"/>
    <w:bookmarkStart w:id="45" w:name="_MON_1204712599"/>
    <w:bookmarkStart w:id="46" w:name="_MON_1204712630"/>
    <w:bookmarkStart w:id="47" w:name="_MON_1204712647"/>
    <w:bookmarkStart w:id="48" w:name="_MON_1204712664"/>
    <w:bookmarkEnd w:id="36"/>
    <w:bookmarkEnd w:id="37"/>
    <w:bookmarkEnd w:id="38"/>
    <w:bookmarkEnd w:id="39"/>
    <w:bookmarkEnd w:id="40"/>
    <w:bookmarkEnd w:id="41"/>
    <w:bookmarkEnd w:id="42"/>
    <w:bookmarkEnd w:id="43"/>
    <w:bookmarkEnd w:id="44"/>
    <w:bookmarkEnd w:id="45"/>
    <w:bookmarkEnd w:id="46"/>
    <w:bookmarkEnd w:id="47"/>
    <w:bookmarkEnd w:id="48"/>
    <w:p w:rsidR="00000000" w:rsidRDefault="00000000">
      <w:pPr>
        <w:jc w:val="center"/>
      </w:pPr>
      <w:r>
        <w:rPr>
          <w:lang w:val="en-US"/>
        </w:rPr>
        <w:object w:dxaOrig="7167" w:dyaOrig="5376">
          <v:shape id="_x0000_i1030" type="#_x0000_t75" style="width:435.75pt;height:289.5pt" o:ole="" fillcolor="window">
            <v:imagedata r:id="rId17" o:title="" grayscale="t"/>
            <w10:bordertop type="single" width="4"/>
            <w10:borderleft type="single" width="4"/>
            <w10:borderbottom type="single" width="4"/>
            <w10:borderright type="single" width="4"/>
          </v:shape>
          <o:OLEObject Type="Embed" ProgID="Word.Picture.8" ShapeID="_x0000_i1030" DrawAspect="Content" ObjectID="_1394895085" r:id="rId18"/>
        </w:object>
      </w:r>
    </w:p>
    <w:p w:rsidR="00000000" w:rsidRDefault="00000000"/>
    <w:p w:rsidR="00000000" w:rsidRDefault="00000000">
      <w:pPr>
        <w:spacing w:line="240" w:lineRule="auto"/>
      </w:pPr>
      <w:r>
        <w:rPr>
          <w:i/>
          <w:iCs/>
          <w:sz w:val="20"/>
        </w:rPr>
        <w:t xml:space="preserve">Источник:  </w:t>
      </w:r>
      <w:r>
        <w:rPr>
          <w:sz w:val="20"/>
        </w:rPr>
        <w:t>министерство труда и социального обеспечения.</w:t>
      </w:r>
    </w:p>
    <w:p w:rsidR="00000000" w:rsidRDefault="00000000">
      <w:pPr>
        <w:rPr>
          <w:b/>
          <w:bCs/>
        </w:rPr>
      </w:pPr>
      <w:r>
        <w:rPr>
          <w:b/>
          <w:bCs/>
        </w:rPr>
        <w:br w:type="page"/>
        <w:t xml:space="preserve">Пункт 9 b) </w:t>
      </w:r>
    </w:p>
    <w:p w:rsidR="00000000" w:rsidRDefault="00000000">
      <w:pPr>
        <w:rPr>
          <w:b/>
          <w:bCs/>
        </w:rPr>
      </w:pPr>
    </w:p>
    <w:p w:rsidR="00000000" w:rsidRDefault="00000000">
      <w:r>
        <w:t>61.</w:t>
      </w:r>
      <w:r>
        <w:tab/>
        <w:t xml:space="preserve">Государственная политика в трудовой области ведется по следующим пяти направлениям:  </w:t>
      </w:r>
    </w:p>
    <w:p w:rsidR="00000000" w:rsidRDefault="00000000"/>
    <w:p w:rsidR="00000000" w:rsidRDefault="00000000">
      <w:pPr>
        <w:ind w:left="1134" w:hanging="1134"/>
      </w:pPr>
      <w:r>
        <w:tab/>
        <w:t>1)</w:t>
      </w:r>
      <w:r>
        <w:tab/>
        <w:t>подключение к процессу преобразований в трудовой сфере всех профсоюзов, всех организаций предпринимателей и всех заинтересованных лиц;</w:t>
      </w:r>
    </w:p>
    <w:p w:rsidR="00000000" w:rsidRDefault="00000000">
      <w:pPr>
        <w:ind w:left="1134" w:hanging="1134"/>
      </w:pPr>
    </w:p>
    <w:p w:rsidR="00000000" w:rsidRDefault="00000000">
      <w:pPr>
        <w:ind w:left="1134" w:hanging="1134"/>
      </w:pPr>
      <w:r>
        <w:tab/>
        <w:t>2)</w:t>
      </w:r>
      <w:r>
        <w:tab/>
        <w:t>постепенное осуществление преобразований;</w:t>
      </w:r>
    </w:p>
    <w:p w:rsidR="00000000" w:rsidRDefault="00000000">
      <w:pPr>
        <w:ind w:left="1134" w:hanging="1134"/>
      </w:pPr>
    </w:p>
    <w:p w:rsidR="00000000" w:rsidRDefault="00000000">
      <w:pPr>
        <w:ind w:left="1134" w:hanging="1134"/>
      </w:pPr>
      <w:r>
        <w:tab/>
        <w:t>3)</w:t>
      </w:r>
      <w:r>
        <w:tab/>
        <w:t>налаживание диалога в качестве средства достижения прогресса и взаимопонимания;</w:t>
      </w:r>
    </w:p>
    <w:p w:rsidR="00000000" w:rsidRDefault="00000000">
      <w:pPr>
        <w:ind w:left="1134" w:hanging="1134"/>
      </w:pPr>
    </w:p>
    <w:p w:rsidR="00000000" w:rsidRDefault="00000000">
      <w:pPr>
        <w:ind w:left="1134" w:hanging="1134"/>
      </w:pPr>
      <w:r>
        <w:tab/>
        <w:t>4)</w:t>
      </w:r>
      <w:r>
        <w:tab/>
        <w:t>обеспечение законности в целях создания стабильных юридических условий для деятельности инвесторов и трудящихся;  а также</w:t>
      </w:r>
    </w:p>
    <w:p w:rsidR="00000000" w:rsidRDefault="00000000">
      <w:pPr>
        <w:ind w:left="1134" w:hanging="1134"/>
      </w:pPr>
    </w:p>
    <w:p w:rsidR="00000000" w:rsidRDefault="00000000">
      <w:pPr>
        <w:ind w:left="1134" w:hanging="1134"/>
      </w:pPr>
      <w:r>
        <w:tab/>
        <w:t>5)</w:t>
      </w:r>
      <w:r>
        <w:tab/>
        <w:t>предотвращение трудовых конфликтов в интересах поощрения инвестиций и развития.</w:t>
      </w:r>
    </w:p>
    <w:p w:rsidR="00000000" w:rsidRDefault="00000000">
      <w:pPr>
        <w:ind w:left="1134" w:hanging="1134"/>
      </w:pPr>
    </w:p>
    <w:p w:rsidR="00000000" w:rsidRDefault="00000000">
      <w:r>
        <w:t>62.</w:t>
      </w:r>
      <w:r>
        <w:tab/>
        <w:t>Такая политики призвана упрочить новую культуру трудовых отношений между действующими лицами процесса перемен </w:t>
      </w:r>
      <w:r>
        <w:noBreakHyphen/>
        <w:t xml:space="preserve"> между трудящимися и работодателями, что позволяет создать благоприятные условия с точки зрения занятости, профессионально-технической подготовки, производительности труда, конкурентоспособности и уровня жизни трудящихся.</w:t>
      </w:r>
    </w:p>
    <w:p w:rsidR="00000000" w:rsidRDefault="00000000"/>
    <w:p w:rsidR="00000000" w:rsidRDefault="00000000">
      <w:r>
        <w:t>63.</w:t>
      </w:r>
      <w:r>
        <w:tab/>
        <w:t xml:space="preserve">МТСО, действуя через Национальную службу занятости, профессиональной подготовки и повышения квалификации (НСЗ), применяет разнообразные механизмы в области информирования, трудовых отношений, профессионально-технической подготовки и целевой поддержки программ по созданию рабочих мест или организаций производственной деятельности в интересах различных слоев населения, включая, в частности, женщин, молодежь, уязвимые группы, общины коренного населения, обеспечивая эффективное осуществление принципов всеобщего равенства.  </w:t>
      </w:r>
    </w:p>
    <w:p w:rsidR="00000000" w:rsidRDefault="00000000"/>
    <w:p w:rsidR="00000000" w:rsidRDefault="00000000">
      <w:r>
        <w:t>64.</w:t>
      </w:r>
      <w:r>
        <w:tab/>
        <w:t>НСЗ осуществляет свою деятельность в координации с органами власти штатов и Федерального округа и задействует службы занятости на уровне штатов (СЗШ) для целей проведения активной политики по оказанию всему населению страны различных услуг и поддержке на рынке труда в рамках Программы содействия занятости (ПСЗ).  Цель ПСЗ заключается в создании новых рабочих мест для незанятого и неполностью занятого населения, предоставлении консультативных услуг по вопросам трудоустройства, оказании практической помощи и предоставлении информации и, в некоторых случаях, обеспечении профессионально-технической подготовки и оказании материальной помощи.</w:t>
      </w:r>
    </w:p>
    <w:p w:rsidR="00000000" w:rsidRDefault="00000000"/>
    <w:p w:rsidR="00000000" w:rsidRDefault="00000000">
      <w:r>
        <w:t>65.</w:t>
      </w:r>
      <w:r>
        <w:tab/>
        <w:t>В процессе планирования и осуществления соответствующих мероприятий СНЕ опираются на функционирующие на уровне штатов комитеты по профессионально-технической подготовке и занятости (СЕСЕ), которые выполняют роль консультативных органов.</w:t>
      </w:r>
    </w:p>
    <w:p w:rsidR="00000000" w:rsidRDefault="00000000"/>
    <w:p w:rsidR="00000000" w:rsidRDefault="00000000">
      <w:r>
        <w:t>66.</w:t>
      </w:r>
      <w:r>
        <w:tab/>
        <w:t xml:space="preserve">Деятельность СЕСЕ способствует повышению качества и объема помощи, которую ПСЗ оказывает предпринимателям и трудящимся.  Кроме того, СЕСЕ снабжают подпрограммы СНЕ обновленной справочной и аналитической информацией о рынке труда по каждому району.  Сотрудничество общеобразовательных и профессионально-технических учреждений с СЕСЕ позволяет им получать информацию о профессиях, пользующихся спросом на рынке труда, и соответственно корректировать свои учебные программы в области профессиональной подготовки, что в свою очередь способствует увеличению доли лиц, получающих работу по окончании соответствующих учебных заведений.  </w:t>
      </w:r>
    </w:p>
    <w:p w:rsidR="00000000" w:rsidRDefault="00000000"/>
    <w:p w:rsidR="00000000" w:rsidRDefault="00000000">
      <w:r>
        <w:t>67.</w:t>
      </w:r>
      <w:r>
        <w:tab/>
        <w:t>Кроме того, это позволяет сокращать время и расходы, связанные с трудоустройством ищущих работу лиц на предприятиях в рамках схем, обеспечивающих эффективную взаимосвязь между работодателями и ищущими работу лицами с применением электронных технических средств, позволяющих распространять необходимую информацию и осуществлять координационную деятельность в удобной и доступной для пользователя форме.  Все это позволяет расширить возможности в плане поиска лицами работы, соответствующей их потребностям.  Кроме того, такая схема способствует повышению уровня транспарентности рынка труда и охвату всех лиц, которые стремятся найти работу.</w:t>
      </w:r>
    </w:p>
    <w:p w:rsidR="00000000" w:rsidRDefault="00000000"/>
    <w:p w:rsidR="00000000" w:rsidRDefault="00000000">
      <w:r>
        <w:t>68.</w:t>
      </w:r>
      <w:r>
        <w:tab/>
        <w:t>Другим важным направлением деятельности МТСО является Программа содействия занятости, которая ориентирована на осуществление (совместно с органами власти субъектов федерации, предприятиями и трудящимися предприятий, а также другими структурами, присутствующими на рынке труда) мероприятий в области профессионально-технического обучения и непрерывной подготовки, которые способствуют повышению квалификации трудящихся микропредприятий, малых и средних предприятий, что позволяет повысить уровень их жизни и производительности труда и, соответственно, обеспечить более высокую конкурентоспособность тех предприятий, на которых они работают.</w:t>
      </w:r>
    </w:p>
    <w:p w:rsidR="00000000" w:rsidRDefault="00000000"/>
    <w:p w:rsidR="00000000" w:rsidRDefault="00000000">
      <w:r>
        <w:t>69.</w:t>
      </w:r>
      <w:r>
        <w:tab/>
        <w:t>При содействии министерства просвещения (МП) Система определения и оценки уровня профессиональной квалификации способствует определению, оформлению, оценке и сертификации профессиональной квалификации по видам трудовой деятельности при участии предпринимательского сектора.  Осуществление этой деятельности призвано обеспечить:</w:t>
      </w:r>
    </w:p>
    <w:p w:rsidR="00000000" w:rsidRDefault="00000000"/>
    <w:p w:rsidR="00000000" w:rsidRDefault="00000000">
      <w:pPr>
        <w:numPr>
          <w:ilvl w:val="0"/>
          <w:numId w:val="3"/>
        </w:numPr>
        <w:tabs>
          <w:tab w:val="clear" w:pos="927"/>
        </w:tabs>
        <w:ind w:left="1134" w:hanging="567"/>
      </w:pPr>
      <w:r>
        <w:t>более высокий уровень транспарентности на внутренних и внешних рынках труда, а также более высокую эффективность процедур трудоустройства и перехода с одного рабочего места на другое;</w:t>
      </w:r>
    </w:p>
    <w:p w:rsidR="00000000" w:rsidRDefault="00000000">
      <w:pPr>
        <w:ind w:left="1134" w:hanging="567"/>
      </w:pPr>
    </w:p>
    <w:p w:rsidR="00000000" w:rsidRDefault="00000000">
      <w:pPr>
        <w:numPr>
          <w:ilvl w:val="0"/>
          <w:numId w:val="3"/>
        </w:numPr>
        <w:tabs>
          <w:tab w:val="clear" w:pos="927"/>
        </w:tabs>
        <w:ind w:left="1134" w:hanging="567"/>
      </w:pPr>
      <w:r>
        <w:t>учет уровня знаний и трудовых навыков и развитие различных трудовых навыков;</w:t>
      </w:r>
    </w:p>
    <w:p w:rsidR="00000000" w:rsidRDefault="00000000">
      <w:pPr>
        <w:ind w:left="1134" w:hanging="567"/>
      </w:pPr>
    </w:p>
    <w:p w:rsidR="00000000" w:rsidRDefault="00000000">
      <w:pPr>
        <w:numPr>
          <w:ilvl w:val="0"/>
          <w:numId w:val="3"/>
        </w:numPr>
        <w:tabs>
          <w:tab w:val="clear" w:pos="927"/>
        </w:tabs>
        <w:ind w:left="1134" w:hanging="567"/>
      </w:pPr>
      <w:r>
        <w:t>совершенствование системы профессионально-технической подготовки и непрерывного обучения в течение всей жизни;</w:t>
      </w:r>
    </w:p>
    <w:p w:rsidR="00000000" w:rsidRDefault="00000000">
      <w:pPr>
        <w:ind w:left="1134" w:hanging="567"/>
      </w:pPr>
    </w:p>
    <w:p w:rsidR="00000000" w:rsidRDefault="00000000">
      <w:pPr>
        <w:numPr>
          <w:ilvl w:val="0"/>
          <w:numId w:val="3"/>
        </w:numPr>
        <w:tabs>
          <w:tab w:val="clear" w:pos="927"/>
        </w:tabs>
        <w:ind w:left="1134" w:hanging="567"/>
      </w:pPr>
      <w:r>
        <w:t>мобильность и транспарентность рынка труда и наличие надлежащей информации;</w:t>
      </w:r>
    </w:p>
    <w:p w:rsidR="00000000" w:rsidRDefault="00000000">
      <w:pPr>
        <w:ind w:left="1134" w:hanging="567"/>
      </w:pPr>
    </w:p>
    <w:p w:rsidR="00000000" w:rsidRDefault="00000000">
      <w:pPr>
        <w:numPr>
          <w:ilvl w:val="0"/>
          <w:numId w:val="3"/>
        </w:numPr>
        <w:tabs>
          <w:tab w:val="clear" w:pos="927"/>
        </w:tabs>
        <w:ind w:left="1134" w:hanging="567"/>
      </w:pPr>
      <w:r>
        <w:t>консультирование по вопросам профессионально-технической подготовки и управления людскими ресурсами;</w:t>
      </w:r>
    </w:p>
    <w:p w:rsidR="00000000" w:rsidRDefault="00000000">
      <w:pPr>
        <w:ind w:left="1134" w:hanging="567"/>
      </w:pPr>
    </w:p>
    <w:p w:rsidR="00000000" w:rsidRDefault="00000000">
      <w:pPr>
        <w:numPr>
          <w:ilvl w:val="0"/>
          <w:numId w:val="3"/>
        </w:numPr>
        <w:tabs>
          <w:tab w:val="clear" w:pos="927"/>
        </w:tabs>
        <w:ind w:left="1134" w:hanging="567"/>
      </w:pPr>
      <w:r>
        <w:t>повышение конкурентоспособности предприятий.</w:t>
      </w:r>
    </w:p>
    <w:p w:rsidR="00000000" w:rsidRDefault="00000000">
      <w:pPr>
        <w:ind w:left="567"/>
      </w:pPr>
    </w:p>
    <w:p w:rsidR="00000000" w:rsidRDefault="00000000">
      <w:r>
        <w:t>70.</w:t>
      </w:r>
      <w:r>
        <w:tab/>
        <w:t>Эти и другие механизмы предусматривают применение новых концепций, касающихся трудовой деятельности, производительности труда, качества труда и конкурентоспособности предприятий.</w:t>
      </w:r>
    </w:p>
    <w:p w:rsidR="00000000" w:rsidRDefault="00000000"/>
    <w:p w:rsidR="00000000" w:rsidRDefault="00000000">
      <w:r>
        <w:t>71.</w:t>
      </w:r>
      <w:r>
        <w:tab/>
        <w:t>МТСО стремится обеспечить эффективное соблюдение принципа равноправного доступа всех людей к трудовой деятельности (в частности, молодежи, пожилых людей, инвалидов, лиц, инфицированных ВИЧ/больных СПИДом, сельскохозяйственных поденщиков, представителей коренных народов, лиц, лишенных свободы, и других групп населения), а также принятие мер по борьбе с детским трудом в рамках разработки и применения аффирмативных инициатив с учетом гендерных факторов.</w:t>
      </w:r>
    </w:p>
    <w:p w:rsidR="00000000" w:rsidRDefault="00000000"/>
    <w:p w:rsidR="00000000" w:rsidRDefault="00000000">
      <w:r>
        <w:t>72.</w:t>
      </w:r>
      <w:r>
        <w:tab/>
        <w:t>В целях интеграции на рынке труда лиц с физическими и умственными недостатками и пожилых людей осуществляется программа "Работа для всех", которая представляет собой биржу труда для этих уязвимых групп населения.  Цель этой программы заключается в том, чтобы обеспечить контакт нуждающихся в работе инвалидов и пожилых лиц с представителями предприятий, которые располагают вакантными рабочими местами для этой группы трудящихся.  Основную часть лиц, ищущих работу в рамках указанной программы, составляют лица с физическими и умственными недостатками, которые окончили центры профессиональной подготовки для работы в промышленности (СЕСАТИ) и Национальный колледж профессионально-технического обучения (КОНАЛЕП), а также лица, направленные службами занятости Национальной системы всестороннего развития семьи (ВРС).</w:t>
      </w:r>
    </w:p>
    <w:p w:rsidR="00000000" w:rsidRDefault="00000000"/>
    <w:p w:rsidR="00000000" w:rsidRDefault="00000000">
      <w:r>
        <w:t>73.</w:t>
      </w:r>
      <w:r>
        <w:tab/>
        <w:t xml:space="preserve">Кроме того, следует отметить, что в рамках Квалификационного центра для инвалидов и пожилых людей применяется целый ряд инструментов для оценки уровня их способностей, навыков и потребностей в дополнительной профессиональной подготовке для целей выполнения соответствующей работы.  Все это позволяет четко определить их профессиональный профиль в интересах более эффективного осуществления мероприятий по их дополнительной профессиональной подготовке и целенаправленному трудоустройству.  </w:t>
      </w:r>
    </w:p>
    <w:p w:rsidR="00000000" w:rsidRDefault="00000000"/>
    <w:p w:rsidR="00000000" w:rsidRDefault="00000000">
      <w:r>
        <w:t>74.</w:t>
      </w:r>
      <w:r>
        <w:tab/>
        <w:t>В штатах Чьяпас, Мехико, Гуанахуато, Халиско, Керетаро, Сан-Луис-Потоси, Агуаскальентес, Тласкала, Синалоа, Сонора и Идальго и в Федеральном округе была внедрена специальная сеть трудовой интеграции инвалидов и пожилых людей, цель которой заключается в создании коммуникационной системы между государственными, частными и социальными учреждениями, посредством которой на национальном уровне могла бы осуществляться связь между работодателями и лицами, ищущими работу.</w:t>
      </w:r>
    </w:p>
    <w:p w:rsidR="00000000" w:rsidRDefault="00000000"/>
    <w:p w:rsidR="00000000" w:rsidRDefault="00000000">
      <w:r>
        <w:t>75.</w:t>
      </w:r>
      <w:r>
        <w:tab/>
        <w:t>Ниже приводится конкретная информация по осуществляемым МТСО программам профессионально-технической подготовки и трудоустройства, которые нацелены на развитие людских ресурсов.</w:t>
      </w:r>
    </w:p>
    <w:p w:rsidR="00000000" w:rsidRDefault="00000000"/>
    <w:p w:rsidR="00000000" w:rsidRDefault="00000000">
      <w:pPr>
        <w:rPr>
          <w:b/>
          <w:bCs/>
        </w:rPr>
      </w:pPr>
      <w:r>
        <w:rPr>
          <w:b/>
          <w:bCs/>
        </w:rPr>
        <w:t>Пункт 9 c)</w:t>
      </w:r>
      <w:r>
        <w:rPr>
          <w:b/>
          <w:bCs/>
        </w:rPr>
        <w:tab/>
      </w:r>
    </w:p>
    <w:p w:rsidR="00000000" w:rsidRDefault="00000000">
      <w:pPr>
        <w:rPr>
          <w:b/>
          <w:bCs/>
        </w:rPr>
      </w:pPr>
    </w:p>
    <w:p w:rsidR="00000000" w:rsidRDefault="00000000">
      <w:r>
        <w:t>76.</w:t>
      </w:r>
      <w:r>
        <w:tab/>
        <w:t>МТСО способствует проведению сбалансированной и справедливой национальной политики в сфере труда на благо всех членов общества.  Эта цель особо подчеркивается в Национальном плане развития, где отмечается, что в задачи правительства Мексики входит "содействие упрочению принципа равенства и равных возможностей" на основе критериев, учитывающих наличие социальных различий и социального неравноправия, в целях разработки государственных социальных стратегий, направленных на то, чтобы все мексиканское население могло пользоваться правом равенства возможностей.</w:t>
      </w:r>
    </w:p>
    <w:p w:rsidR="00000000" w:rsidRDefault="00000000"/>
    <w:p w:rsidR="00000000" w:rsidRDefault="00000000">
      <w:pPr>
        <w:pageBreakBefore/>
      </w:pPr>
      <w:r>
        <w:t>77.</w:t>
      </w:r>
      <w:r>
        <w:tab/>
        <w:t>В рамках Национальной программы по вопросам политики в сфере труда на период 2001-2006 годов предусматривается в качестве одной из основных целей упрочение новой культуры трудовых отношений, способствующих созданию благоприятных условий для осуществления трудовой деятельности при соблюдении принципа уважения человеческого достоинства в интересах полного раскрытия потенциала человеческой личности и повышения уровня жизни трудящихся и членов их семьи.  Активное внедрение новой культуры трудовых отношений на общенациональном уровне способствует закреплению справедливых условий занятости и обеспечению надлежащего вознаграждения за труд.</w:t>
      </w:r>
    </w:p>
    <w:p w:rsidR="00000000" w:rsidRDefault="00000000"/>
    <w:p w:rsidR="00000000" w:rsidRDefault="00000000">
      <w:r>
        <w:t>78.</w:t>
      </w:r>
      <w:r>
        <w:tab/>
        <w:t>В своей деятельности МТСО опирается на механизмы, обеспечивающие взаимосвязь между работодателями и лицами, ищущими работу, что расширяет имеющиеся у незанятого и неполностью занятого населения возможности в плане трудоустройства.  МТСО оказывает консультативные услуги по вопросам профессиональной подготовки, предоставляет техническую помощь и информацию и, в соответствующих случаях, организует курсы профессионально-технического обучения или предоставляет помощь в форме субсидий и технического оснащения (оборудования в рамках проектов инвестирования в производство) с учетом потребностей соответствующих лиц и специфики рынка труда.</w:t>
      </w:r>
    </w:p>
    <w:p w:rsidR="00000000" w:rsidRDefault="00000000"/>
    <w:p w:rsidR="00000000" w:rsidRDefault="00000000">
      <w:r>
        <w:t>79.</w:t>
      </w:r>
      <w:r>
        <w:tab/>
        <w:t>Опираясь на содействие со стороны федеральных государственных органов, МТСО осуществляет через различные службы занятости на уровне штатов (СЗШ) ряд целевых программ, о которых идет речь ниже.</w:t>
      </w:r>
    </w:p>
    <w:p w:rsidR="00000000" w:rsidRDefault="00000000"/>
    <w:p w:rsidR="00000000" w:rsidRDefault="00000000">
      <w:pPr>
        <w:rPr>
          <w:b/>
          <w:bCs/>
        </w:rPr>
      </w:pPr>
      <w:r>
        <w:rPr>
          <w:b/>
          <w:bCs/>
        </w:rPr>
        <w:tab/>
        <w:t>a)</w:t>
      </w:r>
      <w:r>
        <w:rPr>
          <w:b/>
          <w:bCs/>
        </w:rPr>
        <w:tab/>
        <w:t>Установление непосредственных контактов (биржа труда)</w:t>
      </w:r>
    </w:p>
    <w:p w:rsidR="00000000" w:rsidRDefault="00000000">
      <w:pPr>
        <w:rPr>
          <w:b/>
          <w:bCs/>
        </w:rPr>
      </w:pPr>
    </w:p>
    <w:p w:rsidR="00000000" w:rsidRDefault="00000000">
      <w:r>
        <w:t>80.</w:t>
      </w:r>
      <w:r>
        <w:tab/>
        <w:t>Цель биржи труда заключается в том, чтобы на основе индивидуального подхода осуществлять оперативную, эффективную и целенаправленную деятельность по информированию ищущих работу лиц относительно предлагаемых предприятиями возможностей для трудоустройства.  Биржа труда оказывает соответствующие услуги по линии СЗШ как в федеральном округе, так и в других районах страны через филиалы служб по трудоустройству.  В ходе собеседований консультантов по вопросам трудоустройства с ищущими работу лицами консультанты определяют их трудовой профиль, с учетом которого предлагают им вакантные рабочие места, заявленные предпринимательским сектором.  Такая схема позволяет подбирать адекватных кандидатов на предлагаемые предприятиями вакансии.</w:t>
      </w:r>
    </w:p>
    <w:p w:rsidR="00000000" w:rsidRDefault="00000000"/>
    <w:p w:rsidR="00000000" w:rsidRDefault="00000000">
      <w:r>
        <w:rPr>
          <w:b/>
          <w:bCs/>
        </w:rPr>
        <w:br w:type="page"/>
      </w:r>
      <w:r>
        <w:rPr>
          <w:b/>
          <w:bCs/>
        </w:rPr>
        <w:tab/>
        <w:t>b)</w:t>
      </w:r>
      <w:r>
        <w:rPr>
          <w:b/>
          <w:bCs/>
        </w:rPr>
        <w:tab/>
        <w:t>"Ярмарки труда"</w:t>
      </w:r>
    </w:p>
    <w:p w:rsidR="00000000" w:rsidRDefault="00000000"/>
    <w:p w:rsidR="00000000" w:rsidRDefault="00000000">
      <w:r>
        <w:t>81.</w:t>
      </w:r>
      <w:r>
        <w:tab/>
        <w:t>Цель таких ярмарок заключается в том, чтобы обеспечить физическое пространство, позволяющее напрямую свести ищущих работу лиц и работодателей для целей подбора работодателями лиц надлежащей квалификации, которые в свою очередь могут рассчитывать на трудоустройство, отвечающее их интересам.  "Ярмарки труда" организуются службами по вопросам занятости, подведомственными федеральным административным структурам и структурам федерального округа.</w:t>
      </w:r>
    </w:p>
    <w:p w:rsidR="00000000" w:rsidRDefault="00000000"/>
    <w:p w:rsidR="00000000" w:rsidRDefault="00000000">
      <w:pPr>
        <w:rPr>
          <w:b/>
          <w:bCs/>
        </w:rPr>
      </w:pPr>
      <w:r>
        <w:rPr>
          <w:b/>
          <w:bCs/>
        </w:rPr>
        <w:tab/>
        <w:t>c)</w:t>
      </w:r>
      <w:r>
        <w:rPr>
          <w:b/>
          <w:bCs/>
        </w:rPr>
        <w:tab/>
        <w:t>Семинары для ищущих работу</w:t>
      </w:r>
    </w:p>
    <w:p w:rsidR="00000000" w:rsidRDefault="00000000">
      <w:pPr>
        <w:rPr>
          <w:b/>
          <w:bCs/>
        </w:rPr>
      </w:pPr>
    </w:p>
    <w:p w:rsidR="00000000" w:rsidRDefault="00000000">
      <w:r>
        <w:t>82.</w:t>
      </w:r>
      <w:r>
        <w:tab/>
        <w:t xml:space="preserve">Цель таких семинаров заключается в предоставлении соответствующим лицам информации или рекомендаций, содействующих их скорейшему трудоустройству.  Эти семинары организуются персоналом служб занятости для лиц, испытывающих трудности с трудоустройством. </w:t>
      </w:r>
    </w:p>
    <w:p w:rsidR="00000000" w:rsidRDefault="00000000"/>
    <w:p w:rsidR="00000000" w:rsidRDefault="00000000">
      <w:r>
        <w:t>83.</w:t>
      </w:r>
      <w:r>
        <w:tab/>
        <w:t xml:space="preserve">Службы занятости осуществляют набор лиц, желающих принять участие в таких семинарах и группируют их с учетом уровня общего образования и других характеристик для целей последующей специализированной подготовки.  Темы занятий определяются с учетом уровня подготовки соответствующей группы, что позволяет применять при обучении гибкий подход, отвечающий конкретным потребностям группы, и способствует увеличению числа потенциальных участников таких семинаров.  </w:t>
      </w:r>
    </w:p>
    <w:p w:rsidR="00000000" w:rsidRDefault="00000000"/>
    <w:p w:rsidR="00000000" w:rsidRDefault="00000000">
      <w:pPr>
        <w:ind w:left="1134" w:hanging="1134"/>
        <w:rPr>
          <w:b/>
          <w:bCs/>
        </w:rPr>
      </w:pPr>
      <w:r>
        <w:rPr>
          <w:b/>
          <w:bCs/>
        </w:rPr>
        <w:tab/>
        <w:t>d)</w:t>
      </w:r>
      <w:r>
        <w:rPr>
          <w:b/>
          <w:bCs/>
        </w:rPr>
        <w:tab/>
        <w:t>Комитеты по вопросам профессиональной подготовки и занятости на уровне штатов</w:t>
      </w:r>
    </w:p>
    <w:p w:rsidR="00000000" w:rsidRDefault="00000000">
      <w:pPr>
        <w:ind w:left="567" w:hanging="567"/>
        <w:rPr>
          <w:b/>
          <w:bCs/>
        </w:rPr>
      </w:pPr>
    </w:p>
    <w:p w:rsidR="00000000" w:rsidRDefault="00000000">
      <w:r>
        <w:t>84.</w:t>
      </w:r>
      <w:r>
        <w:tab/>
        <w:t>К числу базовых функций комитетов по вопросам профессионально-технической подготовки и занятости на уровне штатов (СЕСЕ) относится разработка механизмов, способствующих совершенствованию системы взаимодействия с предпринимательским сектором и позволяющих определять потребности в сфере профессиональной подготовки рабочей силы, формулировать требования к информации о рынках труда и регионах и видах трудовой деятельности, которые требуют осуществления срочных координационных и профессионально-технических мероприятий.</w:t>
      </w:r>
    </w:p>
    <w:p w:rsidR="00000000" w:rsidRDefault="00000000"/>
    <w:p w:rsidR="00000000" w:rsidRDefault="00000000">
      <w:r>
        <w:t>85.</w:t>
      </w:r>
      <w:r>
        <w:tab/>
        <w:t>СЕСЕ представляет собой механизм, способствующий повышению качества и эффективности координирующих и профессионально-технических мероприятий применительно к предпринимательскому сектору.  Кроме того, они позволяют снабжать СЗШ обновленной справочной и аналитической информацией о рынках труда по каждому региону.  Взаимодействие общеобразовательных и профессионально-технических учреждений с СЗШ позволяет им получить четкое представление о характере спроса на рабочую силу и с учетом полученных сведений корректировать содержание программ профессионально-технической подготовки, что в свою очередь способствует повышению числа трудоустроившихся выпускников.  Кроме того, такая схема способствует расширению сферы деятельности служб по трудоустройству и бирж труда.</w:t>
      </w:r>
    </w:p>
    <w:p w:rsidR="00000000" w:rsidRDefault="00000000"/>
    <w:p w:rsidR="00000000" w:rsidRDefault="00000000">
      <w:r>
        <w:t>86.</w:t>
      </w:r>
      <w:r>
        <w:tab/>
        <w:t>Таким образом, в рамках СЗШ осуществляется конкуренция и взаимодействие между основными субъектами рынка труда и определяются соответствующие потребности в отношении информации, профессионально-технической подготовки и трудоустройства.  СЗШ получают информацию о потребностях рынка труда от основных его субъектов и уделяют приоритетное внимание обеспечению надлежащего баланса между спросом и предложением путем осуществления по линии каждого СЕСЕ мер в рамках соответствующей компетенции.</w:t>
      </w:r>
    </w:p>
    <w:p w:rsidR="00000000" w:rsidRDefault="00000000">
      <w:pPr>
        <w:rPr>
          <w:lang w:val="en-US"/>
        </w:rPr>
      </w:pPr>
    </w:p>
    <w:p w:rsidR="00000000" w:rsidRDefault="00000000">
      <w:pPr>
        <w:rPr>
          <w:b/>
          <w:bCs/>
        </w:rPr>
      </w:pPr>
      <w:r>
        <w:rPr>
          <w:b/>
          <w:bCs/>
        </w:rPr>
        <w:tab/>
        <w:t>е)</w:t>
      </w:r>
      <w:r>
        <w:rPr>
          <w:b/>
          <w:bCs/>
        </w:rPr>
        <w:tab/>
        <w:t>Система занятости на уровне штатов</w:t>
      </w:r>
    </w:p>
    <w:p w:rsidR="00000000" w:rsidRDefault="00000000">
      <w:pPr>
        <w:rPr>
          <w:b/>
          <w:bCs/>
        </w:rPr>
      </w:pPr>
    </w:p>
    <w:p w:rsidR="00000000" w:rsidRDefault="00000000">
      <w:r>
        <w:t>87.</w:t>
      </w:r>
      <w:r>
        <w:tab/>
        <w:t xml:space="preserve">Система занятости на уровне штатов (СЗШ) представляет собой один из механизмов служб по вопросам трудоустройства на уровне штатов, главная цель которого заключается в обеспечении координации в сфере отбора, найма и трудоустройства рабочей силы в каждом штате путем регулярного проведения рабочих совещаний в целях обмена аналитической и статистической информацией,  касающейся спроса и предложения на рабочую силу, что позволяет предприятиям оперативно и адекватно удовлетворять свои потребности в кадрах.  В функции СЗШ входит содействие трудоустройству большого числа ищущих работу лиц, а также принятие решений в отношении совместных стратегий в интересах более эффективного функционирования рынка труда. </w:t>
      </w:r>
    </w:p>
    <w:p w:rsidR="00000000" w:rsidRDefault="00000000"/>
    <w:p w:rsidR="00000000" w:rsidRDefault="00000000">
      <w:r>
        <w:t>88.</w:t>
      </w:r>
      <w:r>
        <w:tab/>
        <w:t>В этой связи основная функция СЗШ заключается в том, чтобы обеспечивать взаимообмен информацией о наличии вакансий в целях содействия трудоустройству ищущих работу лиц.</w:t>
      </w:r>
    </w:p>
    <w:p w:rsidR="00000000" w:rsidRDefault="00000000"/>
    <w:p w:rsidR="00000000" w:rsidRDefault="00000000">
      <w:pPr>
        <w:rPr>
          <w:b/>
          <w:bCs/>
        </w:rPr>
      </w:pPr>
      <w:r>
        <w:rPr>
          <w:b/>
          <w:bCs/>
        </w:rPr>
        <w:tab/>
      </w:r>
      <w:r>
        <w:rPr>
          <w:b/>
          <w:bCs/>
          <w:lang w:val="en-US"/>
        </w:rPr>
        <w:t>f</w:t>
      </w:r>
      <w:r>
        <w:rPr>
          <w:b/>
          <w:bCs/>
        </w:rPr>
        <w:t>)</w:t>
      </w:r>
      <w:r>
        <w:rPr>
          <w:b/>
          <w:bCs/>
        </w:rPr>
        <w:tab/>
        <w:t>Координационные системы "Чамбатель" и "Чамбанет"</w:t>
      </w:r>
    </w:p>
    <w:p w:rsidR="00000000" w:rsidRDefault="00000000">
      <w:pPr>
        <w:rPr>
          <w:b/>
          <w:bCs/>
        </w:rPr>
      </w:pPr>
    </w:p>
    <w:p w:rsidR="00000000" w:rsidRDefault="00000000">
      <w:r>
        <w:t>89.</w:t>
      </w:r>
      <w:r>
        <w:tab/>
        <w:t>В целях диверсификации услуг и повышении их эффективности применительно к работодателям и ищущим работу лицам Мексика разработала в 2000 году координационную систему "Чамбатель", которая позволяет ищущим работу лицам получать по телефону информацию о вакантных рабочих местах.  Такая схема обеспечивает установление эффективных контактов между работодателями и ищущими работу лицами.</w:t>
      </w:r>
    </w:p>
    <w:p w:rsidR="00000000" w:rsidRDefault="00000000"/>
    <w:p w:rsidR="00000000" w:rsidRDefault="00000000">
      <w:r>
        <w:t>90.</w:t>
      </w:r>
      <w:r>
        <w:tab/>
        <w:t xml:space="preserve">Кроме того, была разработана и введена в действие электронная биржа труда "Чамбанет", нацеленная на квалифицированных работников производственного сектора, а также оказывающая услуги по трудоустройству другим категориям лиц, имеющим доступ к этой сети.  Этот новый механизм позволяет расширить диапазон и сферу охвата услуг, предоставляемых по линии СНЕ.  </w:t>
      </w:r>
    </w:p>
    <w:p w:rsidR="00000000" w:rsidRDefault="00000000"/>
    <w:p w:rsidR="00000000" w:rsidRDefault="00000000">
      <w:pPr>
        <w:rPr>
          <w:b/>
          <w:bCs/>
        </w:rPr>
      </w:pPr>
      <w:r>
        <w:rPr>
          <w:b/>
          <w:bCs/>
        </w:rPr>
        <w:tab/>
      </w:r>
      <w:r>
        <w:rPr>
          <w:b/>
          <w:bCs/>
          <w:lang w:val="en-US"/>
        </w:rPr>
        <w:t>g</w:t>
      </w:r>
      <w:r>
        <w:rPr>
          <w:b/>
          <w:bCs/>
        </w:rPr>
        <w:t>)</w:t>
      </w:r>
      <w:r>
        <w:rPr>
          <w:b/>
          <w:bCs/>
        </w:rPr>
        <w:tab/>
        <w:t>Газета "Моя работа"</w:t>
      </w:r>
    </w:p>
    <w:p w:rsidR="00000000" w:rsidRDefault="00000000">
      <w:pPr>
        <w:rPr>
          <w:b/>
          <w:bCs/>
        </w:rPr>
      </w:pPr>
    </w:p>
    <w:p w:rsidR="00000000" w:rsidRDefault="00000000">
      <w:r>
        <w:t>91.</w:t>
      </w:r>
      <w:r>
        <w:tab/>
        <w:t>К числу новых информационных и координационных механизмов в трудовой сфере, разработанных и внедренных с учетом необходимости повышения эффективности и модернизации уже существующих схем, относится газета "Моя работа", которая издается на базе современных информационных и телекоммуникационных технологий.</w:t>
      </w:r>
    </w:p>
    <w:p w:rsidR="00000000" w:rsidRDefault="00000000"/>
    <w:p w:rsidR="00000000" w:rsidRDefault="00000000">
      <w:r>
        <w:t>92.</w:t>
      </w:r>
      <w:r>
        <w:tab/>
        <w:t>Эта газета распространяется бесплатно и выполняет функции оперативного механизма по доведению до сведения населения информации о возможностях в плане трудоустройства.  Газета объемом в 16 страниц выходит раз в две недели.  Информация, касающаяся предлагаемых вакансий и мероприятий по линии СНЕ и МТСО, излагается в простой и удобной для чтения форме.  Тираж газеты "Моя работа" в Федеральном округе составляет 65 000 экземпляров, и она распространяется через киоски самообслуживания, приемные различных государственных учреждений и неправительственных организаций, а также путем раздачи на улице.</w:t>
      </w:r>
    </w:p>
    <w:p w:rsidR="00000000" w:rsidRDefault="00000000"/>
    <w:p w:rsidR="00000000" w:rsidRDefault="00000000">
      <w:r>
        <w:t>93.</w:t>
      </w:r>
      <w:r>
        <w:tab/>
        <w:t>Основные выгоды для ищущих работу лиц заключаются в этой связи в том, что они получают свежую информацию об имеющихся вакансиях, что позволяет им сократить время и затраты, связанные с поиском работы.</w:t>
      </w:r>
    </w:p>
    <w:p w:rsidR="00000000" w:rsidRDefault="00000000"/>
    <w:p w:rsidR="00000000" w:rsidRDefault="00000000">
      <w:r>
        <w:t>94.</w:t>
      </w:r>
      <w:r>
        <w:tab/>
        <w:t xml:space="preserve">Выгоды для предприятий заключаются в увеличении числа кандидатов на предлагаемые вакантные места и в сокращении времени и расходов, связанных с отбором и наймом работников.  </w:t>
      </w:r>
    </w:p>
    <w:p w:rsidR="00000000" w:rsidRDefault="00000000"/>
    <w:p w:rsidR="00000000" w:rsidRDefault="00000000">
      <w:pPr>
        <w:ind w:left="1134" w:hanging="1134"/>
        <w:rPr>
          <w:b/>
          <w:bCs/>
        </w:rPr>
      </w:pPr>
      <w:r>
        <w:rPr>
          <w:b/>
          <w:bCs/>
        </w:rPr>
        <w:tab/>
        <w:t>h)</w:t>
      </w:r>
      <w:r>
        <w:rPr>
          <w:b/>
          <w:bCs/>
        </w:rPr>
        <w:tab/>
        <w:t>Программа для временных сельскохозяйственных работников:</w:t>
      </w:r>
      <w:r>
        <w:rPr>
          <w:b/>
          <w:bCs/>
        </w:rPr>
        <w:br/>
        <w:t>Мексика-Канада</w:t>
      </w:r>
    </w:p>
    <w:p w:rsidR="00000000" w:rsidRDefault="00000000">
      <w:pPr>
        <w:ind w:left="567" w:hanging="567"/>
        <w:rPr>
          <w:b/>
          <w:bCs/>
        </w:rPr>
      </w:pPr>
    </w:p>
    <w:p w:rsidR="00000000" w:rsidRDefault="00000000">
      <w:r>
        <w:t>95.</w:t>
      </w:r>
      <w:r>
        <w:tab/>
        <w:t>В дополнение к услугам прямого координирования на рынках труда местного уровня, уровня штатов и регионального уровня МТСО осуществляет координационную деятельность в интересах мексиканских граждан за рубежом по линии Программы для временных сельскохозяйственных работников:  Мексика-Канада (ПТАТ).</w:t>
      </w:r>
    </w:p>
    <w:p w:rsidR="00000000" w:rsidRDefault="00000000"/>
    <w:p w:rsidR="00000000" w:rsidRDefault="00000000">
      <w:r>
        <w:t>96.</w:t>
      </w:r>
      <w:r>
        <w:tab/>
        <w:t>Цель этой программы заключается в обеспечении мексиканских сельскохозяйственных работников стабильной и адекватно оплачиваемой работой, поскольку с учетом специфики выполняемой трудовой деятельности сельскохозяйственные работники какое-то время остаются незанятыми, что подрывает благосостояние их семей.  В этой связи правительство Мексики, откликнувшись на просьбу канадского правительства, подписало в 1974 году меморандум о взаимопонимании между двумя странами, в котором Мексика обязалась отбирать, нанимать и направлять работать на канадские фермы крестьян с богатым опытом сельскохозяйственной деятельности на основе временных контрактов, не предполагающих постоянного проживания в этой стране.</w:t>
      </w:r>
    </w:p>
    <w:p w:rsidR="00000000" w:rsidRDefault="00000000"/>
    <w:p w:rsidR="00000000" w:rsidRDefault="00000000">
      <w:pPr>
        <w:rPr>
          <w:b/>
          <w:bCs/>
        </w:rPr>
      </w:pPr>
      <w:r>
        <w:rPr>
          <w:b/>
          <w:bCs/>
        </w:rPr>
        <w:tab/>
      </w:r>
      <w:r>
        <w:rPr>
          <w:b/>
          <w:bCs/>
          <w:lang w:val="en-US"/>
        </w:rPr>
        <w:t>i</w:t>
      </w:r>
      <w:r>
        <w:rPr>
          <w:b/>
          <w:bCs/>
        </w:rPr>
        <w:t>)</w:t>
      </w:r>
      <w:r>
        <w:rPr>
          <w:b/>
          <w:bCs/>
        </w:rPr>
        <w:tab/>
        <w:t>Программа "Новые горизонты"</w:t>
      </w:r>
    </w:p>
    <w:p w:rsidR="00000000" w:rsidRDefault="00000000">
      <w:pPr>
        <w:rPr>
          <w:b/>
          <w:bCs/>
        </w:rPr>
      </w:pPr>
    </w:p>
    <w:p w:rsidR="00000000" w:rsidRDefault="00000000">
      <w:r>
        <w:t>97.</w:t>
      </w:r>
      <w:r>
        <w:tab/>
        <w:t>Кроме того, МТСО участвует в осуществлении комплекса мероприятий, способствующих вхождению на рынок труда инвалидов и пожилых людей при полном соблюдении и уважении прав человека, а также политических и социальных прав.  Так, например, осуществляемая в этой сфере программа "Новые горизонты" представляет собой специализированную координационную сеть, призванную согласовывать межинституциональные мероприятия государственных и частных структур с целью содействия более активному включению соответствующих групп населения в трудовую деятельность и расширению их охвата механизмами профессионально-технического обучения.</w:t>
      </w:r>
    </w:p>
    <w:p w:rsidR="00000000" w:rsidRDefault="00000000"/>
    <w:p w:rsidR="00000000" w:rsidRDefault="00000000">
      <w:r>
        <w:t>98.</w:t>
      </w:r>
      <w:r>
        <w:tab/>
        <w:t xml:space="preserve">Координатором программы "Новые горизонты" является МТСО, а в деятельности по ее совершенствованию и реализации участвуют Национальная система всестороннего развития семьи (ВРС), реабилитационные учреждения, неправительственные организации, а также предпринимательские круги.  </w:t>
      </w:r>
    </w:p>
    <w:p w:rsidR="00000000" w:rsidRDefault="00000000"/>
    <w:p w:rsidR="00000000" w:rsidRDefault="00000000">
      <w:r>
        <w:t>99.</w:t>
      </w:r>
      <w:r>
        <w:tab/>
        <w:t>Ее главная функция заключается в обеспечении согласованного осуществления мероприятий в области занятости в интересах инвалидов и пожилых людей, с тем чтобы содействовать их трудоустройству и профессиональной подготовке, а также обеспечивать не только их вхождение на рынок труда, но и достойное в нем место и благоприятные условия для дальнейшего роста.</w:t>
      </w:r>
    </w:p>
    <w:p w:rsidR="00000000" w:rsidRDefault="00000000"/>
    <w:p w:rsidR="00000000" w:rsidRDefault="00000000">
      <w:r>
        <w:t>100.</w:t>
      </w:r>
      <w:r>
        <w:tab/>
        <w:t>Основные мероприятия в рамках этой программы осуществляются по линии сети "Работа для всех" и Центра оценки квалификации инвалидов и лиц пожилого возраста.</w:t>
      </w:r>
    </w:p>
    <w:p w:rsidR="00000000" w:rsidRDefault="00000000"/>
    <w:p w:rsidR="00000000" w:rsidRDefault="00000000">
      <w:r>
        <w:br w:type="page"/>
        <w:t>101.</w:t>
      </w:r>
      <w:r>
        <w:tab/>
      </w:r>
      <w:r>
        <w:rPr>
          <w:b/>
          <w:bCs/>
        </w:rPr>
        <w:t>"Работа для всех"</w:t>
      </w:r>
      <w:r>
        <w:t>.  Основная функция этого механизма заключается в обеспечении прямых контактов между ищущими работу инвалидами и пожилыми людьми и предприятиями, располагающими вакантными рабочими местами для данной категории трудящихся.  Соответствующие мероприятия имеют целью оказание содействия этим группам населения на основе тех же критериев, которые применяются к остальным категориям населения.</w:t>
      </w:r>
    </w:p>
    <w:p w:rsidR="00000000" w:rsidRDefault="00000000"/>
    <w:p w:rsidR="00000000" w:rsidRDefault="00000000">
      <w:r>
        <w:t>102.</w:t>
      </w:r>
      <w:r>
        <w:tab/>
      </w:r>
      <w:r>
        <w:rPr>
          <w:b/>
          <w:bCs/>
        </w:rPr>
        <w:t>Центр оценки квалификации инвалидов и лиц пожилого возраста.</w:t>
      </w:r>
      <w:r>
        <w:t xml:space="preserve">  Этот центр располагает инструментарием, позволяющим ему оценивать умение, способности и навыки соответствующих лиц и их потребности в плане профессиональной подготовки для целей трудоустройства.  Такой подход позволяет составить объективное представление об их трудовом профиле, что способствует более эффективному осуществлению мероприятий по их целенаправленной профессионально-технической подготовке.  </w:t>
      </w:r>
    </w:p>
    <w:p w:rsidR="00000000" w:rsidRDefault="00000000"/>
    <w:p w:rsidR="00000000" w:rsidRDefault="00000000">
      <w:r>
        <w:t>103.</w:t>
      </w:r>
      <w:r>
        <w:tab/>
        <w:t>Эти оценочные инструменты позволяют быстро и эффективно определять уровень способностей, навыков и квалификации инвалидов и пожилых лиц применительно к различным видам трудовой деятельности, на которую существует спрос в производительном секторе.  Эти меры дополняются индивидуальными беседами и психометрическими обследованиями, призванными как можно более точно определить профессиональный и трудовой профиль представителей этих групп.</w:t>
      </w:r>
    </w:p>
    <w:p w:rsidR="00000000" w:rsidRDefault="00000000"/>
    <w:p w:rsidR="00000000" w:rsidRDefault="00000000">
      <w:pPr>
        <w:rPr>
          <w:b/>
          <w:bCs/>
        </w:rPr>
      </w:pPr>
      <w:r>
        <w:rPr>
          <w:b/>
          <w:bCs/>
        </w:rPr>
        <w:tab/>
      </w:r>
      <w:r>
        <w:rPr>
          <w:b/>
          <w:bCs/>
          <w:lang w:val="en-US"/>
        </w:rPr>
        <w:t>j</w:t>
      </w:r>
      <w:r>
        <w:rPr>
          <w:b/>
          <w:bCs/>
        </w:rPr>
        <w:t>)</w:t>
      </w:r>
      <w:r>
        <w:rPr>
          <w:b/>
          <w:bCs/>
        </w:rPr>
        <w:tab/>
        <w:t>Центры производственной стажировки для уязвимых групп</w:t>
      </w:r>
    </w:p>
    <w:p w:rsidR="00000000" w:rsidRDefault="00000000">
      <w:pPr>
        <w:rPr>
          <w:b/>
          <w:bCs/>
        </w:rPr>
      </w:pPr>
    </w:p>
    <w:p w:rsidR="00000000" w:rsidRDefault="00000000">
      <w:r>
        <w:t>104.</w:t>
      </w:r>
      <w:r>
        <w:tab/>
        <w:t>В целях более эффективного осуществления программы "Новые горизонты" МТСО поощряет создание центров производственной стажировки (ЦПС).  ЦПС, представляющие собой производственные предприятия, предприятия сферы обслуживания, фабрики, мастерские и т.д., призваны обеспечить работой лиц, находящихся в уязвимом положении с точки зрения трудоустройства.</w:t>
      </w:r>
    </w:p>
    <w:p w:rsidR="00000000" w:rsidRDefault="00000000"/>
    <w:p w:rsidR="00000000" w:rsidRDefault="00000000">
      <w:r>
        <w:t>105.</w:t>
      </w:r>
      <w:r>
        <w:tab/>
        <w:t>Структура каждого ЦПС аналогична структуре любой действующей фабрики, мастерской или предприятия сферы обслуживания.  Иными словами, в ЦПС существуют управленческие структуры, производственные цеха, финансово-бухгалтерская служба и служба сбыта, что позволяет обеспечить рентабельное функционирование ЦПС.</w:t>
      </w:r>
    </w:p>
    <w:p w:rsidR="00000000" w:rsidRDefault="00000000"/>
    <w:p w:rsidR="00000000" w:rsidRDefault="00000000">
      <w:r>
        <w:t>106.</w:t>
      </w:r>
      <w:r>
        <w:tab/>
        <w:t xml:space="preserve">Работающие в этих центрах лица из числа представителей уязвимых групп с точки зрения трудоустройства не только получают денежное вознаграждение за выполненную работу, но и параллельно оцениваются квалификационными учреждениями на предмет </w:t>
      </w:r>
    </w:p>
    <w:p w:rsidR="00000000" w:rsidRDefault="00000000">
      <w:r>
        <w:br w:type="page"/>
        <w:t>уровня их профессиональной подготовки с целью последующего направления на биржу труда и интеграции в производственные структуры на условиях, обеспечивающих их трудовую деятельность в благоприятной среде, что является главной целью ЦПС.</w:t>
      </w:r>
    </w:p>
    <w:p w:rsidR="00000000" w:rsidRDefault="00000000"/>
    <w:p w:rsidR="00000000" w:rsidRDefault="00000000">
      <w:pPr>
        <w:ind w:left="1134" w:hanging="1134"/>
        <w:rPr>
          <w:b/>
          <w:bCs/>
        </w:rPr>
      </w:pPr>
      <w:r>
        <w:rPr>
          <w:b/>
          <w:bCs/>
        </w:rPr>
        <w:tab/>
      </w:r>
      <w:r>
        <w:rPr>
          <w:b/>
          <w:bCs/>
          <w:lang w:val="en-US"/>
        </w:rPr>
        <w:t>k</w:t>
      </w:r>
      <w:r>
        <w:rPr>
          <w:b/>
          <w:bCs/>
        </w:rPr>
        <w:t>)</w:t>
      </w:r>
      <w:r>
        <w:rPr>
          <w:b/>
          <w:bCs/>
        </w:rPr>
        <w:tab/>
        <w:t>Система экономического содействия мобильности рабочей силы внутри страны и за ее пределами</w:t>
      </w:r>
    </w:p>
    <w:p w:rsidR="00000000" w:rsidRDefault="00000000">
      <w:pPr>
        <w:rPr>
          <w:b/>
          <w:bCs/>
        </w:rPr>
      </w:pPr>
    </w:p>
    <w:p w:rsidR="00000000" w:rsidRDefault="00000000">
      <w:r>
        <w:t>107.</w:t>
      </w:r>
      <w:r>
        <w:tab/>
        <w:t>В большом числе муниципий ряда территориально-административных образований производственная инфраструктура и базовые условия сельскохозяйственного производства и смежной трудовой деятельности не позволяют обеспечить работой всех безработных сельских жителей, проживающих в соответствующих муниципиях.  В некоторых случаях спрос на рабочую силу и возможности трудоустройства настолько незначительны, что такая ситуация вынуждает жителей переезжать в поисках работы в другие районы страны или за границу, что способствует более интенсивному развитию экономики и влечет за собой появление значительных потоков сельскохозяйственной рабочей силы, перемещающейся из одного района страны в другой или даже в другие страны.</w:t>
      </w:r>
    </w:p>
    <w:p w:rsidR="00000000" w:rsidRDefault="00000000"/>
    <w:p w:rsidR="00000000" w:rsidRDefault="00000000">
      <w:r>
        <w:t>108.</w:t>
      </w:r>
      <w:r>
        <w:tab/>
        <w:t>Перемещение или мобильность части этой группы трудоспособного населения создает серьезные проблемы, связанные с обеспечением продовольствием, транспортом, жильем в местах назначения, образованием, предоставлением базовой медицинской помощи и т.д.  С учетом этих обстоятельств были созданы механизмы, позволяющие решать эти проблемы и принимать меры, направленные на улучшение условий перемещения соответствующих групп населения и их размещение в принимающих районах.</w:t>
      </w:r>
    </w:p>
    <w:p w:rsidR="00000000" w:rsidRDefault="00000000"/>
    <w:p w:rsidR="00000000" w:rsidRDefault="00000000">
      <w:r>
        <w:t>109.</w:t>
      </w:r>
      <w:r>
        <w:tab/>
        <w:t xml:space="preserve">Другая часть сельских жителей по причине удаленности мест их проживания от столичных городов соответствующих штатов, в том числе столице страны Мехико, в течение многих лет не имела возможности в полной мере пользоваться льготами, предусмотренными программой для временных сельскохозяйственных работников:  Мексика </w:t>
      </w:r>
      <w:r>
        <w:noBreakHyphen/>
        <w:t xml:space="preserve"> Канада (ПТАТ).</w:t>
      </w:r>
    </w:p>
    <w:p w:rsidR="00000000" w:rsidRDefault="00000000"/>
    <w:p w:rsidR="00000000" w:rsidRDefault="00000000">
      <w:r>
        <w:t>110.</w:t>
      </w:r>
      <w:r>
        <w:tab/>
        <w:t xml:space="preserve">Для решения вышеуказанной проблемы федеральное правительство осуществляет комплекс мероприятий при участии различных министерств и ведомств.  В этой связи МТСО разработало и внедрило два механизма экономической помощи </w:t>
      </w:r>
      <w:r>
        <w:noBreakHyphen/>
        <w:t xml:space="preserve"> систему экономического содействия мобильности рабочей силы внутри страны (САЕМЛИ) и систему экономического содействия мобильности рабочей силы за пределами страны (САЕМЛЕ).</w:t>
      </w:r>
    </w:p>
    <w:p w:rsidR="00000000" w:rsidRDefault="00000000"/>
    <w:p w:rsidR="00000000" w:rsidRDefault="00000000">
      <w:r>
        <w:t>111.</w:t>
      </w:r>
      <w:r>
        <w:tab/>
        <w:t>Главная цель САЕМЛИ состоит в задействовании механизмов, которые способствуют профессиональной подготовке поденных сельскохозяйственных работников и их перемещению из мест проживания в районы их трудоустройства, что позволяет повысить уровень занятости этой категории трудящихся, а также уровень их мобильности в целях трудоустройства.</w:t>
      </w:r>
    </w:p>
    <w:p w:rsidR="00000000" w:rsidRDefault="00000000"/>
    <w:p w:rsidR="00000000" w:rsidRDefault="00000000">
      <w:r>
        <w:t>112.</w:t>
      </w:r>
      <w:r>
        <w:tab/>
        <w:t>Со своей стороны, САЕМЛЕ представляет собой механизм, который позволяет сельским жителям удаленных от Федерального округа районов участвовать в предлагаемых ПТАТ схемах и таким образом пользоваться льготами в рамках этой программы.</w:t>
      </w:r>
    </w:p>
    <w:p w:rsidR="00000000" w:rsidRDefault="00000000"/>
    <w:p w:rsidR="00000000" w:rsidRDefault="00000000">
      <w:r>
        <w:t>113.</w:t>
      </w:r>
      <w:r>
        <w:tab/>
        <w:t>Соответствующая помощь нацелена в первую очередь на те районы страны, где наблюдается переизбыток сельскохозяйственной рабочей силы, и на районы, готовые принимать эту рабочую силу.  Данная схема ориентирована также на жителей любых районов страны, заинтересованных в присоединении к программе ПТАТ.</w:t>
      </w:r>
    </w:p>
    <w:p w:rsidR="00000000" w:rsidRDefault="00000000"/>
    <w:p w:rsidR="00000000" w:rsidRDefault="00000000">
      <w:pPr>
        <w:rPr>
          <w:b/>
          <w:bCs/>
        </w:rPr>
      </w:pPr>
      <w:r>
        <w:rPr>
          <w:b/>
          <w:bCs/>
        </w:rPr>
        <w:tab/>
      </w:r>
      <w:r>
        <w:rPr>
          <w:b/>
          <w:bCs/>
          <w:lang w:val="en-US"/>
        </w:rPr>
        <w:t>l</w:t>
      </w:r>
      <w:r>
        <w:rPr>
          <w:b/>
          <w:bCs/>
        </w:rPr>
        <w:t>)</w:t>
      </w:r>
      <w:r>
        <w:rPr>
          <w:b/>
          <w:bCs/>
        </w:rPr>
        <w:tab/>
        <w:t>Система экономической помощи ищущим работу лицам</w:t>
      </w:r>
    </w:p>
    <w:p w:rsidR="00000000" w:rsidRDefault="00000000">
      <w:pPr>
        <w:rPr>
          <w:b/>
          <w:bCs/>
        </w:rPr>
      </w:pPr>
    </w:p>
    <w:p w:rsidR="00000000" w:rsidRDefault="00000000">
      <w:r>
        <w:t>114.</w:t>
      </w:r>
      <w:r>
        <w:tab/>
        <w:t>В качестве пилотного проекта федеральное правительство разработало в 2002 году по линии МТСО механизм, получивший название "Система экономической помощи ищущим работу лицам" (САЕБЕ), главная цель которого состоит в содействии трудоустройству ищущих работу лиц и снижение их расходов, связанных с поисками работы.  Разумеется, такой механизм не гарантирует обязательного получения работы, однако он стимулирует усилия лиц в плане поиска работы и способствует их эффективному включению в трудовую деятельность.</w:t>
      </w:r>
    </w:p>
    <w:p w:rsidR="00000000" w:rsidRDefault="00000000"/>
    <w:p w:rsidR="00000000" w:rsidRDefault="00000000">
      <w:r>
        <w:t>115.</w:t>
      </w:r>
      <w:r>
        <w:tab/>
        <w:t>В процессе поиска работы безработный должен, в частности, располагать средствами, которые позволяют ему вести телефонные переговоры, совершать поездки и, разумеется, содержать свою семью.  Нехватка средств ограничивает его возможности для трудоустройства.  В этой связи САЕБЕ предусматривает оказание финансовой помощи для целей покрытия ряда важнейших расходов, связанных с поиском работы, при том что такая помощь предоставляется с условием осуществления бенефициарами мер, направленных на активный поиск работы.</w:t>
      </w:r>
    </w:p>
    <w:p w:rsidR="00000000" w:rsidRDefault="00000000"/>
    <w:p w:rsidR="00000000" w:rsidRDefault="00000000">
      <w:r>
        <w:t>116.</w:t>
      </w:r>
      <w:r>
        <w:tab/>
        <w:t>Механизмы САЕБЕ ориентированы в первую очередь на безработных формального сектора экономики, т.е. на потерявших работу лиц, которые до этого отчисляли взносы в систему социального обеспечения и которые активно ищут работу.</w:t>
      </w:r>
    </w:p>
    <w:p w:rsidR="00000000" w:rsidRDefault="00000000"/>
    <w:p w:rsidR="00000000" w:rsidRDefault="00000000">
      <w:r>
        <w:br w:type="page"/>
        <w:t>117.</w:t>
      </w:r>
      <w:r>
        <w:tab/>
        <w:t>Кроме того, эта система задумывалась как вспомогательный механизм поддержки рынка труда, способствующий установлению контактов между нанимателями и ищущими работу.  Льготами по линии этой схемы пользуются безработные формального сектора экономики.  Такой подход объясняется тем, что представители этого сегмента населения пребывают достаточно  краткое время вне производственной деятельности, вследствие чего их гораздо легче вернуть на рынок труда, нежели долговременных безработных.</w:t>
      </w:r>
    </w:p>
    <w:p w:rsidR="00000000" w:rsidRDefault="00000000"/>
    <w:p w:rsidR="00000000" w:rsidRDefault="00000000">
      <w:r>
        <w:t>118.</w:t>
      </w:r>
      <w:r>
        <w:tab/>
        <w:t>Таким образом, система САЕБЕ позволяет возвращать на рынок труда представителей экономически активного населения в рамках формального сектора экономики, которые оказались в стадии открытой безработицы и в индивидуальном порядке ходатайствуют через службы занятости штатов (СЗШ) об участии в системе САЕБЕ.</w:t>
      </w:r>
    </w:p>
    <w:p w:rsidR="00000000" w:rsidRDefault="00000000"/>
    <w:p w:rsidR="00000000" w:rsidRDefault="00000000">
      <w:r>
        <w:t>119.</w:t>
      </w:r>
      <w:r>
        <w:tab/>
        <w:t>Для того чтобы иметь право пользоваться льготами в рамках этой схемы, безработный должен по меньшей мере в течение трех месяцев активно искать работу, не менее чем в течение шести месяцев отчислять взносы в систему социального обеспечения, иметь на содержании иждивенцев и иметь возраст не менее 18 лет.</w:t>
      </w:r>
    </w:p>
    <w:p w:rsidR="00000000" w:rsidRDefault="00000000"/>
    <w:p w:rsidR="00000000" w:rsidRDefault="00000000">
      <w:pPr>
        <w:ind w:left="1134" w:hanging="1134"/>
        <w:rPr>
          <w:b/>
          <w:bCs/>
        </w:rPr>
      </w:pPr>
      <w:r>
        <w:rPr>
          <w:b/>
          <w:bCs/>
        </w:rPr>
        <w:tab/>
      </w:r>
      <w:r>
        <w:rPr>
          <w:b/>
          <w:bCs/>
          <w:lang w:val="en-US"/>
        </w:rPr>
        <w:t>m</w:t>
      </w:r>
      <w:r>
        <w:rPr>
          <w:b/>
          <w:bCs/>
        </w:rPr>
        <w:t>)</w:t>
      </w:r>
      <w:r>
        <w:rPr>
          <w:b/>
          <w:bCs/>
        </w:rPr>
        <w:tab/>
        <w:t>Программы создания рабочих мест министерства труда и социального обеспечения</w:t>
      </w:r>
    </w:p>
    <w:p w:rsidR="00000000" w:rsidRDefault="00000000">
      <w:pPr>
        <w:rPr>
          <w:b/>
          <w:bCs/>
        </w:rPr>
      </w:pPr>
    </w:p>
    <w:p w:rsidR="00000000" w:rsidRDefault="00000000">
      <w:r>
        <w:t>120.</w:t>
      </w:r>
      <w:r>
        <w:tab/>
        <w:t>Деятельность по содействию развитию производства заключается в поощрении таких инициатив, которые способствуют разработке, осуществлению или повышению эффективности проектов, позволяющих обеспечить достойную и стабильную работу для лиц, находящихся в уязвимом экономическом положении.  Все это требует проведения в жизнь стратегии, в рамках которой различные структуры общества участвуют с учетом накопленного опыта и имеющихся в их распоряжении практических механизмов в деятельности по содействию занятости, укреплению соответствующих проектов, поощрению системы производственных связей на низовом уровне и изысканию средств, способствующих экономической интеграции регионов.  Эффективная деятельность по двум последним направлениям позволит обеспечить успешное осуществление соответствующих проектов.</w:t>
      </w:r>
    </w:p>
    <w:p w:rsidR="00000000" w:rsidRDefault="00000000"/>
    <w:p w:rsidR="00000000" w:rsidRDefault="00000000">
      <w:r>
        <w:t>121.</w:t>
      </w:r>
      <w:r>
        <w:tab/>
        <w:t>Такая деятельность предполагает выделение необходимых средств из бюджета, организацию профессионального обучения, регулярное консультирование по техническим, административным и кадровым вопросам, а также участие ряда структур с целью выработки предложений о развитии на низовом уровне, оценки последствий, привлечения адекватных людских и материальных ресурсов, что позволяет облечь в конкретную форму и придать надлежащий импульс усилиям производителей и предпринимателей регионального и низового уровня в интересах расширения возможностей для более активной поддержки производственной деятельности на низовом уровне и обеспечения большей сбалансированности спроса и предложения товаров и услуг.</w:t>
      </w:r>
    </w:p>
    <w:p w:rsidR="00000000" w:rsidRDefault="00000000"/>
    <w:p w:rsidR="00000000" w:rsidRDefault="00000000">
      <w:r>
        <w:t>122.</w:t>
      </w:r>
      <w:r>
        <w:tab/>
        <w:t>В рамках этой схемы предусматривается возможность поддержки лиц или групп лиц, намеревающихся создать, расширить или укрепить какой</w:t>
      </w:r>
      <w:r>
        <w:noBreakHyphen/>
        <w:t>либо производственный проект.  На поддержку каждого производственного проекта выделяется до 25 000 песо (примерно 2 500 долл. США) из расчета на каждого участника проекта и до 125 000 песо (примерно 12 500 долл. США) в тех случаях, когда число участников проекта не превышает пяти человек.  Эти субсидии можно тратить только на приобретение инструментов, оборудования и техники, которые предоставляются в виде беспроцентных ссуд после подписания соответствующих контрактов.  Представляется важным отметить, что за соблюдением условий расходования ссуд осуществляется регулярный контроль.</w:t>
      </w:r>
    </w:p>
    <w:p w:rsidR="00000000" w:rsidRDefault="00000000"/>
    <w:p w:rsidR="00000000" w:rsidRDefault="00000000">
      <w:r>
        <w:t>123.</w:t>
      </w:r>
      <w:r>
        <w:tab/>
        <w:t>Кроме того, правительство Мексики намеревается усовершенствовать трудовое законодательство с целью укрепления предусмотренных в нем прав, поощрения занятости, дальнейшего развития системы профессиональной подготовки, повышения производительности труда и создания более благоприятных условий для конкуренции, что способствует укреплению экономического потенциала страны.  Принцип социальной справедливости является одним из элементов эффективной экономики, которой свойственно глобальное гуманистическое измерение.</w:t>
      </w:r>
    </w:p>
    <w:p w:rsidR="00000000" w:rsidRDefault="00000000"/>
    <w:p w:rsidR="00000000" w:rsidRDefault="00000000">
      <w:r>
        <w:t>124.</w:t>
      </w:r>
      <w:r>
        <w:tab/>
        <w:t>За период с 1970 года федеральный закон о труде не претерпел существенных изменений.  В силу необходимости его модернизации - на основе консенсуса - в апреле</w:t>
      </w:r>
      <w:r>
        <w:noBreakHyphen/>
        <w:t>мае 2001 года было организовано совещание с целью принятия решения по этому вопросу при участии на плюралистической и паритарной основе представителей производительных секторов.  К числу осуществленных в этой области мероприятий относится общенациональное гражданское обсуждение, а также предложение о пересмотре закона о труде, внесенное представителями производственных секторов 26 ноября 2002 года.  12 декабря 2002 года представители законодательной власти от Партии национального действия (ПНД), Институционно-революционной партии (ИРП) и Мексиканской экологической партии зеленых (МЭПЗ) представили в палату депутатов на основе достигнутой между собой договоренности инициативу, которая пока еще не получила необходимой поддержки для целей ее одобрения.</w:t>
      </w:r>
    </w:p>
    <w:p w:rsidR="00000000" w:rsidRDefault="00000000"/>
    <w:p w:rsidR="00000000" w:rsidRDefault="00000000">
      <w:r>
        <w:t>125.</w:t>
      </w:r>
      <w:r>
        <w:tab/>
        <w:t>Инициатива по пересмотру трудового законодательства охватывает следующие шесть тем:</w:t>
      </w:r>
    </w:p>
    <w:p w:rsidR="00000000" w:rsidRDefault="00000000"/>
    <w:p w:rsidR="00000000" w:rsidRDefault="00000000">
      <w:pPr>
        <w:numPr>
          <w:ilvl w:val="0"/>
          <w:numId w:val="4"/>
        </w:numPr>
        <w:tabs>
          <w:tab w:val="clear" w:pos="720"/>
        </w:tabs>
        <w:ind w:left="1134" w:hanging="573"/>
      </w:pPr>
      <w:r>
        <w:t>Термин "хозяин" заменяется на более адекватный в этом контексте термин "работодатель".  В качестве одной из важнейших функций трудовых норм признается принцип уважения личности, предусматривающий безусловный запрет на существование условий, способных стать причиной какой</w:t>
      </w:r>
      <w:r>
        <w:noBreakHyphen/>
        <w:t>либо дискриминации между трудящимися.</w:t>
      </w:r>
    </w:p>
    <w:p w:rsidR="00000000" w:rsidRDefault="00000000">
      <w:pPr>
        <w:ind w:left="1134" w:hanging="573"/>
      </w:pPr>
    </w:p>
    <w:p w:rsidR="00000000" w:rsidRDefault="00000000">
      <w:pPr>
        <w:numPr>
          <w:ilvl w:val="0"/>
          <w:numId w:val="4"/>
        </w:numPr>
        <w:tabs>
          <w:tab w:val="clear" w:pos="720"/>
        </w:tabs>
        <w:ind w:left="1134" w:hanging="573"/>
      </w:pPr>
      <w:r>
        <w:t>Кроме того, запрещается и карается сексуальное домогательство.  Предпринимателю запрещается увольнять беременную женщину или прямо или косвенно побуждать ее к тому, чтобы она уволилась с работы по причине беременности или по причине ее ухода за детьми.</w:t>
      </w:r>
    </w:p>
    <w:p w:rsidR="00000000" w:rsidRDefault="00000000">
      <w:pPr>
        <w:ind w:left="1134" w:hanging="573"/>
      </w:pPr>
    </w:p>
    <w:p w:rsidR="00000000" w:rsidRDefault="00000000">
      <w:pPr>
        <w:numPr>
          <w:ilvl w:val="0"/>
          <w:numId w:val="4"/>
        </w:numPr>
        <w:tabs>
          <w:tab w:val="clear" w:pos="720"/>
        </w:tabs>
        <w:ind w:left="1134" w:hanging="573"/>
      </w:pPr>
      <w:r>
        <w:t>В одном из разделов положения о пересмотре трудового законодательства предусматриваются новые формы заключения трудовых соглашений:  а)  соглашение о первоначальной профессиональной подготовке носит факультативный характер для целей получения доступа к рабочему месту и выхода из порочного круга безработицы по причине отсутствия опыта трудовой деятельности,  и  b)  трудовое соглашение на период работы в качестве стажера, а также ряд других новых трудовых соглашений аналогичного характера.  Продолжительность любого такого соглашения не может превышать 180 дней, не может применяться к одному и тому же трудящемуся более одного раза и в течение нескольких раз с перерывами.</w:t>
      </w:r>
    </w:p>
    <w:p w:rsidR="00000000" w:rsidRDefault="00000000">
      <w:pPr>
        <w:ind w:left="1134" w:hanging="573"/>
      </w:pPr>
    </w:p>
    <w:p w:rsidR="00000000" w:rsidRDefault="00000000">
      <w:pPr>
        <w:numPr>
          <w:ilvl w:val="0"/>
          <w:numId w:val="4"/>
        </w:numPr>
        <w:tabs>
          <w:tab w:val="clear" w:pos="720"/>
        </w:tabs>
        <w:ind w:left="1134" w:hanging="573"/>
      </w:pPr>
      <w:r>
        <w:t>Общеобразовательная система объединяется с системой профессионально-технической подготовки, что позволяет существенно повысить уровень подготовки соответствующих учебных заведений путем подключения к процессу профессионально-технического обучения преподавателей общеобразовательной системы, что дает возможность работодателю создать условия, позволяющие его работникам завершать начальное, среднее и постсреднее образование или любую другую общеобразовательную подготовку.  Кроме того, более высокий уровень общего образования работников позволяет работодателю более эффективно выполнять свои обязательства в области профессионально-технической подготовки кадров.</w:t>
      </w:r>
    </w:p>
    <w:p w:rsidR="00000000" w:rsidRDefault="00000000">
      <w:pPr>
        <w:ind w:left="1134" w:hanging="573"/>
      </w:pPr>
    </w:p>
    <w:p w:rsidR="00000000" w:rsidRDefault="00000000">
      <w:pPr>
        <w:numPr>
          <w:ilvl w:val="0"/>
          <w:numId w:val="4"/>
        </w:numPr>
        <w:tabs>
          <w:tab w:val="clear" w:pos="720"/>
        </w:tabs>
        <w:ind w:left="1134" w:hanging="573"/>
      </w:pPr>
      <w:r>
        <w:t>Предприятия, на которых трудится менее 21 работника, освобождаются от обязанности создавать смешанные комиссии, поскольку микропредприятия и малые предприятия не в состоянии содержать такие структуры.  Вместе с тем они не освобождаются от обязанности обеспечивать профессиональную подготовку, если только в коллективах, насчитывающих менее 21 человека, не обеспечивается такое взаимодействие между трудящимся и предпринимателем, которое позволяет трудящимся повышать уровень квалификации и образования.  Кроме того, с предпринимателей снимается требование относительно регистрации в МТСО своих планов и программ профессионально-технической подготовки.</w:t>
      </w:r>
    </w:p>
    <w:p w:rsidR="00000000" w:rsidRDefault="00000000"/>
    <w:p w:rsidR="00000000" w:rsidRDefault="00000000">
      <w:pPr>
        <w:numPr>
          <w:ilvl w:val="0"/>
          <w:numId w:val="5"/>
        </w:numPr>
        <w:tabs>
          <w:tab w:val="clear" w:pos="720"/>
        </w:tabs>
        <w:ind w:left="1134" w:hanging="573"/>
      </w:pPr>
      <w:r>
        <w:t>Расширяются возможности использования причитающихся выходных дней, поскольку либо по договоренности с работниками соответствующим образом строится график работы, либо по договоренности с ними выходные дни переносятся на понедельники или пятницы, примыкающие к праздничным дням, что позволяет избегать так называемых "мостиков", которые наносят ущерб производству.</w:t>
      </w:r>
    </w:p>
    <w:p w:rsidR="00000000" w:rsidRDefault="00000000">
      <w:pPr>
        <w:ind w:left="201"/>
      </w:pPr>
    </w:p>
    <w:p w:rsidR="00000000" w:rsidRDefault="00000000">
      <w:r>
        <w:t>126.</w:t>
      </w:r>
      <w:r>
        <w:tab/>
        <w:t>Получает профессиональный статус представитель трехсторонних советов, а также юрисконсульт, представляющий интересы трудящихся и работодателей.</w:t>
      </w:r>
    </w:p>
    <w:p w:rsidR="00000000" w:rsidRDefault="00000000">
      <w:pPr>
        <w:rPr>
          <w:lang w:val="en-US"/>
        </w:rPr>
      </w:pPr>
    </w:p>
    <w:bookmarkStart w:id="49" w:name="_MON_1197188114"/>
    <w:bookmarkStart w:id="50" w:name="_MON_1197188614"/>
    <w:bookmarkStart w:id="51" w:name="_MON_1197188635"/>
    <w:bookmarkStart w:id="52" w:name="_MON_1197189410"/>
    <w:bookmarkStart w:id="53" w:name="_MON_1197191162"/>
    <w:bookmarkStart w:id="54" w:name="_MON_1203745319"/>
    <w:bookmarkStart w:id="55" w:name="_MON_1203746035"/>
    <w:bookmarkStart w:id="56" w:name="_MON_1203750295"/>
    <w:bookmarkStart w:id="57" w:name="_MON_1203750414"/>
    <w:bookmarkStart w:id="58" w:name="_MON_1203750476"/>
    <w:bookmarkStart w:id="59" w:name="_MON_1203754206"/>
    <w:bookmarkStart w:id="60" w:name="_MON_1203754253"/>
    <w:bookmarkStart w:id="61" w:name="_MON_1203754435"/>
    <w:bookmarkStart w:id="62" w:name="_MON_1204375591"/>
    <w:bookmarkStart w:id="63" w:name="_MON_1204375628"/>
    <w:bookmarkStart w:id="64" w:name="_MON_1204609199"/>
    <w:bookmarkStart w:id="65" w:name="_MON_1204609224"/>
    <w:bookmarkStart w:id="66" w:name="_MON_1204612302"/>
    <w:bookmarkStart w:id="67" w:name="_MON_1204713632"/>
    <w:bookmarkStart w:id="68" w:name="_MON_1204713778"/>
    <w:bookmarkStart w:id="69" w:name="_MON_120471379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rsidR="00000000" w:rsidRDefault="00000000">
      <w:pPr>
        <w:jc w:val="center"/>
      </w:pPr>
      <w:r>
        <w:object w:dxaOrig="7060" w:dyaOrig="5309">
          <v:shape id="_x0000_i1031" type="#_x0000_t75" style="width:338.25pt;height:256.5pt" o:ole="">
            <v:imagedata r:id="rId19" o:title=""/>
          </v:shape>
          <o:OLEObject Type="Embed" ProgID="Word.Picture.8" ShapeID="_x0000_i1031" DrawAspect="Content" ObjectID="_1394895086" r:id="rId20"/>
        </w:object>
      </w:r>
    </w:p>
    <w:p w:rsidR="00000000" w:rsidRDefault="00000000">
      <w:pPr>
        <w:jc w:val="center"/>
      </w:pPr>
    </w:p>
    <w:p w:rsidR="00000000" w:rsidRDefault="00000000">
      <w:pPr>
        <w:spacing w:line="240" w:lineRule="auto"/>
        <w:rPr>
          <w:sz w:val="22"/>
        </w:rPr>
      </w:pPr>
      <w:r>
        <w:rPr>
          <w:i/>
          <w:iCs/>
          <w:sz w:val="22"/>
        </w:rPr>
        <w:t>Источник</w:t>
      </w:r>
      <w:r>
        <w:rPr>
          <w:sz w:val="22"/>
        </w:rPr>
        <w:t>:  министерство труда и социального обеспечения.</w:t>
      </w:r>
    </w:p>
    <w:p w:rsidR="00000000" w:rsidRDefault="00000000"/>
    <w:p w:rsidR="00000000" w:rsidRDefault="00000000">
      <w:r>
        <w:rPr>
          <w:b/>
          <w:bCs/>
        </w:rPr>
        <w:t>Пункт 9 d)</w:t>
      </w:r>
    </w:p>
    <w:p w:rsidR="00000000" w:rsidRDefault="00000000"/>
    <w:p w:rsidR="00000000" w:rsidRDefault="00000000">
      <w:r>
        <w:t>127.</w:t>
      </w:r>
      <w:r>
        <w:tab/>
        <w:t>Ныне действующие в Мексике нормы, гарантирующие свободу выбора трудовой деятельности, а также нормы, регулирующие условия занятости, не нарушают основные политические и экономические свободы человека и содержатся в Политической конституции Мексиканских Соединенных Штатов и в федеральном законе о труде (ФЗТ).</w:t>
      </w:r>
    </w:p>
    <w:p w:rsidR="00000000" w:rsidRDefault="00000000">
      <w:r>
        <w:t>128.</w:t>
      </w:r>
      <w:r>
        <w:tab/>
        <w:t>Что касается права на выбор профессии, то в статье 5 Политической конституции Мексиканских Соединенных Штатов устанавливается следующее:  "Никому не может быть запрещено в рамках закона выбирать любую профессию, заниматься любой промышленной или торговой деятельностью или делом по своему выбору (…)"</w:t>
      </w:r>
      <w:r>
        <w:rPr>
          <w:rStyle w:val="FootnoteReference"/>
        </w:rPr>
        <w:footnoteReference w:id="6"/>
      </w:r>
      <w:r>
        <w:t>.</w:t>
      </w:r>
    </w:p>
    <w:p w:rsidR="00000000" w:rsidRDefault="00000000"/>
    <w:p w:rsidR="00000000" w:rsidRDefault="00000000">
      <w:r>
        <w:t>129.</w:t>
      </w:r>
      <w:r>
        <w:tab/>
        <w:t>Равным образом в статье 123 Конституции устанавливается, что каждый человек имеет право на достойный и социально полезный труд.</w:t>
      </w:r>
    </w:p>
    <w:p w:rsidR="00000000" w:rsidRDefault="00000000"/>
    <w:p w:rsidR="00000000" w:rsidRDefault="00000000">
      <w:r>
        <w:t>130.</w:t>
      </w:r>
      <w:r>
        <w:tab/>
        <w:t>Согласно статье 4 федерального закона о труде "запрещается создание препятствий какому-либо лицу в труде, выборе подходящей ему профессии, производственной или коммерческой отрасли при условии их законности.  Осуществление этих прав может отменяться лишь по решению компетентного органа власти, когда это влечет за собой ущемление прав третьих лиц или противоречит интересам общества (…)"</w:t>
      </w:r>
      <w:r>
        <w:rPr>
          <w:rStyle w:val="FootnoteReference"/>
        </w:rPr>
        <w:footnoteReference w:id="7"/>
      </w:r>
      <w:r>
        <w:t>.</w:t>
      </w:r>
    </w:p>
    <w:p w:rsidR="00000000" w:rsidRDefault="00000000"/>
    <w:p w:rsidR="00000000" w:rsidRDefault="00000000">
      <w:r>
        <w:t>131.</w:t>
      </w:r>
      <w:r>
        <w:tab/>
        <w:t>В пункте 1 статьи 3 федерального закона о труде говорится, что "труд является социальным правом и социальной обязанностью.  Труд не может служить объектом торга, требует уважения, свободы и достоинства трудящегося и осуществляется в условиях, гарантирующих жизнь, здоровье и адекватный уровень трудящегося и его семьи".</w:t>
      </w:r>
    </w:p>
    <w:p w:rsidR="00000000" w:rsidRDefault="00000000"/>
    <w:p w:rsidR="00000000" w:rsidRDefault="00000000">
      <w:pPr>
        <w:rPr>
          <w:b/>
          <w:bCs/>
        </w:rPr>
      </w:pPr>
      <w:r>
        <w:rPr>
          <w:b/>
          <w:bCs/>
        </w:rPr>
        <w:t xml:space="preserve">Пункт 9 e) </w:t>
      </w:r>
    </w:p>
    <w:p w:rsidR="00000000" w:rsidRDefault="00000000">
      <w:pPr>
        <w:rPr>
          <w:b/>
          <w:bCs/>
        </w:rPr>
      </w:pPr>
    </w:p>
    <w:p w:rsidR="00000000" w:rsidRDefault="00000000">
      <w:r>
        <w:t>132.</w:t>
      </w:r>
      <w:r>
        <w:tab/>
        <w:t>Для МТСО обучение и профессиональная подготовка представляют собой важный фактор в деле развития способностей, трудовых навыков и качеств, нравственных приоритетов и принципов трудящихся.  В этом контексте МТСО формирует государственную стратегию профессионально-технического обучения трудящихся страны.  В целях реформирования системы трудовых отношений и поощрения новой культуры в сфере труда МТСО опирается на следующие программы учебно-технического обучения:</w:t>
      </w:r>
    </w:p>
    <w:p w:rsidR="00000000" w:rsidRDefault="00000000"/>
    <w:p w:rsidR="00000000" w:rsidRDefault="00000000">
      <w:pPr>
        <w:numPr>
          <w:ilvl w:val="0"/>
          <w:numId w:val="6"/>
        </w:numPr>
        <w:tabs>
          <w:tab w:val="clear" w:pos="720"/>
        </w:tabs>
        <w:ind w:left="1122" w:hanging="561"/>
      </w:pPr>
      <w:r>
        <w:rPr>
          <w:b/>
          <w:bCs/>
        </w:rPr>
        <w:t xml:space="preserve">Всеобъемлющие программы.  </w:t>
      </w:r>
      <w:r>
        <w:t>Эти программы в сфере развития людских ресурсов нацелены на всех трудящихся страны, независимо от их профессиональной или общеобразовательной подготовки или статуса в производственной сфере.  Цель этих программ заключается в поощрении новой культуры труда, способствующей гармонизации трудовых отношений путем организации и осуществления учебно-производственных курсов, призванных содействовать более эффективному признанию принципа уважения достоинства личности, развитию концепции труда в качестве средства для повышения уровня жизни и укрепления коллективов в качестве образований, способствующих совместному развитию.</w:t>
      </w:r>
    </w:p>
    <w:p w:rsidR="00000000" w:rsidRDefault="00000000">
      <w:pPr>
        <w:ind w:left="201"/>
      </w:pPr>
    </w:p>
    <w:p w:rsidR="00000000" w:rsidRDefault="00000000">
      <w:pPr>
        <w:numPr>
          <w:ilvl w:val="0"/>
          <w:numId w:val="6"/>
        </w:numPr>
        <w:tabs>
          <w:tab w:val="clear" w:pos="720"/>
        </w:tabs>
        <w:ind w:left="1122" w:hanging="561"/>
      </w:pPr>
      <w:r>
        <w:rPr>
          <w:b/>
          <w:bCs/>
        </w:rPr>
        <w:t>Многоцелевые программы.</w:t>
      </w:r>
      <w:r>
        <w:t xml:space="preserve">  Эти программы предусматривают организацию профессионально-технической подготовки по тем видам трудовой деятельности, которые пользуются наибольшим спросом в стране, и охватывают в первую очередь лиц с низким уровнем образования и доходов.  В рамках этих программ предусматривается возможность подготовки трудящихся в качестве инструкторов, способных в свою очередь обучать лиц профессиям, пользующимся наибольшим спросом.  Опираясь на учебные пособия, разработанные на базе соответствующих технико-профессиональных стандартов, такие инструкторы способствуют распространению соответствующих профессионально-технических знаний на тех предприятиях, где они работают.  Использование этого механизма позволяет предприятиям готовить персонал, способный вести обучение в существующих на предприятиях центрах профессионально-технической подготовки и оценивать уровень ее эффективности.  Такая схема позволяет работникам повышать свою техническую квалификацию, что, в свою очередь, способствует повышению качества их жизни и конкурентоспособности микропредприятий, а также малых и средних предприятий.</w:t>
      </w:r>
    </w:p>
    <w:p w:rsidR="00000000" w:rsidRDefault="00000000">
      <w:pPr>
        <w:ind w:left="201"/>
      </w:pPr>
    </w:p>
    <w:p w:rsidR="00000000" w:rsidRDefault="00000000">
      <w:pPr>
        <w:numPr>
          <w:ilvl w:val="0"/>
          <w:numId w:val="6"/>
        </w:numPr>
        <w:tabs>
          <w:tab w:val="clear" w:pos="720"/>
        </w:tabs>
        <w:ind w:left="1122" w:hanging="561"/>
      </w:pPr>
      <w:r>
        <w:rPr>
          <w:b/>
          <w:bCs/>
        </w:rPr>
        <w:t>Программа содействия профессиональному обучению (ПАК).</w:t>
      </w:r>
      <w:r>
        <w:t xml:space="preserve">  Как отмечалось выше, эта программа охватывает микропредприятия, а также малые и средние предприятия и предусматривает оказание технического содействия для целей осуществления программ профессионально-технической подготовки.</w:t>
      </w:r>
    </w:p>
    <w:p w:rsidR="00000000" w:rsidRDefault="00000000">
      <w:pPr>
        <w:ind w:left="201"/>
      </w:pPr>
    </w:p>
    <w:p w:rsidR="00000000" w:rsidRDefault="00000000">
      <w:r>
        <w:t>133.</w:t>
      </w:r>
      <w:r>
        <w:tab/>
        <w:t>В отличие от других социальных программ, нацеленных на решение конкретных проблем, ПАК предусматривает создание новаторской системы, позволяющей инвестировать государственные и частные средства с учетом необходимости осуществления системных мероприятий по совершенствованию глобализованного рынка.</w:t>
      </w:r>
    </w:p>
    <w:p w:rsidR="00000000" w:rsidRDefault="00000000"/>
    <w:p w:rsidR="00000000" w:rsidRDefault="00000000">
      <w:r>
        <w:t>134.</w:t>
      </w:r>
      <w:r>
        <w:tab/>
        <w:t xml:space="preserve">По линии ПАК направляются экономические средства для целей реализации программ профессионально-технической подготовки;  удовлетворяются различные потребности производительного сектора;  обеспечивается взаимодействие между административными органами регионального уровня, производительным сектором и органами, представляющими интересы предпринимателей и трудящихся, предпринимаются меры по повышению квалификации кадров на основе предусмотренных МТСО критериев в целях повышения уровня жизни трудящихся и предпринимателей, а также членов их семей и изыскиваются средства, обеспечивающие полную реализацию их личностного потенциала.  Кроме того, осуществляется деятельность по повышению конкурентоспособности предприятий, их более эффективной интеграции на рынках труда и участия в процессах развития.  </w:t>
      </w:r>
    </w:p>
    <w:p w:rsidR="00000000" w:rsidRDefault="00000000"/>
    <w:p w:rsidR="00000000" w:rsidRDefault="00000000">
      <w:pPr>
        <w:numPr>
          <w:ilvl w:val="0"/>
          <w:numId w:val="6"/>
        </w:numPr>
        <w:tabs>
          <w:tab w:val="clear" w:pos="720"/>
        </w:tabs>
        <w:ind w:left="1122" w:hanging="561"/>
      </w:pPr>
      <w:r>
        <w:rPr>
          <w:b/>
          <w:bCs/>
        </w:rPr>
        <w:t>Программа содействия занятости</w:t>
      </w:r>
      <w:r>
        <w:t>.  Цель этой программы заключается в содействии уровню занятости безработных и неполностью занятых лиц путем оказания им консультативных и технических услуг по вопросам трудоустройства и предоставления соответствующей информации и, при необходимости, организации курсов профессионально-технической подготовки или выплаты денежных пособий в зависимости от их профессионального профиля и конъюнктуры на рынке труда.</w:t>
      </w:r>
    </w:p>
    <w:p w:rsidR="00000000" w:rsidRDefault="00000000"/>
    <w:p w:rsidR="00000000" w:rsidRDefault="00000000">
      <w:r>
        <w:t>135.</w:t>
      </w:r>
      <w:r>
        <w:tab/>
        <w:t>Эти и другие инструменты отвечают новому видению трудового процесса, а также новой концепции производительности и качества труда и конкурентоспособности.  В</w:t>
      </w:r>
      <w:r>
        <w:rPr>
          <w:lang w:val="en-US"/>
        </w:rPr>
        <w:t> </w:t>
      </w:r>
      <w:r>
        <w:t xml:space="preserve">приложении к настоящему документу содержатся статистические данные, касающиеся профессионально-технического обучения и занятости за период 1999-2001 годов (приложение </w:t>
      </w:r>
      <w:r>
        <w:rPr>
          <w:lang w:val="en-US"/>
        </w:rPr>
        <w:t>III</w:t>
      </w:r>
      <w:r>
        <w:t>).</w:t>
      </w:r>
    </w:p>
    <w:p w:rsidR="00000000" w:rsidRDefault="00000000"/>
    <w:p w:rsidR="00000000" w:rsidRDefault="00000000">
      <w:pPr>
        <w:rPr>
          <w:b/>
          <w:bCs/>
        </w:rPr>
      </w:pPr>
      <w:r>
        <w:rPr>
          <w:b/>
          <w:bCs/>
        </w:rPr>
        <w:t xml:space="preserve">Пункт 9 f) </w:t>
      </w:r>
    </w:p>
    <w:p w:rsidR="00000000" w:rsidRDefault="00000000">
      <w:pPr>
        <w:rPr>
          <w:b/>
          <w:bCs/>
        </w:rPr>
      </w:pPr>
    </w:p>
    <w:p w:rsidR="00000000" w:rsidRDefault="00000000">
      <w:r>
        <w:t>136.</w:t>
      </w:r>
      <w:r>
        <w:tab/>
        <w:t>В течение последних трех десятилетий экономика Мексики претерпевала определенные трудности, связанные с чередой экономических трудностей, обусловленных исчерпанностью модели экономического развития, применявшейся в период 40</w:t>
      </w:r>
      <w:r>
        <w:noBreakHyphen/>
        <w:t>80</w:t>
      </w:r>
      <w:r>
        <w:noBreakHyphen/>
        <w:t xml:space="preserve">х годов.  После этого был осуществлен поворот в сторону ускоренного открытия </w:t>
      </w:r>
    </w:p>
    <w:p w:rsidR="00000000" w:rsidRDefault="00000000">
      <w:r>
        <w:br w:type="page"/>
        <w:t>рынка и интеграции в глобальное экономическое пространство, что потребовало осуществления ряда необходимых преобразований для целей модернизации производительных структур и рынка труда с учетом современных экономических реалий.</w:t>
      </w:r>
    </w:p>
    <w:p w:rsidR="00000000" w:rsidRDefault="00000000"/>
    <w:p w:rsidR="00000000" w:rsidRDefault="00000000">
      <w:r>
        <w:t>137.</w:t>
      </w:r>
      <w:r>
        <w:tab/>
        <w:t>Следует отметить, что в период с 2001 года в мире существовали неблагоприятные экономические условия, что затрудняло выход страны из экономического кризиса невзирая на разнообразные усилия, предпринимаемые на национальном и региональном уровне для целей активизации экономики.  Так, например, трудности, переживаемые экономикой Соединенных Штатов в последние четыре года после десяти лет непрерывного развития, замедляют процесс стабильного оживления мексиканской экономики.  Помимо вышеуказанных проблем, восстановлению и развитию сферы занятости мешает отсутствие между различными политическими структурами согласованных действий для целей осуществления целого ряда необходимых реформ.</w:t>
      </w:r>
    </w:p>
    <w:p w:rsidR="00000000" w:rsidRDefault="00000000"/>
    <w:p w:rsidR="00000000" w:rsidRDefault="00000000">
      <w:r>
        <w:t>138.</w:t>
      </w:r>
      <w:r>
        <w:tab/>
        <w:t>Однако невзирая на эти проблемы, при нынешней администрации национальная экономика продолжает год от года успешно развиваться.  По состоянию на конец 2004 года, прирост валового внутреннего продукта составлял 4%.</w:t>
      </w:r>
    </w:p>
    <w:p w:rsidR="00000000" w:rsidRDefault="00000000"/>
    <w:p w:rsidR="00000000" w:rsidRDefault="00000000">
      <w:r>
        <w:t>139.</w:t>
      </w:r>
      <w:r>
        <w:tab/>
        <w:t>Федеральное правительство осуществляет активную деятельность, направленную на диверсификацию и расширение доступа к рынку труда всех слоев населения, что способствует созданию более динамичного и прозрачного рынка труда.  Соответствующие мероприятия описываются в разделе 2 b).</w:t>
      </w:r>
    </w:p>
    <w:p w:rsidR="00000000" w:rsidRDefault="00000000"/>
    <w:p w:rsidR="00000000" w:rsidRDefault="00000000">
      <w:pPr>
        <w:rPr>
          <w:b/>
          <w:bCs/>
        </w:rPr>
      </w:pPr>
      <w:r>
        <w:rPr>
          <w:b/>
          <w:bCs/>
        </w:rPr>
        <w:t>Пункт 10 a)</w:t>
      </w:r>
    </w:p>
    <w:p w:rsidR="00000000" w:rsidRDefault="00000000">
      <w:pPr>
        <w:rPr>
          <w:b/>
          <w:bCs/>
        </w:rPr>
      </w:pPr>
    </w:p>
    <w:p w:rsidR="00000000" w:rsidRDefault="00000000">
      <w:pPr>
        <w:rPr>
          <w:b/>
          <w:bCs/>
        </w:rPr>
      </w:pPr>
      <w:r>
        <w:rPr>
          <w:b/>
          <w:bCs/>
        </w:rPr>
        <w:tab/>
        <w:t>Нормативно-правовая база</w:t>
      </w:r>
    </w:p>
    <w:p w:rsidR="00000000" w:rsidRDefault="00000000">
      <w:pPr>
        <w:rPr>
          <w:b/>
          <w:bCs/>
        </w:rPr>
      </w:pPr>
    </w:p>
    <w:p w:rsidR="00000000" w:rsidRDefault="00000000">
      <w:pPr>
        <w:rPr>
          <w:b/>
          <w:bCs/>
          <w:i/>
          <w:iCs/>
        </w:rPr>
      </w:pPr>
      <w:r>
        <w:rPr>
          <w:b/>
          <w:bCs/>
          <w:i/>
          <w:iCs/>
        </w:rPr>
        <w:tab/>
        <w:t>Конституционный уровень</w:t>
      </w:r>
    </w:p>
    <w:p w:rsidR="00000000" w:rsidRDefault="00000000">
      <w:pPr>
        <w:rPr>
          <w:b/>
          <w:bCs/>
          <w:i/>
          <w:iCs/>
        </w:rPr>
      </w:pPr>
    </w:p>
    <w:p w:rsidR="00000000" w:rsidRDefault="00000000">
      <w:r>
        <w:t>140.</w:t>
      </w:r>
      <w:r>
        <w:tab/>
        <w:t>В соответствии с законодательством Мексики запрещается любая дискриминация по признаку:</w:t>
      </w:r>
    </w:p>
    <w:p w:rsidR="00000000" w:rsidRDefault="00000000">
      <w:pPr>
        <w:spacing w:before="40"/>
        <w:ind w:left="201"/>
      </w:pPr>
      <w:r>
        <w:tab/>
        <w:t>этнического или национального происхождения,</w:t>
      </w:r>
    </w:p>
    <w:p w:rsidR="00000000" w:rsidRDefault="00000000">
      <w:pPr>
        <w:spacing w:before="40"/>
        <w:ind w:left="201"/>
      </w:pPr>
      <w:r>
        <w:tab/>
        <w:t>пола,</w:t>
      </w:r>
    </w:p>
    <w:p w:rsidR="00000000" w:rsidRDefault="00000000">
      <w:pPr>
        <w:spacing w:before="40"/>
        <w:ind w:left="201"/>
      </w:pPr>
      <w:r>
        <w:tab/>
        <w:t>возраста,</w:t>
      </w:r>
    </w:p>
    <w:p w:rsidR="00000000" w:rsidRDefault="00000000">
      <w:pPr>
        <w:spacing w:before="40"/>
        <w:ind w:left="201"/>
      </w:pPr>
      <w:r>
        <w:tab/>
        <w:t>различий в способностях,</w:t>
      </w:r>
    </w:p>
    <w:p w:rsidR="00000000" w:rsidRDefault="00000000">
      <w:pPr>
        <w:spacing w:before="40"/>
        <w:ind w:left="201"/>
      </w:pPr>
      <w:r>
        <w:tab/>
        <w:t>социального положения,</w:t>
      </w:r>
    </w:p>
    <w:p w:rsidR="00000000" w:rsidRDefault="00000000">
      <w:pPr>
        <w:spacing w:before="40"/>
        <w:ind w:left="201"/>
      </w:pPr>
      <w:r>
        <w:tab/>
        <w:t>состояния здоровья,</w:t>
      </w:r>
    </w:p>
    <w:p w:rsidR="00000000" w:rsidRDefault="00000000">
      <w:pPr>
        <w:spacing w:before="40"/>
        <w:ind w:left="201"/>
      </w:pPr>
      <w:r>
        <w:tab/>
        <w:t>религии, убеждений,</w:t>
      </w:r>
    </w:p>
    <w:p w:rsidR="00000000" w:rsidRDefault="00000000">
      <w:pPr>
        <w:spacing w:before="40"/>
        <w:ind w:left="201"/>
      </w:pPr>
      <w:r>
        <w:tab/>
        <w:t>сексуальной ориентации,</w:t>
      </w:r>
    </w:p>
    <w:p w:rsidR="00000000" w:rsidRDefault="00000000">
      <w:pPr>
        <w:spacing w:before="40"/>
        <w:ind w:left="567" w:hanging="366"/>
      </w:pPr>
      <w:r>
        <w:tab/>
        <w:t>гражданского состояния или любого другого обстоятельства, ущемляющая человеческое достоинство и имеющая целью отрицание или умаление прав и свобод человека.</w:t>
      </w:r>
    </w:p>
    <w:p w:rsidR="00000000" w:rsidRDefault="00000000"/>
    <w:p w:rsidR="00000000" w:rsidRDefault="00000000">
      <w:r>
        <w:t>141.</w:t>
      </w:r>
      <w:r>
        <w:tab/>
        <w:t>Настоящий запрет предусматривается в пункте 3 статьи 1 Политической конституции Мексиканских Соединенных Штатов и в федеральном законе о предупреждении и искоренении дискриминации (как это уже отмечалось в связи с ответом на вопросы по статье 2), что гарантирует соблюдение принципа равноправия</w:t>
      </w:r>
      <w:r>
        <w:rPr>
          <w:rStyle w:val="FootnoteReference"/>
        </w:rPr>
        <w:footnoteReference w:id="8"/>
      </w:r>
      <w:r>
        <w:t>.</w:t>
      </w:r>
    </w:p>
    <w:p w:rsidR="00000000" w:rsidRDefault="00000000"/>
    <w:p w:rsidR="00000000" w:rsidRDefault="00000000">
      <w:r>
        <w:t>142.</w:t>
      </w:r>
      <w:r>
        <w:tab/>
        <w:t>Равным образом в статье 3 федерального закона о труде устанавливается запрет на проведение разграничений между трудящимися по признаку расы, пола, возраста, религиозных верований, политических убеждений или социального положения</w:t>
      </w:r>
      <w:r>
        <w:rPr>
          <w:rStyle w:val="FootnoteReference"/>
        </w:rPr>
        <w:footnoteReference w:id="9"/>
      </w:r>
      <w:r>
        <w:t>.</w:t>
      </w:r>
    </w:p>
    <w:p w:rsidR="00000000" w:rsidRDefault="00000000">
      <w:pPr>
        <w:spacing w:line="240" w:lineRule="auto"/>
      </w:pPr>
    </w:p>
    <w:p w:rsidR="00000000" w:rsidRDefault="00000000">
      <w:pPr>
        <w:spacing w:line="240" w:lineRule="auto"/>
      </w:pPr>
      <w:r>
        <w:rPr>
          <w:b/>
          <w:bCs/>
        </w:rPr>
        <w:tab/>
        <w:t>Федеральное законодательство</w:t>
      </w:r>
    </w:p>
    <w:p w:rsidR="00000000" w:rsidRDefault="00000000">
      <w:pPr>
        <w:spacing w:line="240" w:lineRule="auto"/>
      </w:pPr>
    </w:p>
    <w:p w:rsidR="00000000" w:rsidRDefault="00000000">
      <w:r>
        <w:t>143.</w:t>
      </w:r>
      <w:r>
        <w:tab/>
        <w:t>Ниже перечисляются конкретные нормативные акты, обеспечивающие запрещение дискриминации:</w:t>
      </w:r>
    </w:p>
    <w:p w:rsidR="00000000" w:rsidRDefault="00000000">
      <w:pPr>
        <w:ind w:left="1134" w:hanging="1134"/>
      </w:pPr>
      <w:r>
        <w:tab/>
        <w:t>1.</w:t>
      </w:r>
      <w:r>
        <w:tab/>
      </w:r>
      <w:r>
        <w:rPr>
          <w:b/>
          <w:bCs/>
        </w:rPr>
        <w:t>Федеральный закон о предупреждении и искоренении дискриминации</w:t>
      </w:r>
      <w:r>
        <w:t xml:space="preserve"> конкретно касается различных видов дискриминации (см. приложение I).</w:t>
      </w:r>
    </w:p>
    <w:p w:rsidR="00000000" w:rsidRDefault="00000000">
      <w:pPr>
        <w:ind w:left="1134" w:hanging="1134"/>
      </w:pPr>
    </w:p>
    <w:p w:rsidR="00000000" w:rsidRDefault="00000000">
      <w:pPr>
        <w:ind w:left="1134" w:hanging="1134"/>
      </w:pPr>
      <w:r>
        <w:tab/>
        <w:t>2.</w:t>
      </w:r>
      <w:r>
        <w:tab/>
      </w:r>
      <w:r>
        <w:rPr>
          <w:b/>
          <w:bCs/>
        </w:rPr>
        <w:t>Общий закон о языковых правах коренных народов</w:t>
      </w:r>
      <w:r>
        <w:t xml:space="preserve">, опубликованный в "Диарио Офисиэль де ла Федерасьон" ("Федеральном официальном вестнике") от 13 марта 2003 года, предусматривает в статье 8, что никто не может подвергаться дискриминации в какой бы то ни было форме по причине или в силу языка, на котором он говорит.  </w:t>
      </w:r>
    </w:p>
    <w:p w:rsidR="00000000" w:rsidRDefault="00000000">
      <w:pPr>
        <w:ind w:left="1134" w:hanging="1134"/>
      </w:pPr>
    </w:p>
    <w:p w:rsidR="00000000" w:rsidRDefault="00000000">
      <w:pPr>
        <w:ind w:left="1134" w:hanging="1134"/>
      </w:pPr>
      <w:r>
        <w:tab/>
      </w:r>
      <w:r>
        <w:tab/>
      </w:r>
      <w:r>
        <w:tab/>
        <w:t>Кроме того, в статье 24 предусматривается, что Национальный институт языков коренных народов и его филиалы в штатах обеспечивают, в соответствующих случаях, чтобы компетентные органы власти издавали законы, пресекающие и карающие различные виды дискриминации, социального отчуждения и эксплуатации лиц, говорящих на языках коренных народов страны, или нарушение норм, устанавливающих в соответствии с этим законом права в интересах лиц, говорящих на языках коренных народов страны.</w:t>
      </w:r>
    </w:p>
    <w:p w:rsidR="00000000" w:rsidRDefault="00000000"/>
    <w:p w:rsidR="00000000" w:rsidRDefault="00000000">
      <w:pPr>
        <w:ind w:left="1134" w:hanging="1134"/>
        <w:rPr>
          <w:b/>
          <w:bCs/>
        </w:rPr>
      </w:pPr>
      <w:r>
        <w:tab/>
        <w:t>3.</w:t>
      </w:r>
      <w:r>
        <w:tab/>
      </w:r>
      <w:r>
        <w:rPr>
          <w:b/>
          <w:bCs/>
        </w:rPr>
        <w:t>Закон о религиозных ассоциациях и отправлении культа</w:t>
      </w:r>
      <w:r>
        <w:t xml:space="preserve">, опубликованный в "Федеральном официальном вестнике" от 15 июля 1992 года, предусматривает в пункте с) статьи 2, что мексиканское государство гарантирует в религиозной области право лиц не подвергаться дискриминации, принуждению или преследованию по причине их религиозных убеждений, а также разглашать свои религиозные убеждения.  Кроме того, в этом законе предусматривается </w:t>
      </w:r>
      <w:r>
        <w:rPr>
          <w:u w:val="single"/>
        </w:rPr>
        <w:t>запрещение ссылаться на религиозные мотивы с целью воспрепятствовать кому бы то ни было осуществлять какую-либо работу или деятельность, за исключением случаев, предусмотренных в настоящем законе, и в других применимых нормативных актах</w:t>
      </w:r>
      <w:r>
        <w:t>.</w:t>
      </w:r>
    </w:p>
    <w:p w:rsidR="00000000" w:rsidRDefault="00000000">
      <w:pPr>
        <w:rPr>
          <w:b/>
          <w:bCs/>
        </w:rPr>
      </w:pPr>
    </w:p>
    <w:p w:rsidR="00000000" w:rsidRDefault="00000000">
      <w:pPr>
        <w:ind w:left="1134" w:hanging="1134"/>
      </w:pPr>
      <w:r>
        <w:tab/>
        <w:t>4.</w:t>
      </w:r>
      <w:r>
        <w:tab/>
      </w:r>
      <w:r>
        <w:rPr>
          <w:b/>
          <w:bCs/>
        </w:rPr>
        <w:t>Закон о правах пожилых лиц</w:t>
      </w:r>
      <w:r>
        <w:t>, опубликованный в "Федеральном официальном вестнике" от 25 июня 2002 года, предусматривает в статье 5, что однозначная и безоговорочная цель настоящего закона заключается в том, чтобы гарантировать пожилым людьми следующие права:</w:t>
      </w:r>
    </w:p>
    <w:p w:rsidR="00000000" w:rsidRDefault="00000000"/>
    <w:p w:rsidR="00000000" w:rsidRDefault="00000000">
      <w:pPr>
        <w:ind w:left="1701" w:hanging="1701"/>
        <w:rPr>
          <w:b/>
          <w:bCs/>
        </w:rPr>
      </w:pPr>
      <w:r>
        <w:tab/>
      </w:r>
      <w:r>
        <w:tab/>
      </w:r>
      <w:r>
        <w:rPr>
          <w:lang w:val="en-US"/>
        </w:rPr>
        <w:t>I</w:t>
      </w:r>
      <w:r>
        <w:t>.</w:t>
      </w:r>
      <w:r>
        <w:rPr>
          <w:b/>
          <w:bCs/>
        </w:rPr>
        <w:tab/>
      </w:r>
      <w:r>
        <w:rPr>
          <w:i/>
          <w:iCs/>
        </w:rPr>
        <w:t>Право на неприкосновенность, уважение человеческого достоинства и социальные льготы:</w:t>
      </w:r>
    </w:p>
    <w:p w:rsidR="00000000" w:rsidRDefault="00000000">
      <w:pPr>
        <w:ind w:left="1134" w:hanging="1134"/>
        <w:rPr>
          <w:b/>
          <w:bCs/>
        </w:rPr>
      </w:pPr>
    </w:p>
    <w:p w:rsidR="00000000" w:rsidRDefault="00000000">
      <w:r>
        <w:tab/>
      </w:r>
      <w:r>
        <w:tab/>
      </w:r>
      <w:r>
        <w:tab/>
        <w:t>в целях защиты от любых форм эксплуатации.</w:t>
      </w:r>
    </w:p>
    <w:p w:rsidR="00000000" w:rsidRDefault="00000000"/>
    <w:p w:rsidR="00000000" w:rsidRDefault="00000000">
      <w:r>
        <w:rPr>
          <w:b/>
          <w:bCs/>
        </w:rPr>
        <w:tab/>
      </w:r>
      <w:r>
        <w:rPr>
          <w:b/>
          <w:bCs/>
        </w:rPr>
        <w:tab/>
      </w:r>
      <w:r>
        <w:rPr>
          <w:lang w:val="en-US"/>
        </w:rPr>
        <w:t>II</w:t>
      </w:r>
      <w:r>
        <w:t>.</w:t>
      </w:r>
      <w:r>
        <w:tab/>
      </w:r>
      <w:r>
        <w:rPr>
          <w:i/>
          <w:iCs/>
        </w:rPr>
        <w:t>Право на труд:</w:t>
      </w:r>
      <w:r>
        <w:t xml:space="preserve">  </w:t>
      </w:r>
    </w:p>
    <w:p w:rsidR="00000000" w:rsidRDefault="00000000">
      <w:pPr>
        <w:rPr>
          <w:b/>
          <w:bCs/>
        </w:rPr>
      </w:pPr>
    </w:p>
    <w:p w:rsidR="00000000" w:rsidRDefault="00000000">
      <w:pPr>
        <w:ind w:left="1134" w:hanging="1134"/>
      </w:pPr>
      <w:r>
        <w:tab/>
      </w:r>
      <w:r>
        <w:tab/>
        <w:t>в условиях равенства возможностей в плане доступа к трудовой деятельности или осуществления других возможностей, обеспечивающих надлежащее участие в производственной деятельности в течение желаемого времени, а также в режиме охвата защитными нормами, предусмотренными федеральным законом о труде и другими нормативными актами в сфере труда.</w:t>
      </w:r>
    </w:p>
    <w:p w:rsidR="00000000" w:rsidRDefault="00000000"/>
    <w:p w:rsidR="00000000" w:rsidRDefault="00000000">
      <w:pPr>
        <w:ind w:left="1134" w:hanging="1134"/>
      </w:pPr>
      <w:r>
        <w:tab/>
        <w:t>5.</w:t>
      </w:r>
      <w:r>
        <w:tab/>
      </w:r>
      <w:r>
        <w:rPr>
          <w:b/>
          <w:bCs/>
        </w:rPr>
        <w:t>Общий закон о социальном развитии</w:t>
      </w:r>
      <w:r>
        <w:t>, опубликованный в "Федеральном официальном вестнике" от 20 января 2004 года, предусматривает в статье 3, что политика в области социального развития зиждется, в частности, на принципах свободы (возможности индивидов выбирать средства для развития личности, а также участвовать в социальном развитии);  равноправия (что гарантирует получение каждым человеком на равной основе благ в процессе развития в соответствии со своими заслугами, потребностями, способностями и с учетом потребностей других лиц);  солидарности;  взаимозависимости;  социального участия;  устойчивого развития;  уважения права на разнообразие (признание факторов этнического происхождения, пола, возраста, различий в способностях, социального положения, состояния здоровья, религии, мнений и предпочтений, гражданского состояния или любых других обстоятельств в целях пресечения любых форм дискриминации и поощрения развития на принципах равенства и уважения права на различие), а также права на самоопределение и автономию коренных народов и их общин и права на транспарентность (признание в конституционных рамках особого внутреннего уклада и организации, сферы применения их собственных нормативных систем, механизмов избрания руководителей или своих представителей, способов сохранения и обогащения своих языков и культуры, средств сохранения и улучшения среды проживания и преференциального доступа к природным ресурсам;  направление представителей в местные органы государственной власти и обеспечение всестороннего доступа к государственной судебной системе).</w:t>
      </w:r>
    </w:p>
    <w:p w:rsidR="00000000" w:rsidRDefault="00000000">
      <w:pPr>
        <w:ind w:left="1134" w:hanging="1134"/>
      </w:pPr>
    </w:p>
    <w:p w:rsidR="00000000" w:rsidRDefault="00000000">
      <w:pPr>
        <w:ind w:left="1134" w:hanging="1134"/>
      </w:pPr>
      <w:r>
        <w:tab/>
      </w:r>
      <w:r>
        <w:tab/>
        <w:t>Кроме того, в статье 6 этого закона признаются такие социальные права, как право на образование, охрану здоровья, питание, жилище, здоровую окружающую среду, право на труд и социальное обеспечение, а также права, касающиеся недискриминации по смыслу Политической конституции Мексиканских Соединенных Штатов.</w:t>
      </w:r>
    </w:p>
    <w:p w:rsidR="00000000" w:rsidRDefault="00000000"/>
    <w:p w:rsidR="00000000" w:rsidRDefault="00000000">
      <w:pPr>
        <w:ind w:left="1134" w:hanging="567"/>
      </w:pPr>
      <w:r>
        <w:t>6.</w:t>
      </w:r>
      <w:r>
        <w:tab/>
      </w:r>
      <w:r>
        <w:rPr>
          <w:b/>
          <w:bCs/>
        </w:rPr>
        <w:t>Закон о Национальной комиссии по вопросам развития коренных народов</w:t>
      </w:r>
      <w:r>
        <w:t xml:space="preserve">, опубликованный в "Федеральном официальном вестнике" от 21 мая 2003 года, предусматривает в пункте </w:t>
      </w:r>
      <w:r>
        <w:rPr>
          <w:lang w:val="en-US"/>
        </w:rPr>
        <w:t>II</w:t>
      </w:r>
      <w:r>
        <w:t xml:space="preserve"> статьи 2 наделение этой комиссии полномочиями в целях содействия борьбе с дискриминацией или социальным отчуждением и созданию единого плюралистского, терпимого общества на принципах уважения различий и межкультурного диалога.</w:t>
      </w:r>
    </w:p>
    <w:p w:rsidR="00000000" w:rsidRDefault="00000000">
      <w:pPr>
        <w:ind w:left="1134" w:hanging="567"/>
      </w:pPr>
    </w:p>
    <w:p w:rsidR="00000000" w:rsidRDefault="00000000">
      <w:pPr>
        <w:ind w:left="1134" w:hanging="567"/>
      </w:pPr>
      <w:r>
        <w:t>7.</w:t>
      </w:r>
      <w:r>
        <w:tab/>
      </w:r>
      <w:r>
        <w:rPr>
          <w:b/>
          <w:bCs/>
        </w:rPr>
        <w:t>Закон о Национальном институте по делам женщин</w:t>
      </w:r>
      <w:r>
        <w:t>, опубликованный в "Федеральном официальном вестнике" от 12 января 2001 года, предусматривает, в частности, следующее:</w:t>
      </w:r>
    </w:p>
    <w:p w:rsidR="00000000" w:rsidRDefault="00000000"/>
    <w:p w:rsidR="00000000" w:rsidRDefault="00000000">
      <w:pPr>
        <w:ind w:left="1134"/>
      </w:pPr>
      <w:r>
        <w:t>По смыслу статьи 4 этого закона основная цель Национального института по делам женщин заключается в создании и поощрении условий, обеспечивающих осуществление принципов недискриминации, равенства возможностей и обращения для мужчин и женщин, а также полномасштабное осуществление всех прав женщин и их равноправное участие в политической, культурной, экономической и социальной жизни страны.</w:t>
      </w:r>
    </w:p>
    <w:p w:rsidR="00000000" w:rsidRDefault="00000000">
      <w:pPr>
        <w:ind w:left="1701" w:hanging="567"/>
      </w:pPr>
    </w:p>
    <w:p w:rsidR="00000000" w:rsidRDefault="00000000">
      <w:pPr>
        <w:ind w:left="1134"/>
      </w:pPr>
      <w:r>
        <w:t>За институтом закрепляются, среди прочего, следующие полномочия (статья 7):</w:t>
      </w:r>
    </w:p>
    <w:p w:rsidR="00000000" w:rsidRDefault="00000000">
      <w:pPr>
        <w:ind w:left="567"/>
      </w:pPr>
    </w:p>
    <w:p w:rsidR="00000000" w:rsidRDefault="00000000">
      <w:pPr>
        <w:ind w:left="1701"/>
      </w:pPr>
      <w:r>
        <w:t>содействие разработке государственных стратегий и их применения в обществе для целей обеспечения равноправия полов;</w:t>
      </w:r>
    </w:p>
    <w:p w:rsidR="00000000" w:rsidRDefault="00000000">
      <w:pPr>
        <w:ind w:left="1701"/>
      </w:pPr>
    </w:p>
    <w:p w:rsidR="00000000" w:rsidRDefault="00000000">
      <w:pPr>
        <w:ind w:left="1701"/>
      </w:pPr>
      <w:r>
        <w:t>создание благоприятных условий для полномасштабного осуществления прав женщин, а также укрепление в этой связи соответствующих административных механизмов;</w:t>
      </w:r>
    </w:p>
    <w:p w:rsidR="00000000" w:rsidRDefault="00000000">
      <w:pPr>
        <w:ind w:left="1701"/>
      </w:pPr>
    </w:p>
    <w:p w:rsidR="00000000" w:rsidRDefault="00000000">
      <w:pPr>
        <w:ind w:left="1701"/>
      </w:pPr>
      <w:r>
        <w:t>внедрение в рамках Национального плана развития Национальной программы равных возможностей и недискриминации женщин и периодическая и систематическая оценка хода осуществления этой программы;</w:t>
      </w:r>
    </w:p>
    <w:p w:rsidR="00000000" w:rsidRDefault="00000000">
      <w:pPr>
        <w:ind w:left="1701"/>
      </w:pPr>
    </w:p>
    <w:p w:rsidR="00000000" w:rsidRDefault="00000000">
      <w:pPr>
        <w:ind w:left="1701"/>
      </w:pPr>
      <w:r>
        <w:t>содействие и, в соответствующих случаях, участие во взаимодействии с министерством иностранных дел в подписании и осуществлении международных и региональных документов, касающихся принципа равенства возможностей и недискриминации женщин;</w:t>
      </w:r>
    </w:p>
    <w:p w:rsidR="00000000" w:rsidRDefault="00000000">
      <w:pPr>
        <w:ind w:left="1701"/>
      </w:pPr>
    </w:p>
    <w:p w:rsidR="00000000" w:rsidRDefault="00000000">
      <w:pPr>
        <w:ind w:left="1701"/>
      </w:pPr>
      <w:r>
        <w:t>содействие осуществлению в рамках трех ветвей государственной власти мероприятий, направленных на улучшение социальных условий жизни женщин и искоренение любых форм дискриминации в отношении женщин в социальной, экономической, политической и культурной сфере;</w:t>
      </w:r>
    </w:p>
    <w:p w:rsidR="00000000" w:rsidRDefault="00000000">
      <w:pPr>
        <w:ind w:left="1701"/>
      </w:pPr>
    </w:p>
    <w:p w:rsidR="00000000" w:rsidRDefault="00000000">
      <w:pPr>
        <w:ind w:left="1701"/>
      </w:pPr>
      <w:r>
        <w:t>налаживание сотрудничества с административными структурами субъектов федерации, которые занимаются делами женщин, в целях поощрения и поддержки, в соответствующих случаях, стратегий, программ и мероприятий, направленных на обеспечение равноправия полов и равенства возможностей для женщин.</w:t>
      </w:r>
    </w:p>
    <w:p w:rsidR="00000000" w:rsidRDefault="00000000">
      <w:pPr>
        <w:ind w:left="567"/>
      </w:pPr>
    </w:p>
    <w:p w:rsidR="00000000" w:rsidRDefault="00000000">
      <w:pPr>
        <w:tabs>
          <w:tab w:val="clear" w:pos="567"/>
          <w:tab w:val="left" w:pos="561"/>
        </w:tabs>
        <w:ind w:left="561"/>
        <w:rPr>
          <w:b/>
          <w:bCs/>
        </w:rPr>
      </w:pPr>
      <w:r>
        <w:rPr>
          <w:b/>
          <w:bCs/>
        </w:rPr>
        <w:t>Законодательство местного уровня</w:t>
      </w:r>
    </w:p>
    <w:p w:rsidR="00000000" w:rsidRDefault="00000000">
      <w:pPr>
        <w:tabs>
          <w:tab w:val="clear" w:pos="567"/>
          <w:tab w:val="left" w:pos="561"/>
        </w:tabs>
        <w:rPr>
          <w:b/>
          <w:bCs/>
        </w:rPr>
      </w:pPr>
    </w:p>
    <w:p w:rsidR="00000000" w:rsidRDefault="00000000">
      <w:pPr>
        <w:tabs>
          <w:tab w:val="clear" w:pos="567"/>
          <w:tab w:val="left" w:pos="561"/>
        </w:tabs>
      </w:pPr>
      <w:r>
        <w:t>144.</w:t>
      </w:r>
      <w:r>
        <w:tab/>
        <w:t>Соответствующее законодательство будет проиллюстрировано на примере Федерального округа, поскольку в других административных районах Мексики действуют аналогичные нормативные акты.</w:t>
      </w:r>
    </w:p>
    <w:p w:rsidR="00000000" w:rsidRDefault="00000000">
      <w:pPr>
        <w:tabs>
          <w:tab w:val="clear" w:pos="567"/>
          <w:tab w:val="left" w:pos="561"/>
        </w:tabs>
      </w:pPr>
    </w:p>
    <w:p w:rsidR="00000000" w:rsidRDefault="00000000">
      <w:pPr>
        <w:tabs>
          <w:tab w:val="clear" w:pos="567"/>
          <w:tab w:val="left" w:pos="561"/>
        </w:tabs>
        <w:ind w:left="1122" w:hanging="1122"/>
      </w:pPr>
      <w:r>
        <w:tab/>
        <w:t>1.</w:t>
      </w:r>
      <w:r>
        <w:tab/>
      </w:r>
      <w:r>
        <w:rPr>
          <w:b/>
          <w:bCs/>
        </w:rPr>
        <w:t>Закон о Комиссии по правам человека Федерального округа</w:t>
      </w:r>
      <w:r>
        <w:t>, опубликованный в "Федеральном официальном вестнике" от 22 июня 1993 года, предусматривает в статье 2 предоставление соответствующей комиссии полномочий по борьбе с любыми проявлениями дискриминации и социального отчуждения вследствие каких-либо действий органов власти по отношению к какому-либо конкретному лицу или конкретной социальной группе.</w:t>
      </w:r>
    </w:p>
    <w:p w:rsidR="00000000" w:rsidRDefault="00000000">
      <w:pPr>
        <w:tabs>
          <w:tab w:val="clear" w:pos="567"/>
          <w:tab w:val="left" w:pos="561"/>
        </w:tabs>
        <w:ind w:left="1122" w:hanging="1122"/>
      </w:pPr>
    </w:p>
    <w:p w:rsidR="00000000" w:rsidRDefault="00000000">
      <w:pPr>
        <w:tabs>
          <w:tab w:val="clear" w:pos="567"/>
          <w:tab w:val="left" w:pos="561"/>
        </w:tabs>
        <w:ind w:left="1134" w:hanging="1134"/>
      </w:pPr>
      <w:r>
        <w:tab/>
      </w:r>
      <w:r>
        <w:tab/>
      </w:r>
      <w:r>
        <w:tab/>
        <w:t xml:space="preserve">Следует отметить, что 14 января 2003 года в "Федеральном вестнике" был опубликован декрет о внесении изменений в вышеуказанный закон и, в частности, включение в статью 66 пунктов </w:t>
      </w:r>
      <w:r>
        <w:rPr>
          <w:lang w:val="en-US"/>
        </w:rPr>
        <w:t>V</w:t>
      </w:r>
      <w:r>
        <w:t xml:space="preserve"> и </w:t>
      </w:r>
      <w:r>
        <w:rPr>
          <w:lang w:val="en-US"/>
        </w:rPr>
        <w:t>VI</w:t>
      </w:r>
      <w:r>
        <w:t>, предусматривающих, что в ходе осуществления мероприятий по поощрению и пропаганде культуры осознания и уважения прав человека Комиссия по правам человека Федерального округа может организовывать информационно-просветительские кампании по такой конкретной тематике, как уважение прав и интеграция уязвимых групп и борьба с любыми проявлениями дискриминации и социального отчуждения, а также проводить и пропагандировать исследования, касающиеся дискриминации, социальной изоляции и прав человека.</w:t>
      </w:r>
    </w:p>
    <w:p w:rsidR="00000000" w:rsidRDefault="00000000">
      <w:pPr>
        <w:tabs>
          <w:tab w:val="clear" w:pos="567"/>
          <w:tab w:val="left" w:pos="561"/>
        </w:tabs>
        <w:ind w:left="1122" w:hanging="1122"/>
      </w:pPr>
    </w:p>
    <w:p w:rsidR="00000000" w:rsidRDefault="00000000">
      <w:pPr>
        <w:tabs>
          <w:tab w:val="clear" w:pos="567"/>
          <w:tab w:val="left" w:pos="561"/>
        </w:tabs>
        <w:ind w:left="1122" w:hanging="1122"/>
      </w:pPr>
      <w:r>
        <w:tab/>
        <w:t>2.</w:t>
      </w:r>
      <w:r>
        <w:tab/>
      </w:r>
      <w:r>
        <w:rPr>
          <w:b/>
          <w:bCs/>
        </w:rPr>
        <w:t>Закон о правах пожилых лиц в Федеральном округе</w:t>
      </w:r>
      <w:r>
        <w:t>, опубликованный в "Федеральном официальном вестнике " от 7 марта 2000 года, предусматривает признание следующих прав пожилых людей:</w:t>
      </w:r>
    </w:p>
    <w:p w:rsidR="00000000" w:rsidRDefault="00000000">
      <w:pPr>
        <w:tabs>
          <w:tab w:val="clear" w:pos="567"/>
          <w:tab w:val="left" w:pos="561"/>
        </w:tabs>
        <w:ind w:left="1122" w:hanging="1122"/>
      </w:pPr>
    </w:p>
    <w:p w:rsidR="00000000" w:rsidRDefault="00000000">
      <w:pPr>
        <w:tabs>
          <w:tab w:val="clear" w:pos="567"/>
          <w:tab w:val="clear" w:pos="1134"/>
          <w:tab w:val="clear" w:pos="1701"/>
          <w:tab w:val="left" w:pos="561"/>
          <w:tab w:val="left" w:pos="1683"/>
        </w:tabs>
        <w:ind w:left="1122" w:hanging="1122"/>
      </w:pPr>
      <w:r>
        <w:tab/>
      </w:r>
      <w:r>
        <w:tab/>
        <w:t>А.</w:t>
      </w:r>
      <w:r>
        <w:tab/>
        <w:t>Неприкосновенность и достоинство личности:</w:t>
      </w:r>
    </w:p>
    <w:p w:rsidR="00000000" w:rsidRDefault="00000000">
      <w:pPr>
        <w:tabs>
          <w:tab w:val="clear" w:pos="567"/>
          <w:tab w:val="clear" w:pos="1134"/>
          <w:tab w:val="clear" w:pos="1701"/>
          <w:tab w:val="left" w:pos="561"/>
          <w:tab w:val="left" w:pos="1683"/>
        </w:tabs>
        <w:ind w:left="1122" w:hanging="1122"/>
      </w:pPr>
    </w:p>
    <w:p w:rsidR="00000000" w:rsidRDefault="00000000">
      <w:pPr>
        <w:tabs>
          <w:tab w:val="clear" w:pos="567"/>
          <w:tab w:val="clear" w:pos="1134"/>
          <w:tab w:val="clear" w:pos="1701"/>
          <w:tab w:val="clear" w:pos="2268"/>
          <w:tab w:val="left" w:pos="561"/>
          <w:tab w:val="left" w:pos="1683"/>
        </w:tabs>
        <w:ind w:left="2244" w:hanging="1683"/>
      </w:pPr>
      <w:r>
        <w:tab/>
      </w:r>
      <w:r>
        <w:rPr>
          <w:lang w:val="en-US"/>
        </w:rPr>
        <w:t>I</w:t>
      </w:r>
      <w:r>
        <w:t>.</w:t>
      </w:r>
      <w:r>
        <w:tab/>
        <w:t>Соблюдение соответствующих прав без какой бы то ни было дискриминации.</w:t>
      </w:r>
    </w:p>
    <w:p w:rsidR="00000000" w:rsidRDefault="00000000">
      <w:pPr>
        <w:tabs>
          <w:tab w:val="clear" w:pos="567"/>
          <w:tab w:val="clear" w:pos="1134"/>
          <w:tab w:val="clear" w:pos="1701"/>
          <w:tab w:val="clear" w:pos="2268"/>
          <w:tab w:val="left" w:pos="561"/>
          <w:tab w:val="left" w:pos="1683"/>
        </w:tabs>
        <w:ind w:left="2244" w:hanging="1683"/>
      </w:pPr>
    </w:p>
    <w:p w:rsidR="00000000" w:rsidRDefault="00000000">
      <w:pPr>
        <w:tabs>
          <w:tab w:val="clear" w:pos="567"/>
          <w:tab w:val="clear" w:pos="1134"/>
          <w:tab w:val="clear" w:pos="1701"/>
          <w:tab w:val="clear" w:pos="2268"/>
          <w:tab w:val="left" w:pos="561"/>
          <w:tab w:val="left" w:pos="1683"/>
        </w:tabs>
        <w:ind w:left="1695" w:hanging="561"/>
      </w:pPr>
      <w:r>
        <w:tab/>
        <w:t>Кроме того, правительству Федерального округа вменяется в обязанность (статья 11):</w:t>
      </w:r>
    </w:p>
    <w:p w:rsidR="00000000" w:rsidRDefault="00000000">
      <w:pPr>
        <w:tabs>
          <w:tab w:val="clear" w:pos="567"/>
          <w:tab w:val="clear" w:pos="1134"/>
          <w:tab w:val="clear" w:pos="1701"/>
          <w:tab w:val="clear" w:pos="2268"/>
          <w:tab w:val="left" w:pos="561"/>
          <w:tab w:val="left" w:pos="1683"/>
        </w:tabs>
        <w:ind w:left="1122" w:hanging="561"/>
      </w:pPr>
    </w:p>
    <w:p w:rsidR="00000000" w:rsidRDefault="00000000">
      <w:pPr>
        <w:tabs>
          <w:tab w:val="clear" w:pos="567"/>
          <w:tab w:val="clear" w:pos="1134"/>
          <w:tab w:val="clear" w:pos="1701"/>
          <w:tab w:val="clear" w:pos="2268"/>
          <w:tab w:val="left" w:pos="561"/>
          <w:tab w:val="left" w:pos="1683"/>
        </w:tabs>
        <w:ind w:left="2244" w:hanging="1683"/>
      </w:pPr>
      <w:r>
        <w:tab/>
      </w:r>
      <w:r>
        <w:rPr>
          <w:lang w:val="en-US"/>
        </w:rPr>
        <w:t>I</w:t>
      </w:r>
      <w:r>
        <w:t>.</w:t>
      </w:r>
      <w:r>
        <w:tab/>
        <w:t>Осуществлять необходимые программы с целью содействия занятости пожилых лиц как в государственном, так и в частном секторе с учетом их профессионального профиля или рода занятий и их опыта и теоретических и практических навыков без каких-либо ограничений кроме тех, которые обусловлены их физическими или умственными недостатками;</w:t>
      </w:r>
    </w:p>
    <w:p w:rsidR="00000000" w:rsidRDefault="00000000">
      <w:pPr>
        <w:tabs>
          <w:tab w:val="clear" w:pos="567"/>
          <w:tab w:val="clear" w:pos="1134"/>
          <w:tab w:val="clear" w:pos="1701"/>
          <w:tab w:val="clear" w:pos="2268"/>
          <w:tab w:val="left" w:pos="561"/>
          <w:tab w:val="left" w:pos="1683"/>
        </w:tabs>
        <w:ind w:left="2244" w:hanging="1683"/>
      </w:pPr>
    </w:p>
    <w:p w:rsidR="00000000" w:rsidRDefault="00000000">
      <w:pPr>
        <w:tabs>
          <w:tab w:val="clear" w:pos="567"/>
          <w:tab w:val="clear" w:pos="1134"/>
          <w:tab w:val="clear" w:pos="1701"/>
          <w:tab w:val="clear" w:pos="2268"/>
          <w:tab w:val="left" w:pos="561"/>
          <w:tab w:val="left" w:pos="1683"/>
        </w:tabs>
        <w:ind w:left="2244" w:hanging="1683"/>
      </w:pPr>
      <w:r>
        <w:tab/>
      </w:r>
      <w:r>
        <w:rPr>
          <w:lang w:val="en-US"/>
        </w:rPr>
        <w:t>II</w:t>
      </w:r>
      <w:r>
        <w:t>.</w:t>
      </w:r>
      <w:r>
        <w:tab/>
        <w:t>В координации с министерством экономического развития способствовать осуществлению программ самозанятости пожилых лиц с учетом их профессии или специальности путем оказания им финансовой помощи, организации профессионально-технической подготовки и создания сетей по производству и сбыту;  а также</w:t>
      </w:r>
    </w:p>
    <w:p w:rsidR="00000000" w:rsidRDefault="00000000">
      <w:pPr>
        <w:tabs>
          <w:tab w:val="clear" w:pos="567"/>
          <w:tab w:val="clear" w:pos="1134"/>
          <w:tab w:val="clear" w:pos="1701"/>
          <w:tab w:val="clear" w:pos="2268"/>
          <w:tab w:val="left" w:pos="561"/>
          <w:tab w:val="left" w:pos="1683"/>
        </w:tabs>
        <w:ind w:left="2244" w:hanging="1683"/>
      </w:pPr>
    </w:p>
    <w:p w:rsidR="00000000" w:rsidRDefault="00000000">
      <w:pPr>
        <w:tabs>
          <w:tab w:val="clear" w:pos="567"/>
          <w:tab w:val="clear" w:pos="1134"/>
          <w:tab w:val="clear" w:pos="1701"/>
          <w:tab w:val="clear" w:pos="2268"/>
          <w:tab w:val="left" w:pos="561"/>
          <w:tab w:val="left" w:pos="1683"/>
        </w:tabs>
        <w:ind w:left="2244" w:hanging="1683"/>
      </w:pPr>
      <w:r>
        <w:tab/>
      </w:r>
      <w:r>
        <w:rPr>
          <w:lang w:val="en-US"/>
        </w:rPr>
        <w:t>III</w:t>
      </w:r>
      <w:r>
        <w:t>.</w:t>
      </w:r>
      <w:r>
        <w:tab/>
        <w:t>Оказывать консультативные услуги юридического характера и обеспечивать юридическое представительство в интересах пожилых лиц путем привлечения квалифицированного персонала, с тем чтобы гарантировать интеграцию соответствующих лиц в рынок труда и не допускать каких бы то ни было проявлений дискриминации, а также уважать их особый статус.</w:t>
      </w:r>
    </w:p>
    <w:p w:rsidR="00000000" w:rsidRDefault="00000000">
      <w:pPr>
        <w:tabs>
          <w:tab w:val="clear" w:pos="567"/>
          <w:tab w:val="clear" w:pos="1134"/>
          <w:tab w:val="clear" w:pos="1701"/>
          <w:tab w:val="clear" w:pos="2268"/>
          <w:tab w:val="left" w:pos="561"/>
          <w:tab w:val="left" w:pos="1683"/>
        </w:tabs>
        <w:ind w:left="2244" w:hanging="1683"/>
      </w:pPr>
    </w:p>
    <w:p w:rsidR="00000000" w:rsidRDefault="00000000">
      <w:pPr>
        <w:tabs>
          <w:tab w:val="clear" w:pos="567"/>
          <w:tab w:val="clear" w:pos="1134"/>
          <w:tab w:val="clear" w:pos="2268"/>
          <w:tab w:val="left" w:pos="561"/>
          <w:tab w:val="left" w:pos="1122"/>
        </w:tabs>
        <w:ind w:left="1122" w:hanging="561"/>
      </w:pPr>
      <w:r>
        <w:t>3.</w:t>
      </w:r>
      <w:r>
        <w:tab/>
      </w:r>
      <w:r>
        <w:rPr>
          <w:b/>
          <w:bCs/>
        </w:rPr>
        <w:t>Уголовный кодекс Федерального округа</w:t>
      </w:r>
      <w:r>
        <w:t xml:space="preserve">, опубликованный в "Федеральном официальном вестнике" от 16 июля 2002 года, предусматривает в пунктах </w:t>
      </w:r>
      <w:r>
        <w:rPr>
          <w:lang w:val="en-US"/>
        </w:rPr>
        <w:t>II</w:t>
      </w:r>
      <w:r>
        <w:t xml:space="preserve"> и </w:t>
      </w:r>
      <w:r>
        <w:rPr>
          <w:lang w:val="en-US"/>
        </w:rPr>
        <w:t>III</w:t>
      </w:r>
      <w:r>
        <w:t xml:space="preserve"> статьи 206 наказание в виде лишения свободы и штрафа</w:t>
      </w:r>
      <w:r>
        <w:rPr>
          <w:rStyle w:val="FootnoteReference"/>
        </w:rPr>
        <w:footnoteReference w:id="10"/>
      </w:r>
      <w:r>
        <w:t xml:space="preserve"> для лица, которое по признаку возраста, пола, беременности, гражданского состояния, расы, этнического происхождения, языка, религии, идеологии, сексуальной ориентации, цвета кожи, гражданства, социального происхождения или статуса, вида трудовой деятельности или профессии, экономического положения, физических особенностей, инвалидности или состояния здоровья:</w:t>
      </w:r>
    </w:p>
    <w:p w:rsidR="00000000" w:rsidRDefault="00000000">
      <w:pPr>
        <w:rPr>
          <w:lang w:val="en-US"/>
        </w:rPr>
      </w:pPr>
    </w:p>
    <w:p w:rsidR="00000000" w:rsidRDefault="00000000">
      <w:pPr>
        <w:ind w:left="1701" w:hanging="1701"/>
      </w:pPr>
      <w:r>
        <w:rPr>
          <w:lang w:val="en-US"/>
        </w:rPr>
        <w:tab/>
      </w:r>
      <w:r>
        <w:tab/>
      </w:r>
      <w:r>
        <w:noBreakHyphen/>
      </w:r>
      <w:r>
        <w:tab/>
        <w:t xml:space="preserve">притесняет или подвергает дискриминации какое-либо лицо или группу лиц (пункт </w:t>
      </w:r>
      <w:r>
        <w:rPr>
          <w:lang w:val="en-US"/>
        </w:rPr>
        <w:t>II</w:t>
      </w:r>
      <w:r>
        <w:t>);</w:t>
      </w:r>
    </w:p>
    <w:p w:rsidR="00000000" w:rsidRDefault="00000000">
      <w:pPr>
        <w:ind w:left="1134" w:hanging="1134"/>
      </w:pPr>
    </w:p>
    <w:p w:rsidR="00000000" w:rsidRDefault="00000000">
      <w:r>
        <w:tab/>
      </w:r>
      <w:r>
        <w:tab/>
      </w:r>
      <w:r>
        <w:noBreakHyphen/>
      </w:r>
      <w:r>
        <w:tab/>
        <w:t xml:space="preserve">не признает или ущемляет трудовые права (пункт </w:t>
      </w:r>
      <w:r>
        <w:rPr>
          <w:lang w:val="en-US"/>
        </w:rPr>
        <w:t>III</w:t>
      </w:r>
      <w:r>
        <w:t>).</w:t>
      </w:r>
    </w:p>
    <w:p w:rsidR="00000000" w:rsidRDefault="00000000"/>
    <w:p w:rsidR="00000000" w:rsidRDefault="00000000">
      <w:pPr>
        <w:ind w:left="1134" w:hanging="1134"/>
      </w:pPr>
      <w:r>
        <w:tab/>
      </w:r>
      <w:r>
        <w:tab/>
      </w:r>
      <w:r>
        <w:tab/>
        <w:t>Государственное должностное лицо, которое чинит препятствия, не позволяющие или мешающие другому лицу воспользоваться процедурой, услугой или льготой, на которую оно имеет право, подлежит наказанию, размер которого увеличивается наполовину по сравнению с наказанием, предусмотренным в первом разделе настоящей статьи;  в дополнение к этому правонарушитель поражается в правах в форме отстранения от должности, служебных или государственных функций на предусмотренный законом период лишения свободы.</w:t>
      </w:r>
    </w:p>
    <w:p w:rsidR="00000000" w:rsidRDefault="00000000">
      <w:pPr>
        <w:ind w:left="567" w:hanging="567"/>
      </w:pPr>
    </w:p>
    <w:p w:rsidR="00000000" w:rsidRDefault="00000000">
      <w:pPr>
        <w:ind w:left="1134" w:hanging="1134"/>
      </w:pPr>
      <w:r>
        <w:tab/>
        <w:t>4.</w:t>
      </w:r>
      <w:r>
        <w:tab/>
      </w:r>
      <w:r>
        <w:rPr>
          <w:b/>
          <w:bCs/>
        </w:rPr>
        <w:t>Закон об Институте по делам женщин Федерального округа,</w:t>
      </w:r>
      <w:r>
        <w:t xml:space="preserve"> опубликованный в "Федеральном официальном вестнике " от 28 февраля 2002 года, гласит, что основная цель данного учреждения заключается в формировании, создании и поощрении условий, способствующих борьбе с дискриминацией, обеспечению равенства возможностей, полному осуществлению всех прав женщин и их равноправного участия в социальной, экономической, политической, культурной и семейной жизни, а также в разработке, координации, реализации и оценке Общей программы равных возможностей и борьбы с дискриминацией женщин и сопутствующих мероприятий (статья 4).</w:t>
      </w:r>
    </w:p>
    <w:p w:rsidR="00000000" w:rsidRDefault="00000000">
      <w:pPr>
        <w:ind w:left="567" w:hanging="567"/>
      </w:pPr>
    </w:p>
    <w:p w:rsidR="00000000" w:rsidRDefault="00000000">
      <w:pPr>
        <w:ind w:left="1134" w:hanging="1134"/>
      </w:pPr>
      <w:r>
        <w:tab/>
      </w:r>
      <w:r>
        <w:tab/>
      </w:r>
      <w:r>
        <w:tab/>
        <w:t>Согласно статье 3 положения закона распространяются на женщин и мужчин, которые находятся на территории Федерального округа, без какой бы то ни было дискриминации по признаку возраста, пола, беременности, гражданского состояния, расы, языка, религии, идеологии, сексуальной ориентации, цвета кожи, гражданства, социального происхождения или положения, вида трудовой деятельности или профессии, экономического положения, физических особенностей, инвалидности или состояния здоровья.</w:t>
      </w:r>
    </w:p>
    <w:p w:rsidR="00000000" w:rsidRDefault="00000000">
      <w:pPr>
        <w:ind w:left="567" w:hanging="567"/>
      </w:pPr>
    </w:p>
    <w:p w:rsidR="00000000" w:rsidRDefault="00000000">
      <w:pPr>
        <w:ind w:left="1134" w:hanging="1134"/>
      </w:pPr>
      <w:r>
        <w:br w:type="page"/>
      </w:r>
      <w:r>
        <w:tab/>
      </w:r>
      <w:r>
        <w:tab/>
      </w:r>
      <w:r>
        <w:tab/>
        <w:t>Кроме того, в статье 8 закона устанавливается, что Институт правомочен поощрять и координировать при содействии структур государственной власти деятельность и стратегии государства по борьбе с насилием и по укреплению системы охраны здоровья, образования, занятости, профессионально-технического обучения и спорта в целях обеспечения равенства возможностей, пропагандировать действующие юридические и административные нормы, принятые в интересах женщин, на международном, национальном и местном уровне, а также предлагать низовым органам власти Федерального округа мероприятия, направленные на улучшение социального положения женщин и на искоренение любых форм дискриминации женщин во всех сферах общественной жизни.</w:t>
      </w:r>
    </w:p>
    <w:p w:rsidR="00000000" w:rsidRDefault="00000000">
      <w:pPr>
        <w:ind w:left="567" w:hanging="567"/>
      </w:pPr>
    </w:p>
    <w:p w:rsidR="00000000" w:rsidRDefault="00000000">
      <w:pPr>
        <w:ind w:left="1134" w:hanging="1134"/>
      </w:pPr>
      <w:r>
        <w:tab/>
        <w:t>5.</w:t>
      </w:r>
      <w:r>
        <w:tab/>
      </w:r>
      <w:r>
        <w:rPr>
          <w:b/>
          <w:bCs/>
        </w:rPr>
        <w:t>Внутренний регламент Института по делам женщин Федерального округа,</w:t>
      </w:r>
      <w:r>
        <w:t xml:space="preserve"> опубликованный в "Федеральном официальном вестнике " от 5 декабря 2002 года, содержит ссылку на Общую программу равенства возможностей и недискриминации женщин, которая предусматривает, в частности, осуществление деятельности по пресечению и искоренению дискриминации в отношении женщин.</w:t>
      </w:r>
    </w:p>
    <w:p w:rsidR="00000000" w:rsidRDefault="00000000">
      <w:pPr>
        <w:ind w:left="567" w:hanging="567"/>
      </w:pPr>
    </w:p>
    <w:p w:rsidR="00000000" w:rsidRDefault="00000000">
      <w:r>
        <w:rPr>
          <w:b/>
          <w:bCs/>
        </w:rPr>
        <w:tab/>
        <w:t>Административные меры</w:t>
      </w:r>
    </w:p>
    <w:p w:rsidR="00000000" w:rsidRDefault="00000000"/>
    <w:p w:rsidR="00000000" w:rsidRDefault="00000000">
      <w:r>
        <w:t>145.</w:t>
      </w:r>
      <w:r>
        <w:tab/>
        <w:t>МТСО ведет борьбу с дискриминационной практикой, которая затрудняет доступ женщин к рынку труда, отстаивание и продвижение их интересов в производственной сфере посредством ряда следующих аффирмативных мер с учетом гендерного фактора:</w:t>
      </w:r>
    </w:p>
    <w:p w:rsidR="00000000" w:rsidRDefault="00000000"/>
    <w:p w:rsidR="00000000" w:rsidRDefault="00000000">
      <w:pPr>
        <w:ind w:left="1134" w:hanging="1134"/>
      </w:pPr>
      <w:r>
        <w:tab/>
      </w:r>
      <w:r>
        <w:rPr>
          <w:lang w:val="en-US"/>
        </w:rPr>
        <w:sym w:font="Symbol" w:char="F0B7"/>
      </w:r>
      <w:r>
        <w:tab/>
        <w:t>Поощрение и пропаганда трудовых прав уязвимых групп по различным коммуникационным каналам.</w:t>
      </w:r>
    </w:p>
    <w:p w:rsidR="00000000" w:rsidRDefault="00000000">
      <w:pPr>
        <w:ind w:left="1134" w:hanging="1134"/>
      </w:pPr>
    </w:p>
    <w:p w:rsidR="00000000" w:rsidRDefault="00000000">
      <w:pPr>
        <w:ind w:left="1134" w:hanging="1134"/>
      </w:pPr>
      <w:r>
        <w:tab/>
      </w:r>
      <w:r>
        <w:rPr>
          <w:lang w:val="en-US"/>
        </w:rPr>
        <w:sym w:font="Symbol" w:char="F0B7"/>
      </w:r>
      <w:r>
        <w:tab/>
        <w:t xml:space="preserve">Заключение с сборочно-экспортными предприятиями Соглашения об отмене обязательного освидетельствования женщин на предмет беременности в качестве обязательного требования при их найме;  кроме того, была введена норма о закреплении за беременными женщинами их рабочих мест и поощрение их трудовых прав. </w:t>
      </w:r>
    </w:p>
    <w:p w:rsidR="00000000" w:rsidRDefault="00000000">
      <w:pPr>
        <w:ind w:left="1134" w:hanging="1134"/>
      </w:pPr>
    </w:p>
    <w:p w:rsidR="00000000" w:rsidRDefault="00000000">
      <w:pPr>
        <w:ind w:left="1134" w:hanging="1134"/>
      </w:pPr>
      <w:r>
        <w:tab/>
      </w:r>
      <w:r>
        <w:rPr>
          <w:lang w:val="en-US"/>
        </w:rPr>
        <w:sym w:font="Symbol" w:char="F0B7"/>
      </w:r>
      <w:r>
        <w:tab/>
        <w:t xml:space="preserve">Программа поощрения занятости среди мексиканских женщин.  Эта программа в области технического сотрудничества осуществляется МТСО при техническом содействии Международной организации труда (МОТ) и позволяет решать проблемы, связанные с растущим участием женщин на рынке труда, увеличением численности трудящихся женщин в неформальном секторе экономики, нестабильностью их положения с точки зрения занятости и оплаты труда и неблагоприятными условиями труда женщин на предприятиях сборочно-экспортной отрасли, характеризующихся различными формами дискриминации, включая, в частности, практическое отсутствие доступа к квалифицированной работе и административным постам. </w:t>
      </w:r>
    </w:p>
    <w:p w:rsidR="00000000" w:rsidRDefault="00000000">
      <w:pPr>
        <w:ind w:left="1134" w:hanging="1134"/>
      </w:pPr>
    </w:p>
    <w:p w:rsidR="00000000" w:rsidRDefault="00000000">
      <w:pPr>
        <w:ind w:left="1134" w:hanging="1134"/>
      </w:pPr>
      <w:r>
        <w:tab/>
      </w:r>
      <w:r>
        <w:rPr>
          <w:lang w:val="en-US"/>
        </w:rPr>
        <w:sym w:font="Symbol" w:char="F0B7"/>
      </w:r>
      <w:r>
        <w:tab/>
        <w:t>В течение текущего года планируется провести исследование по теме "Гармоничное сочетание трудовой деятельности и семейной жизни".</w:t>
      </w:r>
    </w:p>
    <w:p w:rsidR="00000000" w:rsidRDefault="00000000">
      <w:pPr>
        <w:ind w:left="1134" w:hanging="1134"/>
      </w:pPr>
    </w:p>
    <w:p w:rsidR="00000000" w:rsidRDefault="00000000">
      <w:r>
        <w:t>146.</w:t>
      </w:r>
      <w:r>
        <w:tab/>
        <w:t>Что касается положения несовершеннолетних лиц, то МТСО поощряет деятельность, направленную на искоренение сексуальной эксплуатации детей в коммерческих целях, а также осуществляет мероприятия, направленные на защиту несовершеннолетних трудящихся и борьбу с детским трудом:</w:t>
      </w:r>
    </w:p>
    <w:p w:rsidR="00000000" w:rsidRDefault="00000000"/>
    <w:p w:rsidR="00000000" w:rsidRDefault="00000000">
      <w:pPr>
        <w:ind w:left="1134" w:hanging="1134"/>
      </w:pPr>
      <w:r>
        <w:tab/>
      </w:r>
      <w:r>
        <w:rPr>
          <w:lang w:val="en-US"/>
        </w:rPr>
        <w:sym w:font="Symbol" w:char="F0B7"/>
      </w:r>
      <w:r>
        <w:tab/>
        <w:t>Программа мер по предупреждению и пресечению сексуальной эксплуатации детей в коммерческих целях (ЭССИ) и Программа по защите жертв по линии ЭССИ.  В 2002 году была подписана совместная декларация о сотрудничестве при техническом и административном содействии ИПЕК-МОТ в целях содействия предупреждению и искоренению сексуальной эксплуатации детей в коммерческих целях и защите жертв сексуальной эксплуатации детей в коммерческих целях в Мексике как на общенациональном уровне, так и на уровне штатов и местном уровне в тех районах, где эта проблема стоит особенно остро.</w:t>
      </w:r>
    </w:p>
    <w:p w:rsidR="00000000" w:rsidRDefault="00000000">
      <w:pPr>
        <w:ind w:left="1134" w:hanging="1134"/>
      </w:pPr>
    </w:p>
    <w:p w:rsidR="00000000" w:rsidRDefault="00000000">
      <w:pPr>
        <w:ind w:left="1134" w:hanging="1134"/>
      </w:pPr>
      <w:r>
        <w:tab/>
      </w:r>
      <w:r>
        <w:rPr>
          <w:lang w:val="en-US"/>
        </w:rPr>
        <w:sym w:font="Symbol" w:char="F0B7"/>
      </w:r>
      <w:r>
        <w:tab/>
        <w:t>Кроме того, содействие этой группе населения оказывается по линии Программы по борьбе с детским трудом, которая осуществляется в координации с рядом национальных и международных структур.</w:t>
      </w:r>
    </w:p>
    <w:p w:rsidR="00000000" w:rsidRDefault="00000000">
      <w:pPr>
        <w:spacing w:line="240" w:lineRule="auto"/>
        <w:ind w:left="1134" w:hanging="1134"/>
      </w:pPr>
    </w:p>
    <w:p w:rsidR="00000000" w:rsidRDefault="00000000">
      <w:r>
        <w:t>147.</w:t>
      </w:r>
      <w:r>
        <w:tab/>
        <w:t>Что касается пожилых людей, инвалидов, лиц, инфицированных ВИЧ/больных СПИДом, то деятельность по обеспечению равенства их возможностей в плане доступа к рынку труда и занятия трудовой деятельностью осуществляется в рамках следующих мероприятий:</w:t>
      </w:r>
    </w:p>
    <w:p w:rsidR="00000000" w:rsidRDefault="00000000">
      <w:pPr>
        <w:spacing w:line="240" w:lineRule="auto"/>
      </w:pPr>
    </w:p>
    <w:p w:rsidR="00000000" w:rsidRDefault="00000000">
      <w:pPr>
        <w:ind w:left="1134" w:hanging="1134"/>
      </w:pPr>
      <w:r>
        <w:tab/>
      </w:r>
      <w:r>
        <w:rPr>
          <w:lang w:val="en-US"/>
        </w:rPr>
        <w:sym w:font="Symbol" w:char="F0B7"/>
      </w:r>
      <w:r>
        <w:tab/>
        <w:t xml:space="preserve">Поощрение предприятий, способствующих развитию новой культуры трудовых отношений.  Эта инициатива предполагает участие предприятий в создании возможностей для трудоустройства инвалидов.  Эти предприятия предоставляют инвалидам работу с учетом их интересов и обеспечивают, чтобы общество знало, что в производственной деятельности предприятий или деятельности по оказанию услуг принимают участие представители этой социальной группы. </w:t>
      </w:r>
    </w:p>
    <w:p w:rsidR="00000000" w:rsidRDefault="00000000">
      <w:pPr>
        <w:ind w:left="1134" w:hanging="1134"/>
      </w:pPr>
      <w:r>
        <w:tab/>
      </w:r>
      <w:r>
        <w:rPr>
          <w:lang w:val="en-US"/>
        </w:rPr>
        <w:sym w:font="Symbol" w:char="F0B7"/>
      </w:r>
      <w:r>
        <w:tab/>
        <w:t>Координационные сети производственной интеграции.  Для целей содействия более эффективному осуществлению принципа равных возможностей в плане обеспечения доступа различных уязвимых групп к рынку труда и их занятия производственной деятельностью осуществляется ряд координационных мер во взаимодействии с различными общественными структурами.  Цели этой стратегии заключаются в обеспечении более активной, широкой, эффективной и оперативной интеграции инвалидов и пожилых людей по линии общенациональных координационных систем, обеспечивающих прямые контакты между работодателями и ищущими работу лицами.</w:t>
      </w:r>
    </w:p>
    <w:p w:rsidR="00000000" w:rsidRDefault="00000000"/>
    <w:p w:rsidR="00000000" w:rsidRDefault="00000000">
      <w:r>
        <w:t>148.</w:t>
      </w:r>
      <w:r>
        <w:tab/>
        <w:t>В целях повышения уровня жизни поденных сельскохозяйственных рабочих и представителей коренного населения осуществляются меры по обеспечению их найма и самозанятости на равных с другими категориями населения условиях, а также проводится деятельность, направленная на более эффективное соблюдение трудовых прав сельскохозяйственных поденщиков и создание для них благоприятных условий труда.</w:t>
      </w:r>
    </w:p>
    <w:p w:rsidR="00000000" w:rsidRDefault="00000000"/>
    <w:p w:rsidR="00000000" w:rsidRDefault="00000000">
      <w:r>
        <w:t>149.</w:t>
      </w:r>
      <w:r>
        <w:tab/>
        <w:t>Кроме того, молодым людям оказывается помощь в создании микропредприятий в качестве альтернативы самозанятости с целью их интеграции в производительную деятельность.</w:t>
      </w:r>
    </w:p>
    <w:p w:rsidR="00000000" w:rsidRDefault="00000000"/>
    <w:p w:rsidR="00000000" w:rsidRDefault="00000000">
      <w:r>
        <w:t>150.</w:t>
      </w:r>
      <w:r>
        <w:tab/>
        <w:t>В числе программ, нацеленных на молодежь, следует отметить Программу равных возможностей для трудоустройства молодежи, в рамках которой предполагается осуществлять деятельность, направленную на создание благоприятных условий для интеграции молодежи на рынке труда путем осуществления позитивных мер, способствующих подключению молодежи к производственной деятельности и обеспечению самозанятости молодежи в формальном секторе экономики на условиях равноправия.  Цель осуществляемых в этой связи позитивных мер заключается в:  1) поощрении интеграции молодежи в производительную деятельность и 2) содействии созданию молодыми людьми микропредприятий в качестве одной из форм самозанятости.</w:t>
      </w:r>
    </w:p>
    <w:p w:rsidR="00000000" w:rsidRDefault="00000000"/>
    <w:p w:rsidR="00000000" w:rsidRDefault="00000000">
      <w:r>
        <w:t>151.</w:t>
      </w:r>
      <w:r>
        <w:tab/>
        <w:t>В дополнение к этому осуществляются мероприятия в сфере профессионально-технической подготовки и обеспечению занятости и самозанятости лиц, лишенных свободы.  В интересах лишенных свободы лиц осуществляются следующие программы.</w:t>
      </w:r>
    </w:p>
    <w:p w:rsidR="00000000" w:rsidRDefault="00000000"/>
    <w:p w:rsidR="00000000" w:rsidRDefault="00000000">
      <w:r>
        <w:t>152.</w:t>
      </w:r>
      <w:r>
        <w:tab/>
        <w:t>Программа равноправного участия в производительной деятельности, нацеленной на интеграцию лишенных свободы лиц в производительную деятельность путем их профессионально-технического обучения для целей дальнейшего трудоустройства в качестве наемных или самостоятельных работников на условиях равноправия, без какой бы то ни было дискриминации, что способствует реализации ими своего трудового потенциала и повышению уровня жизни.  В рамках соответствующих позитивных мер организуются курсы профессионально-технической подготовки и повышения квалификации лишенных свободы лиц и обеспечивается их трудоустройство в качестве наемных работников и самозанятых работников в следующих семи штатах:  Агуаскальентес, Чьяпас, Чиуауа, Мехико, Оахака, Сан-Луис-Потоси и Юкатан.</w:t>
      </w:r>
    </w:p>
    <w:p w:rsidR="00000000" w:rsidRDefault="00000000"/>
    <w:p w:rsidR="00000000" w:rsidRDefault="00000000">
      <w:pPr>
        <w:rPr>
          <w:b/>
          <w:bCs/>
        </w:rPr>
      </w:pPr>
      <w:r>
        <w:rPr>
          <w:b/>
          <w:bCs/>
        </w:rPr>
        <w:t>Деятельность в интересах лишенных свободы лиц</w:t>
      </w:r>
    </w:p>
    <w:p w:rsidR="00000000" w:rsidRDefault="00000000">
      <w:pPr>
        <w:rPr>
          <w:b/>
          <w:bCs/>
        </w:rPr>
      </w:pPr>
    </w:p>
    <w:p w:rsidR="00000000" w:rsidRDefault="00000000">
      <w:pPr>
        <w:ind w:left="567" w:hanging="567"/>
      </w:pPr>
      <w:r>
        <w:tab/>
      </w:r>
      <w:r>
        <w:tab/>
        <w:t>Распространение среди широких слоев населения печатных материалов, содержащих полезную информацию, касающуюся важности интеграции этой категории населения в производительную жизнь страны, включая брошюры, буклеты, плакаты и календари, которые публикуются в течение всего года.</w:t>
      </w:r>
    </w:p>
    <w:p w:rsidR="00000000" w:rsidRDefault="00000000"/>
    <w:p w:rsidR="00000000" w:rsidRDefault="00000000">
      <w:pPr>
        <w:ind w:left="567" w:hanging="567"/>
      </w:pPr>
      <w:r>
        <w:tab/>
      </w:r>
      <w:r>
        <w:tab/>
        <w:t xml:space="preserve">Осуществление пропагандистской деятельности в средствах массовой коммуникации, включая радио и печать, в виде передач и материалов, в которых уделяется особое внимание новой культуре трудовых отношений, а также мероприятиям в интересах данной категории населения.  </w:t>
      </w:r>
    </w:p>
    <w:p w:rsidR="00000000" w:rsidRDefault="00000000"/>
    <w:p w:rsidR="00000000" w:rsidRDefault="00000000">
      <w:pPr>
        <w:ind w:left="567" w:hanging="567"/>
      </w:pPr>
      <w:r>
        <w:tab/>
      </w:r>
      <w:r>
        <w:tab/>
        <w:t xml:space="preserve">Заключение соглашений с предприятиями для целей найма на работу отбывших тюремное заключение лиц, которые успешно прошли социальную реабилитацию в ходе отбывания наказания.  </w:t>
      </w:r>
    </w:p>
    <w:p w:rsidR="00000000" w:rsidRDefault="00000000"/>
    <w:p w:rsidR="00000000" w:rsidRDefault="00000000">
      <w:pPr>
        <w:ind w:left="567" w:hanging="567"/>
      </w:pPr>
      <w:r>
        <w:tab/>
      </w:r>
      <w:r>
        <w:tab/>
        <w:t>Организация для представителей этой уязвимой категории населения курсов профессионально-технической подготовки, что позволяет расширить их возможности в плане трудоустройства.</w:t>
      </w:r>
    </w:p>
    <w:p w:rsidR="00000000" w:rsidRDefault="00000000"/>
    <w:p w:rsidR="00000000" w:rsidRDefault="00000000">
      <w:pPr>
        <w:ind w:left="567" w:hanging="567"/>
      </w:pPr>
      <w:r>
        <w:tab/>
      </w:r>
      <w:r>
        <w:tab/>
        <w:t>Внедрение системы стимулов, поощряющих осуществление учреждениями или предприятиями различных мероприятий, способствующих трудоустройству представителей этой уязвимой группы.</w:t>
      </w:r>
    </w:p>
    <w:p w:rsidR="00000000" w:rsidRDefault="00000000"/>
    <w:p w:rsidR="00000000" w:rsidRDefault="00000000">
      <w:pPr>
        <w:ind w:left="567" w:hanging="567"/>
      </w:pPr>
      <w:r>
        <w:tab/>
      </w:r>
      <w:r>
        <w:tab/>
        <w:t>Организация семинара для лиц, отбывших наказание в виде лишения свободы, в рамках которого осуществлялся обмен опытом и принимались меры, способствующие их подключению к трудовой деятельности на равноправных условиях.</w:t>
      </w:r>
    </w:p>
    <w:p w:rsidR="00000000" w:rsidRDefault="00000000"/>
    <w:p w:rsidR="00000000" w:rsidRDefault="00000000">
      <w:pPr>
        <w:ind w:left="567" w:hanging="567"/>
      </w:pPr>
      <w:r>
        <w:tab/>
      </w:r>
      <w:r>
        <w:tab/>
        <w:t>Содействие внедрению в других штатах по линии федеральных служб по вопросам труда системы труда в пенитенциарных учреждениях, которая с успехом применяется в штате Агуаскальентес при поддержке/контроле со стороны федеральных служб по вопросам труда.</w:t>
      </w:r>
    </w:p>
    <w:p w:rsidR="00000000" w:rsidRDefault="00000000">
      <w:pPr>
        <w:ind w:left="567" w:hanging="567"/>
      </w:pPr>
      <w:r>
        <w:tab/>
      </w:r>
      <w:r>
        <w:tab/>
        <w:t>Содействие развитию взаимосвязей в целях оптимизации государственных и частных ресурсов в интересах этой уязвимой группы.</w:t>
      </w:r>
    </w:p>
    <w:p w:rsidR="00000000" w:rsidRDefault="00000000"/>
    <w:p w:rsidR="00000000" w:rsidRDefault="00000000">
      <w:pPr>
        <w:ind w:left="567" w:hanging="567"/>
      </w:pPr>
      <w:r>
        <w:tab/>
      </w:r>
      <w:r>
        <w:tab/>
        <w:t>Участие в разовых мероприятиях, содействующих включению в производительную деятельность представителей этой уязвимой группы.</w:t>
      </w:r>
    </w:p>
    <w:p w:rsidR="00000000" w:rsidRDefault="00000000">
      <w:pPr>
        <w:ind w:left="567" w:hanging="567"/>
      </w:pPr>
    </w:p>
    <w:p w:rsidR="00000000" w:rsidRDefault="00000000">
      <w:pPr>
        <w:ind w:left="567" w:hanging="567"/>
      </w:pPr>
      <w:r>
        <w:tab/>
      </w:r>
      <w:r>
        <w:tab/>
        <w:t>Осуществление координационных мер по линии программы "Расширение занятости и эффективное трудоустройство женщин, лишенных свободы, а также супругов лиц, которые отбывают наказание в виде лишения свободы" (учреждение</w:t>
      </w:r>
      <w:r>
        <w:noBreakHyphen/>
        <w:t>исполнитель </w:t>
      </w:r>
      <w:r>
        <w:noBreakHyphen/>
        <w:t xml:space="preserve"> МОТ).</w:t>
      </w:r>
    </w:p>
    <w:p w:rsidR="00000000" w:rsidRDefault="00000000"/>
    <w:p w:rsidR="00000000" w:rsidRDefault="00000000">
      <w:r>
        <w:t>153.</w:t>
      </w:r>
      <w:r>
        <w:tab/>
        <w:t>В 2004 году был проведен анализ положения дел в вопросах труда среди лиц, отбывающих наказание в пенитенциарных учреждениях Мексики.  В тюрьмах и исправительных учреждениях были организованы курсы профессионально-технического обучения.  Предполагается разработать специальное законодательство о трудовой деятельности лиц, лишенных свободы.  В процессе осуществления мероприятий по содействию занятости лишенных свободы лиц предполагается уделять надлежащее внимание гендерному фактору.  Планируется создание координационной сети с целью выполнения конкретных обязательств в этой области.  Кроме того, в рамках государственного сектора экономики предполагается создать отрасль промышленности в пенитенциарных учреждениях.</w:t>
      </w:r>
    </w:p>
    <w:p w:rsidR="00000000" w:rsidRDefault="00000000"/>
    <w:p w:rsidR="00000000" w:rsidRDefault="00000000">
      <w:pPr>
        <w:rPr>
          <w:b/>
          <w:bCs/>
        </w:rPr>
      </w:pPr>
      <w:r>
        <w:rPr>
          <w:b/>
          <w:bCs/>
        </w:rPr>
        <w:t xml:space="preserve">Пункт 10 </w:t>
      </w:r>
      <w:r>
        <w:rPr>
          <w:b/>
          <w:bCs/>
          <w:lang w:val="en-US"/>
        </w:rPr>
        <w:t>b</w:t>
      </w:r>
      <w:r>
        <w:rPr>
          <w:b/>
          <w:bCs/>
        </w:rPr>
        <w:t>)</w:t>
      </w:r>
    </w:p>
    <w:p w:rsidR="00000000" w:rsidRDefault="00000000">
      <w:pPr>
        <w:rPr>
          <w:b/>
          <w:bCs/>
        </w:rPr>
      </w:pPr>
    </w:p>
    <w:p w:rsidR="00000000" w:rsidRDefault="00000000">
      <w:r>
        <w:t>154.</w:t>
      </w:r>
      <w:r>
        <w:tab/>
        <w:t xml:space="preserve">В сфере профессионально-технического обучения, занятости и производственной деятельности не предусматривается представление статистической информации в разбивке по признаку расы, цвета кожи, религии и национального происхождения, за исключением половой принадлежности, поскольку данная характеристика имеет важное значение, что уже отмечалось в контексте пункта 2 а) настоящего документа.  </w:t>
      </w:r>
    </w:p>
    <w:p w:rsidR="00000000" w:rsidRDefault="00000000"/>
    <w:p w:rsidR="00000000" w:rsidRDefault="00000000">
      <w:pPr>
        <w:rPr>
          <w:b/>
          <w:bCs/>
        </w:rPr>
      </w:pPr>
      <w:r>
        <w:rPr>
          <w:b/>
          <w:bCs/>
        </w:rPr>
        <w:t>Пункт 10 с)</w:t>
      </w:r>
    </w:p>
    <w:p w:rsidR="00000000" w:rsidRDefault="00000000">
      <w:pPr>
        <w:rPr>
          <w:b/>
          <w:bCs/>
        </w:rPr>
      </w:pPr>
    </w:p>
    <w:p w:rsidR="00000000" w:rsidRDefault="00000000">
      <w:r>
        <w:t>155.</w:t>
      </w:r>
      <w:r>
        <w:tab/>
        <w:t>В статьях 7 и 372, пункт II, федерального закона о труде предусматриваются случаи, когда какие-либо различия, исключения или преференции не рассматриваются в качестве дискриминации.  Статья 7 данного закона гласит:</w:t>
      </w:r>
    </w:p>
    <w:p w:rsidR="00000000" w:rsidRDefault="00000000"/>
    <w:p w:rsidR="00000000" w:rsidRDefault="00000000">
      <w:pPr>
        <w:ind w:left="567" w:hanging="567"/>
      </w:pPr>
      <w:r>
        <w:tab/>
      </w:r>
      <w:r>
        <w:tab/>
        <w:t>"На любом предприятии или в любом учреждении работодатель должен нанимать на работу не менее 90% трудящихся из числа мексиканских граждан.  Должности технических работников и специалистов должны занимать мексиканцы, за исключением тех случаев, когда кандидатов из числа мексиканцев на эти должности не имеется;  в таких случаях работодатель может на временной основе нанимать иностранных трудящихся в пропорции, не превышающей 10% от общего числа работников этой специальности.  На работодателя и иностранных работников налагается совместная обязанность обеспечивать профессиональную подготовку мексиканских трудящихся по соответствующей специальности.  Врачи, работающие на предприятиях, должны быть мексиканцами".</w:t>
      </w:r>
    </w:p>
    <w:p w:rsidR="00000000" w:rsidRDefault="00000000"/>
    <w:p w:rsidR="00000000" w:rsidRDefault="00000000">
      <w:r>
        <w:t>156.</w:t>
      </w:r>
      <w:r>
        <w:tab/>
        <w:t>"Положения настоящей статьи не применяются к директорам, администраторам и управляющим".</w:t>
      </w:r>
    </w:p>
    <w:p w:rsidR="00000000" w:rsidRDefault="00000000"/>
    <w:p w:rsidR="00000000" w:rsidRDefault="00000000">
      <w:r>
        <w:t>157.</w:t>
      </w:r>
      <w:r>
        <w:tab/>
        <w:t xml:space="preserve">Статья 372 указанного закона гласит, что иностранцы не могут входить в состав руководящих органов профсоюзов.  </w:t>
      </w:r>
    </w:p>
    <w:p w:rsidR="00000000" w:rsidRDefault="00000000"/>
    <w:p w:rsidR="00000000" w:rsidRDefault="00000000">
      <w:r>
        <w:t>158.</w:t>
      </w:r>
      <w:r>
        <w:tab/>
        <w:t>В дополнение к вышеупомянутым положениям федеральный закон о труде предусматривает два случая, когда различия, исключения или преференции не считаются в Мексике дискриминацией с учетом предъявляемых к соответствующим видам трудовой деятельности требованиям.</w:t>
      </w:r>
    </w:p>
    <w:p w:rsidR="00000000" w:rsidRDefault="00000000"/>
    <w:p w:rsidR="00000000" w:rsidRDefault="00000000">
      <w:r>
        <w:t>159.</w:t>
      </w:r>
      <w:r>
        <w:tab/>
        <w:t>В первом случае предусматриваются ограничения, согласно которым женщины не могут выполнять работу, ставящую под угрозу их здоровье или их ребенка, будь то на этапе беременности или кормления грудью, без ущерба для их денежного вознаграждения, льгот и прав, а также не могут выполнять вредную или опасную работу, работу в ночное время в промышленности, в торговых предприятиях или на предприятиях сферы обслуживания после 10</w:t>
      </w:r>
      <w:r>
        <w:rPr>
          <w:lang w:val="en-US"/>
        </w:rPr>
        <w:t> </w:t>
      </w:r>
      <w:r>
        <w:t xml:space="preserve">часов вечера;  кроме того, они не могут привлекаться к сверхурочной работе.  </w:t>
      </w:r>
    </w:p>
    <w:p w:rsidR="00000000" w:rsidRDefault="00000000"/>
    <w:p w:rsidR="00000000" w:rsidRDefault="00000000">
      <w:r>
        <w:t>160.</w:t>
      </w:r>
      <w:r>
        <w:tab/>
        <w:t>В этой связи для работающих матерей предусматриваются следующие права:</w:t>
      </w:r>
    </w:p>
    <w:p w:rsidR="00000000" w:rsidRDefault="00000000"/>
    <w:p w:rsidR="00000000" w:rsidRDefault="00000000">
      <w:pPr>
        <w:tabs>
          <w:tab w:val="clear" w:pos="567"/>
          <w:tab w:val="clear" w:pos="1134"/>
          <w:tab w:val="clear" w:pos="1701"/>
          <w:tab w:val="right" w:pos="924"/>
          <w:tab w:val="left" w:pos="1400"/>
        </w:tabs>
        <w:ind w:left="1400" w:hanging="1400"/>
      </w:pPr>
      <w:r>
        <w:tab/>
        <w:t>I.</w:t>
      </w:r>
      <w:r>
        <w:tab/>
        <w:t>запрещается использовать беременных женщин на работах, которые требуют существенных усилий и представляют опасность для их здоровья и потомства, включая, в частности, поднятие, волочение или толкание тяжестей, связаны с вибрацией и с необходимостью стоять длительное время, а также негативно сказываются на их психическом и психологическом состоянии;</w:t>
      </w:r>
    </w:p>
    <w:p w:rsidR="00000000" w:rsidRDefault="00000000">
      <w:pPr>
        <w:tabs>
          <w:tab w:val="clear" w:pos="567"/>
          <w:tab w:val="clear" w:pos="1134"/>
          <w:tab w:val="clear" w:pos="1701"/>
          <w:tab w:val="right" w:pos="924"/>
          <w:tab w:val="left" w:pos="1400"/>
        </w:tabs>
        <w:ind w:left="1400" w:hanging="1400"/>
      </w:pPr>
    </w:p>
    <w:p w:rsidR="00000000" w:rsidRDefault="00000000">
      <w:pPr>
        <w:tabs>
          <w:tab w:val="clear" w:pos="567"/>
          <w:tab w:val="clear" w:pos="1134"/>
          <w:tab w:val="clear" w:pos="1701"/>
          <w:tab w:val="right" w:pos="924"/>
          <w:tab w:val="left" w:pos="1400"/>
        </w:tabs>
        <w:ind w:left="1400" w:hanging="1400"/>
      </w:pPr>
      <w:r>
        <w:tab/>
        <w:t>II.</w:t>
      </w:r>
      <w:r>
        <w:tab/>
        <w:t xml:space="preserve">работающим женщинам полагается отпуск в течение шести недель до родов и шести недель после родов; </w:t>
      </w:r>
    </w:p>
    <w:p w:rsidR="00000000" w:rsidRDefault="00000000">
      <w:pPr>
        <w:tabs>
          <w:tab w:val="clear" w:pos="567"/>
          <w:tab w:val="clear" w:pos="1134"/>
          <w:tab w:val="clear" w:pos="1701"/>
          <w:tab w:val="right" w:pos="924"/>
          <w:tab w:val="left" w:pos="1400"/>
        </w:tabs>
        <w:ind w:left="1400" w:hanging="1400"/>
      </w:pPr>
    </w:p>
    <w:p w:rsidR="00000000" w:rsidRDefault="00000000">
      <w:pPr>
        <w:tabs>
          <w:tab w:val="clear" w:pos="567"/>
          <w:tab w:val="clear" w:pos="1134"/>
          <w:tab w:val="clear" w:pos="1701"/>
          <w:tab w:val="right" w:pos="924"/>
          <w:tab w:val="left" w:pos="1400"/>
        </w:tabs>
        <w:ind w:left="1400" w:hanging="1400"/>
      </w:pPr>
      <w:r>
        <w:tab/>
        <w:t>III.</w:t>
      </w:r>
      <w:r>
        <w:tab/>
        <w:t>отпуск, предусмотренный в предыдущем разделе, продляется на необходимый период времени, если по причине беременности или родов женщина не имеет возможности приступить к работе;</w:t>
      </w:r>
    </w:p>
    <w:p w:rsidR="00000000" w:rsidRDefault="00000000">
      <w:pPr>
        <w:tabs>
          <w:tab w:val="clear" w:pos="567"/>
          <w:tab w:val="clear" w:pos="1134"/>
          <w:tab w:val="clear" w:pos="1701"/>
          <w:tab w:val="right" w:pos="924"/>
          <w:tab w:val="left" w:pos="1400"/>
        </w:tabs>
        <w:ind w:left="1400" w:hanging="1400"/>
      </w:pPr>
    </w:p>
    <w:p w:rsidR="00000000" w:rsidRDefault="00000000">
      <w:pPr>
        <w:tabs>
          <w:tab w:val="clear" w:pos="567"/>
          <w:tab w:val="clear" w:pos="1134"/>
          <w:tab w:val="clear" w:pos="1701"/>
          <w:tab w:val="right" w:pos="924"/>
          <w:tab w:val="left" w:pos="1400"/>
        </w:tabs>
        <w:ind w:left="1400" w:hanging="1400"/>
      </w:pPr>
      <w:r>
        <w:tab/>
        <w:t>IV.</w:t>
      </w:r>
      <w:r>
        <w:tab/>
        <w:t>на период кормления грудью предусматривается два дополнительных перерыва в течение рабочего дня продолжительностью в полчаса каждый;  для этого на предприятии выделяется необходимое место, отвечающее санитарно-гигиеническим нормам;</w:t>
      </w:r>
    </w:p>
    <w:p w:rsidR="00000000" w:rsidRDefault="00000000">
      <w:pPr>
        <w:tabs>
          <w:tab w:val="clear" w:pos="567"/>
          <w:tab w:val="clear" w:pos="1134"/>
          <w:tab w:val="clear" w:pos="1701"/>
          <w:tab w:val="right" w:pos="924"/>
          <w:tab w:val="left" w:pos="1400"/>
        </w:tabs>
        <w:ind w:left="1400" w:hanging="1400"/>
      </w:pPr>
    </w:p>
    <w:p w:rsidR="00000000" w:rsidRDefault="00000000">
      <w:pPr>
        <w:tabs>
          <w:tab w:val="clear" w:pos="567"/>
          <w:tab w:val="clear" w:pos="1134"/>
          <w:tab w:val="clear" w:pos="1701"/>
          <w:tab w:val="right" w:pos="924"/>
          <w:tab w:val="left" w:pos="1400"/>
        </w:tabs>
        <w:ind w:left="1400" w:hanging="1400"/>
      </w:pPr>
      <w:r>
        <w:tab/>
        <w:t>V.</w:t>
      </w:r>
      <w:r>
        <w:tab/>
        <w:t>в период отпуска, о котором говорится в пункте II, работающие женщины в полном объеме получают причитающееся им денежное вознаграждение.  В случае упоминаемого в пункте III продления отпуска они имеют право на денежное вознаграждение в размере 50% от заработной платы на период, не превышающий 60 дней;</w:t>
      </w:r>
    </w:p>
    <w:p w:rsidR="00000000" w:rsidRDefault="00000000">
      <w:pPr>
        <w:tabs>
          <w:tab w:val="clear" w:pos="567"/>
          <w:tab w:val="clear" w:pos="1134"/>
          <w:tab w:val="clear" w:pos="1701"/>
          <w:tab w:val="right" w:pos="924"/>
          <w:tab w:val="left" w:pos="1400"/>
        </w:tabs>
        <w:ind w:left="1400" w:hanging="1400"/>
      </w:pPr>
    </w:p>
    <w:p w:rsidR="00000000" w:rsidRDefault="00000000">
      <w:pPr>
        <w:tabs>
          <w:tab w:val="clear" w:pos="567"/>
          <w:tab w:val="clear" w:pos="1134"/>
          <w:tab w:val="clear" w:pos="1701"/>
          <w:tab w:val="right" w:pos="924"/>
          <w:tab w:val="left" w:pos="1400"/>
        </w:tabs>
        <w:ind w:left="1400" w:hanging="1400"/>
      </w:pPr>
      <w:r>
        <w:tab/>
        <w:t>VI.</w:t>
      </w:r>
      <w:r>
        <w:tab/>
        <w:t>рабочее место сохраняется за ними в течение одного года с момента родов;</w:t>
      </w:r>
    </w:p>
    <w:p w:rsidR="00000000" w:rsidRDefault="00000000">
      <w:pPr>
        <w:tabs>
          <w:tab w:val="clear" w:pos="567"/>
          <w:tab w:val="clear" w:pos="1134"/>
          <w:tab w:val="clear" w:pos="1701"/>
          <w:tab w:val="right" w:pos="924"/>
          <w:tab w:val="left" w:pos="1400"/>
        </w:tabs>
        <w:ind w:left="1400" w:hanging="1400"/>
      </w:pPr>
    </w:p>
    <w:p w:rsidR="00000000" w:rsidRDefault="00000000">
      <w:pPr>
        <w:tabs>
          <w:tab w:val="clear" w:pos="567"/>
          <w:tab w:val="clear" w:pos="1134"/>
          <w:tab w:val="clear" w:pos="1701"/>
          <w:tab w:val="right" w:pos="924"/>
          <w:tab w:val="left" w:pos="1400"/>
        </w:tabs>
        <w:ind w:left="1400" w:hanging="1400"/>
      </w:pPr>
      <w:r>
        <w:tab/>
        <w:t>VII.</w:t>
      </w:r>
      <w:r>
        <w:tab/>
        <w:t>предродовой и послеродовой период засчитывается работающим женщинам в трудовой стаж.</w:t>
      </w:r>
    </w:p>
    <w:p w:rsidR="00000000" w:rsidRDefault="00000000"/>
    <w:p w:rsidR="00000000" w:rsidRDefault="00000000">
      <w:r>
        <w:t>161.</w:t>
      </w:r>
      <w:r>
        <w:tab/>
        <w:t>В этой связи Федеральный свод правил в области безопасности и гигиены труда предусматривает запрет на выполнение беременными женщинами некоторых видов работы</w:t>
      </w:r>
      <w:r>
        <w:rPr>
          <w:rStyle w:val="FootnoteReference"/>
        </w:rPr>
        <w:footnoteReference w:id="11"/>
      </w:r>
      <w:r>
        <w:t>.</w:t>
      </w:r>
    </w:p>
    <w:p w:rsidR="00000000" w:rsidRDefault="00000000"/>
    <w:p w:rsidR="00000000" w:rsidRDefault="00000000">
      <w:r>
        <w:t>162.</w:t>
      </w:r>
      <w:r>
        <w:tab/>
        <w:t>Кроме того, предусматривается, что на период кормления ребенка грудью женщинам запрещается выполнять работу, связанную с воздействием химических веществ, опасных для жизни и здоровья младенца (статья 155).</w:t>
      </w:r>
    </w:p>
    <w:p w:rsidR="00000000" w:rsidRDefault="00000000"/>
    <w:p w:rsidR="00000000" w:rsidRDefault="00000000">
      <w:r>
        <w:t>163.</w:t>
      </w:r>
      <w:r>
        <w:tab/>
        <w:t>Во втором случае, который касается несовершеннолетних, Федеральный закон о труде предусматривает запрет на выполнение несовершеннолетними следующих видов работ:</w:t>
      </w:r>
    </w:p>
    <w:p w:rsidR="00000000" w:rsidRDefault="00000000">
      <w:pPr>
        <w:spacing w:line="240" w:lineRule="auto"/>
      </w:pPr>
    </w:p>
    <w:p w:rsidR="00000000" w:rsidRDefault="00000000">
      <w:pPr>
        <w:tabs>
          <w:tab w:val="clear" w:pos="567"/>
          <w:tab w:val="clear" w:pos="1701"/>
          <w:tab w:val="right" w:pos="714"/>
        </w:tabs>
        <w:ind w:left="1134" w:hanging="1134"/>
      </w:pPr>
      <w:r>
        <w:tab/>
        <w:t>I.</w:t>
      </w:r>
      <w:r>
        <w:tab/>
        <w:t>Несовершеннолетние лица в возрасте до 16 лет:</w:t>
      </w:r>
    </w:p>
    <w:p w:rsidR="00000000" w:rsidRDefault="00000000">
      <w:pPr>
        <w:ind w:left="567"/>
      </w:pPr>
    </w:p>
    <w:p w:rsidR="00000000" w:rsidRDefault="00000000">
      <w:pPr>
        <w:ind w:left="1701" w:hanging="1134"/>
      </w:pPr>
      <w:r>
        <w:tab/>
        <w:t>а)</w:t>
      </w:r>
      <w:r>
        <w:tab/>
        <w:t>торговля спиртными напитками в розлив,</w:t>
      </w:r>
    </w:p>
    <w:p w:rsidR="00000000" w:rsidRDefault="00000000">
      <w:pPr>
        <w:ind w:left="1701" w:hanging="1134"/>
      </w:pPr>
    </w:p>
    <w:p w:rsidR="00000000" w:rsidRDefault="00000000">
      <w:pPr>
        <w:ind w:left="1701" w:hanging="1134"/>
      </w:pPr>
      <w:r>
        <w:tab/>
      </w:r>
      <w:r>
        <w:rPr>
          <w:lang w:val="en-US"/>
        </w:rPr>
        <w:t>b</w:t>
      </w:r>
      <w:r>
        <w:t>)</w:t>
      </w:r>
      <w:r>
        <w:tab/>
        <w:t>работа, способная оказать растлевающее воздействие на личность несовершеннолетнего,</w:t>
      </w:r>
    </w:p>
    <w:p w:rsidR="00000000" w:rsidRDefault="00000000">
      <w:pPr>
        <w:ind w:left="1701" w:hanging="1134"/>
      </w:pPr>
    </w:p>
    <w:p w:rsidR="00000000" w:rsidRDefault="00000000">
      <w:pPr>
        <w:ind w:left="1701" w:hanging="1134"/>
      </w:pPr>
      <w:r>
        <w:tab/>
        <w:t>с)</w:t>
      </w:r>
      <w:r>
        <w:tab/>
        <w:t>торговля вразнос за исключением особо оговоренных Трудовой инспекцией случаев,</w:t>
      </w:r>
    </w:p>
    <w:p w:rsidR="00000000" w:rsidRDefault="00000000">
      <w:pPr>
        <w:ind w:left="1701" w:hanging="1134"/>
      </w:pPr>
    </w:p>
    <w:p w:rsidR="00000000" w:rsidRDefault="00000000">
      <w:pPr>
        <w:ind w:left="1701" w:hanging="1134"/>
      </w:pPr>
      <w:r>
        <w:tab/>
      </w:r>
      <w:r>
        <w:rPr>
          <w:lang w:val="en-US"/>
        </w:rPr>
        <w:t>d</w:t>
      </w:r>
      <w:r>
        <w:t>)</w:t>
      </w:r>
      <w:r>
        <w:tab/>
        <w:t>труд под землей или под водой,</w:t>
      </w:r>
    </w:p>
    <w:p w:rsidR="00000000" w:rsidRDefault="00000000">
      <w:pPr>
        <w:ind w:left="1701" w:hanging="1134"/>
      </w:pPr>
    </w:p>
    <w:p w:rsidR="00000000" w:rsidRDefault="00000000">
      <w:pPr>
        <w:ind w:left="1701" w:hanging="1134"/>
      </w:pPr>
      <w:r>
        <w:tab/>
        <w:t>е)</w:t>
      </w:r>
      <w:r>
        <w:tab/>
        <w:t>опасный или вредный труд,</w:t>
      </w:r>
    </w:p>
    <w:p w:rsidR="00000000" w:rsidRDefault="00000000">
      <w:pPr>
        <w:ind w:left="1701" w:hanging="1134"/>
      </w:pPr>
    </w:p>
    <w:p w:rsidR="00000000" w:rsidRDefault="00000000">
      <w:pPr>
        <w:ind w:left="1701" w:hanging="1134"/>
      </w:pPr>
      <w:r>
        <w:tab/>
      </w:r>
      <w:r>
        <w:rPr>
          <w:lang w:val="en-US"/>
        </w:rPr>
        <w:t>f</w:t>
      </w:r>
      <w:r>
        <w:t>)</w:t>
      </w:r>
      <w:r>
        <w:tab/>
        <w:t>изнурительный труд и труд, способный ухудшить или замедлить нормальное физическое развитие несовершеннолетнего,</w:t>
      </w:r>
    </w:p>
    <w:p w:rsidR="00000000" w:rsidRDefault="00000000">
      <w:pPr>
        <w:ind w:left="1701" w:hanging="1134"/>
      </w:pPr>
    </w:p>
    <w:p w:rsidR="00000000" w:rsidRDefault="00000000">
      <w:pPr>
        <w:ind w:left="1701" w:hanging="1134"/>
      </w:pPr>
      <w:r>
        <w:tab/>
      </w:r>
      <w:r>
        <w:rPr>
          <w:lang w:val="en-US"/>
        </w:rPr>
        <w:t>g</w:t>
      </w:r>
      <w:r>
        <w:t>)</w:t>
      </w:r>
      <w:r>
        <w:tab/>
        <w:t>работа в заведениях непромышленного характера после 10 часов вечера,</w:t>
      </w:r>
    </w:p>
    <w:p w:rsidR="00000000" w:rsidRDefault="00000000">
      <w:pPr>
        <w:ind w:left="1701" w:hanging="1134"/>
      </w:pPr>
    </w:p>
    <w:p w:rsidR="00000000" w:rsidRDefault="00000000">
      <w:pPr>
        <w:ind w:left="1701" w:hanging="1134"/>
      </w:pPr>
      <w:r>
        <w:tab/>
      </w:r>
      <w:r>
        <w:rPr>
          <w:lang w:val="en-US"/>
        </w:rPr>
        <w:t>h</w:t>
      </w:r>
      <w:r>
        <w:t>)</w:t>
      </w:r>
      <w:r>
        <w:tab/>
        <w:t>другие виды трудовой деятельности, предусмотренные законами.</w:t>
      </w:r>
    </w:p>
    <w:p w:rsidR="00000000" w:rsidRDefault="00000000">
      <w:pPr>
        <w:ind w:left="567"/>
      </w:pPr>
    </w:p>
    <w:p w:rsidR="00000000" w:rsidRDefault="00000000">
      <w:pPr>
        <w:tabs>
          <w:tab w:val="clear" w:pos="567"/>
          <w:tab w:val="clear" w:pos="1701"/>
          <w:tab w:val="right" w:pos="714"/>
        </w:tabs>
        <w:ind w:left="1134" w:hanging="1134"/>
      </w:pPr>
      <w:r>
        <w:tab/>
        <w:t>II.</w:t>
      </w:r>
      <w:r>
        <w:tab/>
        <w:t>Несовершеннолетние в возрасте до 18 лет:</w:t>
      </w:r>
    </w:p>
    <w:p w:rsidR="00000000" w:rsidRDefault="00000000">
      <w:pPr>
        <w:ind w:left="567"/>
      </w:pPr>
    </w:p>
    <w:p w:rsidR="00000000" w:rsidRDefault="00000000">
      <w:pPr>
        <w:ind w:left="567"/>
      </w:pPr>
      <w:r>
        <w:tab/>
        <w:t>а)</w:t>
      </w:r>
      <w:r>
        <w:tab/>
        <w:t>труд в ночное время на промышленных предприятиях.</w:t>
      </w:r>
    </w:p>
    <w:p w:rsidR="00000000" w:rsidRDefault="00000000">
      <w:pPr>
        <w:spacing w:line="240" w:lineRule="auto"/>
        <w:ind w:left="567"/>
      </w:pPr>
    </w:p>
    <w:p w:rsidR="00000000" w:rsidRDefault="00000000">
      <w:r>
        <w:t>164.</w:t>
      </w:r>
      <w:r>
        <w:tab/>
        <w:t>Федеральный свод правил в области безопасности и гигиены труда предусматривает запрет на использование лиц в возрасте от 14 до 18 лет на опасных и вредных для здоровья работах (статья 159).  Кроме того, в соответствии со статьей 160 закона, определяющего порядок применения статьи 27 Конституции о радиоактивных веществах и общего регламента радиологической безопасности, запрещается использование несовершеннолетних в возрасте до 18 лет на работах, связанных с радиоактивным излучением.</w:t>
      </w:r>
    </w:p>
    <w:p w:rsidR="00000000" w:rsidRDefault="00000000">
      <w:r>
        <w:t>165.</w:t>
      </w:r>
      <w:r>
        <w:tab/>
        <w:t>В дополнение к этому следует отметить, что в статье 5 федерального закона о предупреждении и искоренении дискриминации перечисляются, в частности, следующие меры, которые не считаются дискриминационными:</w:t>
      </w:r>
    </w:p>
    <w:p w:rsidR="00000000" w:rsidRDefault="00000000"/>
    <w:p w:rsidR="00000000" w:rsidRDefault="00000000">
      <w:pPr>
        <w:numPr>
          <w:ilvl w:val="0"/>
          <w:numId w:val="9"/>
        </w:numPr>
        <w:ind w:left="1134"/>
      </w:pPr>
      <w:r>
        <w:t>разграничения, базирующиеся на уровне квалификации и специальных знаний для целей осуществления соответствующей деятельности;</w:t>
      </w:r>
    </w:p>
    <w:p w:rsidR="00000000" w:rsidRDefault="00000000"/>
    <w:p w:rsidR="00000000" w:rsidRDefault="00000000">
      <w:pPr>
        <w:numPr>
          <w:ilvl w:val="0"/>
          <w:numId w:val="9"/>
        </w:numPr>
        <w:ind w:left="1134"/>
      </w:pPr>
      <w:r>
        <w:t>критерии, которые устанавливаются в качестве требований для целей занятия или сохранения какой-либо должности на государственной службе и выполнения каких-либо других функций, предусмотренных в соответствующих нормативных актах;</w:t>
      </w:r>
    </w:p>
    <w:p w:rsidR="00000000" w:rsidRDefault="00000000">
      <w:pPr>
        <w:tabs>
          <w:tab w:val="clear" w:pos="567"/>
        </w:tabs>
      </w:pPr>
    </w:p>
    <w:p w:rsidR="00000000" w:rsidRDefault="00000000">
      <w:pPr>
        <w:numPr>
          <w:ilvl w:val="0"/>
          <w:numId w:val="9"/>
        </w:numPr>
        <w:ind w:left="1134"/>
      </w:pPr>
      <w:r>
        <w:t>отличия, исключения, ограничения или преференции, которые проводятся между гражданами и негражданами;  а также</w:t>
      </w:r>
    </w:p>
    <w:p w:rsidR="00000000" w:rsidRDefault="00000000">
      <w:pPr>
        <w:tabs>
          <w:tab w:val="clear" w:pos="567"/>
        </w:tabs>
      </w:pPr>
    </w:p>
    <w:p w:rsidR="00000000" w:rsidRDefault="00000000">
      <w:pPr>
        <w:numPr>
          <w:ilvl w:val="0"/>
          <w:numId w:val="9"/>
        </w:numPr>
        <w:ind w:left="1134"/>
      </w:pPr>
      <w:r>
        <w:t>в целом любые различия, исключения, ограничения или преференции, которые не имеют целью уничтожение или умаление прав и свобод или принципа равенства возможностей лиц и не посягают на человеческое достоинство.</w:t>
      </w:r>
    </w:p>
    <w:p w:rsidR="00000000" w:rsidRDefault="00000000">
      <w:pPr>
        <w:tabs>
          <w:tab w:val="clear" w:pos="567"/>
        </w:tabs>
      </w:pPr>
    </w:p>
    <w:p w:rsidR="00000000" w:rsidRDefault="00000000">
      <w:pPr>
        <w:tabs>
          <w:tab w:val="clear" w:pos="567"/>
        </w:tabs>
        <w:rPr>
          <w:b/>
          <w:bCs/>
        </w:rPr>
      </w:pPr>
      <w:r>
        <w:rPr>
          <w:b/>
          <w:bCs/>
        </w:rPr>
        <w:t>Пункт 11</w:t>
      </w:r>
    </w:p>
    <w:p w:rsidR="00000000" w:rsidRDefault="00000000">
      <w:pPr>
        <w:tabs>
          <w:tab w:val="clear" w:pos="567"/>
        </w:tabs>
        <w:rPr>
          <w:b/>
          <w:bCs/>
        </w:rPr>
      </w:pPr>
    </w:p>
    <w:p w:rsidR="00000000" w:rsidRDefault="00000000">
      <w:pPr>
        <w:tabs>
          <w:tab w:val="clear" w:pos="567"/>
          <w:tab w:val="clear" w:pos="1134"/>
          <w:tab w:val="left" w:pos="574"/>
        </w:tabs>
      </w:pPr>
      <w:r>
        <w:t>166.</w:t>
      </w:r>
      <w:r>
        <w:tab/>
        <w:t>В соответствии с Национальным обследованием занятости число лиц, которые занимаются какой-либо другой трудовой деятельностью в дополнение к основной составляет 1 826 000 человек, или 4,4% от общей численности всего занятого населения Мексики.</w:t>
      </w:r>
    </w:p>
    <w:p w:rsidR="00000000" w:rsidRDefault="00000000">
      <w:pPr>
        <w:tabs>
          <w:tab w:val="clear" w:pos="567"/>
          <w:tab w:val="clear" w:pos="1134"/>
          <w:tab w:val="left" w:pos="574"/>
        </w:tabs>
      </w:pPr>
    </w:p>
    <w:p w:rsidR="00000000" w:rsidRDefault="00000000">
      <w:pPr>
        <w:tabs>
          <w:tab w:val="clear" w:pos="567"/>
          <w:tab w:val="clear" w:pos="1134"/>
          <w:tab w:val="left" w:pos="574"/>
        </w:tabs>
      </w:pPr>
      <w:r>
        <w:t>167.</w:t>
      </w:r>
      <w:r>
        <w:tab/>
        <w:t>За последние десять лет численность лиц, имеющих вторую работу, колебалась в пределах 1,6 млн.-2,5 млн. человек.  В период с 1995-2000 годов численность соответствующей категории населения превысила 2 млн. человек, однако в 2001 году сократилась до 1,7 млн. человек.  В последующие два года наблюдался медленный рост числа трудоспособных жителей, имеющих вторую работу, что позволяет предположить, что в периоды общего снижения экономической активности возможности для занятия дополнительной трудовой деятельностью сокращаются.</w:t>
      </w:r>
    </w:p>
    <w:p w:rsidR="00000000" w:rsidRDefault="00000000">
      <w:pPr>
        <w:tabs>
          <w:tab w:val="clear" w:pos="567"/>
          <w:tab w:val="clear" w:pos="1134"/>
          <w:tab w:val="left" w:pos="574"/>
        </w:tabs>
      </w:pPr>
    </w:p>
    <w:p w:rsidR="00000000" w:rsidRDefault="00000000">
      <w:pPr>
        <w:tabs>
          <w:tab w:val="clear" w:pos="567"/>
          <w:tab w:val="clear" w:pos="1134"/>
          <w:tab w:val="left" w:pos="574"/>
        </w:tabs>
      </w:pPr>
      <w:r>
        <w:t>168.</w:t>
      </w:r>
      <w:r>
        <w:tab/>
        <w:t>Следует отметить, что динамике данной категории населения не удалось выявить какую-либо четко выраженную закономерность, что объясняется весьма коротким периодом обследования (см. в приложении </w:t>
      </w:r>
      <w:r>
        <w:rPr>
          <w:lang w:val="en-US"/>
        </w:rPr>
        <w:t>II</w:t>
      </w:r>
      <w:r>
        <w:t xml:space="preserve"> статистические данные о трудоспособном населении, которое, помимо основной работы занимается дополнительной трудовой деятельностью).</w:t>
      </w:r>
    </w:p>
    <w:p w:rsidR="00000000" w:rsidRDefault="00000000">
      <w:pPr>
        <w:tabs>
          <w:tab w:val="clear" w:pos="567"/>
          <w:tab w:val="clear" w:pos="1134"/>
          <w:tab w:val="left" w:pos="574"/>
        </w:tabs>
        <w:rPr>
          <w:b/>
          <w:bCs/>
        </w:rPr>
      </w:pPr>
      <w:r>
        <w:rPr>
          <w:b/>
          <w:bCs/>
        </w:rPr>
        <w:t>Пункт 12</w:t>
      </w:r>
    </w:p>
    <w:p w:rsidR="00000000" w:rsidRDefault="00000000">
      <w:pPr>
        <w:tabs>
          <w:tab w:val="clear" w:pos="567"/>
          <w:tab w:val="clear" w:pos="1134"/>
          <w:tab w:val="left" w:pos="574"/>
        </w:tabs>
        <w:rPr>
          <w:b/>
          <w:bCs/>
        </w:rPr>
      </w:pPr>
    </w:p>
    <w:p w:rsidR="00000000" w:rsidRDefault="00000000">
      <w:pPr>
        <w:tabs>
          <w:tab w:val="clear" w:pos="567"/>
          <w:tab w:val="clear" w:pos="1134"/>
          <w:tab w:val="left" w:pos="574"/>
        </w:tabs>
      </w:pPr>
      <w:r>
        <w:t>169.</w:t>
      </w:r>
      <w:r>
        <w:tab/>
        <w:t>К числу наиболее важных изменений в трудовой сфере является укрепление новой культуры трудовых отношений, цель которой заключается в улучшении условий жизни трудящихся мексиканцев путем расширения охвата и совершенствования механизмов профессионально-технического обучения, что позволяет повысить производительность труда и обеспечить более активное участие трудящихся в жизни своего предприятия в интересах получения более справедливого денежного вознаграждения и создания более достойных условий труда.</w:t>
      </w:r>
    </w:p>
    <w:p w:rsidR="00000000" w:rsidRDefault="00000000">
      <w:pPr>
        <w:tabs>
          <w:tab w:val="clear" w:pos="567"/>
          <w:tab w:val="clear" w:pos="1134"/>
          <w:tab w:val="left" w:pos="574"/>
        </w:tabs>
      </w:pPr>
    </w:p>
    <w:p w:rsidR="00000000" w:rsidRDefault="00000000">
      <w:pPr>
        <w:tabs>
          <w:tab w:val="clear" w:pos="567"/>
          <w:tab w:val="clear" w:pos="1134"/>
          <w:tab w:val="left" w:pos="574"/>
        </w:tabs>
      </w:pPr>
      <w:r>
        <w:t>170.</w:t>
      </w:r>
      <w:r>
        <w:tab/>
        <w:t>МТСО осуществляет мероприятия, способствующие созданию на производстве благоприятного климата, соответствующего принципам новой культуры трудовых отношений, что предполагает уделение приоритетного внимания потребностям человека в процессе принятия любых экономических решений и соответственно приложение максимальных усилий для разрешения возникающих конфликтов путем диалога между участниками производства, что в свою очередь способствует надлежащему соблюдению права на труд.  В этой связи следует, в частности, отметить, что в 2003 году лишь 42 конфликтные ситуации решались путем объявления забастовки, что составляет менее 1% от общего количества конфликтов между трудящимися и работодателями (4 206), которые были представлены в Федеральный совет по примирению и арбитражу (ФСПА).  ФСПА урегулировал в общей сложности 55 103 дела, включая примерно 40 000 дел, касающихся индивидуальных жалоб, 9 400 дел, касающихся коллективных трудовых соглашений, и 370 дел, касающихся коллективных жалоб о трудовых конфликтах.  Кроме того, ФСПА принял к рассмотрению 4 600 трудовых соглашений и внутренних регламентов и издал 2 695 постановлений, определяющих порядок решения конфликтов, связанных с владением собственностью и организацией забастовок.</w:t>
      </w:r>
    </w:p>
    <w:p w:rsidR="00000000" w:rsidRDefault="00000000">
      <w:pPr>
        <w:tabs>
          <w:tab w:val="clear" w:pos="567"/>
          <w:tab w:val="clear" w:pos="1134"/>
          <w:tab w:val="left" w:pos="574"/>
        </w:tabs>
      </w:pPr>
    </w:p>
    <w:p w:rsidR="00000000" w:rsidRDefault="00000000">
      <w:pPr>
        <w:tabs>
          <w:tab w:val="clear" w:pos="567"/>
          <w:tab w:val="clear" w:pos="1134"/>
          <w:tab w:val="left" w:pos="574"/>
        </w:tabs>
        <w:rPr>
          <w:b/>
          <w:bCs/>
        </w:rPr>
      </w:pPr>
      <w:r>
        <w:rPr>
          <w:b/>
          <w:bCs/>
        </w:rPr>
        <w:t>Пункт 13</w:t>
      </w:r>
    </w:p>
    <w:p w:rsidR="00000000" w:rsidRDefault="00000000">
      <w:pPr>
        <w:tabs>
          <w:tab w:val="clear" w:pos="567"/>
          <w:tab w:val="clear" w:pos="1134"/>
          <w:tab w:val="left" w:pos="574"/>
        </w:tabs>
        <w:rPr>
          <w:b/>
          <w:bCs/>
        </w:rPr>
      </w:pPr>
    </w:p>
    <w:p w:rsidR="00000000" w:rsidRDefault="00000000">
      <w:pPr>
        <w:tabs>
          <w:tab w:val="clear" w:pos="567"/>
          <w:tab w:val="clear" w:pos="1134"/>
          <w:tab w:val="left" w:pos="574"/>
        </w:tabs>
      </w:pPr>
      <w:r>
        <w:t>171.</w:t>
      </w:r>
      <w:r>
        <w:tab/>
        <w:t>Правительство Мексики осуществило в координации с МОТ программу "Содействие более широкой и эффективной занятости женщин" в штатах Герреро и Коауила.  Программой было охвачено 214 женщин, работающих на сборочно-экспортных предприятиях в штате Коауила (помимо этого в штате Коауила были организованы курсы профессионально-технической подготовки для 750 мужчин, работающих на промышленных сборочных предприятиях штата Коауила, а также 428 женщин, занятых в неформальном секторе штата Герерро.  МТСО и МОТ приняли решение приступить к реализации нового проекта с декабря 2003 года в четырех других штатах:  Чьяпас, Чиуауа, Веракрус и Юкатан.</w:t>
      </w:r>
    </w:p>
    <w:p w:rsidR="00000000" w:rsidRDefault="00000000">
      <w:pPr>
        <w:tabs>
          <w:tab w:val="clear" w:pos="567"/>
          <w:tab w:val="clear" w:pos="1134"/>
          <w:tab w:val="left" w:pos="574"/>
        </w:tabs>
      </w:pPr>
    </w:p>
    <w:p w:rsidR="00000000" w:rsidRDefault="00000000">
      <w:pPr>
        <w:tabs>
          <w:tab w:val="clear" w:pos="567"/>
          <w:tab w:val="clear" w:pos="1134"/>
          <w:tab w:val="left" w:pos="574"/>
        </w:tabs>
      </w:pPr>
      <w:r>
        <w:t>172.</w:t>
      </w:r>
      <w:r>
        <w:tab/>
        <w:t>МТСО, опираясь на структуры служб занятости на уровне штатов, обеспечивает правительства штатов и правительство Федерального округа средствами для целей осуществления Программы содействия занятости (ПСЗ) по линии Межамериканского банка развития (МБР), которая предусматривает оказание различных видов помощи экономического характера:  выделение субсидий, консультативное обслуживание, закупка оборудования, предоставление материалов для организации профессионально-технического обучения, покрытие транспортных расходов и страхование от несчастных случаев и т.д.</w:t>
      </w:r>
    </w:p>
    <w:p w:rsidR="00000000" w:rsidRDefault="00000000">
      <w:pPr>
        <w:tabs>
          <w:tab w:val="clear" w:pos="567"/>
          <w:tab w:val="clear" w:pos="1134"/>
          <w:tab w:val="left" w:pos="574"/>
        </w:tabs>
      </w:pPr>
    </w:p>
    <w:p w:rsidR="00000000" w:rsidRDefault="00000000">
      <w:pPr>
        <w:tabs>
          <w:tab w:val="clear" w:pos="567"/>
          <w:tab w:val="clear" w:pos="1134"/>
          <w:tab w:val="left" w:pos="574"/>
        </w:tabs>
      </w:pPr>
      <w:r>
        <w:t>173.</w:t>
      </w:r>
      <w:r>
        <w:tab/>
        <w:t>Программа содействия занятости (ПСЗ) предоставляет финансовые средства для организации программ профессионально-технического обучения;  проводит соответствующие мероприятия с учетом спроса на рабочую силу в производительном секторе;  осуществляет координационную деятельность во взаимодействии с местными органами власти, производственным сектором и структурами, представляющими работодателей и трудящихся, а также предпринимает усилия по обеспечению профессионально-технической подготовки трудящихся в соответствии с установленными МТСО критериями в целях повышения уровня жизни трудящихся и предпринимателей, а также членов их семей.  К числу основных целей программы относится реализация трудового потенциала личности и, как следствие, повышение конкурентоспособности предприятий, что в свою очередь позволяет создать благоприятные условия для интеграции рабочей силы на рынок труда и активизации процесса развития.</w:t>
      </w:r>
    </w:p>
    <w:p w:rsidR="00000000" w:rsidRDefault="00000000">
      <w:pPr>
        <w:tabs>
          <w:tab w:val="clear" w:pos="567"/>
          <w:tab w:val="clear" w:pos="1134"/>
          <w:tab w:val="left" w:pos="574"/>
        </w:tabs>
      </w:pPr>
    </w:p>
    <w:p w:rsidR="00000000" w:rsidRDefault="00000000">
      <w:r>
        <w:t>174.</w:t>
      </w:r>
      <w:r>
        <w:tab/>
        <w:t>Правительство Мексики осуществляет Программу целенаправленных действий по борьбе с сексуальной эксплуатацией детей в коммерческих целях (ЭССИ) в рамках Международной программы искоренения детского труда (ИПЕК) Международной организации труда.  Правительство Мексики демонстрирует твердую решимость укреплять национальные стратегии и системы межведомственной координации для целей эффективного решения этой проблемы.  В дополнение к деятельности общенационального уровня осуществляются мероприятия, конкретно нацеленные на следующие города:  приграничный город Тихуана, для которого особенно характерен феномен иммиграционных потоков, город Гуадалахара, относящийся к наиболее крупным городским агломерациям страны, и город Акапулько, для которого, в частности, характерен феномен туризма с целью сексуальной эксплуатации детей.</w:t>
      </w:r>
    </w:p>
    <w:p w:rsidR="00000000" w:rsidRDefault="00000000"/>
    <w:p w:rsidR="00000000" w:rsidRDefault="00000000">
      <w:pPr>
        <w:jc w:val="center"/>
        <w:rPr>
          <w:b/>
          <w:bCs/>
        </w:rPr>
      </w:pPr>
      <w:r>
        <w:rPr>
          <w:b/>
          <w:bCs/>
        </w:rPr>
        <w:br w:type="page"/>
        <w:t>В.</w:t>
      </w:r>
      <w:r>
        <w:rPr>
          <w:b/>
          <w:bCs/>
        </w:rPr>
        <w:tab/>
        <w:t>Статья 7</w:t>
      </w:r>
    </w:p>
    <w:p w:rsidR="00000000" w:rsidRDefault="00000000"/>
    <w:p w:rsidR="00000000" w:rsidRDefault="00000000">
      <w:pPr>
        <w:rPr>
          <w:b/>
          <w:bCs/>
        </w:rPr>
      </w:pPr>
      <w:r>
        <w:rPr>
          <w:b/>
          <w:bCs/>
        </w:rPr>
        <w:t>Пункт 15 а) руководящих принципов</w:t>
      </w:r>
    </w:p>
    <w:p w:rsidR="00000000" w:rsidRDefault="00000000"/>
    <w:p w:rsidR="00000000" w:rsidRDefault="00000000">
      <w:r>
        <w:t>175.</w:t>
      </w:r>
      <w:r>
        <w:tab/>
        <w:t>В Мексике заработная плата устанавливается на основе переговоров между трудящимися и работодателями без какого бы то ни было вмешательства со стороны властей.  По ходатайству одной из сторон МТСО может осуществлять в ходе таких переговоров посреднические функции.</w:t>
      </w:r>
    </w:p>
    <w:p w:rsidR="00000000" w:rsidRDefault="00000000"/>
    <w:p w:rsidR="00000000" w:rsidRDefault="00000000">
      <w:r>
        <w:t>176.</w:t>
      </w:r>
      <w:r>
        <w:tab/>
        <w:t xml:space="preserve">При этом существуют ставки минимальной заработной платы, устанавливаемые Национальной комиссией по минимальной заработной плате (КОНАСАМИ), что позволяет обеспечить эффективное осуществление конституционных прав и гарантий, закрепленных, в частности, в разделе А пункта </w:t>
      </w:r>
      <w:r>
        <w:rPr>
          <w:lang w:val="en-US"/>
        </w:rPr>
        <w:t>VI</w:t>
      </w:r>
      <w:r>
        <w:t xml:space="preserve"> статьи 123 Политической конституции Мексиканских Соединенных Штатов, где в императивной форме предписывается, что ставки минимальной заработной платы фиксируются указанной Национальной комиссией;  кроме того, там же прописывается порядок определения размера соответствующей минимальной заработной платы.  В статьях 90 и 94 федерального закона о труде содержится ссылка на эти конституционные положения, а в статьях 570</w:t>
      </w:r>
      <w:r>
        <w:noBreakHyphen/>
        <w:t>547 указанного закона предусматривается процедура установления размера минимальной заработной платы</w:t>
      </w:r>
      <w:r>
        <w:rPr>
          <w:rStyle w:val="FootnoteReference"/>
        </w:rPr>
        <w:footnoteReference w:id="12"/>
      </w:r>
      <w:r>
        <w:t>.</w:t>
      </w:r>
    </w:p>
    <w:p w:rsidR="00000000" w:rsidRDefault="00000000"/>
    <w:p w:rsidR="00000000" w:rsidRDefault="00000000">
      <w:r>
        <w:t>177.</w:t>
      </w:r>
      <w:r>
        <w:tab/>
        <w:t>Таким образом, в Мексике единственным предусмотренным законом методом установления минимальной заработной платы в соответствии с разделом А пункта </w:t>
      </w:r>
      <w:r>
        <w:rPr>
          <w:lang w:val="en-US"/>
        </w:rPr>
        <w:t>VI</w:t>
      </w:r>
      <w:r>
        <w:t> статьи 123 Конституции является режим, предусмотренный в статьях 570-574 федерального закона о труде.</w:t>
      </w:r>
    </w:p>
    <w:p w:rsidR="00000000" w:rsidRDefault="00000000"/>
    <w:p w:rsidR="00000000" w:rsidRDefault="00000000">
      <w:r>
        <w:t>178.</w:t>
      </w:r>
      <w:r>
        <w:tab/>
        <w:t xml:space="preserve">Процедура установления минимальной заработной платы конкретно определяется в нормах, закрепленных в статьях 570 и 571 указанного закона, в которых отмечается, что в процессе установления размера минимальной заработной платы трудящиеся и работодатели могут представлять в КОНАСАМИ экономические исследования по своему усмотрению, которые рассматриваются в соответствии с установленной процедурой Советом представителей этой Комиссии.  Совет представителей является трехсторонним органом, в состав которого входит равное число </w:t>
      </w:r>
      <w:r>
        <w:noBreakHyphen/>
        <w:t xml:space="preserve"> от 5 до 15 </w:t>
      </w:r>
      <w:r>
        <w:noBreakHyphen/>
        <w:t xml:space="preserve"> представителей владельцев предприятий и представителей охваченных профсоюзом трудящихся и работодателей, назначаемых один раз в четыре года, а также представителей правительства, из числа которых назначается председатель Комиссии;  соответствующая процедура установлена в статье 554 федерального закона о труде.</w:t>
      </w:r>
    </w:p>
    <w:p w:rsidR="00000000" w:rsidRDefault="00000000">
      <w:r>
        <w:t>179.</w:t>
      </w:r>
      <w:r>
        <w:tab/>
        <w:t>В соответствии с пунктом </w:t>
      </w:r>
      <w:r>
        <w:rPr>
          <w:lang w:val="en-US"/>
        </w:rPr>
        <w:t>V</w:t>
      </w:r>
      <w:r>
        <w:t xml:space="preserve"> статьи 562 федерального закона о труде техническое управление представляет на рассмотрение Совета представителей не позднее конца ноября каждого года доклад о движении цен и его последствий для покупательной способности минимальной заработной платы и наиболее важных изменениях в национальной экономике.  Кроме того, техническое управление представляет отчет об исследованиях и обследованиях, представленных трудящимися и работодателями.</w:t>
      </w:r>
    </w:p>
    <w:p w:rsidR="00000000" w:rsidRDefault="00000000"/>
    <w:p w:rsidR="00000000" w:rsidRDefault="00000000">
      <w:r>
        <w:t>180.</w:t>
      </w:r>
      <w:r>
        <w:tab/>
        <w:t>По рассмотрении доклада технического управления и исследований, представленных трудящимися и работодателями, Совет представителей не позднее конца декабря каждого года принимает решение, в котором он устанавливает общий размер минимальной заработной платы и размеры минимальной заработной платы по профессиям и состав географических районов по муниципиям в связи с применением данного решения.</w:t>
      </w:r>
    </w:p>
    <w:p w:rsidR="00000000" w:rsidRDefault="00000000"/>
    <w:p w:rsidR="00000000" w:rsidRDefault="00000000">
      <w:r>
        <w:t>181.</w:t>
      </w:r>
      <w:r>
        <w:tab/>
        <w:t>В решении Национальной комиссии должны излагаться мотивы, обосновывающие пересмотр размеров минимальной заработной платы.</w:t>
      </w:r>
    </w:p>
    <w:p w:rsidR="00000000" w:rsidRDefault="00000000"/>
    <w:p w:rsidR="00000000" w:rsidRDefault="00000000">
      <w:r>
        <w:t>182.</w:t>
      </w:r>
      <w:r>
        <w:tab/>
        <w:t>Председатель Национальной комиссии распоряжается о публикации решения об установлении размеров заработной платы в "Федеральном официальном вестнике" не позднее 31 декабря каждого года.</w:t>
      </w:r>
    </w:p>
    <w:p w:rsidR="00000000" w:rsidRDefault="00000000"/>
    <w:p w:rsidR="00000000" w:rsidRDefault="00000000">
      <w:r>
        <w:t>183.</w:t>
      </w:r>
      <w:r>
        <w:tab/>
        <w:t>Кроме того, следует отметить, что в соответствии с ФЗТ размеры минимальной заработной платы могут быть пересмотрены в любой момент при возникновении экономических обстоятельств, оправдывающих такой пересмотр.  Пересмотр может производиться:</w:t>
      </w:r>
    </w:p>
    <w:p w:rsidR="00000000" w:rsidRDefault="00000000"/>
    <w:p w:rsidR="00000000" w:rsidRDefault="00000000">
      <w:pPr>
        <w:ind w:left="1134" w:hanging="1134"/>
      </w:pPr>
      <w:r>
        <w:tab/>
      </w:r>
      <w:r>
        <w:rPr>
          <w:lang w:val="en-US"/>
        </w:rPr>
        <w:t>I</w:t>
      </w:r>
      <w:r>
        <w:t>.</w:t>
      </w:r>
      <w:r>
        <w:tab/>
        <w:t>по инициативе министра труда и социального обеспечения, который представляет председателю Национальной комиссии по вопросам минимальной заработной платы письменное ходатайство, содержащее изложение мотивов пересмотра, или</w:t>
      </w:r>
    </w:p>
    <w:p w:rsidR="00000000" w:rsidRDefault="00000000"/>
    <w:p w:rsidR="00000000" w:rsidRDefault="00000000">
      <w:pPr>
        <w:ind w:left="1134" w:hanging="1134"/>
      </w:pPr>
      <w:r>
        <w:tab/>
      </w:r>
      <w:r>
        <w:rPr>
          <w:lang w:val="en-US"/>
        </w:rPr>
        <w:t>II</w:t>
      </w:r>
      <w:r>
        <w:t>.</w:t>
      </w:r>
      <w:r>
        <w:tab/>
        <w:t>по ходатайству профсоюзов, федераций и конфедераций трудящихся или предпринимателей при условии соблюдения следующих требований:</w:t>
      </w:r>
    </w:p>
    <w:p w:rsidR="00000000" w:rsidRDefault="00000000"/>
    <w:p w:rsidR="00000000" w:rsidRDefault="00000000">
      <w:pPr>
        <w:ind w:left="1701" w:hanging="1701"/>
      </w:pPr>
      <w:r>
        <w:tab/>
      </w:r>
      <w:r>
        <w:tab/>
      </w:r>
      <w:r>
        <w:rPr>
          <w:lang w:val="en-US"/>
        </w:rPr>
        <w:t>a</w:t>
      </w:r>
      <w:r>
        <w:t>)</w:t>
      </w:r>
      <w:r>
        <w:tab/>
        <w:t>ходатайство должно быть представлено в министерство труда и социального обеспечения профсоюзами, федерациями и конфедерациями, которые представляют не менее 51% охваченных профсоюзами трудящихся, или предпринимателями, на которых работают по найму не менее 51% указанных трудящихся;</w:t>
      </w:r>
    </w:p>
    <w:p w:rsidR="00000000" w:rsidRDefault="00000000">
      <w:pPr>
        <w:ind w:left="1701" w:hanging="1701"/>
      </w:pPr>
      <w:r>
        <w:tab/>
      </w:r>
      <w:r>
        <w:tab/>
      </w:r>
      <w:r>
        <w:rPr>
          <w:lang w:val="en-US"/>
        </w:rPr>
        <w:t>b</w:t>
      </w:r>
      <w:r>
        <w:t>)</w:t>
      </w:r>
      <w:r>
        <w:tab/>
        <w:t>ходатайство должно содержать изложение мотивов, обосновывающих пересмотр размера минимальной заработной платы, и может дополняться исследованиями и документами по усмотрению стороны;</w:t>
      </w:r>
    </w:p>
    <w:p w:rsidR="00000000" w:rsidRDefault="00000000"/>
    <w:p w:rsidR="00000000" w:rsidRDefault="00000000">
      <w:pPr>
        <w:ind w:left="1701" w:hanging="1701"/>
      </w:pPr>
      <w:r>
        <w:tab/>
      </w:r>
      <w:r>
        <w:tab/>
      </w:r>
      <w:r>
        <w:rPr>
          <w:lang w:val="en-US"/>
        </w:rPr>
        <w:t>c</w:t>
      </w:r>
      <w:r>
        <w:t>)</w:t>
      </w:r>
      <w:r>
        <w:tab/>
        <w:t>в течение пяти дней с момента получения соответствующего ходатайства и при условии соблюдения предусмотренного в пункте а) требования относительно большинства министерство труда и социального обеспечения доводит до сведения председателя Национальной комиссии по вопросам минимальной заработной платы ходатайство и прилагаемые к ходатайству исследования и документы.</w:t>
      </w:r>
    </w:p>
    <w:p w:rsidR="00000000" w:rsidRDefault="00000000"/>
    <w:p w:rsidR="00000000" w:rsidRDefault="00000000">
      <w:r>
        <w:t>184.</w:t>
      </w:r>
      <w:r>
        <w:tab/>
        <w:t xml:space="preserve">В течение трех дней со дня получения ходатайства от министерства труда и социального обеспечения или, в соответствующем случае, от органа, представляющего организации трудящихся или работодателей, председатель Национальной комиссии созывает заседание Совета представителей для рассмотрения ходатайства и принятия решения относительно того, являются ли приведенные в нем аргументы достаточными для возбуждения процедуры пересмотра.  В случае принятия положительного решения техническое управление подготавливает доклад о движении цен и его последствиях для покупательной способности минимальной заработной платы и наиболее важных изменениях в национальной экономике.  Такой доклад готовится для того, чтобы Совет представителей мог располагать информацией, необходимой для пересмотра текущих и установления новых размеров минимальной заработной платы и срока их вступления в силу.  В случае отрицательного решения информация об этом доводится до сведения министерства труда и социального обеспечения. </w:t>
      </w:r>
    </w:p>
    <w:p w:rsidR="00000000" w:rsidRDefault="00000000"/>
    <w:p w:rsidR="00000000" w:rsidRDefault="00000000">
      <w:r>
        <w:t>185.</w:t>
      </w:r>
      <w:r>
        <w:tab/>
        <w:t>В течение пяти дней с момента предписания председателя Национальной комиссии техническое управление подготавливает доклад на основании соответствующего раздела вышеуказанного закона и представляет его через председателя Комиссии на рассмотрение Совета представителей.</w:t>
      </w:r>
    </w:p>
    <w:p w:rsidR="00000000" w:rsidRDefault="00000000"/>
    <w:p w:rsidR="00000000" w:rsidRDefault="00000000">
      <w:r>
        <w:t>186.</w:t>
      </w:r>
      <w:r>
        <w:tab/>
        <w:t>В течение трех дней с момента получения доклада технического управления Совет представителей выносит решение, устанавливающее, в соответствующем случае, новые размеры минимальной заработной платы.</w:t>
      </w:r>
    </w:p>
    <w:p w:rsidR="00000000" w:rsidRDefault="00000000"/>
    <w:p w:rsidR="00000000" w:rsidRDefault="00000000">
      <w:r>
        <w:t>187.</w:t>
      </w:r>
      <w:r>
        <w:tab/>
        <w:t>В решении Национальной комиссии оговаривается срок введения в действие новых размеров минимальной заработной платы, которые должны вступить в силу не позднее, чем через десять дней с момента вынесения Национальной комиссией соответствующего решения.</w:t>
      </w:r>
    </w:p>
    <w:p w:rsidR="00000000" w:rsidRDefault="00000000"/>
    <w:p w:rsidR="00000000" w:rsidRDefault="00000000">
      <w:r>
        <w:t>188.</w:t>
      </w:r>
      <w:r>
        <w:tab/>
        <w:t>Председатель Национальной комиссии по вопросам минимальной заработной платы принимает решение о публикации соответствующего постановления в "Федеральном официальном вестнике " в течение трех дней с момента принятия такого решения.</w:t>
      </w:r>
    </w:p>
    <w:p w:rsidR="00000000" w:rsidRDefault="00000000"/>
    <w:p w:rsidR="00000000" w:rsidRDefault="00000000">
      <w:pPr>
        <w:rPr>
          <w:szCs w:val="22"/>
        </w:rPr>
      </w:pPr>
      <w:r>
        <w:rPr>
          <w:szCs w:val="22"/>
        </w:rPr>
        <w:t>189.</w:t>
      </w:r>
      <w:r>
        <w:rPr>
          <w:szCs w:val="22"/>
        </w:rPr>
        <w:tab/>
        <w:t>Следует отметить, что Мексика подписала Конвенции №№ 26, 99 и 131 Международной организации труда и инкорпорировала их в свое внутригосударственное законодательство в соответствии с положениями статьи 123 вышеуказанного закона.</w:t>
      </w:r>
    </w:p>
    <w:p w:rsidR="00000000" w:rsidRDefault="00000000">
      <w:pPr>
        <w:rPr>
          <w:szCs w:val="22"/>
        </w:rPr>
      </w:pPr>
    </w:p>
    <w:p w:rsidR="00000000" w:rsidRDefault="00000000">
      <w:pPr>
        <w:keepNext/>
        <w:rPr>
          <w:szCs w:val="22"/>
        </w:rPr>
      </w:pPr>
      <w:r>
        <w:rPr>
          <w:b/>
          <w:bCs/>
          <w:szCs w:val="22"/>
        </w:rPr>
        <w:t>Пункт 15 </w:t>
      </w:r>
      <w:r>
        <w:rPr>
          <w:b/>
          <w:bCs/>
          <w:szCs w:val="22"/>
          <w:lang w:val="en-US"/>
        </w:rPr>
        <w:t>b</w:t>
      </w:r>
      <w:r>
        <w:rPr>
          <w:b/>
          <w:bCs/>
          <w:szCs w:val="22"/>
        </w:rPr>
        <w:t>)</w:t>
      </w:r>
    </w:p>
    <w:p w:rsidR="00000000" w:rsidRDefault="00000000">
      <w:pPr>
        <w:keepNext/>
        <w:rPr>
          <w:szCs w:val="22"/>
        </w:rPr>
      </w:pPr>
    </w:p>
    <w:p w:rsidR="00000000" w:rsidRDefault="00000000">
      <w:pPr>
        <w:rPr>
          <w:bCs/>
          <w:szCs w:val="22"/>
        </w:rPr>
      </w:pPr>
      <w:r>
        <w:rPr>
          <w:szCs w:val="22"/>
        </w:rPr>
        <w:t>190.</w:t>
      </w:r>
      <w:r>
        <w:rPr>
          <w:szCs w:val="22"/>
        </w:rPr>
        <w:tab/>
        <w:t>В Мексике реально действует система минимальной заработной платы.  В статье 123 Политической конституции Мексиканских Соединенных Штатов устанавливается, что "</w:t>
      </w:r>
      <w:r>
        <w:rPr>
          <w:bCs/>
          <w:szCs w:val="22"/>
        </w:rPr>
        <w:t>(...) каждый человек имеет право на достойный и социально полезный труд;  в этой связи принимаются меры по созданию рабочих мест и совершенствованию социальной организации труда в соответствии с законом".</w:t>
      </w:r>
    </w:p>
    <w:p w:rsidR="00000000" w:rsidRDefault="00000000">
      <w:pPr>
        <w:rPr>
          <w:bCs/>
          <w:szCs w:val="22"/>
        </w:rPr>
      </w:pPr>
    </w:p>
    <w:p w:rsidR="00000000" w:rsidRDefault="00000000">
      <w:pPr>
        <w:rPr>
          <w:szCs w:val="22"/>
        </w:rPr>
      </w:pPr>
      <w:r>
        <w:rPr>
          <w:szCs w:val="22"/>
        </w:rPr>
        <w:t>191.</w:t>
      </w:r>
      <w:r>
        <w:rPr>
          <w:szCs w:val="22"/>
        </w:rPr>
        <w:tab/>
        <w:t>В пункте </w:t>
      </w:r>
      <w:r>
        <w:rPr>
          <w:szCs w:val="22"/>
          <w:lang w:val="fr-FR"/>
        </w:rPr>
        <w:t>VI</w:t>
      </w:r>
      <w:r>
        <w:rPr>
          <w:szCs w:val="22"/>
        </w:rPr>
        <w:t xml:space="preserve"> статьи 123 Конституции, касающемся размера минимальной заработной платы, предусмотрено следующее:</w:t>
      </w:r>
    </w:p>
    <w:p w:rsidR="00000000" w:rsidRDefault="00000000">
      <w:pPr>
        <w:rPr>
          <w:szCs w:val="22"/>
        </w:rPr>
      </w:pPr>
    </w:p>
    <w:p w:rsidR="00000000" w:rsidRDefault="00000000">
      <w:pPr>
        <w:ind w:left="1134" w:hanging="567"/>
        <w:rPr>
          <w:szCs w:val="22"/>
        </w:rPr>
      </w:pPr>
      <w:r>
        <w:rPr>
          <w:bCs/>
          <w:szCs w:val="22"/>
        </w:rPr>
        <w:t>"</w:t>
      </w:r>
      <w:r>
        <w:rPr>
          <w:bCs/>
          <w:szCs w:val="22"/>
          <w:lang w:val="fr-FR"/>
        </w:rPr>
        <w:t>VI</w:t>
      </w:r>
      <w:r>
        <w:rPr>
          <w:szCs w:val="22"/>
        </w:rPr>
        <w:t>.</w:t>
      </w:r>
      <w:r>
        <w:rPr>
          <w:szCs w:val="22"/>
        </w:rPr>
        <w:tab/>
        <w:t>Существуют два вида минимальной заработной платы:  общая и профессиональная минимальная заработная плата.  Размеры общей минимальной заработной платы зависят от соответствующего географического района;  режим профессиональной минимальной заработной платы применяется в соответствующей отрасли экономической деятельности, а также в отношении профессий, занятий или специальных видов трудовой деятельности.</w:t>
      </w:r>
    </w:p>
    <w:p w:rsidR="00000000" w:rsidRDefault="00000000">
      <w:pPr>
        <w:ind w:left="567"/>
        <w:rPr>
          <w:szCs w:val="22"/>
        </w:rPr>
      </w:pPr>
    </w:p>
    <w:p w:rsidR="00000000" w:rsidRDefault="00000000">
      <w:pPr>
        <w:ind w:left="1134" w:hanging="567"/>
        <w:rPr>
          <w:szCs w:val="22"/>
        </w:rPr>
      </w:pPr>
      <w:r>
        <w:rPr>
          <w:szCs w:val="22"/>
        </w:rPr>
        <w:tab/>
        <w:t>Общая минимальная заработная плата должна быть достаточной для удовлетворения нормальных жизненных потребностей трудящегося, его материальных, социальных и культурных запросов как главы семьи и для обеспечения обязательного образования детей.  Размеры профессиональной минимальной заработной платы устанавливаются с учетом, помимо прочего, специфики работы в различных отраслях экономической деятельности.</w:t>
      </w:r>
    </w:p>
    <w:p w:rsidR="00000000" w:rsidRDefault="00000000">
      <w:pPr>
        <w:ind w:left="567"/>
        <w:rPr>
          <w:szCs w:val="22"/>
        </w:rPr>
      </w:pPr>
    </w:p>
    <w:p w:rsidR="00000000" w:rsidRDefault="00000000">
      <w:pPr>
        <w:ind w:left="1134" w:hanging="567"/>
        <w:rPr>
          <w:szCs w:val="22"/>
        </w:rPr>
      </w:pPr>
      <w:r>
        <w:rPr>
          <w:szCs w:val="22"/>
        </w:rPr>
        <w:tab/>
        <w:t>Размер минимальной заработной платы устанавливается национальной комиссией в составе представителей трудящихся, работодателей и правительства;  эта комиссия может создавать специальные вспомогательные комиссии консультативного характера, которые она считает необходимыми для целей более эффективного осуществления своих функций".</w:t>
      </w:r>
    </w:p>
    <w:p w:rsidR="00000000" w:rsidRDefault="00000000">
      <w:pPr>
        <w:rPr>
          <w:szCs w:val="22"/>
        </w:rPr>
      </w:pPr>
      <w:r>
        <w:rPr>
          <w:szCs w:val="22"/>
        </w:rPr>
        <w:t>192.</w:t>
      </w:r>
      <w:r>
        <w:rPr>
          <w:szCs w:val="22"/>
        </w:rPr>
        <w:tab/>
        <w:t>В статье 90 главы</w:t>
      </w:r>
      <w:r>
        <w:rPr>
          <w:szCs w:val="22"/>
          <w:lang w:val="en-US"/>
        </w:rPr>
        <w:t> VI</w:t>
      </w:r>
      <w:r>
        <w:rPr>
          <w:szCs w:val="22"/>
        </w:rPr>
        <w:t xml:space="preserve"> федерального закона о труде, определяющего порядок применения статьи 123 Конституции, говорится следующее:</w:t>
      </w:r>
    </w:p>
    <w:p w:rsidR="00000000" w:rsidRDefault="00000000">
      <w:pPr>
        <w:rPr>
          <w:szCs w:val="22"/>
        </w:rPr>
      </w:pPr>
    </w:p>
    <w:p w:rsidR="00000000" w:rsidRDefault="00000000">
      <w:pPr>
        <w:ind w:left="567"/>
        <w:rPr>
          <w:szCs w:val="22"/>
        </w:rPr>
      </w:pPr>
      <w:r>
        <w:rPr>
          <w:szCs w:val="22"/>
        </w:rPr>
        <w:tab/>
        <w:t>"Статья 90.  (…) Минимальная заработная плата представляет собой наименьшую денежную сумму, выплачиваемую работнику за один рабочий день.</w:t>
      </w:r>
    </w:p>
    <w:p w:rsidR="00000000" w:rsidRDefault="00000000">
      <w:pPr>
        <w:ind w:left="567"/>
        <w:rPr>
          <w:szCs w:val="22"/>
        </w:rPr>
      </w:pPr>
    </w:p>
    <w:p w:rsidR="00000000" w:rsidRDefault="00000000">
      <w:pPr>
        <w:ind w:left="567"/>
        <w:rPr>
          <w:szCs w:val="22"/>
        </w:rPr>
      </w:pPr>
      <w:r>
        <w:rPr>
          <w:szCs w:val="22"/>
        </w:rPr>
        <w:tab/>
        <w:t>Минимальная заработная плата должна быть достаточной для удовлетворения нормальных жизненных потребностей трудящегося, его материальных, социальных и культурных запросов как главы семьи и для обеспечения обязательного образования детей".</w:t>
      </w:r>
    </w:p>
    <w:p w:rsidR="00000000" w:rsidRDefault="00000000">
      <w:pPr>
        <w:rPr>
          <w:szCs w:val="22"/>
        </w:rPr>
      </w:pPr>
    </w:p>
    <w:p w:rsidR="00000000" w:rsidRDefault="00000000">
      <w:pPr>
        <w:rPr>
          <w:szCs w:val="22"/>
        </w:rPr>
      </w:pPr>
      <w:r>
        <w:rPr>
          <w:szCs w:val="22"/>
        </w:rPr>
        <w:t>193.</w:t>
      </w:r>
      <w:r>
        <w:rPr>
          <w:szCs w:val="22"/>
        </w:rPr>
        <w:tab/>
        <w:t>Кроме того, ФЗТ устанавливает следующее:</w:t>
      </w:r>
    </w:p>
    <w:p w:rsidR="00000000" w:rsidRDefault="00000000">
      <w:pPr>
        <w:rPr>
          <w:szCs w:val="22"/>
        </w:rPr>
      </w:pPr>
    </w:p>
    <w:p w:rsidR="00000000" w:rsidRDefault="00000000">
      <w:pPr>
        <w:ind w:left="567" w:hanging="567"/>
        <w:rPr>
          <w:szCs w:val="22"/>
        </w:rPr>
      </w:pPr>
      <w:r>
        <w:rPr>
          <w:szCs w:val="22"/>
        </w:rPr>
        <w:tab/>
      </w:r>
      <w:r>
        <w:rPr>
          <w:szCs w:val="22"/>
        </w:rPr>
        <w:tab/>
        <w:t>"Статья 91.  Применяемые размеры минимальной заработной платы могут быть общими для одного или нескольких географических районов и охватывать одно или несколько административно-территориальных образований или областей профессиональной деятельности в интересах конкретной экономической деятельности или профессиональной деятельности, рода занятий или специальных видов работы в рамках одного или нескольких географических зон".</w:t>
      </w:r>
    </w:p>
    <w:p w:rsidR="00000000" w:rsidRDefault="00000000">
      <w:pPr>
        <w:rPr>
          <w:szCs w:val="22"/>
        </w:rPr>
      </w:pPr>
    </w:p>
    <w:p w:rsidR="00000000" w:rsidRDefault="00000000">
      <w:pPr>
        <w:ind w:left="567" w:hanging="567"/>
        <w:rPr>
          <w:szCs w:val="22"/>
        </w:rPr>
      </w:pPr>
      <w:r>
        <w:rPr>
          <w:szCs w:val="22"/>
        </w:rPr>
        <w:tab/>
      </w:r>
      <w:r>
        <w:rPr>
          <w:szCs w:val="22"/>
        </w:rPr>
        <w:tab/>
        <w:t>"Статья 92.  Нормы, касающиеся общей минимальной заработной платы, распространяются на всех трудящихся географического района или районов их применения и устанавливаются независимо от видов экономической деятельности, профессии, рода занятий или специальной трудовой деятельности".</w:t>
      </w:r>
    </w:p>
    <w:p w:rsidR="00000000" w:rsidRDefault="00000000">
      <w:pPr>
        <w:rPr>
          <w:szCs w:val="22"/>
        </w:rPr>
      </w:pPr>
    </w:p>
    <w:p w:rsidR="00000000" w:rsidRDefault="00000000">
      <w:pPr>
        <w:ind w:left="567" w:hanging="567"/>
        <w:rPr>
          <w:szCs w:val="22"/>
        </w:rPr>
      </w:pPr>
      <w:r>
        <w:rPr>
          <w:szCs w:val="22"/>
        </w:rPr>
        <w:tab/>
      </w:r>
      <w:r>
        <w:rPr>
          <w:szCs w:val="22"/>
        </w:rPr>
        <w:tab/>
        <w:t>"Статья 93.  Нормы, касающиеся профессиональной минимальной заработной платы, распространяются на всех трудящихся соответствующих видов экономической деятельности, профессий, рода занятий или специальной трудовой деятельности и охватывают один или несколько географических районов".</w:t>
      </w:r>
    </w:p>
    <w:p w:rsidR="00000000" w:rsidRDefault="00000000">
      <w:pPr>
        <w:rPr>
          <w:szCs w:val="22"/>
        </w:rPr>
      </w:pPr>
    </w:p>
    <w:p w:rsidR="00000000" w:rsidRDefault="00000000">
      <w:pPr>
        <w:ind w:left="567" w:hanging="567"/>
        <w:rPr>
          <w:szCs w:val="22"/>
        </w:rPr>
      </w:pPr>
      <w:r>
        <w:rPr>
          <w:szCs w:val="22"/>
        </w:rPr>
        <w:tab/>
      </w:r>
      <w:r>
        <w:rPr>
          <w:szCs w:val="22"/>
        </w:rPr>
        <w:tab/>
        <w:t>"Статья 94.  Размеры минимальной заработной платы устанавливаются КОНАСАМИ, в состав которой входят представители трудящихся, работодателей и правительства.  КОНАСАМИ может создавать специальные вспомогательные комиссии консультативного характера, наличие которых она считает необходимым для целей более эффективного осуществления своих функций".</w:t>
      </w:r>
    </w:p>
    <w:p w:rsidR="00000000" w:rsidRDefault="00000000">
      <w:pPr>
        <w:rPr>
          <w:szCs w:val="22"/>
        </w:rPr>
      </w:pPr>
    </w:p>
    <w:p w:rsidR="00000000" w:rsidRDefault="00000000">
      <w:pPr>
        <w:rPr>
          <w:szCs w:val="22"/>
        </w:rPr>
      </w:pPr>
      <w:r>
        <w:rPr>
          <w:szCs w:val="22"/>
        </w:rPr>
        <w:t>194.</w:t>
      </w:r>
      <w:r>
        <w:rPr>
          <w:szCs w:val="22"/>
        </w:rPr>
        <w:tab/>
        <w:t>Информация, касающаяся состава и функционирования Национальной комиссии по вопросам минимальной заработной платы, была изложена выше в рамках ответа на предыдущий вопрос.</w:t>
      </w:r>
    </w:p>
    <w:p w:rsidR="00000000" w:rsidRDefault="00000000">
      <w:pPr>
        <w:rPr>
          <w:szCs w:val="22"/>
        </w:rPr>
      </w:pPr>
      <w:r>
        <w:rPr>
          <w:szCs w:val="22"/>
        </w:rPr>
        <w:t>195.</w:t>
      </w:r>
      <w:r>
        <w:rPr>
          <w:szCs w:val="22"/>
        </w:rPr>
        <w:tab/>
        <w:t>Что касается групп наемных трудящихся, к которым применяется система минимальной заработной платы, то статья 93 федерального закона о труде гласит, что нормы, касающиеся размера профессиональной минимальной заработной платы, распространяются на всех трудящихся соответствующих видов экономической деятельности, профессий, рода занятий или специальной трудовой деятельности в рамках одного или нескольких географических районов их применения.</w:t>
      </w:r>
    </w:p>
    <w:p w:rsidR="00000000" w:rsidRDefault="00000000">
      <w:pPr>
        <w:rPr>
          <w:szCs w:val="22"/>
        </w:rPr>
      </w:pPr>
    </w:p>
    <w:p w:rsidR="00000000" w:rsidRDefault="00000000">
      <w:pPr>
        <w:rPr>
          <w:szCs w:val="22"/>
        </w:rPr>
      </w:pPr>
      <w:r>
        <w:rPr>
          <w:szCs w:val="22"/>
        </w:rPr>
        <w:t>196.</w:t>
      </w:r>
      <w:r>
        <w:rPr>
          <w:szCs w:val="22"/>
        </w:rPr>
        <w:tab/>
        <w:t>В приводимой ниже таблице перечисляются 88 профессий, специальностей и видов трудовой деятельности, которые в настоящее время охватываются системой профессиональной минимальной заработной платы.</w:t>
      </w:r>
    </w:p>
    <w:p w:rsidR="00000000" w:rsidRDefault="00000000">
      <w:pPr>
        <w:rPr>
          <w:szCs w:val="22"/>
        </w:rPr>
      </w:pPr>
    </w:p>
    <w:p w:rsidR="00000000" w:rsidRDefault="00000000">
      <w:pPr>
        <w:jc w:val="center"/>
        <w:rPr>
          <w:b/>
          <w:bCs/>
          <w:sz w:val="22"/>
          <w:szCs w:val="22"/>
        </w:rPr>
      </w:pPr>
      <w:r>
        <w:rPr>
          <w:b/>
          <w:bCs/>
          <w:sz w:val="22"/>
          <w:szCs w:val="22"/>
        </w:rPr>
        <w:t>Профессии, специальности и иные виды трудовой деятельности</w:t>
      </w:r>
    </w:p>
    <w:p w:rsidR="00000000" w:rsidRDefault="00000000">
      <w:pPr>
        <w:jc w:val="center"/>
        <w:rPr>
          <w:sz w:val="22"/>
          <w:szCs w:val="22"/>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567"/>
        <w:gridCol w:w="4139"/>
        <w:gridCol w:w="567"/>
        <w:gridCol w:w="4082"/>
      </w:tblGrid>
      <w:tr w:rsidR="00000000">
        <w:trPr>
          <w:cantSplit/>
        </w:trPr>
        <w:tc>
          <w:tcPr>
            <w:tcW w:w="567" w:type="dxa"/>
          </w:tcPr>
          <w:p w:rsidR="00000000" w:rsidRDefault="00000000">
            <w:pPr>
              <w:spacing w:before="60" w:line="240" w:lineRule="auto"/>
              <w:ind w:right="85"/>
              <w:jc w:val="right"/>
              <w:rPr>
                <w:sz w:val="18"/>
                <w:szCs w:val="22"/>
              </w:rPr>
            </w:pPr>
            <w:r>
              <w:rPr>
                <w:sz w:val="18"/>
                <w:szCs w:val="22"/>
              </w:rPr>
              <w:t>1.</w:t>
            </w:r>
          </w:p>
        </w:tc>
        <w:tc>
          <w:tcPr>
            <w:tcW w:w="4139" w:type="dxa"/>
          </w:tcPr>
          <w:p w:rsidR="00000000" w:rsidRDefault="00000000">
            <w:pPr>
              <w:spacing w:before="60" w:line="240" w:lineRule="auto"/>
              <w:rPr>
                <w:sz w:val="18"/>
                <w:szCs w:val="22"/>
              </w:rPr>
            </w:pPr>
            <w:r>
              <w:rPr>
                <w:sz w:val="18"/>
                <w:szCs w:val="22"/>
              </w:rPr>
              <w:t>Каменщик</w:t>
            </w:r>
          </w:p>
        </w:tc>
        <w:tc>
          <w:tcPr>
            <w:tcW w:w="567" w:type="dxa"/>
          </w:tcPr>
          <w:p w:rsidR="00000000" w:rsidRDefault="00000000">
            <w:pPr>
              <w:spacing w:before="60" w:line="240" w:lineRule="auto"/>
              <w:jc w:val="center"/>
              <w:rPr>
                <w:sz w:val="18"/>
                <w:szCs w:val="22"/>
              </w:rPr>
            </w:pPr>
            <w:r>
              <w:rPr>
                <w:sz w:val="18"/>
                <w:szCs w:val="22"/>
              </w:rPr>
              <w:t>45.</w:t>
            </w:r>
          </w:p>
        </w:tc>
        <w:tc>
          <w:tcPr>
            <w:tcW w:w="4082" w:type="dxa"/>
          </w:tcPr>
          <w:p w:rsidR="00000000" w:rsidRDefault="00000000">
            <w:pPr>
              <w:spacing w:before="60" w:line="240" w:lineRule="auto"/>
              <w:rPr>
                <w:sz w:val="18"/>
                <w:szCs w:val="22"/>
              </w:rPr>
            </w:pPr>
            <w:r>
              <w:rPr>
                <w:sz w:val="18"/>
                <w:szCs w:val="22"/>
              </w:rPr>
              <w:t>Работник птицефермы</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2.</w:t>
            </w:r>
          </w:p>
        </w:tc>
        <w:tc>
          <w:tcPr>
            <w:tcW w:w="4139" w:type="dxa"/>
          </w:tcPr>
          <w:p w:rsidR="00000000" w:rsidRDefault="00000000">
            <w:pPr>
              <w:spacing w:before="60" w:line="240" w:lineRule="auto"/>
              <w:rPr>
                <w:sz w:val="18"/>
                <w:szCs w:val="22"/>
              </w:rPr>
            </w:pPr>
            <w:r>
              <w:rPr>
                <w:sz w:val="18"/>
                <w:szCs w:val="22"/>
              </w:rPr>
              <w:t>Архивно-канцелярский работник</w:t>
            </w:r>
          </w:p>
        </w:tc>
        <w:tc>
          <w:tcPr>
            <w:tcW w:w="567" w:type="dxa"/>
          </w:tcPr>
          <w:p w:rsidR="00000000" w:rsidRDefault="00000000">
            <w:pPr>
              <w:spacing w:before="60" w:line="240" w:lineRule="auto"/>
              <w:jc w:val="center"/>
              <w:rPr>
                <w:sz w:val="18"/>
                <w:szCs w:val="22"/>
              </w:rPr>
            </w:pPr>
            <w:r>
              <w:rPr>
                <w:sz w:val="18"/>
                <w:szCs w:val="22"/>
              </w:rPr>
              <w:t>46.</w:t>
            </w:r>
          </w:p>
        </w:tc>
        <w:tc>
          <w:tcPr>
            <w:tcW w:w="4082" w:type="dxa"/>
          </w:tcPr>
          <w:p w:rsidR="00000000" w:rsidRDefault="00000000">
            <w:pPr>
              <w:spacing w:before="60" w:line="240" w:lineRule="auto"/>
              <w:rPr>
                <w:sz w:val="18"/>
                <w:szCs w:val="22"/>
              </w:rPr>
            </w:pPr>
            <w:r>
              <w:rPr>
                <w:sz w:val="18"/>
                <w:szCs w:val="22"/>
              </w:rPr>
              <w:t>Оператор сельскохозяйственной техники</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3.</w:t>
            </w:r>
          </w:p>
        </w:tc>
        <w:tc>
          <w:tcPr>
            <w:tcW w:w="4139" w:type="dxa"/>
          </w:tcPr>
          <w:p w:rsidR="00000000" w:rsidRDefault="00000000">
            <w:pPr>
              <w:spacing w:before="60" w:line="240" w:lineRule="auto"/>
              <w:rPr>
                <w:sz w:val="18"/>
                <w:szCs w:val="22"/>
              </w:rPr>
            </w:pPr>
            <w:r>
              <w:rPr>
                <w:sz w:val="18"/>
                <w:szCs w:val="22"/>
              </w:rPr>
              <w:t>Работник аптеки или киоска по продаже фармацевтической продукции</w:t>
            </w:r>
          </w:p>
        </w:tc>
        <w:tc>
          <w:tcPr>
            <w:tcW w:w="567" w:type="dxa"/>
          </w:tcPr>
          <w:p w:rsidR="00000000" w:rsidRDefault="00000000">
            <w:pPr>
              <w:spacing w:before="60" w:line="240" w:lineRule="auto"/>
              <w:jc w:val="center"/>
              <w:rPr>
                <w:sz w:val="18"/>
                <w:szCs w:val="22"/>
              </w:rPr>
            </w:pPr>
            <w:r>
              <w:rPr>
                <w:sz w:val="18"/>
                <w:szCs w:val="22"/>
              </w:rPr>
              <w:t>47.</w:t>
            </w:r>
          </w:p>
        </w:tc>
        <w:tc>
          <w:tcPr>
            <w:tcW w:w="4082" w:type="dxa"/>
          </w:tcPr>
          <w:p w:rsidR="00000000" w:rsidRDefault="00000000">
            <w:pPr>
              <w:spacing w:before="60" w:line="240" w:lineRule="auto"/>
              <w:rPr>
                <w:sz w:val="18"/>
                <w:szCs w:val="22"/>
              </w:rPr>
            </w:pPr>
            <w:r>
              <w:rPr>
                <w:sz w:val="18"/>
                <w:szCs w:val="22"/>
              </w:rPr>
              <w:t>Оператор прессового оборудования</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4.</w:t>
            </w:r>
          </w:p>
        </w:tc>
        <w:tc>
          <w:tcPr>
            <w:tcW w:w="4139" w:type="dxa"/>
          </w:tcPr>
          <w:p w:rsidR="00000000" w:rsidRDefault="00000000">
            <w:pPr>
              <w:spacing w:before="60" w:line="240" w:lineRule="auto"/>
              <w:rPr>
                <w:sz w:val="18"/>
                <w:szCs w:val="22"/>
              </w:rPr>
            </w:pPr>
            <w:r>
              <w:rPr>
                <w:sz w:val="18"/>
                <w:szCs w:val="22"/>
              </w:rPr>
              <w:t>Бульдозерист</w:t>
            </w:r>
          </w:p>
        </w:tc>
        <w:tc>
          <w:tcPr>
            <w:tcW w:w="567" w:type="dxa"/>
          </w:tcPr>
          <w:p w:rsidR="00000000" w:rsidRDefault="00000000">
            <w:pPr>
              <w:spacing w:before="60" w:line="240" w:lineRule="auto"/>
              <w:jc w:val="center"/>
              <w:rPr>
                <w:sz w:val="18"/>
                <w:szCs w:val="22"/>
              </w:rPr>
            </w:pPr>
            <w:r>
              <w:rPr>
                <w:sz w:val="18"/>
                <w:szCs w:val="22"/>
              </w:rPr>
              <w:t>48.</w:t>
            </w:r>
          </w:p>
        </w:tc>
        <w:tc>
          <w:tcPr>
            <w:tcW w:w="4082" w:type="dxa"/>
          </w:tcPr>
          <w:p w:rsidR="00000000" w:rsidRDefault="00000000">
            <w:pPr>
              <w:spacing w:before="60" w:line="240" w:lineRule="auto"/>
              <w:rPr>
                <w:sz w:val="18"/>
                <w:szCs w:val="22"/>
              </w:rPr>
            </w:pPr>
            <w:r>
              <w:rPr>
                <w:sz w:val="18"/>
                <w:szCs w:val="22"/>
              </w:rPr>
              <w:t>Штамповщик металла</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5.</w:t>
            </w:r>
          </w:p>
        </w:tc>
        <w:tc>
          <w:tcPr>
            <w:tcW w:w="4139" w:type="dxa"/>
          </w:tcPr>
          <w:p w:rsidR="00000000" w:rsidRDefault="00000000">
            <w:pPr>
              <w:spacing w:before="60" w:line="240" w:lineRule="auto"/>
              <w:rPr>
                <w:sz w:val="18"/>
                <w:szCs w:val="22"/>
              </w:rPr>
            </w:pPr>
            <w:r>
              <w:rPr>
                <w:sz w:val="18"/>
                <w:szCs w:val="22"/>
              </w:rPr>
              <w:t>Оператор кассовых аппаратов</w:t>
            </w:r>
          </w:p>
        </w:tc>
        <w:tc>
          <w:tcPr>
            <w:tcW w:w="567" w:type="dxa"/>
          </w:tcPr>
          <w:p w:rsidR="00000000" w:rsidRDefault="00000000">
            <w:pPr>
              <w:spacing w:before="60" w:line="240" w:lineRule="auto"/>
              <w:jc w:val="center"/>
              <w:rPr>
                <w:sz w:val="18"/>
                <w:szCs w:val="22"/>
              </w:rPr>
            </w:pPr>
            <w:r>
              <w:rPr>
                <w:sz w:val="18"/>
                <w:szCs w:val="22"/>
              </w:rPr>
              <w:t>49.</w:t>
            </w:r>
          </w:p>
        </w:tc>
        <w:tc>
          <w:tcPr>
            <w:tcW w:w="4082" w:type="dxa"/>
          </w:tcPr>
          <w:p w:rsidR="00000000" w:rsidRDefault="00000000">
            <w:pPr>
              <w:spacing w:before="60" w:line="240" w:lineRule="auto"/>
              <w:rPr>
                <w:sz w:val="18"/>
                <w:szCs w:val="22"/>
              </w:rPr>
            </w:pPr>
            <w:r>
              <w:rPr>
                <w:sz w:val="18"/>
                <w:szCs w:val="22"/>
              </w:rPr>
              <w:t>Механик по деревообрабатывающему оборудованию</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6.</w:t>
            </w:r>
          </w:p>
        </w:tc>
        <w:tc>
          <w:tcPr>
            <w:tcW w:w="4139" w:type="dxa"/>
          </w:tcPr>
          <w:p w:rsidR="00000000" w:rsidRDefault="00000000">
            <w:pPr>
              <w:spacing w:before="60" w:line="240" w:lineRule="auto"/>
              <w:rPr>
                <w:sz w:val="18"/>
                <w:szCs w:val="22"/>
              </w:rPr>
            </w:pPr>
            <w:r>
              <w:rPr>
                <w:sz w:val="18"/>
                <w:szCs w:val="22"/>
              </w:rPr>
              <w:t>Наборщик в типографии</w:t>
            </w:r>
          </w:p>
        </w:tc>
        <w:tc>
          <w:tcPr>
            <w:tcW w:w="567" w:type="dxa"/>
          </w:tcPr>
          <w:p w:rsidR="00000000" w:rsidRDefault="00000000">
            <w:pPr>
              <w:spacing w:before="60" w:line="240" w:lineRule="auto"/>
              <w:jc w:val="center"/>
              <w:rPr>
                <w:sz w:val="18"/>
                <w:szCs w:val="22"/>
              </w:rPr>
            </w:pPr>
            <w:r>
              <w:rPr>
                <w:sz w:val="18"/>
                <w:szCs w:val="22"/>
              </w:rPr>
              <w:t>50.</w:t>
            </w:r>
          </w:p>
        </w:tc>
        <w:tc>
          <w:tcPr>
            <w:tcW w:w="4082" w:type="dxa"/>
          </w:tcPr>
          <w:p w:rsidR="00000000" w:rsidRDefault="00000000">
            <w:pPr>
              <w:spacing w:before="60" w:line="240" w:lineRule="auto"/>
              <w:rPr>
                <w:sz w:val="18"/>
                <w:szCs w:val="22"/>
              </w:rPr>
            </w:pPr>
            <w:r>
              <w:rPr>
                <w:sz w:val="18"/>
                <w:szCs w:val="22"/>
              </w:rPr>
              <w:t>Штамповщик пластмасс</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7.</w:t>
            </w:r>
          </w:p>
        </w:tc>
        <w:tc>
          <w:tcPr>
            <w:tcW w:w="4139" w:type="dxa"/>
          </w:tcPr>
          <w:p w:rsidR="00000000" w:rsidRDefault="00000000">
            <w:pPr>
              <w:spacing w:before="60" w:line="240" w:lineRule="auto"/>
              <w:rPr>
                <w:sz w:val="18"/>
                <w:szCs w:val="22"/>
              </w:rPr>
            </w:pPr>
            <w:r>
              <w:rPr>
                <w:sz w:val="18"/>
                <w:szCs w:val="22"/>
              </w:rPr>
              <w:t>Бармен</w:t>
            </w:r>
          </w:p>
        </w:tc>
        <w:tc>
          <w:tcPr>
            <w:tcW w:w="567" w:type="dxa"/>
          </w:tcPr>
          <w:p w:rsidR="00000000" w:rsidRDefault="00000000">
            <w:pPr>
              <w:spacing w:before="60" w:line="240" w:lineRule="auto"/>
              <w:jc w:val="center"/>
              <w:rPr>
                <w:sz w:val="18"/>
                <w:szCs w:val="22"/>
              </w:rPr>
            </w:pPr>
            <w:r>
              <w:rPr>
                <w:sz w:val="18"/>
                <w:szCs w:val="22"/>
              </w:rPr>
              <w:t>51.</w:t>
            </w:r>
          </w:p>
        </w:tc>
        <w:tc>
          <w:tcPr>
            <w:tcW w:w="4082" w:type="dxa"/>
          </w:tcPr>
          <w:p w:rsidR="00000000" w:rsidRDefault="00000000">
            <w:pPr>
              <w:spacing w:before="60" w:line="240" w:lineRule="auto"/>
              <w:rPr>
                <w:sz w:val="18"/>
                <w:szCs w:val="22"/>
              </w:rPr>
            </w:pPr>
            <w:r>
              <w:rPr>
                <w:sz w:val="18"/>
                <w:szCs w:val="22"/>
              </w:rPr>
              <w:t>Фрезеровщик</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8.</w:t>
            </w:r>
          </w:p>
        </w:tc>
        <w:tc>
          <w:tcPr>
            <w:tcW w:w="4139" w:type="dxa"/>
          </w:tcPr>
          <w:p w:rsidR="00000000" w:rsidRDefault="00000000">
            <w:pPr>
              <w:spacing w:before="60" w:line="240" w:lineRule="auto"/>
              <w:rPr>
                <w:sz w:val="18"/>
                <w:szCs w:val="22"/>
              </w:rPr>
            </w:pPr>
            <w:r>
              <w:rPr>
                <w:sz w:val="18"/>
                <w:szCs w:val="22"/>
              </w:rPr>
              <w:t>Плотник</w:t>
            </w:r>
          </w:p>
        </w:tc>
        <w:tc>
          <w:tcPr>
            <w:tcW w:w="567" w:type="dxa"/>
          </w:tcPr>
          <w:p w:rsidR="00000000" w:rsidRDefault="00000000">
            <w:pPr>
              <w:spacing w:before="60" w:line="240" w:lineRule="auto"/>
              <w:jc w:val="center"/>
              <w:rPr>
                <w:sz w:val="18"/>
                <w:szCs w:val="22"/>
              </w:rPr>
            </w:pPr>
            <w:r>
              <w:rPr>
                <w:sz w:val="18"/>
                <w:szCs w:val="22"/>
              </w:rPr>
              <w:t>52.</w:t>
            </w:r>
          </w:p>
        </w:tc>
        <w:tc>
          <w:tcPr>
            <w:tcW w:w="4082" w:type="dxa"/>
          </w:tcPr>
          <w:p w:rsidR="00000000" w:rsidRDefault="00000000">
            <w:pPr>
              <w:spacing w:before="60" w:line="240" w:lineRule="auto"/>
              <w:rPr>
                <w:sz w:val="18"/>
                <w:szCs w:val="22"/>
              </w:rPr>
            </w:pPr>
            <w:r>
              <w:rPr>
                <w:sz w:val="18"/>
                <w:szCs w:val="22"/>
              </w:rPr>
              <w:t>Шлифовщик</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9.</w:t>
            </w:r>
          </w:p>
        </w:tc>
        <w:tc>
          <w:tcPr>
            <w:tcW w:w="4139" w:type="dxa"/>
          </w:tcPr>
          <w:p w:rsidR="00000000" w:rsidRDefault="00000000">
            <w:pPr>
              <w:spacing w:before="60" w:line="240" w:lineRule="auto"/>
              <w:rPr>
                <w:sz w:val="18"/>
                <w:szCs w:val="22"/>
              </w:rPr>
            </w:pPr>
            <w:r>
              <w:rPr>
                <w:sz w:val="18"/>
                <w:szCs w:val="22"/>
              </w:rPr>
              <w:t>Столяр</w:t>
            </w:r>
          </w:p>
        </w:tc>
        <w:tc>
          <w:tcPr>
            <w:tcW w:w="567" w:type="dxa"/>
          </w:tcPr>
          <w:p w:rsidR="00000000" w:rsidRDefault="00000000">
            <w:pPr>
              <w:spacing w:before="60" w:line="240" w:lineRule="auto"/>
              <w:jc w:val="center"/>
              <w:rPr>
                <w:sz w:val="18"/>
                <w:szCs w:val="22"/>
              </w:rPr>
            </w:pPr>
            <w:r>
              <w:rPr>
                <w:sz w:val="18"/>
                <w:szCs w:val="22"/>
              </w:rPr>
              <w:t>53.</w:t>
            </w:r>
          </w:p>
        </w:tc>
        <w:tc>
          <w:tcPr>
            <w:tcW w:w="4082" w:type="dxa"/>
          </w:tcPr>
          <w:p w:rsidR="00000000" w:rsidRDefault="00000000">
            <w:pPr>
              <w:spacing w:before="60" w:line="240" w:lineRule="auto"/>
              <w:rPr>
                <w:sz w:val="18"/>
                <w:szCs w:val="22"/>
              </w:rPr>
            </w:pPr>
            <w:r>
              <w:rPr>
                <w:sz w:val="18"/>
                <w:szCs w:val="22"/>
              </w:rPr>
              <w:t>Автомеханик</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10.</w:t>
            </w:r>
          </w:p>
        </w:tc>
        <w:tc>
          <w:tcPr>
            <w:tcW w:w="4139" w:type="dxa"/>
          </w:tcPr>
          <w:p w:rsidR="00000000" w:rsidRDefault="00000000">
            <w:pPr>
              <w:spacing w:before="60" w:line="240" w:lineRule="auto"/>
              <w:rPr>
                <w:sz w:val="18"/>
                <w:szCs w:val="22"/>
              </w:rPr>
            </w:pPr>
            <w:r>
              <w:rPr>
                <w:sz w:val="18"/>
                <w:szCs w:val="22"/>
              </w:rPr>
              <w:t>Строгальщик</w:t>
            </w:r>
          </w:p>
        </w:tc>
        <w:tc>
          <w:tcPr>
            <w:tcW w:w="567" w:type="dxa"/>
          </w:tcPr>
          <w:p w:rsidR="00000000" w:rsidRDefault="00000000">
            <w:pPr>
              <w:spacing w:before="60" w:line="240" w:lineRule="auto"/>
              <w:jc w:val="center"/>
              <w:rPr>
                <w:sz w:val="18"/>
                <w:szCs w:val="22"/>
              </w:rPr>
            </w:pPr>
            <w:r>
              <w:rPr>
                <w:sz w:val="18"/>
                <w:szCs w:val="22"/>
              </w:rPr>
              <w:t>54.</w:t>
            </w:r>
          </w:p>
        </w:tc>
        <w:tc>
          <w:tcPr>
            <w:tcW w:w="4082" w:type="dxa"/>
          </w:tcPr>
          <w:p w:rsidR="00000000" w:rsidRDefault="00000000">
            <w:pPr>
              <w:spacing w:before="60" w:line="240" w:lineRule="auto"/>
              <w:rPr>
                <w:sz w:val="18"/>
                <w:szCs w:val="22"/>
              </w:rPr>
            </w:pPr>
            <w:r>
              <w:rPr>
                <w:sz w:val="18"/>
                <w:szCs w:val="22"/>
              </w:rPr>
              <w:t>Токарь</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11.</w:t>
            </w:r>
          </w:p>
        </w:tc>
        <w:tc>
          <w:tcPr>
            <w:tcW w:w="4139" w:type="dxa"/>
          </w:tcPr>
          <w:p w:rsidR="00000000" w:rsidRDefault="00000000">
            <w:pPr>
              <w:spacing w:before="60" w:line="240" w:lineRule="auto"/>
              <w:rPr>
                <w:sz w:val="18"/>
                <w:szCs w:val="22"/>
              </w:rPr>
            </w:pPr>
            <w:r>
              <w:rPr>
                <w:sz w:val="18"/>
                <w:szCs w:val="22"/>
              </w:rPr>
              <w:t>Повар, метрдотель ресторана, работники сферы общественного питания и продавцы продовольственных магазинов</w:t>
            </w:r>
          </w:p>
        </w:tc>
        <w:tc>
          <w:tcPr>
            <w:tcW w:w="567" w:type="dxa"/>
          </w:tcPr>
          <w:p w:rsidR="00000000" w:rsidRDefault="00000000">
            <w:pPr>
              <w:spacing w:before="60" w:line="240" w:lineRule="auto"/>
              <w:jc w:val="center"/>
              <w:rPr>
                <w:sz w:val="18"/>
                <w:szCs w:val="22"/>
              </w:rPr>
            </w:pPr>
            <w:r>
              <w:rPr>
                <w:sz w:val="18"/>
                <w:szCs w:val="22"/>
              </w:rPr>
              <w:t>55.</w:t>
            </w:r>
          </w:p>
        </w:tc>
        <w:tc>
          <w:tcPr>
            <w:tcW w:w="4082" w:type="dxa"/>
          </w:tcPr>
          <w:p w:rsidR="00000000" w:rsidRDefault="00000000">
            <w:pPr>
              <w:spacing w:before="60" w:line="240" w:lineRule="auto"/>
              <w:rPr>
                <w:sz w:val="18"/>
                <w:szCs w:val="22"/>
              </w:rPr>
            </w:pPr>
            <w:r>
              <w:rPr>
                <w:sz w:val="18"/>
                <w:szCs w:val="22"/>
              </w:rPr>
              <w:t>Секретарь-машинистка</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12.</w:t>
            </w:r>
          </w:p>
        </w:tc>
        <w:tc>
          <w:tcPr>
            <w:tcW w:w="4139" w:type="dxa"/>
          </w:tcPr>
          <w:p w:rsidR="00000000" w:rsidRDefault="00000000">
            <w:pPr>
              <w:spacing w:before="60" w:line="240" w:lineRule="auto"/>
              <w:rPr>
                <w:sz w:val="18"/>
                <w:szCs w:val="22"/>
              </w:rPr>
            </w:pPr>
            <w:r>
              <w:rPr>
                <w:sz w:val="18"/>
                <w:szCs w:val="22"/>
              </w:rPr>
              <w:t>Мастер по изготовлению и ремонту мягкой мебели</w:t>
            </w:r>
          </w:p>
        </w:tc>
        <w:tc>
          <w:tcPr>
            <w:tcW w:w="567" w:type="dxa"/>
          </w:tcPr>
          <w:p w:rsidR="00000000" w:rsidRDefault="00000000">
            <w:pPr>
              <w:spacing w:before="60" w:line="240" w:lineRule="auto"/>
              <w:jc w:val="center"/>
              <w:rPr>
                <w:sz w:val="18"/>
                <w:szCs w:val="22"/>
              </w:rPr>
            </w:pPr>
            <w:r>
              <w:rPr>
                <w:sz w:val="18"/>
                <w:szCs w:val="22"/>
              </w:rPr>
              <w:t>56.</w:t>
            </w:r>
          </w:p>
        </w:tc>
        <w:tc>
          <w:tcPr>
            <w:tcW w:w="4082" w:type="dxa"/>
          </w:tcPr>
          <w:p w:rsidR="00000000" w:rsidRDefault="00000000">
            <w:pPr>
              <w:spacing w:before="60" w:line="240" w:lineRule="auto"/>
              <w:rPr>
                <w:sz w:val="18"/>
                <w:szCs w:val="22"/>
              </w:rPr>
            </w:pPr>
            <w:r>
              <w:rPr>
                <w:sz w:val="18"/>
                <w:szCs w:val="22"/>
              </w:rPr>
              <w:t>Сталевар</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13.</w:t>
            </w:r>
          </w:p>
        </w:tc>
        <w:tc>
          <w:tcPr>
            <w:tcW w:w="4139" w:type="dxa"/>
          </w:tcPr>
          <w:p w:rsidR="00000000" w:rsidRDefault="00000000">
            <w:pPr>
              <w:spacing w:before="60" w:line="240" w:lineRule="auto"/>
              <w:rPr>
                <w:sz w:val="18"/>
                <w:szCs w:val="22"/>
              </w:rPr>
            </w:pPr>
            <w:r>
              <w:rPr>
                <w:sz w:val="18"/>
                <w:szCs w:val="22"/>
              </w:rPr>
              <w:t>Отделочник и плиточник на стройке</w:t>
            </w:r>
          </w:p>
        </w:tc>
        <w:tc>
          <w:tcPr>
            <w:tcW w:w="567" w:type="dxa"/>
          </w:tcPr>
          <w:p w:rsidR="00000000" w:rsidRDefault="00000000">
            <w:pPr>
              <w:spacing w:before="60" w:line="240" w:lineRule="auto"/>
              <w:jc w:val="center"/>
              <w:rPr>
                <w:sz w:val="18"/>
                <w:szCs w:val="22"/>
              </w:rPr>
            </w:pPr>
            <w:r>
              <w:rPr>
                <w:sz w:val="18"/>
                <w:szCs w:val="22"/>
              </w:rPr>
              <w:t>57.</w:t>
            </w:r>
          </w:p>
        </w:tc>
        <w:tc>
          <w:tcPr>
            <w:tcW w:w="4082" w:type="dxa"/>
          </w:tcPr>
          <w:p w:rsidR="00000000" w:rsidRDefault="00000000">
            <w:pPr>
              <w:spacing w:before="60" w:line="240" w:lineRule="auto"/>
              <w:rPr>
                <w:sz w:val="18"/>
                <w:szCs w:val="22"/>
              </w:rPr>
            </w:pPr>
            <w:r>
              <w:rPr>
                <w:sz w:val="18"/>
                <w:szCs w:val="22"/>
              </w:rPr>
              <w:t>Мастер обувного производства</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14.</w:t>
            </w:r>
          </w:p>
        </w:tc>
        <w:tc>
          <w:tcPr>
            <w:tcW w:w="4139" w:type="dxa"/>
          </w:tcPr>
          <w:p w:rsidR="00000000" w:rsidRDefault="00000000">
            <w:pPr>
              <w:spacing w:before="60" w:line="240" w:lineRule="auto"/>
              <w:rPr>
                <w:sz w:val="18"/>
                <w:szCs w:val="22"/>
              </w:rPr>
            </w:pPr>
            <w:r>
              <w:rPr>
                <w:sz w:val="18"/>
                <w:szCs w:val="22"/>
              </w:rPr>
              <w:t>Младший бухгалтер</w:t>
            </w:r>
          </w:p>
        </w:tc>
        <w:tc>
          <w:tcPr>
            <w:tcW w:w="567" w:type="dxa"/>
          </w:tcPr>
          <w:p w:rsidR="00000000" w:rsidRDefault="00000000">
            <w:pPr>
              <w:spacing w:before="60" w:line="240" w:lineRule="auto"/>
              <w:jc w:val="center"/>
              <w:rPr>
                <w:sz w:val="18"/>
                <w:szCs w:val="22"/>
              </w:rPr>
            </w:pPr>
            <w:r>
              <w:rPr>
                <w:sz w:val="18"/>
                <w:szCs w:val="22"/>
              </w:rPr>
              <w:t>58.</w:t>
            </w:r>
          </w:p>
        </w:tc>
        <w:tc>
          <w:tcPr>
            <w:tcW w:w="4082" w:type="dxa"/>
          </w:tcPr>
          <w:p w:rsidR="00000000" w:rsidRDefault="00000000">
            <w:pPr>
              <w:spacing w:before="60" w:line="240" w:lineRule="auto"/>
              <w:rPr>
                <w:sz w:val="18"/>
                <w:szCs w:val="22"/>
              </w:rPr>
            </w:pPr>
            <w:r>
              <w:rPr>
                <w:sz w:val="18"/>
                <w:szCs w:val="22"/>
              </w:rPr>
              <w:t>Младший моторист-механик грузовых и пассажирских судов</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15.</w:t>
            </w:r>
          </w:p>
        </w:tc>
        <w:tc>
          <w:tcPr>
            <w:tcW w:w="4139" w:type="dxa"/>
          </w:tcPr>
          <w:p w:rsidR="00000000" w:rsidRDefault="00000000">
            <w:pPr>
              <w:spacing w:before="60" w:line="240" w:lineRule="auto"/>
              <w:rPr>
                <w:sz w:val="18"/>
                <w:szCs w:val="22"/>
              </w:rPr>
            </w:pPr>
            <w:r>
              <w:rPr>
                <w:sz w:val="18"/>
                <w:szCs w:val="22"/>
              </w:rPr>
              <w:t>Штукатур-строитель</w:t>
            </w:r>
          </w:p>
        </w:tc>
        <w:tc>
          <w:tcPr>
            <w:tcW w:w="567" w:type="dxa"/>
          </w:tcPr>
          <w:p w:rsidR="00000000" w:rsidRDefault="00000000">
            <w:pPr>
              <w:spacing w:before="60" w:line="240" w:lineRule="auto"/>
              <w:jc w:val="center"/>
              <w:rPr>
                <w:sz w:val="18"/>
                <w:szCs w:val="22"/>
              </w:rPr>
            </w:pPr>
            <w:r>
              <w:rPr>
                <w:sz w:val="18"/>
                <w:szCs w:val="22"/>
              </w:rPr>
              <w:t>59.</w:t>
            </w:r>
          </w:p>
        </w:tc>
        <w:tc>
          <w:tcPr>
            <w:tcW w:w="4082" w:type="dxa"/>
          </w:tcPr>
          <w:p w:rsidR="00000000" w:rsidRDefault="00000000">
            <w:pPr>
              <w:spacing w:before="60" w:line="240" w:lineRule="auto"/>
              <w:rPr>
                <w:sz w:val="18"/>
                <w:szCs w:val="22"/>
              </w:rPr>
            </w:pPr>
            <w:r>
              <w:rPr>
                <w:sz w:val="18"/>
                <w:szCs w:val="22"/>
              </w:rPr>
              <w:t>Никелировщик и хромировщик металлоизделий</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16.</w:t>
            </w:r>
          </w:p>
        </w:tc>
        <w:tc>
          <w:tcPr>
            <w:tcW w:w="4139" w:type="dxa"/>
          </w:tcPr>
          <w:p w:rsidR="00000000" w:rsidRDefault="00000000">
            <w:pPr>
              <w:spacing w:before="60" w:line="240" w:lineRule="auto"/>
              <w:rPr>
                <w:sz w:val="18"/>
                <w:szCs w:val="22"/>
              </w:rPr>
            </w:pPr>
            <w:r>
              <w:rPr>
                <w:sz w:val="18"/>
                <w:szCs w:val="22"/>
              </w:rPr>
              <w:t>Слесарь-жестянщик</w:t>
            </w:r>
          </w:p>
        </w:tc>
        <w:tc>
          <w:tcPr>
            <w:tcW w:w="567" w:type="dxa"/>
          </w:tcPr>
          <w:p w:rsidR="00000000" w:rsidRDefault="00000000">
            <w:pPr>
              <w:spacing w:before="60" w:line="240" w:lineRule="auto"/>
              <w:jc w:val="center"/>
              <w:rPr>
                <w:sz w:val="18"/>
                <w:szCs w:val="22"/>
              </w:rPr>
            </w:pPr>
            <w:r>
              <w:rPr>
                <w:sz w:val="18"/>
                <w:szCs w:val="22"/>
              </w:rPr>
              <w:t>60.</w:t>
            </w:r>
          </w:p>
        </w:tc>
        <w:tc>
          <w:tcPr>
            <w:tcW w:w="4082" w:type="dxa"/>
          </w:tcPr>
          <w:p w:rsidR="00000000" w:rsidRDefault="00000000">
            <w:pPr>
              <w:spacing w:before="60" w:line="240" w:lineRule="auto"/>
              <w:rPr>
                <w:sz w:val="18"/>
                <w:szCs w:val="22"/>
              </w:rPr>
            </w:pPr>
            <w:r>
              <w:rPr>
                <w:sz w:val="18"/>
                <w:szCs w:val="22"/>
              </w:rPr>
              <w:t>Работник маникюрного салона</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17.</w:t>
            </w:r>
          </w:p>
        </w:tc>
        <w:tc>
          <w:tcPr>
            <w:tcW w:w="4139" w:type="dxa"/>
          </w:tcPr>
          <w:p w:rsidR="00000000" w:rsidRDefault="00000000">
            <w:pPr>
              <w:spacing w:before="60" w:line="240" w:lineRule="auto"/>
              <w:rPr>
                <w:sz w:val="18"/>
                <w:szCs w:val="22"/>
              </w:rPr>
            </w:pPr>
            <w:r>
              <w:rPr>
                <w:sz w:val="18"/>
                <w:szCs w:val="22"/>
              </w:rPr>
              <w:t>Закройщик обувного производства</w:t>
            </w:r>
          </w:p>
        </w:tc>
        <w:tc>
          <w:tcPr>
            <w:tcW w:w="567" w:type="dxa"/>
          </w:tcPr>
          <w:p w:rsidR="00000000" w:rsidRDefault="00000000">
            <w:pPr>
              <w:spacing w:before="60" w:line="240" w:lineRule="auto"/>
              <w:jc w:val="center"/>
              <w:rPr>
                <w:sz w:val="18"/>
                <w:szCs w:val="22"/>
              </w:rPr>
            </w:pPr>
            <w:r>
              <w:rPr>
                <w:sz w:val="18"/>
                <w:szCs w:val="22"/>
              </w:rPr>
              <w:t>61.</w:t>
            </w:r>
          </w:p>
        </w:tc>
        <w:tc>
          <w:tcPr>
            <w:tcW w:w="4082" w:type="dxa"/>
          </w:tcPr>
          <w:p w:rsidR="00000000" w:rsidRDefault="00000000">
            <w:pPr>
              <w:spacing w:before="60" w:line="240" w:lineRule="auto"/>
              <w:rPr>
                <w:sz w:val="18"/>
                <w:szCs w:val="22"/>
              </w:rPr>
            </w:pPr>
            <w:r>
              <w:rPr>
                <w:sz w:val="18"/>
                <w:szCs w:val="22"/>
              </w:rPr>
              <w:t>Оператор отбойного молотка</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18.</w:t>
            </w:r>
          </w:p>
        </w:tc>
        <w:tc>
          <w:tcPr>
            <w:tcW w:w="4139" w:type="dxa"/>
          </w:tcPr>
          <w:p w:rsidR="00000000" w:rsidRDefault="00000000">
            <w:pPr>
              <w:spacing w:before="60" w:line="240" w:lineRule="auto"/>
              <w:rPr>
                <w:sz w:val="18"/>
                <w:szCs w:val="22"/>
              </w:rPr>
            </w:pPr>
            <w:r>
              <w:rPr>
                <w:sz w:val="18"/>
                <w:szCs w:val="22"/>
              </w:rPr>
              <w:t>Мастер швейного производства</w:t>
            </w:r>
          </w:p>
        </w:tc>
        <w:tc>
          <w:tcPr>
            <w:tcW w:w="567" w:type="dxa"/>
          </w:tcPr>
          <w:p w:rsidR="00000000" w:rsidRDefault="00000000">
            <w:pPr>
              <w:spacing w:before="60" w:line="240" w:lineRule="auto"/>
              <w:jc w:val="center"/>
              <w:rPr>
                <w:sz w:val="18"/>
                <w:szCs w:val="22"/>
              </w:rPr>
            </w:pPr>
            <w:r>
              <w:rPr>
                <w:sz w:val="18"/>
                <w:szCs w:val="22"/>
              </w:rPr>
              <w:t>62.</w:t>
            </w:r>
          </w:p>
        </w:tc>
        <w:tc>
          <w:tcPr>
            <w:tcW w:w="4082" w:type="dxa"/>
          </w:tcPr>
          <w:p w:rsidR="00000000" w:rsidRDefault="00000000">
            <w:pPr>
              <w:spacing w:before="60" w:line="240" w:lineRule="auto"/>
              <w:rPr>
                <w:sz w:val="18"/>
                <w:szCs w:val="22"/>
              </w:rPr>
            </w:pPr>
            <w:r>
              <w:rPr>
                <w:sz w:val="18"/>
                <w:szCs w:val="22"/>
              </w:rPr>
              <w:t>Работник лакокрасочного цеха предприятия по производству автомобилей</w:t>
            </w:r>
          </w:p>
        </w:tc>
      </w:tr>
      <w:tr w:rsidR="00000000">
        <w:trPr>
          <w:cantSplit/>
        </w:trPr>
        <w:tc>
          <w:tcPr>
            <w:tcW w:w="567" w:type="dxa"/>
          </w:tcPr>
          <w:p w:rsidR="00000000" w:rsidRDefault="00000000">
            <w:pPr>
              <w:spacing w:before="60" w:line="240" w:lineRule="auto"/>
              <w:ind w:right="85"/>
              <w:jc w:val="right"/>
              <w:rPr>
                <w:sz w:val="18"/>
                <w:szCs w:val="22"/>
              </w:rPr>
            </w:pPr>
            <w:r>
              <w:rPr>
                <w:sz w:val="18"/>
                <w:szCs w:val="22"/>
              </w:rPr>
              <w:t>19.</w:t>
            </w:r>
          </w:p>
        </w:tc>
        <w:tc>
          <w:tcPr>
            <w:tcW w:w="4139" w:type="dxa"/>
          </w:tcPr>
          <w:p w:rsidR="00000000" w:rsidRDefault="00000000">
            <w:pPr>
              <w:spacing w:before="60" w:line="240" w:lineRule="auto"/>
              <w:rPr>
                <w:sz w:val="18"/>
                <w:szCs w:val="22"/>
                <w:lang w:val="en-US"/>
              </w:rPr>
            </w:pPr>
            <w:r>
              <w:rPr>
                <w:sz w:val="18"/>
                <w:szCs w:val="22"/>
              </w:rPr>
              <w:t>Надомный портной</w:t>
            </w:r>
          </w:p>
        </w:tc>
        <w:tc>
          <w:tcPr>
            <w:tcW w:w="567" w:type="dxa"/>
          </w:tcPr>
          <w:p w:rsidR="00000000" w:rsidRDefault="00000000">
            <w:pPr>
              <w:spacing w:before="60" w:line="240" w:lineRule="auto"/>
              <w:jc w:val="center"/>
              <w:rPr>
                <w:sz w:val="18"/>
                <w:szCs w:val="22"/>
              </w:rPr>
            </w:pPr>
            <w:r>
              <w:rPr>
                <w:sz w:val="18"/>
                <w:szCs w:val="22"/>
              </w:rPr>
              <w:t>63.</w:t>
            </w:r>
          </w:p>
        </w:tc>
        <w:tc>
          <w:tcPr>
            <w:tcW w:w="4082" w:type="dxa"/>
          </w:tcPr>
          <w:p w:rsidR="00000000" w:rsidRDefault="00000000">
            <w:pPr>
              <w:spacing w:before="60" w:line="240" w:lineRule="auto"/>
              <w:rPr>
                <w:sz w:val="18"/>
                <w:szCs w:val="22"/>
              </w:rPr>
            </w:pPr>
            <w:r>
              <w:rPr>
                <w:sz w:val="18"/>
                <w:szCs w:val="22"/>
              </w:rPr>
              <w:t>Маляр</w:t>
            </w:r>
          </w:p>
        </w:tc>
      </w:tr>
      <w:tr w:rsidR="00000000">
        <w:trPr>
          <w:cantSplit/>
        </w:trPr>
        <w:tc>
          <w:tcPr>
            <w:tcW w:w="567" w:type="dxa"/>
          </w:tcPr>
          <w:p w:rsidR="00000000" w:rsidRDefault="00000000">
            <w:pPr>
              <w:spacing w:before="60" w:line="240" w:lineRule="auto"/>
              <w:jc w:val="center"/>
              <w:rPr>
                <w:sz w:val="18"/>
                <w:szCs w:val="22"/>
              </w:rPr>
            </w:pPr>
            <w:r>
              <w:rPr>
                <w:sz w:val="18"/>
                <w:szCs w:val="22"/>
              </w:rPr>
              <w:t>20.</w:t>
            </w:r>
          </w:p>
        </w:tc>
        <w:tc>
          <w:tcPr>
            <w:tcW w:w="4139" w:type="dxa"/>
          </w:tcPr>
          <w:p w:rsidR="00000000" w:rsidRDefault="00000000">
            <w:pPr>
              <w:spacing w:before="60" w:line="240" w:lineRule="auto"/>
              <w:rPr>
                <w:sz w:val="18"/>
                <w:szCs w:val="22"/>
              </w:rPr>
            </w:pPr>
            <w:r>
              <w:rPr>
                <w:sz w:val="18"/>
                <w:szCs w:val="22"/>
              </w:rPr>
              <w:t>Работник автостоянки</w:t>
            </w:r>
          </w:p>
        </w:tc>
        <w:tc>
          <w:tcPr>
            <w:tcW w:w="567" w:type="dxa"/>
          </w:tcPr>
          <w:p w:rsidR="00000000" w:rsidRDefault="00000000">
            <w:pPr>
              <w:spacing w:before="60" w:line="240" w:lineRule="auto"/>
              <w:jc w:val="center"/>
              <w:rPr>
                <w:sz w:val="18"/>
                <w:szCs w:val="22"/>
              </w:rPr>
            </w:pPr>
            <w:r>
              <w:rPr>
                <w:sz w:val="18"/>
                <w:szCs w:val="22"/>
              </w:rPr>
              <w:t>64.</w:t>
            </w:r>
          </w:p>
        </w:tc>
        <w:tc>
          <w:tcPr>
            <w:tcW w:w="4082" w:type="dxa"/>
          </w:tcPr>
          <w:p w:rsidR="00000000" w:rsidRDefault="00000000">
            <w:pPr>
              <w:spacing w:before="60" w:line="240" w:lineRule="auto"/>
              <w:rPr>
                <w:sz w:val="18"/>
                <w:szCs w:val="22"/>
              </w:rPr>
            </w:pPr>
            <w:r>
              <w:rPr>
                <w:sz w:val="18"/>
                <w:szCs w:val="22"/>
              </w:rPr>
              <w:t>Работник химчистки, прачечной или аналогичного предприятия</w:t>
            </w:r>
          </w:p>
        </w:tc>
      </w:tr>
      <w:tr w:rsidR="00000000">
        <w:trPr>
          <w:cantSplit/>
        </w:trPr>
        <w:tc>
          <w:tcPr>
            <w:tcW w:w="567" w:type="dxa"/>
          </w:tcPr>
          <w:p w:rsidR="00000000" w:rsidRDefault="00000000">
            <w:pPr>
              <w:spacing w:before="60" w:line="240" w:lineRule="auto"/>
              <w:jc w:val="center"/>
              <w:rPr>
                <w:sz w:val="18"/>
                <w:szCs w:val="22"/>
              </w:rPr>
            </w:pPr>
            <w:r>
              <w:rPr>
                <w:sz w:val="18"/>
                <w:szCs w:val="22"/>
              </w:rPr>
              <w:t>21.</w:t>
            </w:r>
          </w:p>
        </w:tc>
        <w:tc>
          <w:tcPr>
            <w:tcW w:w="4139" w:type="dxa"/>
          </w:tcPr>
          <w:p w:rsidR="00000000" w:rsidRDefault="00000000">
            <w:pPr>
              <w:spacing w:before="60" w:line="240" w:lineRule="auto"/>
              <w:rPr>
                <w:sz w:val="18"/>
                <w:szCs w:val="22"/>
              </w:rPr>
            </w:pPr>
            <w:r>
              <w:rPr>
                <w:sz w:val="18"/>
                <w:szCs w:val="22"/>
              </w:rPr>
              <w:t>Водитель грузовика</w:t>
            </w:r>
          </w:p>
        </w:tc>
        <w:tc>
          <w:tcPr>
            <w:tcW w:w="567" w:type="dxa"/>
          </w:tcPr>
          <w:p w:rsidR="00000000" w:rsidRDefault="00000000">
            <w:pPr>
              <w:spacing w:before="60" w:line="240" w:lineRule="auto"/>
              <w:jc w:val="center"/>
              <w:rPr>
                <w:sz w:val="18"/>
                <w:szCs w:val="22"/>
              </w:rPr>
            </w:pPr>
            <w:r>
              <w:rPr>
                <w:sz w:val="18"/>
                <w:szCs w:val="22"/>
              </w:rPr>
              <w:t>65.</w:t>
            </w:r>
          </w:p>
        </w:tc>
        <w:tc>
          <w:tcPr>
            <w:tcW w:w="4082" w:type="dxa"/>
          </w:tcPr>
          <w:p w:rsidR="00000000" w:rsidRDefault="00000000">
            <w:pPr>
              <w:spacing w:before="60" w:line="240" w:lineRule="auto"/>
              <w:rPr>
                <w:sz w:val="18"/>
                <w:szCs w:val="22"/>
              </w:rPr>
            </w:pPr>
            <w:r>
              <w:rPr>
                <w:sz w:val="18"/>
                <w:szCs w:val="22"/>
              </w:rPr>
              <w:t>Сантехник</w:t>
            </w:r>
          </w:p>
        </w:tc>
      </w:tr>
      <w:tr w:rsidR="00000000">
        <w:trPr>
          <w:cantSplit/>
        </w:trPr>
        <w:tc>
          <w:tcPr>
            <w:tcW w:w="567" w:type="dxa"/>
            <w:tcBorders>
              <w:bottom w:val="single" w:sz="4" w:space="0" w:color="auto"/>
            </w:tcBorders>
          </w:tcPr>
          <w:p w:rsidR="00000000" w:rsidRDefault="00000000">
            <w:pPr>
              <w:spacing w:before="60" w:line="240" w:lineRule="auto"/>
              <w:jc w:val="center"/>
              <w:rPr>
                <w:sz w:val="18"/>
                <w:szCs w:val="22"/>
              </w:rPr>
            </w:pPr>
            <w:r>
              <w:rPr>
                <w:sz w:val="18"/>
                <w:szCs w:val="22"/>
              </w:rPr>
              <w:t>22.</w:t>
            </w:r>
          </w:p>
        </w:tc>
        <w:tc>
          <w:tcPr>
            <w:tcW w:w="4139" w:type="dxa"/>
            <w:tcBorders>
              <w:bottom w:val="single" w:sz="4" w:space="0" w:color="auto"/>
            </w:tcBorders>
          </w:tcPr>
          <w:p w:rsidR="00000000" w:rsidRDefault="00000000">
            <w:pPr>
              <w:spacing w:before="60" w:line="240" w:lineRule="auto"/>
              <w:rPr>
                <w:sz w:val="18"/>
                <w:szCs w:val="22"/>
              </w:rPr>
            </w:pPr>
            <w:r>
              <w:rPr>
                <w:sz w:val="18"/>
                <w:szCs w:val="22"/>
              </w:rPr>
              <w:t xml:space="preserve">Водитель автофургона </w:t>
            </w:r>
          </w:p>
        </w:tc>
        <w:tc>
          <w:tcPr>
            <w:tcW w:w="567" w:type="dxa"/>
            <w:tcBorders>
              <w:bottom w:val="single" w:sz="4" w:space="0" w:color="auto"/>
            </w:tcBorders>
          </w:tcPr>
          <w:p w:rsidR="00000000" w:rsidRDefault="00000000">
            <w:pPr>
              <w:spacing w:before="60" w:line="240" w:lineRule="auto"/>
              <w:jc w:val="center"/>
              <w:rPr>
                <w:sz w:val="18"/>
                <w:szCs w:val="22"/>
              </w:rPr>
            </w:pPr>
            <w:r>
              <w:rPr>
                <w:sz w:val="18"/>
                <w:szCs w:val="22"/>
              </w:rPr>
              <w:t>66.</w:t>
            </w:r>
          </w:p>
        </w:tc>
        <w:tc>
          <w:tcPr>
            <w:tcW w:w="4082" w:type="dxa"/>
            <w:tcBorders>
              <w:bottom w:val="single" w:sz="4" w:space="0" w:color="auto"/>
            </w:tcBorders>
          </w:tcPr>
          <w:p w:rsidR="00000000" w:rsidRDefault="00000000">
            <w:pPr>
              <w:spacing w:before="60" w:line="240" w:lineRule="auto"/>
              <w:rPr>
                <w:sz w:val="18"/>
                <w:szCs w:val="22"/>
              </w:rPr>
            </w:pPr>
            <w:r>
              <w:rPr>
                <w:sz w:val="18"/>
                <w:szCs w:val="22"/>
              </w:rPr>
              <w:t>Типографский работник</w:t>
            </w:r>
          </w:p>
        </w:tc>
      </w:tr>
      <w:tr w:rsidR="00000000">
        <w:trPr>
          <w:cantSplit/>
        </w:trPr>
        <w:tc>
          <w:tcPr>
            <w:tcW w:w="567" w:type="dxa"/>
            <w:tcBorders>
              <w:bottom w:val="single" w:sz="4" w:space="0" w:color="auto"/>
            </w:tcBorders>
          </w:tcPr>
          <w:p w:rsidR="00000000" w:rsidRDefault="00000000">
            <w:pPr>
              <w:spacing w:before="60" w:line="240" w:lineRule="auto"/>
              <w:jc w:val="center"/>
              <w:rPr>
                <w:sz w:val="18"/>
                <w:szCs w:val="22"/>
              </w:rPr>
            </w:pPr>
            <w:r>
              <w:rPr>
                <w:sz w:val="18"/>
                <w:szCs w:val="22"/>
              </w:rPr>
              <w:t>23.</w:t>
            </w:r>
          </w:p>
        </w:tc>
        <w:tc>
          <w:tcPr>
            <w:tcW w:w="4139" w:type="dxa"/>
            <w:tcBorders>
              <w:bottom w:val="single" w:sz="4" w:space="0" w:color="auto"/>
            </w:tcBorders>
          </w:tcPr>
          <w:p w:rsidR="00000000" w:rsidRDefault="00000000">
            <w:pPr>
              <w:spacing w:before="60" w:line="240" w:lineRule="auto"/>
              <w:rPr>
                <w:sz w:val="18"/>
                <w:szCs w:val="22"/>
              </w:rPr>
            </w:pPr>
            <w:r>
              <w:rPr>
                <w:sz w:val="18"/>
                <w:szCs w:val="22"/>
              </w:rPr>
              <w:t>Оператор башенного крана</w:t>
            </w:r>
          </w:p>
        </w:tc>
        <w:tc>
          <w:tcPr>
            <w:tcW w:w="567" w:type="dxa"/>
            <w:tcBorders>
              <w:bottom w:val="single" w:sz="4" w:space="0" w:color="auto"/>
            </w:tcBorders>
          </w:tcPr>
          <w:p w:rsidR="00000000" w:rsidRDefault="00000000">
            <w:pPr>
              <w:spacing w:before="60" w:line="240" w:lineRule="auto"/>
              <w:jc w:val="center"/>
              <w:rPr>
                <w:sz w:val="18"/>
                <w:szCs w:val="22"/>
              </w:rPr>
            </w:pPr>
            <w:r>
              <w:rPr>
                <w:sz w:val="18"/>
                <w:szCs w:val="22"/>
              </w:rPr>
              <w:t>67.</w:t>
            </w:r>
          </w:p>
        </w:tc>
        <w:tc>
          <w:tcPr>
            <w:tcW w:w="4082" w:type="dxa"/>
            <w:tcBorders>
              <w:bottom w:val="single" w:sz="4" w:space="0" w:color="auto"/>
            </w:tcBorders>
          </w:tcPr>
          <w:p w:rsidR="00000000" w:rsidRDefault="00000000">
            <w:pPr>
              <w:spacing w:before="60" w:line="240" w:lineRule="auto"/>
              <w:rPr>
                <w:sz w:val="18"/>
                <w:szCs w:val="22"/>
              </w:rPr>
            </w:pPr>
            <w:r>
              <w:rPr>
                <w:sz w:val="18"/>
                <w:szCs w:val="22"/>
              </w:rPr>
              <w:t>Журналист</w:t>
            </w:r>
          </w:p>
        </w:tc>
      </w:tr>
      <w:tr w:rsidR="00000000">
        <w:trPr>
          <w:cantSplit/>
        </w:trPr>
        <w:tc>
          <w:tcPr>
            <w:tcW w:w="567" w:type="dxa"/>
          </w:tcPr>
          <w:p w:rsidR="00000000" w:rsidRDefault="00000000">
            <w:pPr>
              <w:spacing w:before="60" w:line="240" w:lineRule="auto"/>
              <w:jc w:val="center"/>
              <w:rPr>
                <w:sz w:val="18"/>
                <w:szCs w:val="22"/>
              </w:rPr>
            </w:pPr>
            <w:r>
              <w:rPr>
                <w:sz w:val="18"/>
                <w:szCs w:val="22"/>
              </w:rPr>
              <w:t>24.</w:t>
            </w:r>
          </w:p>
        </w:tc>
        <w:tc>
          <w:tcPr>
            <w:tcW w:w="4139" w:type="dxa"/>
          </w:tcPr>
          <w:p w:rsidR="00000000" w:rsidRDefault="00000000">
            <w:pPr>
              <w:spacing w:before="60" w:line="240" w:lineRule="auto"/>
              <w:rPr>
                <w:sz w:val="18"/>
                <w:szCs w:val="22"/>
              </w:rPr>
            </w:pPr>
            <w:r>
              <w:rPr>
                <w:sz w:val="18"/>
                <w:szCs w:val="22"/>
              </w:rPr>
              <w:t>Оператор землечерпалки</w:t>
            </w:r>
          </w:p>
        </w:tc>
        <w:tc>
          <w:tcPr>
            <w:tcW w:w="567" w:type="dxa"/>
          </w:tcPr>
          <w:p w:rsidR="00000000" w:rsidRDefault="00000000">
            <w:pPr>
              <w:spacing w:before="60" w:line="240" w:lineRule="auto"/>
              <w:jc w:val="center"/>
              <w:rPr>
                <w:sz w:val="18"/>
                <w:szCs w:val="22"/>
              </w:rPr>
            </w:pPr>
            <w:r>
              <w:rPr>
                <w:sz w:val="18"/>
                <w:szCs w:val="22"/>
              </w:rPr>
              <w:t>68.</w:t>
            </w:r>
          </w:p>
        </w:tc>
        <w:tc>
          <w:tcPr>
            <w:tcW w:w="4082" w:type="dxa"/>
          </w:tcPr>
          <w:p w:rsidR="00000000" w:rsidRDefault="00000000">
            <w:pPr>
              <w:spacing w:before="60" w:line="240" w:lineRule="auto"/>
              <w:rPr>
                <w:sz w:val="18"/>
                <w:szCs w:val="22"/>
              </w:rPr>
            </w:pPr>
            <w:r>
              <w:rPr>
                <w:sz w:val="18"/>
                <w:szCs w:val="22"/>
              </w:rPr>
              <w:t>Техник по ремонту электрических и электронных приборов</w:t>
            </w:r>
          </w:p>
        </w:tc>
      </w:tr>
      <w:tr w:rsidR="00000000">
        <w:trPr>
          <w:cantSplit/>
        </w:trPr>
        <w:tc>
          <w:tcPr>
            <w:tcW w:w="567" w:type="dxa"/>
          </w:tcPr>
          <w:p w:rsidR="00000000" w:rsidRDefault="00000000">
            <w:pPr>
              <w:spacing w:before="60" w:line="240" w:lineRule="auto"/>
              <w:jc w:val="center"/>
              <w:rPr>
                <w:sz w:val="18"/>
                <w:szCs w:val="22"/>
              </w:rPr>
            </w:pPr>
            <w:r>
              <w:rPr>
                <w:sz w:val="18"/>
                <w:szCs w:val="22"/>
              </w:rPr>
              <w:t>25.</w:t>
            </w:r>
          </w:p>
        </w:tc>
        <w:tc>
          <w:tcPr>
            <w:tcW w:w="4139" w:type="dxa"/>
          </w:tcPr>
          <w:p w:rsidR="00000000" w:rsidRDefault="00000000">
            <w:pPr>
              <w:spacing w:before="60" w:line="240" w:lineRule="auto"/>
              <w:rPr>
                <w:sz w:val="18"/>
                <w:szCs w:val="22"/>
              </w:rPr>
            </w:pPr>
            <w:r>
              <w:rPr>
                <w:sz w:val="18"/>
                <w:szCs w:val="22"/>
              </w:rPr>
              <w:t>Столяр-краснодеревщик и реставратор мебели</w:t>
            </w:r>
          </w:p>
        </w:tc>
        <w:tc>
          <w:tcPr>
            <w:tcW w:w="567" w:type="dxa"/>
          </w:tcPr>
          <w:p w:rsidR="00000000" w:rsidRDefault="00000000">
            <w:pPr>
              <w:spacing w:before="60" w:line="240" w:lineRule="auto"/>
              <w:jc w:val="center"/>
              <w:rPr>
                <w:sz w:val="18"/>
                <w:szCs w:val="22"/>
              </w:rPr>
            </w:pPr>
            <w:r>
              <w:rPr>
                <w:sz w:val="18"/>
                <w:szCs w:val="22"/>
              </w:rPr>
              <w:t>69.</w:t>
            </w:r>
          </w:p>
        </w:tc>
        <w:tc>
          <w:tcPr>
            <w:tcW w:w="4082" w:type="dxa"/>
          </w:tcPr>
          <w:p w:rsidR="00000000" w:rsidRDefault="00000000">
            <w:pPr>
              <w:spacing w:before="60" w:line="240" w:lineRule="auto"/>
              <w:rPr>
                <w:sz w:val="18"/>
                <w:szCs w:val="22"/>
              </w:rPr>
            </w:pPr>
            <w:r>
              <w:rPr>
                <w:sz w:val="18"/>
                <w:szCs w:val="22"/>
              </w:rPr>
              <w:t>Служащий в гостинице, мотеле или аналогичном предприятии</w:t>
            </w:r>
          </w:p>
        </w:tc>
      </w:tr>
    </w:tbl>
    <w:p w:rsidR="00000000" w:rsidRDefault="00000000">
      <w:pPr>
        <w:spacing w:before="60" w:line="240" w:lineRule="auto"/>
        <w:jc w:val="center"/>
        <w:rPr>
          <w:b/>
          <w:bCs/>
          <w:sz w:val="22"/>
          <w:szCs w:val="22"/>
        </w:rPr>
      </w:pPr>
      <w:r>
        <w:rPr>
          <w:b/>
          <w:bCs/>
          <w:sz w:val="22"/>
          <w:szCs w:val="22"/>
        </w:rPr>
        <w:t>Профессии, специальности и иные виды трудовой деятельности</w:t>
      </w:r>
    </w:p>
    <w:p w:rsidR="00000000" w:rsidRDefault="00000000">
      <w:pPr>
        <w:spacing w:before="60" w:line="240" w:lineRule="auto"/>
        <w:jc w:val="center"/>
        <w:rPr>
          <w:sz w:val="18"/>
          <w:szCs w:val="22"/>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567"/>
        <w:gridCol w:w="4139"/>
        <w:gridCol w:w="567"/>
        <w:gridCol w:w="4082"/>
      </w:tblGrid>
      <w:tr w:rsidR="00000000">
        <w:trPr>
          <w:cantSplit/>
        </w:trPr>
        <w:tc>
          <w:tcPr>
            <w:tcW w:w="567" w:type="dxa"/>
          </w:tcPr>
          <w:p w:rsidR="00000000" w:rsidRDefault="00000000">
            <w:pPr>
              <w:spacing w:before="60" w:line="240" w:lineRule="auto"/>
              <w:jc w:val="center"/>
              <w:rPr>
                <w:sz w:val="18"/>
                <w:szCs w:val="22"/>
              </w:rPr>
            </w:pPr>
            <w:r>
              <w:rPr>
                <w:sz w:val="18"/>
                <w:szCs w:val="22"/>
              </w:rPr>
              <w:t>26.</w:t>
            </w:r>
          </w:p>
        </w:tc>
        <w:tc>
          <w:tcPr>
            <w:tcW w:w="4139" w:type="dxa"/>
          </w:tcPr>
          <w:p w:rsidR="00000000" w:rsidRDefault="00000000">
            <w:pPr>
              <w:spacing w:before="60" w:line="240" w:lineRule="auto"/>
              <w:rPr>
                <w:sz w:val="18"/>
                <w:szCs w:val="22"/>
              </w:rPr>
            </w:pPr>
            <w:r>
              <w:rPr>
                <w:sz w:val="18"/>
                <w:szCs w:val="22"/>
              </w:rPr>
              <w:t>Монтер-электрик</w:t>
            </w:r>
          </w:p>
        </w:tc>
        <w:tc>
          <w:tcPr>
            <w:tcW w:w="567" w:type="dxa"/>
          </w:tcPr>
          <w:p w:rsidR="00000000" w:rsidRDefault="00000000">
            <w:pPr>
              <w:spacing w:before="60" w:line="240" w:lineRule="auto"/>
              <w:jc w:val="center"/>
              <w:rPr>
                <w:sz w:val="18"/>
                <w:szCs w:val="22"/>
              </w:rPr>
            </w:pPr>
            <w:r>
              <w:rPr>
                <w:sz w:val="18"/>
                <w:szCs w:val="22"/>
              </w:rPr>
              <w:t>70.</w:t>
            </w:r>
          </w:p>
        </w:tc>
        <w:tc>
          <w:tcPr>
            <w:tcW w:w="4082" w:type="dxa"/>
          </w:tcPr>
          <w:p w:rsidR="00000000" w:rsidRDefault="00000000">
            <w:pPr>
              <w:spacing w:before="60" w:line="240" w:lineRule="auto"/>
              <w:rPr>
                <w:sz w:val="18"/>
                <w:szCs w:val="22"/>
              </w:rPr>
            </w:pPr>
            <w:r>
              <w:rPr>
                <w:sz w:val="18"/>
                <w:szCs w:val="22"/>
              </w:rPr>
              <w:t>Канцелярский служащий</w:t>
            </w:r>
          </w:p>
        </w:tc>
      </w:tr>
      <w:tr w:rsidR="00000000">
        <w:trPr>
          <w:cantSplit/>
        </w:trPr>
        <w:tc>
          <w:tcPr>
            <w:tcW w:w="567" w:type="dxa"/>
          </w:tcPr>
          <w:p w:rsidR="00000000" w:rsidRDefault="00000000">
            <w:pPr>
              <w:spacing w:before="60" w:line="240" w:lineRule="auto"/>
              <w:jc w:val="center"/>
              <w:rPr>
                <w:sz w:val="18"/>
                <w:szCs w:val="22"/>
              </w:rPr>
            </w:pPr>
            <w:r>
              <w:rPr>
                <w:sz w:val="18"/>
                <w:szCs w:val="22"/>
              </w:rPr>
              <w:t>27.</w:t>
            </w:r>
          </w:p>
        </w:tc>
        <w:tc>
          <w:tcPr>
            <w:tcW w:w="4139" w:type="dxa"/>
          </w:tcPr>
          <w:p w:rsidR="00000000" w:rsidRDefault="00000000">
            <w:pPr>
              <w:spacing w:before="60" w:line="240" w:lineRule="auto"/>
              <w:rPr>
                <w:sz w:val="18"/>
                <w:szCs w:val="22"/>
              </w:rPr>
            </w:pPr>
            <w:r>
              <w:rPr>
                <w:sz w:val="18"/>
                <w:szCs w:val="22"/>
              </w:rPr>
              <w:t>Электрик-автомеханик</w:t>
            </w:r>
          </w:p>
        </w:tc>
        <w:tc>
          <w:tcPr>
            <w:tcW w:w="567" w:type="dxa"/>
          </w:tcPr>
          <w:p w:rsidR="00000000" w:rsidRDefault="00000000">
            <w:pPr>
              <w:spacing w:before="60" w:line="240" w:lineRule="auto"/>
              <w:jc w:val="center"/>
              <w:rPr>
                <w:sz w:val="18"/>
                <w:szCs w:val="22"/>
              </w:rPr>
            </w:pPr>
            <w:r>
              <w:rPr>
                <w:sz w:val="18"/>
                <w:szCs w:val="22"/>
              </w:rPr>
              <w:t>71.</w:t>
            </w:r>
          </w:p>
        </w:tc>
        <w:tc>
          <w:tcPr>
            <w:tcW w:w="4082" w:type="dxa"/>
          </w:tcPr>
          <w:p w:rsidR="00000000" w:rsidRDefault="00000000">
            <w:pPr>
              <w:spacing w:before="60" w:line="240" w:lineRule="auto"/>
              <w:rPr>
                <w:sz w:val="18"/>
                <w:szCs w:val="22"/>
              </w:rPr>
            </w:pPr>
            <w:r>
              <w:rPr>
                <w:sz w:val="18"/>
                <w:szCs w:val="22"/>
              </w:rPr>
              <w:t>Приемщик автомастерской</w:t>
            </w:r>
          </w:p>
        </w:tc>
      </w:tr>
      <w:tr w:rsidR="00000000">
        <w:trPr>
          <w:cantSplit/>
        </w:trPr>
        <w:tc>
          <w:tcPr>
            <w:tcW w:w="567" w:type="dxa"/>
          </w:tcPr>
          <w:p w:rsidR="00000000" w:rsidRDefault="00000000">
            <w:pPr>
              <w:spacing w:before="60" w:line="240" w:lineRule="auto"/>
              <w:jc w:val="center"/>
              <w:rPr>
                <w:sz w:val="18"/>
                <w:szCs w:val="22"/>
              </w:rPr>
            </w:pPr>
            <w:r>
              <w:rPr>
                <w:sz w:val="18"/>
                <w:szCs w:val="22"/>
              </w:rPr>
              <w:t>28.</w:t>
            </w:r>
          </w:p>
        </w:tc>
        <w:tc>
          <w:tcPr>
            <w:tcW w:w="4139" w:type="dxa"/>
          </w:tcPr>
          <w:p w:rsidR="00000000" w:rsidRDefault="00000000">
            <w:pPr>
              <w:spacing w:before="60" w:line="240" w:lineRule="auto"/>
              <w:rPr>
                <w:sz w:val="18"/>
                <w:szCs w:val="22"/>
              </w:rPr>
            </w:pPr>
            <w:r>
              <w:rPr>
                <w:sz w:val="18"/>
                <w:szCs w:val="22"/>
              </w:rPr>
              <w:t>Специалист по ремонту электромоторов и/или электрогенераторов</w:t>
            </w:r>
          </w:p>
        </w:tc>
        <w:tc>
          <w:tcPr>
            <w:tcW w:w="567" w:type="dxa"/>
          </w:tcPr>
          <w:p w:rsidR="00000000" w:rsidRDefault="00000000">
            <w:pPr>
              <w:spacing w:before="60" w:line="240" w:lineRule="auto"/>
              <w:jc w:val="center"/>
              <w:rPr>
                <w:sz w:val="18"/>
                <w:szCs w:val="22"/>
              </w:rPr>
            </w:pPr>
            <w:r>
              <w:rPr>
                <w:sz w:val="18"/>
                <w:szCs w:val="22"/>
              </w:rPr>
              <w:t>72.</w:t>
            </w:r>
          </w:p>
        </w:tc>
        <w:tc>
          <w:tcPr>
            <w:tcW w:w="4082" w:type="dxa"/>
          </w:tcPr>
          <w:p w:rsidR="00000000" w:rsidRDefault="00000000">
            <w:pPr>
              <w:spacing w:before="60" w:line="240" w:lineRule="auto"/>
              <w:rPr>
                <w:sz w:val="18"/>
                <w:szCs w:val="22"/>
              </w:rPr>
            </w:pPr>
            <w:r>
              <w:rPr>
                <w:sz w:val="18"/>
                <w:szCs w:val="22"/>
              </w:rPr>
              <w:t>Специалист по ремонту бытовых электроприборов</w:t>
            </w:r>
          </w:p>
        </w:tc>
      </w:tr>
      <w:tr w:rsidR="00000000">
        <w:trPr>
          <w:cantSplit/>
        </w:trPr>
        <w:tc>
          <w:tcPr>
            <w:tcW w:w="567" w:type="dxa"/>
          </w:tcPr>
          <w:p w:rsidR="00000000" w:rsidRDefault="00000000">
            <w:pPr>
              <w:spacing w:before="60" w:line="240" w:lineRule="auto"/>
              <w:jc w:val="center"/>
              <w:rPr>
                <w:sz w:val="18"/>
                <w:szCs w:val="22"/>
              </w:rPr>
            </w:pPr>
            <w:r>
              <w:rPr>
                <w:sz w:val="18"/>
                <w:szCs w:val="22"/>
              </w:rPr>
              <w:t>29.</w:t>
            </w:r>
          </w:p>
        </w:tc>
        <w:tc>
          <w:tcPr>
            <w:tcW w:w="4139" w:type="dxa"/>
          </w:tcPr>
          <w:p w:rsidR="00000000" w:rsidRDefault="00000000">
            <w:pPr>
              <w:spacing w:before="60" w:line="240" w:lineRule="auto"/>
              <w:rPr>
                <w:sz w:val="18"/>
                <w:szCs w:val="22"/>
              </w:rPr>
            </w:pPr>
            <w:r>
              <w:rPr>
                <w:sz w:val="18"/>
                <w:szCs w:val="22"/>
              </w:rPr>
              <w:t>Продавец магазина самообслуживания</w:t>
            </w:r>
          </w:p>
        </w:tc>
        <w:tc>
          <w:tcPr>
            <w:tcW w:w="567" w:type="dxa"/>
          </w:tcPr>
          <w:p w:rsidR="00000000" w:rsidRDefault="00000000">
            <w:pPr>
              <w:spacing w:before="60" w:line="240" w:lineRule="auto"/>
              <w:jc w:val="center"/>
              <w:rPr>
                <w:sz w:val="18"/>
                <w:szCs w:val="22"/>
              </w:rPr>
            </w:pPr>
            <w:r>
              <w:rPr>
                <w:sz w:val="18"/>
                <w:szCs w:val="22"/>
              </w:rPr>
              <w:t>73.</w:t>
            </w:r>
          </w:p>
        </w:tc>
        <w:tc>
          <w:tcPr>
            <w:tcW w:w="4082" w:type="dxa"/>
          </w:tcPr>
          <w:p w:rsidR="00000000" w:rsidRDefault="00000000">
            <w:pPr>
              <w:spacing w:before="60" w:line="240" w:lineRule="auto"/>
              <w:rPr>
                <w:sz w:val="18"/>
                <w:szCs w:val="22"/>
              </w:rPr>
            </w:pPr>
            <w:r>
              <w:rPr>
                <w:sz w:val="18"/>
                <w:szCs w:val="22"/>
              </w:rPr>
              <w:t>Репортер ежедневного периодического издания</w:t>
            </w:r>
          </w:p>
        </w:tc>
      </w:tr>
      <w:tr w:rsidR="00000000">
        <w:trPr>
          <w:cantSplit/>
        </w:trPr>
        <w:tc>
          <w:tcPr>
            <w:tcW w:w="567" w:type="dxa"/>
          </w:tcPr>
          <w:p w:rsidR="00000000" w:rsidRDefault="00000000">
            <w:pPr>
              <w:spacing w:before="60" w:line="240" w:lineRule="auto"/>
              <w:jc w:val="center"/>
              <w:rPr>
                <w:sz w:val="18"/>
                <w:szCs w:val="22"/>
              </w:rPr>
            </w:pPr>
            <w:r>
              <w:rPr>
                <w:sz w:val="18"/>
                <w:szCs w:val="22"/>
              </w:rPr>
              <w:t>30.</w:t>
            </w:r>
          </w:p>
        </w:tc>
        <w:tc>
          <w:tcPr>
            <w:tcW w:w="4139" w:type="dxa"/>
          </w:tcPr>
          <w:p w:rsidR="00000000" w:rsidRDefault="00000000">
            <w:pPr>
              <w:spacing w:before="60" w:line="240" w:lineRule="auto"/>
              <w:rPr>
                <w:sz w:val="18"/>
                <w:szCs w:val="22"/>
              </w:rPr>
            </w:pPr>
            <w:r>
              <w:rPr>
                <w:sz w:val="18"/>
                <w:szCs w:val="22"/>
              </w:rPr>
              <w:t>Заведующий складов и/или магазином</w:t>
            </w:r>
          </w:p>
        </w:tc>
        <w:tc>
          <w:tcPr>
            <w:tcW w:w="567" w:type="dxa"/>
          </w:tcPr>
          <w:p w:rsidR="00000000" w:rsidRDefault="00000000">
            <w:pPr>
              <w:spacing w:before="60" w:line="240" w:lineRule="auto"/>
              <w:jc w:val="center"/>
              <w:rPr>
                <w:sz w:val="18"/>
                <w:szCs w:val="22"/>
              </w:rPr>
            </w:pPr>
            <w:r>
              <w:rPr>
                <w:sz w:val="18"/>
                <w:szCs w:val="22"/>
              </w:rPr>
              <w:t>74.</w:t>
            </w:r>
          </w:p>
        </w:tc>
        <w:tc>
          <w:tcPr>
            <w:tcW w:w="4082" w:type="dxa"/>
          </w:tcPr>
          <w:p w:rsidR="00000000" w:rsidRDefault="00000000">
            <w:pPr>
              <w:spacing w:before="60" w:line="240" w:lineRule="auto"/>
              <w:rPr>
                <w:sz w:val="18"/>
                <w:szCs w:val="22"/>
              </w:rPr>
            </w:pPr>
            <w:r>
              <w:rPr>
                <w:sz w:val="18"/>
                <w:szCs w:val="22"/>
              </w:rPr>
              <w:t>Художник ежедневного печатного издания</w:t>
            </w:r>
          </w:p>
        </w:tc>
      </w:tr>
      <w:tr w:rsidR="00000000">
        <w:trPr>
          <w:cantSplit/>
        </w:trPr>
        <w:tc>
          <w:tcPr>
            <w:tcW w:w="567" w:type="dxa"/>
          </w:tcPr>
          <w:p w:rsidR="00000000" w:rsidRDefault="00000000">
            <w:pPr>
              <w:spacing w:before="60" w:line="240" w:lineRule="auto"/>
              <w:jc w:val="center"/>
              <w:rPr>
                <w:sz w:val="18"/>
                <w:szCs w:val="22"/>
              </w:rPr>
            </w:pPr>
            <w:r>
              <w:rPr>
                <w:sz w:val="18"/>
                <w:szCs w:val="22"/>
              </w:rPr>
              <w:t>31.</w:t>
            </w:r>
          </w:p>
        </w:tc>
        <w:tc>
          <w:tcPr>
            <w:tcW w:w="4139" w:type="dxa"/>
          </w:tcPr>
          <w:p w:rsidR="00000000" w:rsidRDefault="00000000">
            <w:pPr>
              <w:spacing w:before="60" w:line="240" w:lineRule="auto"/>
              <w:rPr>
                <w:sz w:val="18"/>
                <w:szCs w:val="22"/>
              </w:rPr>
            </w:pPr>
            <w:r>
              <w:rPr>
                <w:sz w:val="18"/>
                <w:szCs w:val="22"/>
              </w:rPr>
              <w:t>Младший медицинский работник (дипломированный)</w:t>
            </w:r>
          </w:p>
        </w:tc>
        <w:tc>
          <w:tcPr>
            <w:tcW w:w="567" w:type="dxa"/>
          </w:tcPr>
          <w:p w:rsidR="00000000" w:rsidRDefault="00000000">
            <w:pPr>
              <w:spacing w:before="60" w:line="240" w:lineRule="auto"/>
              <w:jc w:val="center"/>
              <w:rPr>
                <w:sz w:val="18"/>
                <w:szCs w:val="22"/>
              </w:rPr>
            </w:pPr>
            <w:r>
              <w:rPr>
                <w:sz w:val="18"/>
                <w:szCs w:val="22"/>
              </w:rPr>
              <w:t>75.</w:t>
            </w:r>
          </w:p>
        </w:tc>
        <w:tc>
          <w:tcPr>
            <w:tcW w:w="4082" w:type="dxa"/>
          </w:tcPr>
          <w:p w:rsidR="00000000" w:rsidRDefault="00000000">
            <w:pPr>
              <w:spacing w:before="60" w:line="240" w:lineRule="auto"/>
              <w:rPr>
                <w:sz w:val="18"/>
                <w:szCs w:val="22"/>
              </w:rPr>
            </w:pPr>
            <w:r>
              <w:rPr>
                <w:sz w:val="18"/>
                <w:szCs w:val="22"/>
              </w:rPr>
              <w:t>Булочник-кондитер</w:t>
            </w:r>
          </w:p>
        </w:tc>
      </w:tr>
      <w:tr w:rsidR="00000000">
        <w:trPr>
          <w:cantSplit/>
        </w:trPr>
        <w:tc>
          <w:tcPr>
            <w:tcW w:w="567" w:type="dxa"/>
          </w:tcPr>
          <w:p w:rsidR="00000000" w:rsidRDefault="00000000">
            <w:pPr>
              <w:spacing w:before="60" w:line="240" w:lineRule="auto"/>
              <w:jc w:val="center"/>
              <w:rPr>
                <w:sz w:val="18"/>
                <w:szCs w:val="22"/>
              </w:rPr>
            </w:pPr>
            <w:r>
              <w:rPr>
                <w:sz w:val="18"/>
                <w:szCs w:val="22"/>
              </w:rPr>
              <w:t>32.</w:t>
            </w:r>
          </w:p>
        </w:tc>
        <w:tc>
          <w:tcPr>
            <w:tcW w:w="4139" w:type="dxa"/>
          </w:tcPr>
          <w:p w:rsidR="00000000" w:rsidRDefault="00000000">
            <w:pPr>
              <w:spacing w:before="60" w:line="240" w:lineRule="auto"/>
              <w:rPr>
                <w:sz w:val="18"/>
                <w:szCs w:val="22"/>
              </w:rPr>
            </w:pPr>
            <w:r>
              <w:rPr>
                <w:sz w:val="18"/>
                <w:szCs w:val="22"/>
              </w:rPr>
              <w:t>Подсобный медицинский работник</w:t>
            </w:r>
          </w:p>
        </w:tc>
        <w:tc>
          <w:tcPr>
            <w:tcW w:w="567" w:type="dxa"/>
          </w:tcPr>
          <w:p w:rsidR="00000000" w:rsidRDefault="00000000">
            <w:pPr>
              <w:spacing w:before="60" w:line="240" w:lineRule="auto"/>
              <w:jc w:val="center"/>
              <w:rPr>
                <w:sz w:val="18"/>
                <w:szCs w:val="22"/>
              </w:rPr>
            </w:pPr>
            <w:r>
              <w:rPr>
                <w:sz w:val="18"/>
                <w:szCs w:val="22"/>
              </w:rPr>
              <w:t>76.</w:t>
            </w:r>
          </w:p>
        </w:tc>
        <w:tc>
          <w:tcPr>
            <w:tcW w:w="4082" w:type="dxa"/>
          </w:tcPr>
          <w:p w:rsidR="00000000" w:rsidRDefault="00000000">
            <w:pPr>
              <w:spacing w:before="60" w:line="240" w:lineRule="auto"/>
              <w:rPr>
                <w:sz w:val="18"/>
                <w:szCs w:val="22"/>
              </w:rPr>
            </w:pPr>
            <w:r>
              <w:rPr>
                <w:sz w:val="18"/>
                <w:szCs w:val="22"/>
              </w:rPr>
              <w:t>Заведующий частным ателье по пошиву одежды</w:t>
            </w:r>
          </w:p>
        </w:tc>
      </w:tr>
      <w:tr w:rsidR="00000000">
        <w:trPr>
          <w:cantSplit/>
        </w:trPr>
        <w:tc>
          <w:tcPr>
            <w:tcW w:w="567" w:type="dxa"/>
          </w:tcPr>
          <w:p w:rsidR="00000000" w:rsidRDefault="00000000">
            <w:pPr>
              <w:spacing w:before="60" w:line="240" w:lineRule="auto"/>
              <w:jc w:val="center"/>
              <w:rPr>
                <w:sz w:val="18"/>
                <w:szCs w:val="22"/>
              </w:rPr>
            </w:pPr>
            <w:r>
              <w:rPr>
                <w:sz w:val="18"/>
                <w:szCs w:val="22"/>
              </w:rPr>
              <w:t>33.</w:t>
            </w:r>
          </w:p>
        </w:tc>
        <w:tc>
          <w:tcPr>
            <w:tcW w:w="4139" w:type="dxa"/>
          </w:tcPr>
          <w:p w:rsidR="00000000" w:rsidRDefault="00000000">
            <w:pPr>
              <w:spacing w:before="60" w:line="240" w:lineRule="auto"/>
              <w:rPr>
                <w:sz w:val="18"/>
                <w:szCs w:val="22"/>
              </w:rPr>
            </w:pPr>
            <w:r>
              <w:rPr>
                <w:sz w:val="18"/>
                <w:szCs w:val="22"/>
              </w:rPr>
              <w:t>Продавец скобяных изделий</w:t>
            </w:r>
          </w:p>
        </w:tc>
        <w:tc>
          <w:tcPr>
            <w:tcW w:w="567" w:type="dxa"/>
          </w:tcPr>
          <w:p w:rsidR="00000000" w:rsidRDefault="00000000">
            <w:pPr>
              <w:spacing w:before="60" w:line="240" w:lineRule="auto"/>
              <w:jc w:val="center"/>
              <w:rPr>
                <w:sz w:val="18"/>
                <w:szCs w:val="22"/>
              </w:rPr>
            </w:pPr>
            <w:r>
              <w:rPr>
                <w:sz w:val="18"/>
                <w:szCs w:val="22"/>
              </w:rPr>
              <w:t>77.</w:t>
            </w:r>
          </w:p>
        </w:tc>
        <w:tc>
          <w:tcPr>
            <w:tcW w:w="4082" w:type="dxa"/>
          </w:tcPr>
          <w:p w:rsidR="00000000" w:rsidRDefault="00000000">
            <w:pPr>
              <w:spacing w:before="60" w:line="240" w:lineRule="auto"/>
              <w:rPr>
                <w:sz w:val="18"/>
                <w:szCs w:val="22"/>
              </w:rPr>
            </w:pPr>
            <w:r>
              <w:rPr>
                <w:sz w:val="18"/>
                <w:szCs w:val="22"/>
              </w:rPr>
              <w:t>Газосварщик или электросварщик</w:t>
            </w:r>
          </w:p>
        </w:tc>
      </w:tr>
      <w:tr w:rsidR="00000000">
        <w:trPr>
          <w:cantSplit/>
        </w:trPr>
        <w:tc>
          <w:tcPr>
            <w:tcW w:w="567" w:type="dxa"/>
          </w:tcPr>
          <w:p w:rsidR="00000000" w:rsidRDefault="00000000">
            <w:pPr>
              <w:spacing w:before="60" w:line="240" w:lineRule="auto"/>
              <w:jc w:val="center"/>
              <w:rPr>
                <w:sz w:val="18"/>
                <w:szCs w:val="22"/>
              </w:rPr>
            </w:pPr>
            <w:r>
              <w:rPr>
                <w:sz w:val="18"/>
                <w:szCs w:val="22"/>
              </w:rPr>
              <w:t>34.</w:t>
            </w:r>
          </w:p>
        </w:tc>
        <w:tc>
          <w:tcPr>
            <w:tcW w:w="4139" w:type="dxa"/>
          </w:tcPr>
          <w:p w:rsidR="00000000" w:rsidRDefault="00000000">
            <w:pPr>
              <w:spacing w:before="60" w:line="240" w:lineRule="auto"/>
              <w:rPr>
                <w:sz w:val="18"/>
                <w:szCs w:val="22"/>
              </w:rPr>
            </w:pPr>
            <w:r>
              <w:rPr>
                <w:sz w:val="18"/>
                <w:szCs w:val="22"/>
              </w:rPr>
              <w:t>Кочегар-истопник</w:t>
            </w:r>
          </w:p>
        </w:tc>
        <w:tc>
          <w:tcPr>
            <w:tcW w:w="567" w:type="dxa"/>
          </w:tcPr>
          <w:p w:rsidR="00000000" w:rsidRDefault="00000000">
            <w:pPr>
              <w:spacing w:before="60" w:line="240" w:lineRule="auto"/>
              <w:jc w:val="center"/>
              <w:rPr>
                <w:sz w:val="18"/>
                <w:szCs w:val="22"/>
              </w:rPr>
            </w:pPr>
            <w:r>
              <w:rPr>
                <w:sz w:val="18"/>
                <w:szCs w:val="22"/>
              </w:rPr>
              <w:t>78.</w:t>
            </w:r>
          </w:p>
        </w:tc>
        <w:tc>
          <w:tcPr>
            <w:tcW w:w="4082" w:type="dxa"/>
          </w:tcPr>
          <w:p w:rsidR="00000000" w:rsidRDefault="00000000">
            <w:pPr>
              <w:spacing w:before="60" w:line="240" w:lineRule="auto"/>
              <w:rPr>
                <w:sz w:val="18"/>
                <w:szCs w:val="22"/>
              </w:rPr>
            </w:pPr>
            <w:r>
              <w:rPr>
                <w:sz w:val="18"/>
                <w:szCs w:val="22"/>
              </w:rPr>
              <w:t>Шорник предприятия по производству и ремонту изделий из кожи</w:t>
            </w:r>
          </w:p>
        </w:tc>
      </w:tr>
      <w:tr w:rsidR="00000000">
        <w:trPr>
          <w:cantSplit/>
        </w:trPr>
        <w:tc>
          <w:tcPr>
            <w:tcW w:w="567" w:type="dxa"/>
          </w:tcPr>
          <w:p w:rsidR="00000000" w:rsidRDefault="00000000">
            <w:pPr>
              <w:spacing w:before="60" w:line="240" w:lineRule="auto"/>
              <w:jc w:val="center"/>
              <w:rPr>
                <w:sz w:val="18"/>
                <w:szCs w:val="22"/>
              </w:rPr>
            </w:pPr>
            <w:r>
              <w:rPr>
                <w:sz w:val="18"/>
                <w:szCs w:val="22"/>
              </w:rPr>
              <w:t>35.</w:t>
            </w:r>
          </w:p>
        </w:tc>
        <w:tc>
          <w:tcPr>
            <w:tcW w:w="4139" w:type="dxa"/>
          </w:tcPr>
          <w:p w:rsidR="00000000" w:rsidRDefault="00000000">
            <w:pPr>
              <w:spacing w:before="60" w:line="240" w:lineRule="auto"/>
              <w:rPr>
                <w:sz w:val="18"/>
                <w:szCs w:val="22"/>
              </w:rPr>
            </w:pPr>
            <w:r>
              <w:rPr>
                <w:sz w:val="18"/>
                <w:szCs w:val="22"/>
              </w:rPr>
              <w:t>Заправщик бензина</w:t>
            </w:r>
          </w:p>
        </w:tc>
        <w:tc>
          <w:tcPr>
            <w:tcW w:w="567" w:type="dxa"/>
          </w:tcPr>
          <w:p w:rsidR="00000000" w:rsidRDefault="00000000">
            <w:pPr>
              <w:spacing w:before="60" w:line="240" w:lineRule="auto"/>
              <w:jc w:val="center"/>
              <w:rPr>
                <w:sz w:val="18"/>
                <w:szCs w:val="22"/>
              </w:rPr>
            </w:pPr>
            <w:r>
              <w:rPr>
                <w:sz w:val="18"/>
                <w:szCs w:val="22"/>
              </w:rPr>
              <w:t>79.</w:t>
            </w:r>
          </w:p>
        </w:tc>
        <w:tc>
          <w:tcPr>
            <w:tcW w:w="4082" w:type="dxa"/>
          </w:tcPr>
          <w:p w:rsidR="00000000" w:rsidRDefault="00000000">
            <w:pPr>
              <w:spacing w:before="60" w:line="240" w:lineRule="auto"/>
              <w:rPr>
                <w:sz w:val="18"/>
                <w:szCs w:val="22"/>
              </w:rPr>
            </w:pPr>
            <w:r>
              <w:rPr>
                <w:sz w:val="18"/>
                <w:szCs w:val="22"/>
              </w:rPr>
              <w:t>Мясник или продавец мясного отдела</w:t>
            </w:r>
          </w:p>
        </w:tc>
      </w:tr>
      <w:tr w:rsidR="00000000">
        <w:trPr>
          <w:cantSplit/>
        </w:trPr>
        <w:tc>
          <w:tcPr>
            <w:tcW w:w="567" w:type="dxa"/>
          </w:tcPr>
          <w:p w:rsidR="00000000" w:rsidRDefault="00000000">
            <w:pPr>
              <w:spacing w:before="60" w:line="240" w:lineRule="auto"/>
              <w:jc w:val="center"/>
              <w:rPr>
                <w:sz w:val="18"/>
                <w:szCs w:val="22"/>
              </w:rPr>
            </w:pPr>
            <w:r>
              <w:rPr>
                <w:sz w:val="18"/>
                <w:szCs w:val="22"/>
              </w:rPr>
              <w:t>36.</w:t>
            </w:r>
          </w:p>
        </w:tc>
        <w:tc>
          <w:tcPr>
            <w:tcW w:w="4139" w:type="dxa"/>
          </w:tcPr>
          <w:p w:rsidR="00000000" w:rsidRDefault="00000000">
            <w:pPr>
              <w:spacing w:before="60" w:line="240" w:lineRule="auto"/>
              <w:rPr>
                <w:sz w:val="18"/>
                <w:szCs w:val="22"/>
              </w:rPr>
            </w:pPr>
            <w:r>
              <w:rPr>
                <w:sz w:val="18"/>
                <w:szCs w:val="22"/>
              </w:rPr>
              <w:t>Кузнец</w:t>
            </w:r>
          </w:p>
        </w:tc>
        <w:tc>
          <w:tcPr>
            <w:tcW w:w="567" w:type="dxa"/>
          </w:tcPr>
          <w:p w:rsidR="00000000" w:rsidRDefault="00000000">
            <w:pPr>
              <w:spacing w:before="60" w:line="240" w:lineRule="auto"/>
              <w:jc w:val="center"/>
              <w:rPr>
                <w:sz w:val="18"/>
                <w:szCs w:val="22"/>
              </w:rPr>
            </w:pPr>
            <w:r>
              <w:rPr>
                <w:sz w:val="18"/>
                <w:szCs w:val="22"/>
              </w:rPr>
              <w:t>80.</w:t>
            </w:r>
          </w:p>
        </w:tc>
        <w:tc>
          <w:tcPr>
            <w:tcW w:w="4082" w:type="dxa"/>
          </w:tcPr>
          <w:p w:rsidR="00000000" w:rsidRDefault="00000000">
            <w:pPr>
              <w:spacing w:before="60" w:line="240" w:lineRule="auto"/>
              <w:rPr>
                <w:sz w:val="18"/>
                <w:szCs w:val="22"/>
              </w:rPr>
            </w:pPr>
            <w:r>
              <w:rPr>
                <w:sz w:val="18"/>
                <w:szCs w:val="22"/>
              </w:rPr>
              <w:t>Специалист по внутренней отделке автомобилей</w:t>
            </w:r>
          </w:p>
        </w:tc>
      </w:tr>
      <w:tr w:rsidR="00000000">
        <w:trPr>
          <w:cantSplit/>
        </w:trPr>
        <w:tc>
          <w:tcPr>
            <w:tcW w:w="567" w:type="dxa"/>
          </w:tcPr>
          <w:p w:rsidR="00000000" w:rsidRDefault="00000000">
            <w:pPr>
              <w:spacing w:before="60" w:line="240" w:lineRule="auto"/>
              <w:jc w:val="center"/>
              <w:rPr>
                <w:sz w:val="18"/>
                <w:szCs w:val="22"/>
              </w:rPr>
            </w:pPr>
            <w:r>
              <w:rPr>
                <w:sz w:val="18"/>
                <w:szCs w:val="22"/>
              </w:rPr>
              <w:t>37.</w:t>
            </w:r>
          </w:p>
        </w:tc>
        <w:tc>
          <w:tcPr>
            <w:tcW w:w="4139" w:type="dxa"/>
          </w:tcPr>
          <w:p w:rsidR="00000000" w:rsidRDefault="00000000">
            <w:pPr>
              <w:spacing w:before="60" w:line="240" w:lineRule="auto"/>
              <w:rPr>
                <w:sz w:val="18"/>
                <w:szCs w:val="22"/>
              </w:rPr>
            </w:pPr>
            <w:r>
              <w:rPr>
                <w:sz w:val="18"/>
                <w:szCs w:val="22"/>
              </w:rPr>
              <w:t>Автомеханик-жестянщик</w:t>
            </w:r>
          </w:p>
        </w:tc>
        <w:tc>
          <w:tcPr>
            <w:tcW w:w="567" w:type="dxa"/>
          </w:tcPr>
          <w:p w:rsidR="00000000" w:rsidRDefault="00000000">
            <w:pPr>
              <w:spacing w:before="60" w:line="240" w:lineRule="auto"/>
              <w:jc w:val="center"/>
              <w:rPr>
                <w:sz w:val="18"/>
                <w:szCs w:val="22"/>
              </w:rPr>
            </w:pPr>
            <w:r>
              <w:rPr>
                <w:sz w:val="18"/>
                <w:szCs w:val="22"/>
              </w:rPr>
              <w:t>81.</w:t>
            </w:r>
          </w:p>
        </w:tc>
        <w:tc>
          <w:tcPr>
            <w:tcW w:w="4082" w:type="dxa"/>
          </w:tcPr>
          <w:p w:rsidR="00000000" w:rsidRDefault="00000000">
            <w:pPr>
              <w:spacing w:before="60" w:line="240" w:lineRule="auto"/>
              <w:rPr>
                <w:sz w:val="18"/>
                <w:szCs w:val="22"/>
              </w:rPr>
            </w:pPr>
            <w:r>
              <w:rPr>
                <w:sz w:val="18"/>
                <w:szCs w:val="22"/>
              </w:rPr>
              <w:t>Специалист по обивке мебели</w:t>
            </w:r>
          </w:p>
        </w:tc>
      </w:tr>
      <w:tr w:rsidR="00000000">
        <w:trPr>
          <w:cantSplit/>
        </w:trPr>
        <w:tc>
          <w:tcPr>
            <w:tcW w:w="567" w:type="dxa"/>
          </w:tcPr>
          <w:p w:rsidR="00000000" w:rsidRDefault="00000000">
            <w:pPr>
              <w:spacing w:before="60" w:line="240" w:lineRule="auto"/>
              <w:jc w:val="center"/>
              <w:rPr>
                <w:sz w:val="18"/>
                <w:szCs w:val="22"/>
              </w:rPr>
            </w:pPr>
            <w:r>
              <w:rPr>
                <w:sz w:val="18"/>
                <w:szCs w:val="22"/>
              </w:rPr>
              <w:t>38.</w:t>
            </w:r>
          </w:p>
        </w:tc>
        <w:tc>
          <w:tcPr>
            <w:tcW w:w="4139" w:type="dxa"/>
          </w:tcPr>
          <w:p w:rsidR="00000000" w:rsidRDefault="00000000">
            <w:pPr>
              <w:spacing w:before="60" w:line="240" w:lineRule="auto"/>
              <w:rPr>
                <w:sz w:val="18"/>
                <w:szCs w:val="22"/>
              </w:rPr>
            </w:pPr>
            <w:r>
              <w:rPr>
                <w:sz w:val="18"/>
                <w:szCs w:val="22"/>
              </w:rPr>
              <w:t>Сталелитейщик</w:t>
            </w:r>
          </w:p>
        </w:tc>
        <w:tc>
          <w:tcPr>
            <w:tcW w:w="567" w:type="dxa"/>
          </w:tcPr>
          <w:p w:rsidR="00000000" w:rsidRDefault="00000000">
            <w:pPr>
              <w:spacing w:before="60" w:line="240" w:lineRule="auto"/>
              <w:jc w:val="center"/>
              <w:rPr>
                <w:sz w:val="18"/>
                <w:szCs w:val="22"/>
              </w:rPr>
            </w:pPr>
            <w:r>
              <w:rPr>
                <w:sz w:val="18"/>
                <w:szCs w:val="22"/>
              </w:rPr>
              <w:t>82.</w:t>
            </w:r>
          </w:p>
        </w:tc>
        <w:tc>
          <w:tcPr>
            <w:tcW w:w="4082" w:type="dxa"/>
          </w:tcPr>
          <w:p w:rsidR="00000000" w:rsidRDefault="00000000">
            <w:pPr>
              <w:spacing w:before="60" w:line="240" w:lineRule="auto"/>
              <w:rPr>
                <w:sz w:val="18"/>
                <w:szCs w:val="22"/>
              </w:rPr>
            </w:pPr>
            <w:r>
              <w:rPr>
                <w:sz w:val="18"/>
                <w:szCs w:val="22"/>
              </w:rPr>
              <w:t>Машинистка-стенографистка (испанский язык)</w:t>
            </w:r>
          </w:p>
        </w:tc>
      </w:tr>
      <w:tr w:rsidR="00000000">
        <w:trPr>
          <w:cantSplit/>
        </w:trPr>
        <w:tc>
          <w:tcPr>
            <w:tcW w:w="567" w:type="dxa"/>
          </w:tcPr>
          <w:p w:rsidR="00000000" w:rsidRDefault="00000000">
            <w:pPr>
              <w:spacing w:before="60" w:line="240" w:lineRule="auto"/>
              <w:jc w:val="center"/>
              <w:rPr>
                <w:sz w:val="18"/>
                <w:szCs w:val="22"/>
              </w:rPr>
            </w:pPr>
            <w:r>
              <w:rPr>
                <w:sz w:val="18"/>
                <w:szCs w:val="22"/>
              </w:rPr>
              <w:t>39.</w:t>
            </w:r>
          </w:p>
        </w:tc>
        <w:tc>
          <w:tcPr>
            <w:tcW w:w="4139" w:type="dxa"/>
          </w:tcPr>
          <w:p w:rsidR="00000000" w:rsidRDefault="00000000">
            <w:pPr>
              <w:spacing w:before="60" w:line="240" w:lineRule="auto"/>
              <w:rPr>
                <w:sz w:val="18"/>
                <w:szCs w:val="22"/>
              </w:rPr>
            </w:pPr>
            <w:r>
              <w:rPr>
                <w:sz w:val="18"/>
                <w:szCs w:val="22"/>
              </w:rPr>
              <w:t>Ювелир ателье</w:t>
            </w:r>
          </w:p>
        </w:tc>
        <w:tc>
          <w:tcPr>
            <w:tcW w:w="567" w:type="dxa"/>
          </w:tcPr>
          <w:p w:rsidR="00000000" w:rsidRDefault="00000000">
            <w:pPr>
              <w:spacing w:before="60" w:line="240" w:lineRule="auto"/>
              <w:jc w:val="center"/>
              <w:rPr>
                <w:sz w:val="18"/>
                <w:szCs w:val="22"/>
              </w:rPr>
            </w:pPr>
            <w:r>
              <w:rPr>
                <w:sz w:val="18"/>
                <w:szCs w:val="22"/>
              </w:rPr>
              <w:t>83.</w:t>
            </w:r>
          </w:p>
        </w:tc>
        <w:tc>
          <w:tcPr>
            <w:tcW w:w="4082" w:type="dxa"/>
          </w:tcPr>
          <w:p w:rsidR="00000000" w:rsidRDefault="00000000">
            <w:pPr>
              <w:spacing w:before="60" w:line="240" w:lineRule="auto"/>
              <w:rPr>
                <w:sz w:val="18"/>
                <w:szCs w:val="22"/>
              </w:rPr>
            </w:pPr>
            <w:r>
              <w:rPr>
                <w:sz w:val="18"/>
                <w:szCs w:val="22"/>
              </w:rPr>
              <w:t>Социальный работник</w:t>
            </w:r>
          </w:p>
        </w:tc>
      </w:tr>
      <w:tr w:rsidR="00000000">
        <w:trPr>
          <w:cantSplit/>
        </w:trPr>
        <w:tc>
          <w:tcPr>
            <w:tcW w:w="567" w:type="dxa"/>
          </w:tcPr>
          <w:p w:rsidR="00000000" w:rsidRDefault="00000000">
            <w:pPr>
              <w:spacing w:before="60" w:line="240" w:lineRule="auto"/>
              <w:jc w:val="center"/>
              <w:rPr>
                <w:sz w:val="18"/>
                <w:szCs w:val="22"/>
              </w:rPr>
            </w:pPr>
            <w:r>
              <w:rPr>
                <w:sz w:val="18"/>
                <w:szCs w:val="22"/>
              </w:rPr>
              <w:t>40.</w:t>
            </w:r>
          </w:p>
        </w:tc>
        <w:tc>
          <w:tcPr>
            <w:tcW w:w="4139" w:type="dxa"/>
          </w:tcPr>
          <w:p w:rsidR="00000000" w:rsidRDefault="00000000">
            <w:pPr>
              <w:spacing w:before="60" w:line="240" w:lineRule="auto"/>
              <w:rPr>
                <w:sz w:val="18"/>
                <w:szCs w:val="22"/>
              </w:rPr>
            </w:pPr>
            <w:r>
              <w:rPr>
                <w:sz w:val="18"/>
                <w:szCs w:val="22"/>
              </w:rPr>
              <w:t>Надомный ювелир</w:t>
            </w:r>
          </w:p>
        </w:tc>
        <w:tc>
          <w:tcPr>
            <w:tcW w:w="567" w:type="dxa"/>
          </w:tcPr>
          <w:p w:rsidR="00000000" w:rsidRDefault="00000000">
            <w:pPr>
              <w:spacing w:before="60" w:line="240" w:lineRule="auto"/>
              <w:jc w:val="center"/>
              <w:rPr>
                <w:sz w:val="18"/>
                <w:szCs w:val="22"/>
              </w:rPr>
            </w:pPr>
            <w:r>
              <w:rPr>
                <w:sz w:val="18"/>
                <w:szCs w:val="22"/>
              </w:rPr>
              <w:t>84.</w:t>
            </w:r>
          </w:p>
        </w:tc>
        <w:tc>
          <w:tcPr>
            <w:tcW w:w="4082" w:type="dxa"/>
          </w:tcPr>
          <w:p w:rsidR="00000000" w:rsidRDefault="00000000">
            <w:pPr>
              <w:spacing w:before="60" w:line="240" w:lineRule="auto"/>
              <w:rPr>
                <w:sz w:val="18"/>
                <w:szCs w:val="22"/>
              </w:rPr>
            </w:pPr>
            <w:r>
              <w:rPr>
                <w:sz w:val="18"/>
                <w:szCs w:val="22"/>
              </w:rPr>
              <w:t>Оператор гусеничного транспортера</w:t>
            </w:r>
          </w:p>
        </w:tc>
      </w:tr>
      <w:tr w:rsidR="00000000">
        <w:trPr>
          <w:cantSplit/>
        </w:trPr>
        <w:tc>
          <w:tcPr>
            <w:tcW w:w="567" w:type="dxa"/>
          </w:tcPr>
          <w:p w:rsidR="00000000" w:rsidRDefault="00000000">
            <w:pPr>
              <w:spacing w:before="60" w:line="240" w:lineRule="auto"/>
              <w:jc w:val="center"/>
              <w:rPr>
                <w:sz w:val="18"/>
                <w:szCs w:val="22"/>
              </w:rPr>
            </w:pPr>
            <w:r>
              <w:rPr>
                <w:sz w:val="18"/>
                <w:szCs w:val="22"/>
              </w:rPr>
              <w:t>41.</w:t>
            </w:r>
          </w:p>
        </w:tc>
        <w:tc>
          <w:tcPr>
            <w:tcW w:w="4139" w:type="dxa"/>
          </w:tcPr>
          <w:p w:rsidR="00000000" w:rsidRDefault="00000000">
            <w:pPr>
              <w:spacing w:before="60" w:line="240" w:lineRule="auto"/>
              <w:rPr>
                <w:sz w:val="18"/>
                <w:szCs w:val="22"/>
              </w:rPr>
            </w:pPr>
            <w:r>
              <w:rPr>
                <w:sz w:val="18"/>
                <w:szCs w:val="22"/>
              </w:rPr>
              <w:t>Работник лаборатории клинических анализов</w:t>
            </w:r>
          </w:p>
        </w:tc>
        <w:tc>
          <w:tcPr>
            <w:tcW w:w="567" w:type="dxa"/>
          </w:tcPr>
          <w:p w:rsidR="00000000" w:rsidRDefault="00000000">
            <w:pPr>
              <w:spacing w:before="60" w:line="240" w:lineRule="auto"/>
              <w:jc w:val="center"/>
              <w:rPr>
                <w:sz w:val="18"/>
                <w:szCs w:val="22"/>
              </w:rPr>
            </w:pPr>
            <w:r>
              <w:rPr>
                <w:sz w:val="18"/>
                <w:szCs w:val="22"/>
              </w:rPr>
              <w:t>85.</w:t>
            </w:r>
          </w:p>
        </w:tc>
        <w:tc>
          <w:tcPr>
            <w:tcW w:w="4082" w:type="dxa"/>
          </w:tcPr>
          <w:p w:rsidR="00000000" w:rsidRDefault="00000000">
            <w:pPr>
              <w:spacing w:before="60" w:line="240" w:lineRule="auto"/>
              <w:rPr>
                <w:sz w:val="18"/>
                <w:szCs w:val="22"/>
              </w:rPr>
            </w:pPr>
            <w:r>
              <w:rPr>
                <w:sz w:val="18"/>
                <w:szCs w:val="22"/>
              </w:rPr>
              <w:t>Оператор доильной машины</w:t>
            </w:r>
          </w:p>
        </w:tc>
      </w:tr>
      <w:tr w:rsidR="00000000">
        <w:trPr>
          <w:cantSplit/>
        </w:trPr>
        <w:tc>
          <w:tcPr>
            <w:tcW w:w="567" w:type="dxa"/>
          </w:tcPr>
          <w:p w:rsidR="00000000" w:rsidRDefault="00000000">
            <w:pPr>
              <w:spacing w:before="60" w:line="240" w:lineRule="auto"/>
              <w:jc w:val="center"/>
              <w:rPr>
                <w:sz w:val="18"/>
                <w:szCs w:val="22"/>
              </w:rPr>
            </w:pPr>
            <w:r>
              <w:rPr>
                <w:sz w:val="18"/>
                <w:szCs w:val="22"/>
              </w:rPr>
              <w:t>42.</w:t>
            </w:r>
          </w:p>
        </w:tc>
        <w:tc>
          <w:tcPr>
            <w:tcW w:w="4139" w:type="dxa"/>
          </w:tcPr>
          <w:p w:rsidR="00000000" w:rsidRDefault="00000000">
            <w:pPr>
              <w:spacing w:before="60" w:line="240" w:lineRule="auto"/>
              <w:rPr>
                <w:sz w:val="18"/>
                <w:szCs w:val="22"/>
              </w:rPr>
            </w:pPr>
            <w:r>
              <w:rPr>
                <w:sz w:val="18"/>
                <w:szCs w:val="22"/>
              </w:rPr>
              <w:t>Линотипист</w:t>
            </w:r>
          </w:p>
        </w:tc>
        <w:tc>
          <w:tcPr>
            <w:tcW w:w="567" w:type="dxa"/>
          </w:tcPr>
          <w:p w:rsidR="00000000" w:rsidRDefault="00000000">
            <w:pPr>
              <w:spacing w:before="60" w:line="240" w:lineRule="auto"/>
              <w:jc w:val="center"/>
              <w:rPr>
                <w:sz w:val="18"/>
                <w:szCs w:val="22"/>
              </w:rPr>
            </w:pPr>
            <w:r>
              <w:rPr>
                <w:sz w:val="18"/>
                <w:szCs w:val="22"/>
              </w:rPr>
              <w:t>86.</w:t>
            </w:r>
          </w:p>
        </w:tc>
        <w:tc>
          <w:tcPr>
            <w:tcW w:w="4082" w:type="dxa"/>
          </w:tcPr>
          <w:p w:rsidR="00000000" w:rsidRDefault="00000000">
            <w:pPr>
              <w:spacing w:before="60" w:line="240" w:lineRule="auto"/>
              <w:rPr>
                <w:sz w:val="18"/>
                <w:szCs w:val="22"/>
              </w:rPr>
            </w:pPr>
            <w:r>
              <w:rPr>
                <w:sz w:val="18"/>
                <w:szCs w:val="22"/>
              </w:rPr>
              <w:t>Вахтер</w:t>
            </w:r>
          </w:p>
        </w:tc>
      </w:tr>
      <w:tr w:rsidR="00000000">
        <w:trPr>
          <w:cantSplit/>
        </w:trPr>
        <w:tc>
          <w:tcPr>
            <w:tcW w:w="567" w:type="dxa"/>
          </w:tcPr>
          <w:p w:rsidR="00000000" w:rsidRDefault="00000000">
            <w:pPr>
              <w:spacing w:before="60" w:line="240" w:lineRule="auto"/>
              <w:jc w:val="center"/>
              <w:rPr>
                <w:sz w:val="18"/>
                <w:szCs w:val="22"/>
              </w:rPr>
            </w:pPr>
            <w:r>
              <w:rPr>
                <w:sz w:val="18"/>
                <w:szCs w:val="22"/>
              </w:rPr>
              <w:t>43.</w:t>
            </w:r>
          </w:p>
        </w:tc>
        <w:tc>
          <w:tcPr>
            <w:tcW w:w="4139" w:type="dxa"/>
          </w:tcPr>
          <w:p w:rsidR="00000000" w:rsidRDefault="00000000">
            <w:pPr>
              <w:spacing w:before="60" w:line="240" w:lineRule="auto"/>
              <w:rPr>
                <w:sz w:val="18"/>
                <w:szCs w:val="22"/>
              </w:rPr>
            </w:pPr>
            <w:r>
              <w:rPr>
                <w:sz w:val="18"/>
                <w:szCs w:val="22"/>
              </w:rPr>
              <w:t>Двигателист</w:t>
            </w:r>
          </w:p>
        </w:tc>
        <w:tc>
          <w:tcPr>
            <w:tcW w:w="567" w:type="dxa"/>
          </w:tcPr>
          <w:p w:rsidR="00000000" w:rsidRDefault="00000000">
            <w:pPr>
              <w:spacing w:before="60" w:line="240" w:lineRule="auto"/>
              <w:jc w:val="center"/>
              <w:rPr>
                <w:sz w:val="18"/>
                <w:szCs w:val="22"/>
              </w:rPr>
            </w:pPr>
            <w:r>
              <w:rPr>
                <w:sz w:val="18"/>
                <w:szCs w:val="22"/>
              </w:rPr>
              <w:t>87.</w:t>
            </w:r>
          </w:p>
        </w:tc>
        <w:tc>
          <w:tcPr>
            <w:tcW w:w="4082" w:type="dxa"/>
          </w:tcPr>
          <w:p w:rsidR="00000000" w:rsidRDefault="00000000">
            <w:pPr>
              <w:spacing w:before="60" w:line="240" w:lineRule="auto"/>
              <w:rPr>
                <w:sz w:val="18"/>
                <w:szCs w:val="22"/>
              </w:rPr>
            </w:pPr>
            <w:r>
              <w:rPr>
                <w:sz w:val="18"/>
                <w:szCs w:val="22"/>
              </w:rPr>
              <w:t>Коммивояжер</w:t>
            </w:r>
          </w:p>
        </w:tc>
      </w:tr>
      <w:tr w:rsidR="00000000">
        <w:trPr>
          <w:cantSplit/>
        </w:trPr>
        <w:tc>
          <w:tcPr>
            <w:tcW w:w="567" w:type="dxa"/>
          </w:tcPr>
          <w:p w:rsidR="00000000" w:rsidRDefault="00000000">
            <w:pPr>
              <w:spacing w:before="60" w:line="240" w:lineRule="auto"/>
              <w:jc w:val="center"/>
              <w:rPr>
                <w:sz w:val="18"/>
                <w:szCs w:val="22"/>
              </w:rPr>
            </w:pPr>
            <w:r>
              <w:rPr>
                <w:sz w:val="18"/>
                <w:szCs w:val="22"/>
              </w:rPr>
              <w:t>44.</w:t>
            </w:r>
          </w:p>
        </w:tc>
        <w:tc>
          <w:tcPr>
            <w:tcW w:w="4139" w:type="dxa"/>
          </w:tcPr>
          <w:p w:rsidR="00000000" w:rsidRDefault="00000000">
            <w:pPr>
              <w:spacing w:before="60" w:line="240" w:lineRule="auto"/>
              <w:rPr>
                <w:sz w:val="18"/>
                <w:szCs w:val="22"/>
              </w:rPr>
            </w:pPr>
            <w:r>
              <w:rPr>
                <w:sz w:val="18"/>
                <w:szCs w:val="22"/>
              </w:rPr>
              <w:t>Учитель частной и начальной школы</w:t>
            </w:r>
          </w:p>
        </w:tc>
        <w:tc>
          <w:tcPr>
            <w:tcW w:w="567" w:type="dxa"/>
          </w:tcPr>
          <w:p w:rsidR="00000000" w:rsidRDefault="00000000">
            <w:pPr>
              <w:spacing w:before="60" w:line="240" w:lineRule="auto"/>
              <w:jc w:val="center"/>
              <w:rPr>
                <w:sz w:val="18"/>
                <w:szCs w:val="22"/>
              </w:rPr>
            </w:pPr>
            <w:r>
              <w:rPr>
                <w:sz w:val="18"/>
                <w:szCs w:val="22"/>
              </w:rPr>
              <w:t>88.</w:t>
            </w:r>
          </w:p>
        </w:tc>
        <w:tc>
          <w:tcPr>
            <w:tcW w:w="4082" w:type="dxa"/>
          </w:tcPr>
          <w:p w:rsidR="00000000" w:rsidRDefault="00000000">
            <w:pPr>
              <w:spacing w:before="60" w:line="240" w:lineRule="auto"/>
              <w:rPr>
                <w:sz w:val="18"/>
                <w:szCs w:val="22"/>
              </w:rPr>
            </w:pPr>
            <w:r>
              <w:rPr>
                <w:sz w:val="18"/>
                <w:szCs w:val="22"/>
              </w:rPr>
              <w:t>Сапожник</w:t>
            </w:r>
          </w:p>
        </w:tc>
      </w:tr>
    </w:tbl>
    <w:p w:rsidR="00000000" w:rsidRDefault="00000000"/>
    <w:p w:rsidR="00000000" w:rsidRDefault="00000000">
      <w:r>
        <w:t>197.</w:t>
      </w:r>
      <w:r>
        <w:tab/>
        <w:t>Что касается числа лиц, получающих минимальную заработную плату в частном формальном секторе экономики, то по состоянию на май 2004 года из 11 570 000 трудящихся, отчисляющих взносы в Мексиканский институт социального обеспечения (МИСО), минимальную заработную плату получали 7,9% трудящихся, или 913 741 человек.  Оплата труда 30,2% трудящихся колебалась в размере от одной до двух минимальных заработных плат, а у 61,8% трудящихся она составляла более двух минимальных зарплат.</w:t>
      </w:r>
    </w:p>
    <w:p w:rsidR="00000000" w:rsidRDefault="00000000"/>
    <w:p w:rsidR="00000000" w:rsidRDefault="00000000">
      <w:r>
        <w:t>198.</w:t>
      </w:r>
      <w:r>
        <w:tab/>
        <w:t>В связи с вопросом о том, существуют ли в стране работающие по найму лица, которые не пользуются защитой в рамках вышеописанной системы минимальной заработной платы де-юре или де-факто, следует отметить, что в статье 1 Политической конституции Мексиканских Соединенных Штатов устанавливается следующее:</w:t>
      </w:r>
    </w:p>
    <w:p w:rsidR="00000000" w:rsidRDefault="00000000"/>
    <w:p w:rsidR="00000000" w:rsidRDefault="00000000">
      <w:pPr>
        <w:ind w:left="567" w:hanging="567"/>
      </w:pPr>
      <w:r>
        <w:tab/>
        <w:t>"В Мексиканских Соединенных Штатах каждый человек пользуется правами, которые предоставляет настоящая Конституция;  эти права не могут ограничиваться, и действие их не может приостанавливаться, иначе как в случаях и при условиях, установленных настоящей Конституцией".</w:t>
      </w:r>
    </w:p>
    <w:p w:rsidR="00000000" w:rsidRDefault="00000000"/>
    <w:p w:rsidR="00000000" w:rsidRDefault="00000000">
      <w:r>
        <w:br w:type="page"/>
        <w:t>199.</w:t>
      </w:r>
      <w:r>
        <w:tab/>
        <w:t>Кроме того, в статье 123 Конституции говорится следующее:</w:t>
      </w:r>
    </w:p>
    <w:p w:rsidR="00000000" w:rsidRDefault="00000000"/>
    <w:p w:rsidR="00000000" w:rsidRDefault="00000000">
      <w:pPr>
        <w:ind w:left="567" w:hanging="567"/>
      </w:pPr>
      <w:r>
        <w:tab/>
        <w:t>"Каждый человек имеет право на достойный и социально полезный труд;  в этой связи принимаются меры по созданию рабочих мест и совершенствованию социальной организации труда в соответствии с законом".</w:t>
      </w:r>
    </w:p>
    <w:p w:rsidR="00000000" w:rsidRDefault="00000000"/>
    <w:p w:rsidR="00000000" w:rsidRDefault="00000000">
      <w:r>
        <w:t>200.</w:t>
      </w:r>
      <w:r>
        <w:tab/>
        <w:t>В той же статье Конституции предусматривается следующее:</w:t>
      </w:r>
    </w:p>
    <w:p w:rsidR="00000000" w:rsidRDefault="00000000"/>
    <w:p w:rsidR="00000000" w:rsidRDefault="00000000">
      <w:pPr>
        <w:ind w:left="567" w:hanging="567"/>
      </w:pPr>
      <w:r>
        <w:tab/>
        <w:t xml:space="preserve">Федеральный конгресс без ущерба для соответствующих базовых принципов должен издавать законы в сфере труда:  </w:t>
      </w:r>
    </w:p>
    <w:p w:rsidR="00000000" w:rsidRDefault="00000000"/>
    <w:p w:rsidR="00000000" w:rsidRDefault="00000000">
      <w:pPr>
        <w:ind w:left="1134" w:hanging="1134"/>
      </w:pPr>
      <w:r>
        <w:tab/>
        <w:t>А.</w:t>
      </w:r>
      <w:r>
        <w:tab/>
        <w:t>Регулирующие отношения между рабочими, сельскохозяйственными поденными работниками, домашней прислугой, ремесленниками и представителями любых других профессий и работодателями на основе трудовых соглашений:</w:t>
      </w:r>
    </w:p>
    <w:p w:rsidR="00000000" w:rsidRDefault="00000000"/>
    <w:p w:rsidR="00000000" w:rsidRDefault="00000000">
      <w:pPr>
        <w:ind w:left="1701" w:hanging="1701"/>
      </w:pPr>
      <w:r>
        <w:tab/>
      </w:r>
      <w:r>
        <w:tab/>
        <w:t>VII.</w:t>
      </w:r>
      <w:r>
        <w:tab/>
        <w:t>За равный труд выплачивается равное вознаграждение независимо от пола или гражданства работника.</w:t>
      </w:r>
    </w:p>
    <w:p w:rsidR="00000000" w:rsidRDefault="00000000"/>
    <w:p w:rsidR="00000000" w:rsidRDefault="00000000">
      <w:pPr>
        <w:ind w:left="1701" w:hanging="1701"/>
      </w:pPr>
      <w:r>
        <w:tab/>
      </w:r>
      <w:r>
        <w:tab/>
        <w:t>VIII.</w:t>
      </w:r>
      <w:r>
        <w:tab/>
        <w:t>Минимальная заработная плата выплачивается в любых случаях и не подлежит вычетам или сокращению.</w:t>
      </w:r>
    </w:p>
    <w:p w:rsidR="00000000" w:rsidRDefault="00000000"/>
    <w:p w:rsidR="00000000" w:rsidRDefault="00000000">
      <w:pPr>
        <w:ind w:left="1134" w:hanging="1134"/>
      </w:pPr>
      <w:r>
        <w:tab/>
        <w:t>В.</w:t>
      </w:r>
      <w:r>
        <w:tab/>
        <w:t>В рамках отношений между федеральной властью, правительством Федерального округа и трудящимися:</w:t>
      </w:r>
    </w:p>
    <w:p w:rsidR="00000000" w:rsidRDefault="00000000"/>
    <w:p w:rsidR="00000000" w:rsidRDefault="00000000">
      <w:pPr>
        <w:ind w:left="1701" w:hanging="1701"/>
      </w:pPr>
      <w:r>
        <w:tab/>
      </w:r>
      <w:r>
        <w:tab/>
        <w:t>IV.</w:t>
      </w:r>
      <w:r>
        <w:tab/>
        <w:t>Размеры заработной платы определяются в соответствующих бюджетах, при этом на период действия соответствующих соглашений размеры заработной платы не подлежат сокращению.</w:t>
      </w:r>
    </w:p>
    <w:p w:rsidR="00000000" w:rsidRDefault="00000000"/>
    <w:p w:rsidR="00000000" w:rsidRDefault="00000000">
      <w:r>
        <w:t>201.</w:t>
      </w:r>
      <w:r>
        <w:tab/>
        <w:t>Заработная плата трудящихся Федерального округа и остальных административно-территориальных образований Мексики не может быть ниже предусмотренного законом минимума.</w:t>
      </w:r>
    </w:p>
    <w:p w:rsidR="00000000" w:rsidRDefault="00000000"/>
    <w:p w:rsidR="00000000" w:rsidRDefault="00000000">
      <w:r>
        <w:t>202.</w:t>
      </w:r>
      <w:r>
        <w:tab/>
        <w:t>Нормы, касающиеся размера минимальной заработной платы, приобретают характер закона после того, как уполномоченный в соответствии с законом орган по установлению минимальной заработной платы (КОНАСИМИ) выносит соответствующее решение с соблюдением всех формальностей и процедур, предусмотренных в статьях 570-574 федерального закона о труде.</w:t>
      </w:r>
    </w:p>
    <w:p w:rsidR="00000000" w:rsidRDefault="00000000"/>
    <w:p w:rsidR="00000000" w:rsidRDefault="00000000">
      <w:r>
        <w:t>203.</w:t>
      </w:r>
      <w:r>
        <w:tab/>
        <w:t>Кроме того, процедура установления и пересмотра заработной платы при участии представителей производительных секторов позволяет обеспечить ее стабильную покупательную способность.</w:t>
      </w:r>
    </w:p>
    <w:p w:rsidR="00000000" w:rsidRDefault="00000000">
      <w:pPr>
        <w:spacing w:line="240" w:lineRule="auto"/>
      </w:pPr>
    </w:p>
    <w:p w:rsidR="00000000" w:rsidRDefault="00000000">
      <w:r>
        <w:t>204.</w:t>
      </w:r>
      <w:r>
        <w:tab/>
        <w:t>Статьи 507 и 571 вышеупомянутого закона гласят, что при установлении размера минимальной заработной платы трудящиеся и работодатели представляют в Национальную комиссию по минимальной заработной плате необходимые, по их мнению, экономические исследования, которые рассматриваются Советом представителей КОНАСИМИ в рамках указанной процедуры.</w:t>
      </w:r>
    </w:p>
    <w:p w:rsidR="00000000" w:rsidRDefault="00000000"/>
    <w:p w:rsidR="00000000" w:rsidRDefault="00000000">
      <w:r>
        <w:t>205.</w:t>
      </w:r>
      <w:r>
        <w:tab/>
        <w:t>Дополнительная информация по этому вопросу производится в связи с пунктом 2 а) статьи 7.</w:t>
      </w:r>
    </w:p>
    <w:p w:rsidR="00000000" w:rsidRDefault="00000000">
      <w:pPr>
        <w:spacing w:line="240" w:lineRule="auto"/>
      </w:pPr>
    </w:p>
    <w:p w:rsidR="00000000" w:rsidRDefault="00000000">
      <w:r>
        <w:t>206.</w:t>
      </w:r>
      <w:r>
        <w:tab/>
        <w:t>Как уже отмечалось выше, определение размеров минимальной заработной платы вменяется в обязанность КОНАСИМИ, которая проводит необходимые исследования для целей вынесения рекомендаций о размерах общей и профессиональной минимальной заработной платы и представляет их на рассмотрение своего Совета представителей, который выносит решение о соответствующих изменениях минимальной заработной платы.  В исследованиях, которые проводятся техническим управлением КОНАСИМИ, обеспечивается не только сбалансированность основных ценовых показателей национальной экономики и учитывается их воздействие на покупательную способность минимальной заработной платы, но и анализируются, в частности, показатели, касающиеся производства, государственных финансов, валютно-финансовой политики, торгового баланса, рынка нефтеперерабатывающей промышленности, туризма, иностранных инвестиций, внешней задолженности, внешнеторговых отношений, международного экономического положения, производительности труда, занятости, заработной платы, переговоров с целью заключения трудовых соглашений и программ содействия занятости и организации профессионально-технической подготовки.  На основе этих исследований Совет представителей решает вопрос о возможном пересмотре и/или установлении размеров заработной платы.</w:t>
      </w:r>
    </w:p>
    <w:p w:rsidR="00000000" w:rsidRDefault="00000000"/>
    <w:p w:rsidR="00000000" w:rsidRDefault="00000000">
      <w:r>
        <w:t>207.</w:t>
      </w:r>
      <w:r>
        <w:tab/>
        <w:t>В этой связи Совет представителей принимает во внимание вышеупомянутые показатели, в том числе касающиеся экономической ситуации в стране и разработанных мер по осуществлению экономических стратегий, а также меры, которые намеревается осуществлять сам Совет.  Кроме того, при определении размеров минимальной заработной платы Совет учитывает, среди прочего, прогнозируемый уровень инфляции на следующий год, что позволяет, в частности, предотвращать или сводить к минимуму снижение покупательной способности заработной платы.</w:t>
      </w:r>
    </w:p>
    <w:p w:rsidR="00000000" w:rsidRDefault="00000000"/>
    <w:p w:rsidR="00000000" w:rsidRDefault="00000000">
      <w:r>
        <w:t>208.</w:t>
      </w:r>
      <w:r>
        <w:tab/>
        <w:t>В соответствии с пунктом VI статьи 123 Конституции и статьями 570-574 федерального закона о труде предусматривается следующая процедура установления и пересмотра заработной платы.</w:t>
      </w:r>
    </w:p>
    <w:p w:rsidR="00000000" w:rsidRDefault="00000000"/>
    <w:p w:rsidR="00000000" w:rsidRDefault="00000000">
      <w:r>
        <w:t>209.</w:t>
      </w:r>
      <w:r>
        <w:tab/>
        <w:t>В процессе установления размеров минимальной заработной платы трудящиеся и работодатели могут представлять в КОНАСИМИ необходимые, по их мнению, экономические исследования, которые рассматриваются Советом представителей Комиссии в рамках указанной процедуры.</w:t>
      </w:r>
    </w:p>
    <w:p w:rsidR="00000000" w:rsidRDefault="00000000"/>
    <w:p w:rsidR="00000000" w:rsidRDefault="00000000">
      <w:r>
        <w:t>210.</w:t>
      </w:r>
      <w:r>
        <w:tab/>
        <w:t>Техническое управление Комиссии представляет на рассмотрение Совета представителей не позднее конца ноября каждого года доклад в соответствии с пунктом V статьи 562 федерального закона о труде, в котором содержится информация о движении цен и его последствиях для покупательной способности минимальной заработной платы, а также о наиболее важных изменениях в национальной экономике.  Кроме того, подготавливается доклад об исследованиях и обзорах, представленных трудящимися и работодателями.</w:t>
      </w:r>
    </w:p>
    <w:p w:rsidR="00000000" w:rsidRDefault="00000000"/>
    <w:p w:rsidR="00000000" w:rsidRDefault="00000000">
      <w:r>
        <w:t>211.</w:t>
      </w:r>
      <w:r>
        <w:tab/>
        <w:t>По рассмотрении доклада технического управления и представленных трудящимися и работодателями исследований Совет представителей выносит не позднее последнего рабочего дня вышеуказанного месяца решение, в котором фиксируются размеры общей и профессиональной заработной платы и определяется уровень участия местных органов власти в осуществлении мер по применению новых тарифов заработной платы.</w:t>
      </w:r>
    </w:p>
    <w:p w:rsidR="00000000" w:rsidRDefault="00000000"/>
    <w:p w:rsidR="00000000" w:rsidRDefault="00000000">
      <w:r>
        <w:t>212.</w:t>
      </w:r>
      <w:r>
        <w:tab/>
        <w:t>Председатель Национальной комиссии не позднее 31 декабря каждого года выносит распоряжение о публикации решения об установлении размеров минимальной заработной платы в "Федеральном официальном вестнике".</w:t>
      </w:r>
    </w:p>
    <w:p w:rsidR="00000000" w:rsidRDefault="00000000"/>
    <w:p w:rsidR="00000000" w:rsidRDefault="00000000">
      <w:r>
        <w:t>213.</w:t>
      </w:r>
      <w:r>
        <w:tab/>
        <w:t xml:space="preserve">Кроме того, согласно ФЗТ, размеры минимальной заработной платы могут быть пересмотрены в любой момент их действия при возникновении экономических обстоятельств, оправдывающих такой пересмотр.  </w:t>
      </w:r>
    </w:p>
    <w:p w:rsidR="00000000" w:rsidRDefault="00000000">
      <w:pPr>
        <w:spacing w:line="240" w:lineRule="auto"/>
      </w:pPr>
    </w:p>
    <w:p w:rsidR="00000000" w:rsidRDefault="00000000">
      <w:pPr>
        <w:spacing w:line="240" w:lineRule="auto"/>
      </w:pPr>
      <w:r>
        <w:t>214.</w:t>
      </w:r>
      <w:r>
        <w:tab/>
        <w:t>См. дополнительную информацию в связи с пунктом 2 а) статьи 7.</w:t>
      </w:r>
    </w:p>
    <w:p w:rsidR="00000000" w:rsidRDefault="00000000"/>
    <w:p w:rsidR="00000000" w:rsidRDefault="00000000">
      <w:r>
        <w:t>215.</w:t>
      </w:r>
      <w:r>
        <w:tab/>
        <w:t>Следует также отметить, что обязанность по наблюдению за соблюдением трудовых норм, касающихся, в частности, минимальной заработной платы, возлагается на различные структуры в трудовой сфере, которая, опираясь на институциональные механизмы административных органов, или на механизмы, созданные по инициативе сторон, выносят соответствующие вопросы на рассмотрение компетентных арбитражных органов:  МТСО, служб по вопросам труда общенационального уровня, федеральных</w:t>
      </w:r>
    </w:p>
    <w:p w:rsidR="00000000" w:rsidRDefault="00000000">
      <w:r>
        <w:br w:type="page"/>
        <w:t>советов по примирению и арбитражу, местных советов по примирению и арбитражу, федерального суда по примирению и арбитражу и местного суда по примирению и арбитражу.</w:t>
      </w:r>
    </w:p>
    <w:p w:rsidR="00000000" w:rsidRDefault="00000000"/>
    <w:p w:rsidR="00000000" w:rsidRDefault="00000000">
      <w:r>
        <w:t>216.</w:t>
      </w:r>
      <w:r>
        <w:tab/>
        <w:t>В реальном исчислении размеры общей минимальной заработной платы не претерпели существенных изменений за период с 1981 года.  В последние годы наблюдалась незначительное замедление темпов снижения их покупательной способности, а в период 1998, 2000 и 2001 годов имело место незначительное увеличение уровня покупательной способности заработной платы - 0,7%, 0,8% и 0,5% соответственно.  За период 2002 года средний уровень минимальной заработной платы вырос на 0,7%, а за 2003 год - на 0,26%.  За первые пять месяцев 2004 года реальное увеличение среднего уровня общей минимальной заработной платы составило 2,7%.  Таким образом, за 42 месяца нахождения у власти нынешней администрации (по состоянию на середину 2004 года) реальная минимальная заработная плата увеличилась на 4,7%, что соответствует намерениям правительства содействовать повышению уровня покупательной способности минимальной заработной платы.</w:t>
      </w:r>
    </w:p>
    <w:p w:rsidR="00000000" w:rsidRDefault="00000000">
      <w:pPr>
        <w:spacing w:line="240" w:lineRule="auto"/>
      </w:pPr>
    </w:p>
    <w:p w:rsidR="00000000" w:rsidRDefault="00000000">
      <w:pPr>
        <w:spacing w:line="240" w:lineRule="auto"/>
        <w:jc w:val="center"/>
        <w:rPr>
          <w:b/>
          <w:bCs/>
        </w:rPr>
      </w:pPr>
      <w:r>
        <w:rPr>
          <w:b/>
          <w:bCs/>
        </w:rPr>
        <w:t>Динамика минимальной заработной платы</w:t>
      </w:r>
    </w:p>
    <w:p w:rsidR="00000000" w:rsidRDefault="00000000">
      <w:pPr>
        <w:spacing w:line="240" w:lineRule="auto"/>
        <w:jc w:val="center"/>
        <w:rPr>
          <w:b/>
          <w:bCs/>
        </w:rPr>
      </w:pPr>
    </w:p>
    <w:tbl>
      <w:tblPr>
        <w:tblW w:w="0" w:type="auto"/>
        <w:jc w:val="center"/>
        <w:tblInd w:w="329" w:type="dxa"/>
        <w:tblLook w:val="01E0" w:firstRow="1" w:lastRow="1" w:firstColumn="1" w:lastColumn="1" w:noHBand="0" w:noVBand="0"/>
      </w:tblPr>
      <w:tblGrid>
        <w:gridCol w:w="1643"/>
        <w:gridCol w:w="2150"/>
        <w:gridCol w:w="2797"/>
        <w:gridCol w:w="2647"/>
      </w:tblGrid>
      <w:tr w:rsidR="00000000">
        <w:trPr>
          <w:tblHeader/>
          <w:jc w:val="center"/>
        </w:trPr>
        <w:tc>
          <w:tcPr>
            <w:tcW w:w="1643" w:type="dxa"/>
            <w:tcBorders>
              <w:top w:val="single" w:sz="4" w:space="0" w:color="auto"/>
              <w:bottom w:val="single" w:sz="4" w:space="0" w:color="auto"/>
            </w:tcBorders>
            <w:vAlign w:val="center"/>
          </w:tcPr>
          <w:p w:rsidR="00000000" w:rsidRDefault="00000000">
            <w:pPr>
              <w:keepNext/>
              <w:spacing w:before="40" w:line="216" w:lineRule="auto"/>
              <w:jc w:val="center"/>
              <w:rPr>
                <w:i/>
                <w:iCs/>
                <w:sz w:val="20"/>
                <w:szCs w:val="22"/>
              </w:rPr>
            </w:pPr>
            <w:r>
              <w:rPr>
                <w:i/>
                <w:iCs/>
                <w:sz w:val="20"/>
                <w:szCs w:val="22"/>
              </w:rPr>
              <w:t>Год</w:t>
            </w:r>
          </w:p>
        </w:tc>
        <w:tc>
          <w:tcPr>
            <w:tcW w:w="2150" w:type="dxa"/>
            <w:tcBorders>
              <w:top w:val="single" w:sz="4" w:space="0" w:color="auto"/>
              <w:bottom w:val="single" w:sz="4" w:space="0" w:color="auto"/>
            </w:tcBorders>
            <w:vAlign w:val="center"/>
          </w:tcPr>
          <w:p w:rsidR="00000000" w:rsidRDefault="00000000">
            <w:pPr>
              <w:keepNext/>
              <w:spacing w:before="40" w:line="216" w:lineRule="auto"/>
              <w:jc w:val="center"/>
              <w:rPr>
                <w:i/>
                <w:iCs/>
                <w:sz w:val="20"/>
                <w:szCs w:val="22"/>
              </w:rPr>
            </w:pPr>
            <w:r>
              <w:rPr>
                <w:i/>
                <w:iCs/>
                <w:sz w:val="20"/>
                <w:szCs w:val="22"/>
              </w:rPr>
              <w:t>Минимальная заработная плата (песо в день)</w:t>
            </w:r>
            <w:r>
              <w:rPr>
                <w:b/>
                <w:bCs/>
                <w:i/>
                <w:iCs/>
                <w:sz w:val="20"/>
                <w:szCs w:val="22"/>
                <w:vertAlign w:val="superscript"/>
              </w:rPr>
              <w:t>1</w:t>
            </w:r>
          </w:p>
        </w:tc>
        <w:tc>
          <w:tcPr>
            <w:tcW w:w="2797" w:type="dxa"/>
            <w:tcBorders>
              <w:top w:val="single" w:sz="4" w:space="0" w:color="auto"/>
              <w:bottom w:val="single" w:sz="4" w:space="0" w:color="auto"/>
            </w:tcBorders>
            <w:vAlign w:val="center"/>
          </w:tcPr>
          <w:p w:rsidR="00000000" w:rsidRDefault="00000000">
            <w:pPr>
              <w:keepNext/>
              <w:spacing w:before="40" w:line="216" w:lineRule="auto"/>
              <w:jc w:val="center"/>
              <w:rPr>
                <w:i/>
                <w:iCs/>
                <w:sz w:val="20"/>
                <w:szCs w:val="22"/>
              </w:rPr>
            </w:pPr>
            <w:r>
              <w:rPr>
                <w:i/>
                <w:iCs/>
                <w:sz w:val="20"/>
                <w:szCs w:val="22"/>
              </w:rPr>
              <w:t>Национальный индекс потребительских цен</w:t>
            </w:r>
          </w:p>
          <w:p w:rsidR="00000000" w:rsidRDefault="00000000">
            <w:pPr>
              <w:keepNext/>
              <w:spacing w:before="40" w:line="216" w:lineRule="auto"/>
              <w:jc w:val="center"/>
              <w:rPr>
                <w:i/>
                <w:iCs/>
                <w:sz w:val="20"/>
                <w:szCs w:val="22"/>
              </w:rPr>
            </w:pPr>
            <w:r>
              <w:rPr>
                <w:i/>
                <w:iCs/>
                <w:sz w:val="20"/>
                <w:szCs w:val="22"/>
              </w:rPr>
              <w:t>(страта I)</w:t>
            </w:r>
            <w:r>
              <w:rPr>
                <w:b/>
                <w:bCs/>
                <w:i/>
                <w:iCs/>
                <w:sz w:val="20"/>
                <w:szCs w:val="22"/>
                <w:vertAlign w:val="superscript"/>
              </w:rPr>
              <w:t>2</w:t>
            </w:r>
          </w:p>
        </w:tc>
        <w:tc>
          <w:tcPr>
            <w:tcW w:w="2647" w:type="dxa"/>
            <w:tcBorders>
              <w:top w:val="single" w:sz="4" w:space="0" w:color="auto"/>
              <w:bottom w:val="single" w:sz="4" w:space="0" w:color="auto"/>
            </w:tcBorders>
            <w:vAlign w:val="center"/>
          </w:tcPr>
          <w:p w:rsidR="00000000" w:rsidRDefault="00000000">
            <w:pPr>
              <w:keepNext/>
              <w:spacing w:before="40" w:line="216" w:lineRule="auto"/>
              <w:jc w:val="center"/>
              <w:rPr>
                <w:i/>
                <w:iCs/>
                <w:sz w:val="20"/>
                <w:szCs w:val="22"/>
              </w:rPr>
            </w:pPr>
            <w:r>
              <w:rPr>
                <w:i/>
                <w:iCs/>
                <w:sz w:val="20"/>
                <w:szCs w:val="22"/>
              </w:rPr>
              <w:t>Реальная минимальная заработная плата</w:t>
            </w:r>
          </w:p>
          <w:p w:rsidR="00000000" w:rsidRDefault="00000000">
            <w:pPr>
              <w:keepNext/>
              <w:spacing w:before="40" w:line="216" w:lineRule="auto"/>
              <w:jc w:val="center"/>
              <w:rPr>
                <w:i/>
                <w:iCs/>
                <w:sz w:val="20"/>
                <w:szCs w:val="22"/>
              </w:rPr>
            </w:pPr>
            <w:r>
              <w:rPr>
                <w:i/>
                <w:iCs/>
                <w:sz w:val="20"/>
                <w:szCs w:val="22"/>
              </w:rPr>
              <w:t>(в ценах 1994 года)</w:t>
            </w:r>
          </w:p>
        </w:tc>
      </w:tr>
      <w:tr w:rsidR="00000000">
        <w:trPr>
          <w:jc w:val="center"/>
        </w:trPr>
        <w:tc>
          <w:tcPr>
            <w:tcW w:w="1643" w:type="dxa"/>
            <w:tcBorders>
              <w:top w:val="single" w:sz="4" w:space="0" w:color="auto"/>
            </w:tcBorders>
          </w:tcPr>
          <w:p w:rsidR="00000000" w:rsidRDefault="00000000">
            <w:pPr>
              <w:keepNext/>
              <w:spacing w:before="40" w:line="216" w:lineRule="auto"/>
              <w:jc w:val="center"/>
              <w:rPr>
                <w:sz w:val="20"/>
                <w:szCs w:val="22"/>
              </w:rPr>
            </w:pPr>
            <w:r>
              <w:rPr>
                <w:sz w:val="20"/>
                <w:szCs w:val="22"/>
              </w:rPr>
              <w:t>1994</w:t>
            </w:r>
          </w:p>
        </w:tc>
        <w:tc>
          <w:tcPr>
            <w:tcW w:w="2150" w:type="dxa"/>
            <w:tcBorders>
              <w:top w:val="single" w:sz="4" w:space="0" w:color="auto"/>
            </w:tcBorders>
          </w:tcPr>
          <w:p w:rsidR="00000000" w:rsidRDefault="00000000">
            <w:pPr>
              <w:keepNext/>
              <w:spacing w:before="40" w:line="216" w:lineRule="auto"/>
              <w:jc w:val="center"/>
              <w:rPr>
                <w:sz w:val="20"/>
                <w:szCs w:val="22"/>
              </w:rPr>
            </w:pPr>
            <w:r>
              <w:rPr>
                <w:sz w:val="20"/>
                <w:szCs w:val="22"/>
              </w:rPr>
              <w:t>13,970</w:t>
            </w:r>
          </w:p>
        </w:tc>
        <w:tc>
          <w:tcPr>
            <w:tcW w:w="2797" w:type="dxa"/>
            <w:tcBorders>
              <w:top w:val="single" w:sz="4" w:space="0" w:color="auto"/>
            </w:tcBorders>
          </w:tcPr>
          <w:p w:rsidR="00000000" w:rsidRDefault="00000000">
            <w:pPr>
              <w:keepNext/>
              <w:tabs>
                <w:tab w:val="decimal" w:pos="352"/>
              </w:tabs>
              <w:spacing w:before="40" w:line="216" w:lineRule="auto"/>
              <w:jc w:val="center"/>
              <w:rPr>
                <w:sz w:val="20"/>
                <w:szCs w:val="22"/>
              </w:rPr>
            </w:pPr>
            <w:r>
              <w:rPr>
                <w:sz w:val="20"/>
                <w:szCs w:val="22"/>
              </w:rPr>
              <w:t>100,0</w:t>
            </w:r>
          </w:p>
        </w:tc>
        <w:tc>
          <w:tcPr>
            <w:tcW w:w="2647" w:type="dxa"/>
            <w:tcBorders>
              <w:top w:val="single" w:sz="4" w:space="0" w:color="auto"/>
            </w:tcBorders>
          </w:tcPr>
          <w:p w:rsidR="00000000" w:rsidRDefault="00000000">
            <w:pPr>
              <w:keepNext/>
              <w:tabs>
                <w:tab w:val="decimal" w:pos="297"/>
              </w:tabs>
              <w:spacing w:before="40" w:line="216" w:lineRule="auto"/>
              <w:jc w:val="center"/>
              <w:rPr>
                <w:sz w:val="20"/>
                <w:szCs w:val="22"/>
              </w:rPr>
            </w:pPr>
            <w:r>
              <w:rPr>
                <w:sz w:val="20"/>
                <w:szCs w:val="22"/>
              </w:rPr>
              <w:t>13,97</w:t>
            </w:r>
          </w:p>
        </w:tc>
      </w:tr>
      <w:tr w:rsidR="00000000">
        <w:trPr>
          <w:jc w:val="center"/>
        </w:trPr>
        <w:tc>
          <w:tcPr>
            <w:tcW w:w="1643" w:type="dxa"/>
          </w:tcPr>
          <w:p w:rsidR="00000000" w:rsidRDefault="00000000">
            <w:pPr>
              <w:keepNext/>
              <w:spacing w:before="40" w:line="216" w:lineRule="auto"/>
              <w:jc w:val="center"/>
              <w:rPr>
                <w:sz w:val="20"/>
                <w:szCs w:val="22"/>
              </w:rPr>
            </w:pPr>
            <w:r>
              <w:rPr>
                <w:sz w:val="20"/>
                <w:szCs w:val="22"/>
              </w:rPr>
              <w:t>1995</w:t>
            </w:r>
          </w:p>
        </w:tc>
        <w:tc>
          <w:tcPr>
            <w:tcW w:w="2150" w:type="dxa"/>
          </w:tcPr>
          <w:p w:rsidR="00000000" w:rsidRDefault="00000000">
            <w:pPr>
              <w:keepNext/>
              <w:spacing w:before="40" w:line="216" w:lineRule="auto"/>
              <w:jc w:val="center"/>
              <w:rPr>
                <w:sz w:val="20"/>
                <w:szCs w:val="22"/>
              </w:rPr>
            </w:pPr>
            <w:r>
              <w:rPr>
                <w:sz w:val="20"/>
                <w:szCs w:val="22"/>
              </w:rPr>
              <w:t>16,428</w:t>
            </w:r>
          </w:p>
        </w:tc>
        <w:tc>
          <w:tcPr>
            <w:tcW w:w="2797" w:type="dxa"/>
          </w:tcPr>
          <w:p w:rsidR="00000000" w:rsidRDefault="00000000">
            <w:pPr>
              <w:keepNext/>
              <w:tabs>
                <w:tab w:val="decimal" w:pos="352"/>
              </w:tabs>
              <w:spacing w:before="40" w:line="216" w:lineRule="auto"/>
              <w:jc w:val="center"/>
              <w:rPr>
                <w:sz w:val="20"/>
                <w:szCs w:val="22"/>
              </w:rPr>
            </w:pPr>
            <w:r>
              <w:rPr>
                <w:sz w:val="20"/>
                <w:szCs w:val="22"/>
              </w:rPr>
              <w:t>137,1</w:t>
            </w:r>
          </w:p>
        </w:tc>
        <w:tc>
          <w:tcPr>
            <w:tcW w:w="2647" w:type="dxa"/>
          </w:tcPr>
          <w:p w:rsidR="00000000" w:rsidRDefault="00000000">
            <w:pPr>
              <w:keepNext/>
              <w:tabs>
                <w:tab w:val="decimal" w:pos="297"/>
              </w:tabs>
              <w:spacing w:before="40" w:line="216" w:lineRule="auto"/>
              <w:jc w:val="center"/>
              <w:rPr>
                <w:sz w:val="20"/>
                <w:szCs w:val="22"/>
              </w:rPr>
            </w:pPr>
            <w:r>
              <w:rPr>
                <w:sz w:val="20"/>
                <w:szCs w:val="22"/>
              </w:rPr>
              <w:t>12,08</w:t>
            </w:r>
          </w:p>
        </w:tc>
      </w:tr>
      <w:tr w:rsidR="00000000">
        <w:trPr>
          <w:jc w:val="center"/>
        </w:trPr>
        <w:tc>
          <w:tcPr>
            <w:tcW w:w="1643" w:type="dxa"/>
          </w:tcPr>
          <w:p w:rsidR="00000000" w:rsidRDefault="00000000">
            <w:pPr>
              <w:keepNext/>
              <w:spacing w:before="40" w:line="216" w:lineRule="auto"/>
              <w:jc w:val="center"/>
              <w:rPr>
                <w:sz w:val="20"/>
                <w:szCs w:val="22"/>
              </w:rPr>
            </w:pPr>
            <w:r>
              <w:rPr>
                <w:sz w:val="20"/>
                <w:szCs w:val="22"/>
              </w:rPr>
              <w:t>1996</w:t>
            </w:r>
          </w:p>
        </w:tc>
        <w:tc>
          <w:tcPr>
            <w:tcW w:w="2150" w:type="dxa"/>
          </w:tcPr>
          <w:p w:rsidR="00000000" w:rsidRDefault="00000000">
            <w:pPr>
              <w:keepNext/>
              <w:spacing w:before="40" w:line="216" w:lineRule="auto"/>
              <w:jc w:val="center"/>
              <w:rPr>
                <w:sz w:val="20"/>
                <w:szCs w:val="22"/>
              </w:rPr>
            </w:pPr>
            <w:r>
              <w:rPr>
                <w:sz w:val="20"/>
                <w:szCs w:val="22"/>
              </w:rPr>
              <w:t>20,394</w:t>
            </w:r>
          </w:p>
        </w:tc>
        <w:tc>
          <w:tcPr>
            <w:tcW w:w="2797" w:type="dxa"/>
          </w:tcPr>
          <w:p w:rsidR="00000000" w:rsidRDefault="00000000">
            <w:pPr>
              <w:keepNext/>
              <w:tabs>
                <w:tab w:val="decimal" w:pos="352"/>
              </w:tabs>
              <w:spacing w:before="40" w:line="216" w:lineRule="auto"/>
              <w:jc w:val="center"/>
              <w:rPr>
                <w:sz w:val="20"/>
                <w:szCs w:val="22"/>
              </w:rPr>
            </w:pPr>
            <w:r>
              <w:rPr>
                <w:sz w:val="20"/>
                <w:szCs w:val="22"/>
              </w:rPr>
              <w:t>187,2</w:t>
            </w:r>
          </w:p>
        </w:tc>
        <w:tc>
          <w:tcPr>
            <w:tcW w:w="2647" w:type="dxa"/>
          </w:tcPr>
          <w:p w:rsidR="00000000" w:rsidRDefault="00000000">
            <w:pPr>
              <w:keepNext/>
              <w:tabs>
                <w:tab w:val="decimal" w:pos="297"/>
              </w:tabs>
              <w:spacing w:before="40" w:line="216" w:lineRule="auto"/>
              <w:jc w:val="center"/>
              <w:rPr>
                <w:sz w:val="20"/>
                <w:szCs w:val="22"/>
              </w:rPr>
            </w:pPr>
            <w:r>
              <w:rPr>
                <w:sz w:val="20"/>
                <w:szCs w:val="22"/>
              </w:rPr>
              <w:t>10,89</w:t>
            </w:r>
          </w:p>
        </w:tc>
      </w:tr>
      <w:tr w:rsidR="00000000">
        <w:trPr>
          <w:jc w:val="center"/>
        </w:trPr>
        <w:tc>
          <w:tcPr>
            <w:tcW w:w="1643" w:type="dxa"/>
          </w:tcPr>
          <w:p w:rsidR="00000000" w:rsidRDefault="00000000">
            <w:pPr>
              <w:keepNext/>
              <w:spacing w:before="40" w:line="216" w:lineRule="auto"/>
              <w:jc w:val="center"/>
              <w:rPr>
                <w:sz w:val="20"/>
                <w:szCs w:val="22"/>
              </w:rPr>
            </w:pPr>
            <w:r>
              <w:rPr>
                <w:sz w:val="20"/>
                <w:szCs w:val="22"/>
              </w:rPr>
              <w:t>1997</w:t>
            </w:r>
          </w:p>
        </w:tc>
        <w:tc>
          <w:tcPr>
            <w:tcW w:w="2150" w:type="dxa"/>
          </w:tcPr>
          <w:p w:rsidR="00000000" w:rsidRDefault="00000000">
            <w:pPr>
              <w:keepNext/>
              <w:spacing w:before="40" w:line="216" w:lineRule="auto"/>
              <w:jc w:val="center"/>
              <w:rPr>
                <w:sz w:val="20"/>
                <w:szCs w:val="22"/>
              </w:rPr>
            </w:pPr>
            <w:r>
              <w:rPr>
                <w:sz w:val="20"/>
                <w:szCs w:val="22"/>
              </w:rPr>
              <w:t>24,300</w:t>
            </w:r>
          </w:p>
        </w:tc>
        <w:tc>
          <w:tcPr>
            <w:tcW w:w="2797" w:type="dxa"/>
          </w:tcPr>
          <w:p w:rsidR="00000000" w:rsidRDefault="00000000">
            <w:pPr>
              <w:keepNext/>
              <w:tabs>
                <w:tab w:val="decimal" w:pos="352"/>
              </w:tabs>
              <w:spacing w:before="40" w:line="216" w:lineRule="auto"/>
              <w:jc w:val="center"/>
              <w:rPr>
                <w:sz w:val="20"/>
                <w:szCs w:val="22"/>
              </w:rPr>
            </w:pPr>
            <w:r>
              <w:rPr>
                <w:sz w:val="20"/>
                <w:szCs w:val="22"/>
              </w:rPr>
              <w:t>224,7</w:t>
            </w:r>
          </w:p>
        </w:tc>
        <w:tc>
          <w:tcPr>
            <w:tcW w:w="2647" w:type="dxa"/>
          </w:tcPr>
          <w:p w:rsidR="00000000" w:rsidRDefault="00000000">
            <w:pPr>
              <w:keepNext/>
              <w:tabs>
                <w:tab w:val="decimal" w:pos="297"/>
              </w:tabs>
              <w:spacing w:before="40" w:line="216" w:lineRule="auto"/>
              <w:jc w:val="center"/>
              <w:rPr>
                <w:sz w:val="20"/>
                <w:szCs w:val="22"/>
              </w:rPr>
            </w:pPr>
            <w:r>
              <w:rPr>
                <w:sz w:val="20"/>
                <w:szCs w:val="22"/>
              </w:rPr>
              <w:t>10,82</w:t>
            </w:r>
          </w:p>
        </w:tc>
      </w:tr>
      <w:tr w:rsidR="00000000">
        <w:trPr>
          <w:trHeight w:val="195"/>
          <w:jc w:val="center"/>
        </w:trPr>
        <w:tc>
          <w:tcPr>
            <w:tcW w:w="1643" w:type="dxa"/>
          </w:tcPr>
          <w:p w:rsidR="00000000" w:rsidRDefault="00000000">
            <w:pPr>
              <w:keepNext/>
              <w:spacing w:before="40" w:line="216" w:lineRule="auto"/>
              <w:jc w:val="center"/>
              <w:rPr>
                <w:sz w:val="20"/>
                <w:szCs w:val="22"/>
              </w:rPr>
            </w:pPr>
            <w:r>
              <w:rPr>
                <w:sz w:val="20"/>
                <w:szCs w:val="22"/>
              </w:rPr>
              <w:t>1998</w:t>
            </w:r>
          </w:p>
        </w:tc>
        <w:tc>
          <w:tcPr>
            <w:tcW w:w="2150" w:type="dxa"/>
          </w:tcPr>
          <w:p w:rsidR="00000000" w:rsidRDefault="00000000">
            <w:pPr>
              <w:keepNext/>
              <w:spacing w:before="40" w:line="216" w:lineRule="auto"/>
              <w:jc w:val="center"/>
              <w:rPr>
                <w:sz w:val="20"/>
                <w:szCs w:val="22"/>
              </w:rPr>
            </w:pPr>
            <w:r>
              <w:rPr>
                <w:sz w:val="20"/>
                <w:szCs w:val="22"/>
              </w:rPr>
              <w:t>28,301</w:t>
            </w:r>
          </w:p>
        </w:tc>
        <w:tc>
          <w:tcPr>
            <w:tcW w:w="2797" w:type="dxa"/>
          </w:tcPr>
          <w:p w:rsidR="00000000" w:rsidRDefault="00000000">
            <w:pPr>
              <w:keepNext/>
              <w:tabs>
                <w:tab w:val="decimal" w:pos="352"/>
              </w:tabs>
              <w:spacing w:before="40" w:line="216" w:lineRule="auto"/>
              <w:jc w:val="center"/>
              <w:rPr>
                <w:sz w:val="20"/>
                <w:szCs w:val="22"/>
              </w:rPr>
            </w:pPr>
            <w:r>
              <w:rPr>
                <w:sz w:val="20"/>
                <w:szCs w:val="22"/>
              </w:rPr>
              <w:t>260,0</w:t>
            </w:r>
          </w:p>
        </w:tc>
        <w:tc>
          <w:tcPr>
            <w:tcW w:w="2647" w:type="dxa"/>
          </w:tcPr>
          <w:p w:rsidR="00000000" w:rsidRDefault="00000000">
            <w:pPr>
              <w:keepNext/>
              <w:tabs>
                <w:tab w:val="decimal" w:pos="297"/>
              </w:tabs>
              <w:spacing w:before="40" w:line="216" w:lineRule="auto"/>
              <w:jc w:val="center"/>
              <w:rPr>
                <w:sz w:val="20"/>
                <w:szCs w:val="22"/>
              </w:rPr>
            </w:pPr>
            <w:r>
              <w:rPr>
                <w:sz w:val="20"/>
                <w:szCs w:val="22"/>
              </w:rPr>
              <w:t>10,90</w:t>
            </w:r>
          </w:p>
        </w:tc>
      </w:tr>
      <w:tr w:rsidR="00000000">
        <w:trPr>
          <w:jc w:val="center"/>
        </w:trPr>
        <w:tc>
          <w:tcPr>
            <w:tcW w:w="1643" w:type="dxa"/>
          </w:tcPr>
          <w:p w:rsidR="00000000" w:rsidRDefault="00000000">
            <w:pPr>
              <w:keepNext/>
              <w:spacing w:before="40" w:line="216" w:lineRule="auto"/>
              <w:jc w:val="center"/>
              <w:rPr>
                <w:sz w:val="20"/>
                <w:szCs w:val="22"/>
              </w:rPr>
            </w:pPr>
            <w:r>
              <w:rPr>
                <w:sz w:val="20"/>
                <w:szCs w:val="22"/>
              </w:rPr>
              <w:t>1999</w:t>
            </w:r>
          </w:p>
        </w:tc>
        <w:tc>
          <w:tcPr>
            <w:tcW w:w="2150" w:type="dxa"/>
          </w:tcPr>
          <w:p w:rsidR="00000000" w:rsidRDefault="00000000">
            <w:pPr>
              <w:spacing w:before="40" w:line="216" w:lineRule="auto"/>
              <w:jc w:val="center"/>
              <w:rPr>
                <w:sz w:val="20"/>
                <w:szCs w:val="22"/>
              </w:rPr>
            </w:pPr>
            <w:r>
              <w:rPr>
                <w:sz w:val="20"/>
                <w:szCs w:val="22"/>
              </w:rPr>
              <w:t>31,910</w:t>
            </w:r>
          </w:p>
        </w:tc>
        <w:tc>
          <w:tcPr>
            <w:tcW w:w="2797" w:type="dxa"/>
          </w:tcPr>
          <w:p w:rsidR="00000000" w:rsidRDefault="00000000">
            <w:pPr>
              <w:tabs>
                <w:tab w:val="decimal" w:pos="352"/>
              </w:tabs>
              <w:spacing w:before="40" w:line="216" w:lineRule="auto"/>
              <w:jc w:val="center"/>
              <w:rPr>
                <w:sz w:val="20"/>
                <w:szCs w:val="22"/>
              </w:rPr>
            </w:pPr>
            <w:r>
              <w:rPr>
                <w:sz w:val="20"/>
                <w:szCs w:val="22"/>
              </w:rPr>
              <w:t>303,7</w:t>
            </w:r>
          </w:p>
        </w:tc>
        <w:tc>
          <w:tcPr>
            <w:tcW w:w="2647" w:type="dxa"/>
          </w:tcPr>
          <w:p w:rsidR="00000000" w:rsidRDefault="00000000">
            <w:pPr>
              <w:tabs>
                <w:tab w:val="decimal" w:pos="297"/>
              </w:tabs>
              <w:spacing w:before="40" w:line="216" w:lineRule="auto"/>
              <w:jc w:val="center"/>
              <w:rPr>
                <w:sz w:val="20"/>
                <w:szCs w:val="22"/>
              </w:rPr>
            </w:pPr>
            <w:r>
              <w:rPr>
                <w:sz w:val="20"/>
                <w:szCs w:val="22"/>
              </w:rPr>
              <w:t>10,51</w:t>
            </w:r>
          </w:p>
        </w:tc>
      </w:tr>
      <w:tr w:rsidR="00000000">
        <w:trPr>
          <w:jc w:val="center"/>
        </w:trPr>
        <w:tc>
          <w:tcPr>
            <w:tcW w:w="1643" w:type="dxa"/>
          </w:tcPr>
          <w:p w:rsidR="00000000" w:rsidRDefault="00000000">
            <w:pPr>
              <w:spacing w:before="40" w:line="216" w:lineRule="auto"/>
              <w:jc w:val="center"/>
              <w:rPr>
                <w:sz w:val="20"/>
                <w:szCs w:val="22"/>
              </w:rPr>
            </w:pPr>
            <w:r>
              <w:rPr>
                <w:sz w:val="20"/>
                <w:szCs w:val="22"/>
              </w:rPr>
              <w:t>2000</w:t>
            </w:r>
          </w:p>
        </w:tc>
        <w:tc>
          <w:tcPr>
            <w:tcW w:w="2150" w:type="dxa"/>
          </w:tcPr>
          <w:p w:rsidR="00000000" w:rsidRDefault="00000000">
            <w:pPr>
              <w:spacing w:before="40" w:line="216" w:lineRule="auto"/>
              <w:jc w:val="center"/>
              <w:rPr>
                <w:sz w:val="20"/>
                <w:szCs w:val="22"/>
              </w:rPr>
            </w:pPr>
            <w:r>
              <w:rPr>
                <w:sz w:val="20"/>
                <w:szCs w:val="22"/>
              </w:rPr>
              <w:t>35,120</w:t>
            </w:r>
          </w:p>
        </w:tc>
        <w:tc>
          <w:tcPr>
            <w:tcW w:w="2797" w:type="dxa"/>
          </w:tcPr>
          <w:p w:rsidR="00000000" w:rsidRDefault="00000000">
            <w:pPr>
              <w:tabs>
                <w:tab w:val="decimal" w:pos="352"/>
              </w:tabs>
              <w:spacing w:before="40" w:line="216" w:lineRule="auto"/>
              <w:jc w:val="center"/>
              <w:rPr>
                <w:sz w:val="20"/>
                <w:szCs w:val="22"/>
              </w:rPr>
            </w:pPr>
            <w:r>
              <w:rPr>
                <w:sz w:val="20"/>
                <w:szCs w:val="22"/>
              </w:rPr>
              <w:t>331,4</w:t>
            </w:r>
          </w:p>
        </w:tc>
        <w:tc>
          <w:tcPr>
            <w:tcW w:w="2647" w:type="dxa"/>
          </w:tcPr>
          <w:p w:rsidR="00000000" w:rsidRDefault="00000000">
            <w:pPr>
              <w:tabs>
                <w:tab w:val="decimal" w:pos="297"/>
              </w:tabs>
              <w:spacing w:before="40" w:line="216" w:lineRule="auto"/>
              <w:jc w:val="center"/>
              <w:rPr>
                <w:sz w:val="20"/>
                <w:szCs w:val="22"/>
              </w:rPr>
            </w:pPr>
            <w:r>
              <w:rPr>
                <w:sz w:val="20"/>
                <w:szCs w:val="22"/>
              </w:rPr>
              <w:t>10,60</w:t>
            </w:r>
          </w:p>
        </w:tc>
      </w:tr>
      <w:tr w:rsidR="00000000">
        <w:trPr>
          <w:jc w:val="center"/>
        </w:trPr>
        <w:tc>
          <w:tcPr>
            <w:tcW w:w="1643" w:type="dxa"/>
          </w:tcPr>
          <w:p w:rsidR="00000000" w:rsidRDefault="00000000">
            <w:pPr>
              <w:spacing w:before="40" w:line="216" w:lineRule="auto"/>
              <w:jc w:val="center"/>
              <w:rPr>
                <w:sz w:val="20"/>
                <w:szCs w:val="22"/>
              </w:rPr>
            </w:pPr>
            <w:r>
              <w:rPr>
                <w:sz w:val="20"/>
                <w:szCs w:val="22"/>
              </w:rPr>
              <w:t>2001</w:t>
            </w:r>
          </w:p>
        </w:tc>
        <w:tc>
          <w:tcPr>
            <w:tcW w:w="2150" w:type="dxa"/>
          </w:tcPr>
          <w:p w:rsidR="00000000" w:rsidRDefault="00000000">
            <w:pPr>
              <w:spacing w:before="40" w:line="216" w:lineRule="auto"/>
              <w:jc w:val="center"/>
              <w:rPr>
                <w:sz w:val="20"/>
                <w:szCs w:val="22"/>
              </w:rPr>
            </w:pPr>
            <w:r>
              <w:rPr>
                <w:sz w:val="20"/>
                <w:szCs w:val="22"/>
              </w:rPr>
              <w:t>37,570</w:t>
            </w:r>
          </w:p>
        </w:tc>
        <w:tc>
          <w:tcPr>
            <w:tcW w:w="2797" w:type="dxa"/>
          </w:tcPr>
          <w:p w:rsidR="00000000" w:rsidRDefault="00000000">
            <w:pPr>
              <w:tabs>
                <w:tab w:val="decimal" w:pos="352"/>
              </w:tabs>
              <w:spacing w:before="40" w:line="216" w:lineRule="auto"/>
              <w:jc w:val="center"/>
              <w:rPr>
                <w:sz w:val="20"/>
                <w:szCs w:val="22"/>
              </w:rPr>
            </w:pPr>
            <w:r>
              <w:rPr>
                <w:sz w:val="20"/>
                <w:szCs w:val="22"/>
              </w:rPr>
              <w:t>352,8</w:t>
            </w:r>
          </w:p>
        </w:tc>
        <w:tc>
          <w:tcPr>
            <w:tcW w:w="2647" w:type="dxa"/>
          </w:tcPr>
          <w:p w:rsidR="00000000" w:rsidRDefault="00000000">
            <w:pPr>
              <w:tabs>
                <w:tab w:val="decimal" w:pos="297"/>
              </w:tabs>
              <w:spacing w:before="40" w:line="216" w:lineRule="auto"/>
              <w:jc w:val="center"/>
              <w:rPr>
                <w:sz w:val="20"/>
                <w:szCs w:val="22"/>
              </w:rPr>
            </w:pPr>
            <w:r>
              <w:rPr>
                <w:sz w:val="20"/>
                <w:szCs w:val="22"/>
              </w:rPr>
              <w:t>10,65</w:t>
            </w:r>
          </w:p>
        </w:tc>
      </w:tr>
      <w:tr w:rsidR="00000000">
        <w:trPr>
          <w:jc w:val="center"/>
        </w:trPr>
        <w:tc>
          <w:tcPr>
            <w:tcW w:w="1643" w:type="dxa"/>
          </w:tcPr>
          <w:p w:rsidR="00000000" w:rsidRDefault="00000000">
            <w:pPr>
              <w:spacing w:before="40" w:line="216" w:lineRule="auto"/>
              <w:jc w:val="center"/>
              <w:rPr>
                <w:sz w:val="20"/>
                <w:szCs w:val="22"/>
              </w:rPr>
            </w:pPr>
            <w:r>
              <w:rPr>
                <w:sz w:val="20"/>
                <w:szCs w:val="22"/>
              </w:rPr>
              <w:t>2002</w:t>
            </w:r>
          </w:p>
        </w:tc>
        <w:tc>
          <w:tcPr>
            <w:tcW w:w="2150" w:type="dxa"/>
          </w:tcPr>
          <w:p w:rsidR="00000000" w:rsidRDefault="00000000">
            <w:pPr>
              <w:spacing w:before="40" w:line="216" w:lineRule="auto"/>
              <w:jc w:val="center"/>
              <w:rPr>
                <w:sz w:val="20"/>
                <w:szCs w:val="22"/>
              </w:rPr>
            </w:pPr>
            <w:r>
              <w:rPr>
                <w:sz w:val="20"/>
                <w:szCs w:val="22"/>
              </w:rPr>
              <w:t>39,740</w:t>
            </w:r>
          </w:p>
        </w:tc>
        <w:tc>
          <w:tcPr>
            <w:tcW w:w="2797" w:type="dxa"/>
          </w:tcPr>
          <w:p w:rsidR="00000000" w:rsidRDefault="00000000">
            <w:pPr>
              <w:tabs>
                <w:tab w:val="decimal" w:pos="352"/>
              </w:tabs>
              <w:spacing w:before="40" w:line="216" w:lineRule="auto"/>
              <w:jc w:val="center"/>
              <w:rPr>
                <w:sz w:val="20"/>
                <w:szCs w:val="22"/>
              </w:rPr>
            </w:pPr>
            <w:r>
              <w:rPr>
                <w:sz w:val="20"/>
                <w:szCs w:val="22"/>
              </w:rPr>
              <w:t>370,8</w:t>
            </w:r>
          </w:p>
        </w:tc>
        <w:tc>
          <w:tcPr>
            <w:tcW w:w="2647" w:type="dxa"/>
          </w:tcPr>
          <w:p w:rsidR="00000000" w:rsidRDefault="00000000">
            <w:pPr>
              <w:tabs>
                <w:tab w:val="decimal" w:pos="297"/>
              </w:tabs>
              <w:spacing w:before="40" w:line="216" w:lineRule="auto"/>
              <w:jc w:val="center"/>
              <w:rPr>
                <w:sz w:val="20"/>
                <w:szCs w:val="22"/>
              </w:rPr>
            </w:pPr>
            <w:r>
              <w:rPr>
                <w:sz w:val="20"/>
                <w:szCs w:val="22"/>
              </w:rPr>
              <w:t>10,72</w:t>
            </w:r>
          </w:p>
        </w:tc>
      </w:tr>
      <w:tr w:rsidR="00000000">
        <w:trPr>
          <w:jc w:val="center"/>
        </w:trPr>
        <w:tc>
          <w:tcPr>
            <w:tcW w:w="1643" w:type="dxa"/>
          </w:tcPr>
          <w:p w:rsidR="00000000" w:rsidRDefault="00000000">
            <w:pPr>
              <w:spacing w:before="40" w:line="216" w:lineRule="auto"/>
              <w:jc w:val="center"/>
              <w:rPr>
                <w:sz w:val="20"/>
                <w:szCs w:val="22"/>
              </w:rPr>
            </w:pPr>
            <w:r>
              <w:rPr>
                <w:sz w:val="20"/>
                <w:szCs w:val="22"/>
              </w:rPr>
              <w:t>2003</w:t>
            </w:r>
          </w:p>
        </w:tc>
        <w:tc>
          <w:tcPr>
            <w:tcW w:w="2150" w:type="dxa"/>
          </w:tcPr>
          <w:p w:rsidR="00000000" w:rsidRDefault="00000000">
            <w:pPr>
              <w:spacing w:before="40" w:line="216" w:lineRule="auto"/>
              <w:jc w:val="center"/>
              <w:rPr>
                <w:sz w:val="20"/>
                <w:szCs w:val="22"/>
              </w:rPr>
            </w:pPr>
            <w:r>
              <w:rPr>
                <w:sz w:val="20"/>
                <w:szCs w:val="22"/>
              </w:rPr>
              <w:t>41,530</w:t>
            </w:r>
          </w:p>
        </w:tc>
        <w:tc>
          <w:tcPr>
            <w:tcW w:w="2797" w:type="dxa"/>
          </w:tcPr>
          <w:p w:rsidR="00000000" w:rsidRDefault="00000000">
            <w:pPr>
              <w:tabs>
                <w:tab w:val="decimal" w:pos="352"/>
              </w:tabs>
              <w:spacing w:before="40" w:line="216" w:lineRule="auto"/>
              <w:jc w:val="center"/>
              <w:rPr>
                <w:sz w:val="20"/>
                <w:szCs w:val="22"/>
              </w:rPr>
            </w:pPr>
            <w:r>
              <w:rPr>
                <w:sz w:val="20"/>
                <w:szCs w:val="22"/>
              </w:rPr>
              <w:t>390,1</w:t>
            </w:r>
          </w:p>
        </w:tc>
        <w:tc>
          <w:tcPr>
            <w:tcW w:w="2647" w:type="dxa"/>
          </w:tcPr>
          <w:p w:rsidR="00000000" w:rsidRDefault="00000000">
            <w:pPr>
              <w:tabs>
                <w:tab w:val="decimal" w:pos="297"/>
              </w:tabs>
              <w:spacing w:before="40" w:line="216" w:lineRule="auto"/>
              <w:jc w:val="center"/>
              <w:rPr>
                <w:sz w:val="20"/>
                <w:szCs w:val="22"/>
              </w:rPr>
            </w:pPr>
            <w:r>
              <w:rPr>
                <w:sz w:val="20"/>
                <w:szCs w:val="22"/>
              </w:rPr>
              <w:t>10,65</w:t>
            </w:r>
          </w:p>
        </w:tc>
      </w:tr>
      <w:tr w:rsidR="00000000">
        <w:trPr>
          <w:jc w:val="center"/>
        </w:trPr>
        <w:tc>
          <w:tcPr>
            <w:tcW w:w="1643" w:type="dxa"/>
            <w:tcBorders>
              <w:bottom w:val="single" w:sz="4" w:space="0" w:color="auto"/>
            </w:tcBorders>
          </w:tcPr>
          <w:p w:rsidR="00000000" w:rsidRDefault="00000000">
            <w:pPr>
              <w:tabs>
                <w:tab w:val="clear" w:pos="567"/>
                <w:tab w:val="decimal" w:pos="562"/>
              </w:tabs>
              <w:spacing w:before="40" w:line="216" w:lineRule="auto"/>
              <w:jc w:val="center"/>
              <w:rPr>
                <w:sz w:val="20"/>
                <w:szCs w:val="22"/>
              </w:rPr>
            </w:pPr>
            <w:r>
              <w:rPr>
                <w:sz w:val="20"/>
                <w:szCs w:val="22"/>
              </w:rPr>
              <w:t>2004</w:t>
            </w:r>
            <w:r>
              <w:rPr>
                <w:b/>
                <w:bCs/>
                <w:sz w:val="20"/>
                <w:szCs w:val="22"/>
                <w:vertAlign w:val="superscript"/>
              </w:rPr>
              <w:t>*</w:t>
            </w:r>
          </w:p>
        </w:tc>
        <w:tc>
          <w:tcPr>
            <w:tcW w:w="2150" w:type="dxa"/>
            <w:tcBorders>
              <w:bottom w:val="single" w:sz="4" w:space="0" w:color="auto"/>
            </w:tcBorders>
          </w:tcPr>
          <w:p w:rsidR="00000000" w:rsidRDefault="00000000">
            <w:pPr>
              <w:spacing w:before="40" w:line="216" w:lineRule="auto"/>
              <w:jc w:val="center"/>
              <w:rPr>
                <w:sz w:val="20"/>
                <w:szCs w:val="22"/>
              </w:rPr>
            </w:pPr>
            <w:r>
              <w:rPr>
                <w:sz w:val="20"/>
                <w:szCs w:val="22"/>
              </w:rPr>
              <w:t>43,297</w:t>
            </w:r>
          </w:p>
        </w:tc>
        <w:tc>
          <w:tcPr>
            <w:tcW w:w="2797" w:type="dxa"/>
            <w:tcBorders>
              <w:bottom w:val="single" w:sz="4" w:space="0" w:color="auto"/>
            </w:tcBorders>
          </w:tcPr>
          <w:p w:rsidR="00000000" w:rsidRDefault="00000000">
            <w:pPr>
              <w:tabs>
                <w:tab w:val="decimal" w:pos="352"/>
              </w:tabs>
              <w:spacing w:before="40" w:line="216" w:lineRule="auto"/>
              <w:jc w:val="center"/>
              <w:rPr>
                <w:sz w:val="20"/>
                <w:szCs w:val="22"/>
              </w:rPr>
            </w:pPr>
            <w:r>
              <w:rPr>
                <w:sz w:val="20"/>
                <w:szCs w:val="22"/>
              </w:rPr>
              <w:t>406,4</w:t>
            </w:r>
          </w:p>
        </w:tc>
        <w:tc>
          <w:tcPr>
            <w:tcW w:w="2647" w:type="dxa"/>
            <w:tcBorders>
              <w:bottom w:val="single" w:sz="4" w:space="0" w:color="auto"/>
            </w:tcBorders>
          </w:tcPr>
          <w:p w:rsidR="00000000" w:rsidRDefault="00000000">
            <w:pPr>
              <w:tabs>
                <w:tab w:val="decimal" w:pos="297"/>
              </w:tabs>
              <w:spacing w:before="40" w:line="216" w:lineRule="auto"/>
              <w:jc w:val="center"/>
              <w:rPr>
                <w:sz w:val="20"/>
                <w:szCs w:val="22"/>
              </w:rPr>
            </w:pPr>
            <w:r>
              <w:rPr>
                <w:sz w:val="20"/>
                <w:szCs w:val="22"/>
              </w:rPr>
              <w:t>10,66</w:t>
            </w:r>
          </w:p>
        </w:tc>
      </w:tr>
    </w:tbl>
    <w:p w:rsidR="00000000" w:rsidRDefault="00000000">
      <w:pPr>
        <w:spacing w:line="216" w:lineRule="auto"/>
        <w:rPr>
          <w:sz w:val="20"/>
        </w:rPr>
      </w:pPr>
    </w:p>
    <w:p w:rsidR="00000000" w:rsidRDefault="00000000">
      <w:pPr>
        <w:spacing w:line="240" w:lineRule="auto"/>
        <w:rPr>
          <w:sz w:val="18"/>
        </w:rPr>
      </w:pPr>
      <w:r>
        <w:rPr>
          <w:sz w:val="18"/>
        </w:rPr>
        <w:t>*</w:t>
      </w:r>
      <w:r>
        <w:rPr>
          <w:sz w:val="18"/>
        </w:rPr>
        <w:tab/>
        <w:t>Средние цифры за период с января по июнь.</w:t>
      </w:r>
    </w:p>
    <w:p w:rsidR="00000000" w:rsidRDefault="00000000">
      <w:pPr>
        <w:spacing w:line="240" w:lineRule="auto"/>
        <w:rPr>
          <w:b/>
          <w:bCs/>
          <w:sz w:val="18"/>
        </w:rPr>
      </w:pPr>
    </w:p>
    <w:p w:rsidR="00000000" w:rsidRDefault="00000000">
      <w:pPr>
        <w:spacing w:line="240" w:lineRule="auto"/>
        <w:rPr>
          <w:sz w:val="18"/>
        </w:rPr>
      </w:pPr>
      <w:r>
        <w:rPr>
          <w:b/>
          <w:bCs/>
          <w:sz w:val="18"/>
          <w:vertAlign w:val="superscript"/>
        </w:rPr>
        <w:t>1</w:t>
      </w:r>
      <w:r>
        <w:rPr>
          <w:b/>
          <w:bCs/>
          <w:sz w:val="18"/>
        </w:rPr>
        <w:tab/>
      </w:r>
      <w:r>
        <w:rPr>
          <w:sz w:val="18"/>
        </w:rPr>
        <w:t>Указанный средний показатель охватывает все получающее заработную плату экономически активное население во всех географических районах.</w:t>
      </w:r>
    </w:p>
    <w:p w:rsidR="00000000" w:rsidRDefault="00000000">
      <w:pPr>
        <w:spacing w:line="240" w:lineRule="auto"/>
        <w:rPr>
          <w:sz w:val="18"/>
        </w:rPr>
      </w:pPr>
    </w:p>
    <w:p w:rsidR="00000000" w:rsidRDefault="00000000">
      <w:pPr>
        <w:spacing w:line="240" w:lineRule="auto"/>
        <w:rPr>
          <w:sz w:val="18"/>
        </w:rPr>
      </w:pPr>
      <w:r>
        <w:rPr>
          <w:b/>
          <w:bCs/>
          <w:sz w:val="18"/>
          <w:vertAlign w:val="superscript"/>
        </w:rPr>
        <w:t>2</w:t>
      </w:r>
      <w:r>
        <w:rPr>
          <w:b/>
          <w:bCs/>
          <w:sz w:val="18"/>
        </w:rPr>
        <w:tab/>
      </w:r>
      <w:r>
        <w:rPr>
          <w:sz w:val="18"/>
        </w:rPr>
        <w:t>Речь идет о национальном индексе потребительских цен для семей с доходами до одного размера минимальной заработной платы.</w:t>
      </w:r>
    </w:p>
    <w:p w:rsidR="00000000" w:rsidRDefault="00000000">
      <w:pPr>
        <w:spacing w:line="240" w:lineRule="auto"/>
        <w:rPr>
          <w:sz w:val="18"/>
        </w:rPr>
      </w:pPr>
    </w:p>
    <w:p w:rsidR="00000000" w:rsidRDefault="00000000">
      <w:r>
        <w:t>217.</w:t>
      </w:r>
      <w:r>
        <w:tab/>
        <w:t>Кроме того, следует отметить существенное снижение реальной средней заработной платы трудящихся, отчисляющих на постоянной основе взносы в Мексиканский институт социального обеспечения (МИСО), что является следствием неблагоприятных экономических условий и резкого роста инфляции в 1995 году.  Постепенно увеличение реальной заработной платы данной категории трудящихся началось с 1998 года, затронув основные отрасли экономической деятельности.  В 2000-2001 годах эта тенденция приобрела более широкий характер, а в последние годы стала еще более отчетливой.  В 2002-2003 годах средняя заработная плата трудящихся, отчисляющих взносы в государственную систему социального обеспечения, продолжала расти, хотя темпы ее роста немного замедлились по сравнению с двумя предшествующими годами.  В мае 2004 года реальная средняя заработная плата трудящихся, отчисляющих взносы в государственную систему социального обеспечения, выросла на 2,3%  по сравнению с состоянием на май предыдущего года.  За период с декабря 2000 года по май 2004 года средняя заработная плата трудящихся, отчисляющих взносы в систему социального обеспечения, выросла в реальном исчислении на 14,3%.</w:t>
      </w:r>
    </w:p>
    <w:p w:rsidR="00000000" w:rsidRDefault="00000000"/>
    <w:p w:rsidR="00000000" w:rsidRDefault="00000000">
      <w:r>
        <w:t>218.</w:t>
      </w:r>
      <w:r>
        <w:tab/>
        <w:t xml:space="preserve">Что касается изменения размеров различных видов заработной платы за последние месяцы, то с января по декабрь 2003 года минимальная заработная плата выросла в реальном исчислении на 0,26%, а размер заработной платы лиц, работающих по контрактам, вырос в реальном исчислении на 0,15%.  Что касается заработной платы трудящихся, охваченных системой социального обеспечения МИСО, то с января по октябрь 2004 года ее реальный рост составил 2,7%.  </w:t>
      </w:r>
    </w:p>
    <w:p w:rsidR="00000000" w:rsidRDefault="00000000"/>
    <w:p w:rsidR="00000000" w:rsidRDefault="00000000">
      <w:r>
        <w:t>219.</w:t>
      </w:r>
      <w:r>
        <w:tab/>
        <w:t>В целом же за шестилетний период до декабря 2003 года общая минимальная заработная плата выросла в среднем на 0,61%, тогда как реальный рост заработной платы лиц, работающих по контрактам в Федеральном округе, составил 1,12%.  Что касается средней заработной платы трудящихся, охваченных системой социального обеспечения МИСО, то за период нахождения у власти нынешней администрации до октября текущего года рост реальной заработной платы данной категории трудящихся составил 11,2%.</w:t>
      </w:r>
    </w:p>
    <w:p w:rsidR="00000000" w:rsidRDefault="00000000">
      <w:pPr>
        <w:spacing w:line="216" w:lineRule="auto"/>
        <w:rPr>
          <w:lang w:val="en-US"/>
        </w:rPr>
      </w:pPr>
    </w:p>
    <w:p w:rsidR="00000000" w:rsidRDefault="00000000">
      <w:pPr>
        <w:spacing w:line="240" w:lineRule="auto"/>
        <w:jc w:val="center"/>
        <w:rPr>
          <w:b/>
          <w:bCs/>
        </w:rPr>
      </w:pPr>
      <w:r>
        <w:rPr>
          <w:b/>
          <w:bCs/>
        </w:rPr>
        <w:t>Динамика заработной платы за шестилетний период</w:t>
      </w:r>
    </w:p>
    <w:p w:rsidR="00000000" w:rsidRDefault="00000000">
      <w:pPr>
        <w:spacing w:line="216" w:lineRule="auto"/>
        <w:jc w:val="cente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114"/>
        <w:gridCol w:w="2432"/>
        <w:gridCol w:w="2432"/>
        <w:gridCol w:w="2433"/>
      </w:tblGrid>
      <w:tr w:rsidR="00000000">
        <w:tblPrEx>
          <w:tblCellMar>
            <w:top w:w="0" w:type="dxa"/>
            <w:bottom w:w="0" w:type="dxa"/>
          </w:tblCellMar>
        </w:tblPrEx>
        <w:trPr>
          <w:cantSplit/>
        </w:trPr>
        <w:tc>
          <w:tcPr>
            <w:tcW w:w="211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line="240" w:lineRule="auto"/>
              <w:jc w:val="center"/>
              <w:rPr>
                <w:bCs/>
                <w:i/>
                <w:iCs/>
                <w:sz w:val="18"/>
                <w:szCs w:val="22"/>
              </w:rPr>
            </w:pPr>
            <w:r>
              <w:rPr>
                <w:bCs/>
                <w:i/>
                <w:iCs/>
                <w:sz w:val="18"/>
                <w:szCs w:val="22"/>
              </w:rPr>
              <w:t>Шестилетний президентский срок</w:t>
            </w:r>
          </w:p>
        </w:tc>
        <w:tc>
          <w:tcPr>
            <w:tcW w:w="243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line="240" w:lineRule="auto"/>
              <w:jc w:val="center"/>
              <w:rPr>
                <w:bCs/>
                <w:i/>
                <w:iCs/>
                <w:sz w:val="18"/>
                <w:szCs w:val="22"/>
              </w:rPr>
            </w:pPr>
            <w:r>
              <w:rPr>
                <w:bCs/>
                <w:i/>
                <w:iCs/>
                <w:sz w:val="18"/>
                <w:szCs w:val="22"/>
              </w:rPr>
              <w:t>Общий минимум</w:t>
            </w:r>
          </w:p>
        </w:tc>
        <w:tc>
          <w:tcPr>
            <w:tcW w:w="243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line="240" w:lineRule="auto"/>
              <w:jc w:val="center"/>
              <w:rPr>
                <w:bCs/>
                <w:i/>
                <w:iCs/>
                <w:sz w:val="18"/>
                <w:szCs w:val="22"/>
              </w:rPr>
            </w:pPr>
            <w:r>
              <w:rPr>
                <w:bCs/>
                <w:i/>
                <w:iCs/>
                <w:sz w:val="18"/>
                <w:szCs w:val="22"/>
              </w:rPr>
              <w:t>Прирост заработной платы наемных работников</w:t>
            </w:r>
          </w:p>
        </w:tc>
        <w:tc>
          <w:tcPr>
            <w:tcW w:w="243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line="240" w:lineRule="auto"/>
              <w:jc w:val="center"/>
              <w:rPr>
                <w:bCs/>
                <w:i/>
                <w:iCs/>
                <w:sz w:val="18"/>
                <w:szCs w:val="22"/>
              </w:rPr>
            </w:pPr>
            <w:r>
              <w:rPr>
                <w:bCs/>
                <w:i/>
                <w:iCs/>
                <w:sz w:val="18"/>
                <w:szCs w:val="22"/>
              </w:rPr>
              <w:t>Средняя заработная плата трудящихся, отчисляющих взносы в государственную систему социального обеспечения</w:t>
            </w:r>
          </w:p>
        </w:tc>
      </w:tr>
      <w:tr w:rsidR="00000000">
        <w:tblPrEx>
          <w:tblCellMar>
            <w:top w:w="0" w:type="dxa"/>
            <w:bottom w:w="0" w:type="dxa"/>
          </w:tblCellMar>
        </w:tblPrEx>
        <w:trPr>
          <w:cantSplit/>
        </w:trPr>
        <w:tc>
          <w:tcPr>
            <w:tcW w:w="2114" w:type="dxa"/>
            <w:vMerge w:val="restart"/>
            <w:tcBorders>
              <w:top w:val="single" w:sz="4" w:space="0" w:color="auto"/>
              <w:left w:val="single" w:sz="4" w:space="0" w:color="auto"/>
              <w:right w:val="single" w:sz="4" w:space="0" w:color="auto"/>
            </w:tcBorders>
            <w:vAlign w:val="center"/>
          </w:tcPr>
          <w:p w:rsidR="00000000" w:rsidRDefault="00000000">
            <w:pPr>
              <w:spacing w:before="120" w:line="240" w:lineRule="auto"/>
              <w:rPr>
                <w:bCs/>
                <w:sz w:val="18"/>
                <w:szCs w:val="22"/>
              </w:rPr>
            </w:pPr>
            <w:r>
              <w:rPr>
                <w:bCs/>
                <w:sz w:val="18"/>
                <w:szCs w:val="22"/>
              </w:rPr>
              <w:t>Висенте Фокс Кесада (2000-2006)</w:t>
            </w:r>
          </w:p>
        </w:tc>
        <w:tc>
          <w:tcPr>
            <w:tcW w:w="2432"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декабрь 2000/декабрь 2003</w:t>
            </w:r>
          </w:p>
        </w:tc>
        <w:tc>
          <w:tcPr>
            <w:tcW w:w="2432"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декабрь 2000/декабрь 2003</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декабрь 2000/октябрь 2003</w:t>
            </w:r>
          </w:p>
        </w:tc>
      </w:tr>
      <w:tr w:rsidR="00000000">
        <w:tblPrEx>
          <w:tblCellMar>
            <w:top w:w="0" w:type="dxa"/>
            <w:bottom w:w="0" w:type="dxa"/>
          </w:tblCellMar>
        </w:tblPrEx>
        <w:trPr>
          <w:cantSplit/>
        </w:trPr>
        <w:tc>
          <w:tcPr>
            <w:tcW w:w="2114" w:type="dxa"/>
            <w:vMerge/>
            <w:tcBorders>
              <w:left w:val="single" w:sz="4" w:space="0" w:color="auto"/>
              <w:bottom w:val="single" w:sz="4" w:space="0" w:color="auto"/>
              <w:right w:val="single" w:sz="4" w:space="0" w:color="auto"/>
            </w:tcBorders>
          </w:tcPr>
          <w:p w:rsidR="00000000" w:rsidRDefault="00000000">
            <w:pPr>
              <w:spacing w:before="120" w:line="240" w:lineRule="auto"/>
              <w:rPr>
                <w:bCs/>
                <w:sz w:val="18"/>
                <w:szCs w:val="22"/>
              </w:rPr>
            </w:pPr>
          </w:p>
        </w:tc>
        <w:tc>
          <w:tcPr>
            <w:tcW w:w="2432"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0,61%</w:t>
            </w:r>
          </w:p>
        </w:tc>
        <w:tc>
          <w:tcPr>
            <w:tcW w:w="2432"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1,12%</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11,02%</w:t>
            </w:r>
          </w:p>
        </w:tc>
      </w:tr>
      <w:tr w:rsidR="00000000">
        <w:tblPrEx>
          <w:tblCellMar>
            <w:top w:w="0" w:type="dxa"/>
            <w:bottom w:w="0" w:type="dxa"/>
          </w:tblCellMar>
        </w:tblPrEx>
        <w:trPr>
          <w:cantSplit/>
        </w:trPr>
        <w:tc>
          <w:tcPr>
            <w:tcW w:w="2114" w:type="dxa"/>
            <w:vMerge w:val="restart"/>
            <w:tcBorders>
              <w:top w:val="single" w:sz="4" w:space="0" w:color="auto"/>
              <w:left w:val="single" w:sz="4" w:space="0" w:color="auto"/>
              <w:right w:val="single" w:sz="4" w:space="0" w:color="auto"/>
            </w:tcBorders>
            <w:vAlign w:val="center"/>
          </w:tcPr>
          <w:p w:rsidR="00000000" w:rsidRDefault="00000000">
            <w:pPr>
              <w:spacing w:before="120" w:line="240" w:lineRule="auto"/>
              <w:rPr>
                <w:bCs/>
                <w:sz w:val="18"/>
                <w:szCs w:val="22"/>
              </w:rPr>
            </w:pPr>
            <w:r>
              <w:rPr>
                <w:bCs/>
                <w:sz w:val="18"/>
                <w:szCs w:val="22"/>
              </w:rPr>
              <w:t>Эрнесто Седильо Понсе де Леон (1994</w:t>
            </w:r>
            <w:r>
              <w:rPr>
                <w:bCs/>
                <w:sz w:val="18"/>
                <w:szCs w:val="22"/>
              </w:rPr>
              <w:noBreakHyphen/>
              <w:t>2000)</w:t>
            </w:r>
          </w:p>
        </w:tc>
        <w:tc>
          <w:tcPr>
            <w:tcW w:w="2432"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декабрь 1994/декабрь 1997</w:t>
            </w:r>
          </w:p>
        </w:tc>
        <w:tc>
          <w:tcPr>
            <w:tcW w:w="2432"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декабрь 1994/декабрь 1997</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декабрь 1994/декабрь 1997</w:t>
            </w:r>
          </w:p>
        </w:tc>
      </w:tr>
      <w:tr w:rsidR="00000000">
        <w:tblPrEx>
          <w:tblCellMar>
            <w:top w:w="0" w:type="dxa"/>
            <w:bottom w:w="0" w:type="dxa"/>
          </w:tblCellMar>
        </w:tblPrEx>
        <w:trPr>
          <w:cantSplit/>
        </w:trPr>
        <w:tc>
          <w:tcPr>
            <w:tcW w:w="2114" w:type="dxa"/>
            <w:vMerge/>
            <w:tcBorders>
              <w:left w:val="single" w:sz="4" w:space="0" w:color="auto"/>
              <w:bottom w:val="single" w:sz="4" w:space="0" w:color="auto"/>
              <w:right w:val="single" w:sz="4" w:space="0" w:color="auto"/>
            </w:tcBorders>
          </w:tcPr>
          <w:p w:rsidR="00000000" w:rsidRDefault="00000000">
            <w:pPr>
              <w:spacing w:before="120" w:line="240" w:lineRule="auto"/>
              <w:rPr>
                <w:bCs/>
                <w:sz w:val="18"/>
                <w:szCs w:val="22"/>
              </w:rPr>
            </w:pPr>
          </w:p>
        </w:tc>
        <w:tc>
          <w:tcPr>
            <w:tcW w:w="2432"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-24,45%</w:t>
            </w:r>
          </w:p>
        </w:tc>
        <w:tc>
          <w:tcPr>
            <w:tcW w:w="2432"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-9,10%</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-26,56%</w:t>
            </w:r>
          </w:p>
        </w:tc>
      </w:tr>
      <w:tr w:rsidR="00000000">
        <w:tblPrEx>
          <w:tblCellMar>
            <w:top w:w="0" w:type="dxa"/>
            <w:bottom w:w="0" w:type="dxa"/>
          </w:tblCellMar>
        </w:tblPrEx>
        <w:trPr>
          <w:cantSplit/>
        </w:trPr>
        <w:tc>
          <w:tcPr>
            <w:tcW w:w="2114" w:type="dxa"/>
            <w:vMerge w:val="restart"/>
            <w:tcBorders>
              <w:top w:val="single" w:sz="4" w:space="0" w:color="auto"/>
              <w:left w:val="single" w:sz="4" w:space="0" w:color="auto"/>
              <w:right w:val="single" w:sz="4" w:space="0" w:color="auto"/>
            </w:tcBorders>
            <w:vAlign w:val="center"/>
          </w:tcPr>
          <w:p w:rsidR="00000000" w:rsidRDefault="00000000">
            <w:pPr>
              <w:spacing w:before="120" w:line="240" w:lineRule="auto"/>
              <w:rPr>
                <w:bCs/>
                <w:sz w:val="18"/>
                <w:szCs w:val="22"/>
              </w:rPr>
            </w:pPr>
            <w:r>
              <w:rPr>
                <w:bCs/>
                <w:sz w:val="18"/>
                <w:szCs w:val="22"/>
              </w:rPr>
              <w:t>Карлос Салинас де Гортари (1988-1994)</w:t>
            </w:r>
          </w:p>
        </w:tc>
        <w:tc>
          <w:tcPr>
            <w:tcW w:w="2432"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декабрь 1988/декабрь 1991</w:t>
            </w:r>
          </w:p>
        </w:tc>
        <w:tc>
          <w:tcPr>
            <w:tcW w:w="2432"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декабрь 1988/декабрь 1991</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декабрь 1988/декабрь 1991</w:t>
            </w:r>
          </w:p>
        </w:tc>
      </w:tr>
      <w:tr w:rsidR="00000000">
        <w:tblPrEx>
          <w:tblCellMar>
            <w:top w:w="0" w:type="dxa"/>
            <w:bottom w:w="0" w:type="dxa"/>
          </w:tblCellMar>
        </w:tblPrEx>
        <w:trPr>
          <w:cantSplit/>
        </w:trPr>
        <w:tc>
          <w:tcPr>
            <w:tcW w:w="2114" w:type="dxa"/>
            <w:vMerge/>
            <w:tcBorders>
              <w:left w:val="single" w:sz="4" w:space="0" w:color="auto"/>
              <w:bottom w:val="single" w:sz="4" w:space="0" w:color="auto"/>
              <w:right w:val="single" w:sz="4" w:space="0" w:color="auto"/>
            </w:tcBorders>
          </w:tcPr>
          <w:p w:rsidR="00000000" w:rsidRDefault="00000000">
            <w:pPr>
              <w:spacing w:before="120" w:line="240" w:lineRule="auto"/>
              <w:rPr>
                <w:bCs/>
                <w:sz w:val="18"/>
                <w:szCs w:val="22"/>
              </w:rPr>
            </w:pPr>
          </w:p>
        </w:tc>
        <w:tc>
          <w:tcPr>
            <w:tcW w:w="2432"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-16,65%</w:t>
            </w:r>
          </w:p>
        </w:tc>
        <w:tc>
          <w:tcPr>
            <w:tcW w:w="2432"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-6,00%</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bCs/>
                <w:sz w:val="18"/>
                <w:szCs w:val="22"/>
              </w:rPr>
            </w:pPr>
            <w:r>
              <w:rPr>
                <w:bCs/>
                <w:sz w:val="18"/>
                <w:szCs w:val="22"/>
              </w:rPr>
              <w:t>10,07%</w:t>
            </w:r>
          </w:p>
        </w:tc>
      </w:tr>
    </w:tbl>
    <w:p w:rsidR="00000000" w:rsidRDefault="00000000">
      <w:pPr>
        <w:spacing w:before="120"/>
      </w:pPr>
    </w:p>
    <w:p w:rsidR="00000000" w:rsidRDefault="00000000">
      <w:r>
        <w:br w:type="page"/>
        <w:t>220.</w:t>
      </w:r>
      <w:r>
        <w:tab/>
        <w:t>Как отмечалось выше, ответственность за наблюдение за выполнением годовых норм, касающихся, в частности, размеров минимальной заработной платы, возлагается на органы труда, которые осуществляют свою деятельность на основе институциональных механизмов или механизмов, созданных по инициативе сторон, представляющих соответствующие рекомендации на рассмотрение следующих компетентных арбитражных органов:  МТСО, служб по вопросам труда общефедерального уровня, трудовые инспекции, федеральные советы и местные советы по примирению и арбитражу, федеральный суд по примирению и арбитражу и местные суды по примирению и арбитражу.</w:t>
      </w:r>
    </w:p>
    <w:p w:rsidR="00000000" w:rsidRDefault="00000000"/>
    <w:p w:rsidR="00000000" w:rsidRDefault="00000000">
      <w:r>
        <w:t>221.</w:t>
      </w:r>
      <w:r>
        <w:tab/>
        <w:t>Федеральное управление защиты трудящихся (ПРОФЕДЕТ), находящееся в ведении МТСО, предоставляет трудящимся и профсоюзам бесплатные консультативные услуги, выступает в качестве посредника и юридического представителя в целях содействия созданию благоприятных условий, препятствующих возникновению конфликтов, и их разрешению на основе примирения в качестве наиболее эффективной формы урегулирования конфликтных ситуаций.  Кроме того, при необходимости это управление обеспечивает юридическое представительство трудящихся, находящихся на их содержании лиц и представителей профсоюзов в судах по трудовым вопросам, арбитражных, административных и иных государственных и частных органах.  См. информацию в этой связи в разделе, касающемся подпунктов а) и b) пункта 5 статьи 7.</w:t>
      </w:r>
    </w:p>
    <w:p w:rsidR="00000000" w:rsidRDefault="00000000"/>
    <w:p w:rsidR="00000000" w:rsidRDefault="00000000">
      <w:r>
        <w:t>222.</w:t>
      </w:r>
      <w:r>
        <w:tab/>
        <w:t>Кроме того, в своей деятельности по линии МТСО правительство Мексики опирается на Национальную смешанную комиссию по защите заработной платы (КОНАМПРОС), функции которой заключаются в оказании трудящимся помощи не только в интересах укрепления покупательной способности их заработной платы, но и в интересах общего повышения уровня жизни наемных работников в рамках программ, разрабатываемых на совместной основе трудящимися и представителями государственных органов, что способствует обеспечению более равноправных отношений между трудящимися и работодателями и укреплению новой культуры системы трудовых отношений, направленной на всестороннее развитие человеческого потенциала.</w:t>
      </w:r>
    </w:p>
    <w:p w:rsidR="00000000" w:rsidRDefault="00000000"/>
    <w:p w:rsidR="00000000" w:rsidRDefault="00000000">
      <w:r>
        <w:t>223.</w:t>
      </w:r>
      <w:r>
        <w:tab/>
        <w:t>Во взаимодействии с организациями трудящихся и при поддержке различных инстанций МТСО КОНАМПРОС проводит в жизнь комплексную программу, которая предусматривает осуществление деятельности по следующим четырем направлениям:  техническое сотрудничество с профсоюзами;  социальные акции;  социальное обеспечение, а также организация учебно-информационных курсов для представителей профсоюзов.</w:t>
      </w:r>
    </w:p>
    <w:p w:rsidR="00000000" w:rsidRDefault="00000000"/>
    <w:p w:rsidR="00000000" w:rsidRDefault="00000000">
      <w:pPr>
        <w:numPr>
          <w:ilvl w:val="0"/>
          <w:numId w:val="13"/>
        </w:numPr>
        <w:tabs>
          <w:tab w:val="clear" w:pos="567"/>
          <w:tab w:val="clear" w:pos="720"/>
        </w:tabs>
        <w:ind w:left="1134" w:hanging="567"/>
      </w:pPr>
      <w:r>
        <w:rPr>
          <w:u w:val="single"/>
        </w:rPr>
        <w:t>Техническое сотрудничество с профсоюзами</w:t>
      </w:r>
      <w:r>
        <w:t>.  В данной сфере осуществляется взаимодействие с организациями трудящихся в рамках процесса подготовки ходатайств и пересмотра трудовых соглашений, а также в рамках решения общих вопросов юридического, финансового и налогового характера на условиях неукоснительного соблюдения принципа равноправия и четкого соблюдения юридических норм.  Кроме того, осуществляются мероприятия, содействующие скоординированной деятельности институтов по адекватному распределению материальных благ, включая, в частности, министерство труда и социального обеспечения и министерство финансов и государственного кредита.</w:t>
      </w:r>
    </w:p>
    <w:p w:rsidR="00000000" w:rsidRDefault="00000000">
      <w:pPr>
        <w:tabs>
          <w:tab w:val="clear" w:pos="567"/>
        </w:tabs>
        <w:ind w:left="207"/>
      </w:pPr>
    </w:p>
    <w:p w:rsidR="00000000" w:rsidRDefault="00000000">
      <w:pPr>
        <w:numPr>
          <w:ilvl w:val="0"/>
          <w:numId w:val="13"/>
        </w:numPr>
        <w:tabs>
          <w:tab w:val="clear" w:pos="567"/>
          <w:tab w:val="clear" w:pos="720"/>
        </w:tabs>
        <w:ind w:left="1134" w:hanging="567"/>
      </w:pPr>
      <w:r>
        <w:rPr>
          <w:u w:val="single"/>
        </w:rPr>
        <w:t>Социальные акции</w:t>
      </w:r>
      <w:r>
        <w:t>.  Ключевая задача усилий правительства в данной области заключается в повышении уровня жизни всех граждан страны, в первую очередь представителей наиболее уязвимых слоев населения, что требует искоренения практики социальной маргинализации.  В целях обеспечения более широкого участия трудящихся в этой деятельности и с учетом необходимости оказания помощи профсоюзам в рамках осуществляемых ими мероприятий по повышению уровня жизни трудящихся КОНАМПРОС, опираясь на организации трудящихся и при поддержке МТСО и других государственных учреждений, реализует ряд социальных программ, направленных на обеспечение школ оборудованием, поддержание системы распределения рождественских подарков, предоставление различных социальных льгот и услуг.  Кроме того, осуществляются различные мероприятия по снабжению уязвимых слоев населения товарами первой необходимости по льготным целям, обеспечению их продовольствием, жильем, созданию благоприятных условий для культурного развития, досуга и занятия спортом.</w:t>
      </w:r>
    </w:p>
    <w:p w:rsidR="00000000" w:rsidRDefault="00000000">
      <w:pPr>
        <w:tabs>
          <w:tab w:val="clear" w:pos="567"/>
        </w:tabs>
        <w:ind w:left="207"/>
      </w:pPr>
    </w:p>
    <w:p w:rsidR="00000000" w:rsidRDefault="00000000">
      <w:pPr>
        <w:tabs>
          <w:tab w:val="clear" w:pos="567"/>
        </w:tabs>
        <w:ind w:left="1134" w:hanging="927"/>
      </w:pPr>
      <w:r>
        <w:tab/>
        <w:t>Кроме того, проводится кампания, направленная на укрепление покупательной способности заработной платы наемных работников в рамках целого ряда мероприятий, предусматривающих, в частности, приобретение товаров длительного пользования на льготных условиях, а также обеспечение справедливого и оперативного распределения материальных благ и выплаты субсидий нуждающимся.</w:t>
      </w:r>
    </w:p>
    <w:p w:rsidR="00000000" w:rsidRDefault="00000000">
      <w:pPr>
        <w:tabs>
          <w:tab w:val="clear" w:pos="567"/>
        </w:tabs>
        <w:ind w:left="1134" w:hanging="927"/>
      </w:pPr>
    </w:p>
    <w:p w:rsidR="00000000" w:rsidRDefault="00000000">
      <w:pPr>
        <w:numPr>
          <w:ilvl w:val="0"/>
          <w:numId w:val="13"/>
        </w:numPr>
        <w:tabs>
          <w:tab w:val="clear" w:pos="567"/>
          <w:tab w:val="clear" w:pos="720"/>
        </w:tabs>
        <w:ind w:left="1134" w:hanging="567"/>
      </w:pPr>
      <w:r>
        <w:rPr>
          <w:u w:val="single"/>
        </w:rPr>
        <w:t>Социальное обеспечение</w:t>
      </w:r>
      <w:r>
        <w:t>.  В целях поддержки осуществляемых правительством программ и информирования профсоюзных организаций и трудящихся о ходе их осуществления КОНАМПРОС обеспечивает оказание</w:t>
      </w:r>
    </w:p>
    <w:p w:rsidR="00000000" w:rsidRDefault="00000000">
      <w:pPr>
        <w:tabs>
          <w:tab w:val="clear" w:pos="567"/>
        </w:tabs>
        <w:ind w:left="1134" w:hanging="927"/>
      </w:pPr>
      <w:r>
        <w:br w:type="page"/>
      </w:r>
      <w:r>
        <w:tab/>
        <w:t>целенаправленной и эффективной помощи службам профессионально-технической подготовки и занятости, а также осуществляет мероприятия, способствующие решению любых возможных производственных проблем или конфликтов, затрагивающих интересы работающих по найму лиц.  КОНАМПРОС осуществляет свою деятельность в координации с инициативами трудящихся и опирается на разрабатываемые МТСО программы и мероприятия в интересах профсоюзов и конкретных трудящихся.</w:t>
      </w:r>
    </w:p>
    <w:p w:rsidR="00000000" w:rsidRDefault="00000000">
      <w:pPr>
        <w:tabs>
          <w:tab w:val="clear" w:pos="567"/>
        </w:tabs>
        <w:ind w:left="207"/>
      </w:pPr>
    </w:p>
    <w:p w:rsidR="00000000" w:rsidRDefault="00000000">
      <w:pPr>
        <w:numPr>
          <w:ilvl w:val="0"/>
          <w:numId w:val="13"/>
        </w:numPr>
        <w:tabs>
          <w:tab w:val="clear" w:pos="567"/>
          <w:tab w:val="clear" w:pos="720"/>
        </w:tabs>
        <w:ind w:left="1134" w:hanging="567"/>
      </w:pPr>
      <w:r>
        <w:rPr>
          <w:u w:val="single"/>
        </w:rPr>
        <w:t>Организация информационно-учебных мероприятий для профсоюзов</w:t>
      </w:r>
      <w:r>
        <w:t>.  В этой связи существуют, в частности, две телевизионные программы:  "Трудовой форум" и "Движение".  Как правило, в рамках этих телевизионных программ регулярно транслируются репортажи, посвященные различным аспектам производственной деятельности, а также проводятся интервью с руководителями профсоюзов и должностными лицами, занимающимися соответствующим сектором, что позволяет зрителям получить максимально полное представление о положении в производственной сфере.  Кроме того, транслируются краткие репортажи о форумах, семинарах, совещаниях и аналогичных мероприятиях.  В рамках телепрограммы "Движение" 40% информации предоставляется правительством Мексики;  эта информация включает краткие сводки местных новостей и интервью с руководителями организаций трудящихся и представителями государственных органов соответствующего района.</w:t>
      </w:r>
    </w:p>
    <w:p w:rsidR="00000000" w:rsidRDefault="00000000"/>
    <w:p w:rsidR="00000000" w:rsidRDefault="00000000">
      <w:r>
        <w:t>224.</w:t>
      </w:r>
      <w:r>
        <w:tab/>
        <w:t>Эти четыре направления деятельности предусматривают осуществление целого комплекса мероприятий как в целях укрепления покупательной способности заработной платы и повышения уровня жизни трудящихся и членов их семей, так и в целях удовлетворения нужд профсоюзных организаций.</w:t>
      </w:r>
    </w:p>
    <w:p w:rsidR="00000000" w:rsidRDefault="00000000"/>
    <w:p w:rsidR="00000000" w:rsidRDefault="00000000">
      <w:r>
        <w:t>225.</w:t>
      </w:r>
      <w:r>
        <w:tab/>
        <w:t>В соответствии с обозначенными выше целями комплексная программа КОНАМПРОС осуществляется в рамках общей социально-экономической государственной стратегии.</w:t>
      </w:r>
    </w:p>
    <w:p w:rsidR="00000000" w:rsidRDefault="00000000"/>
    <w:p w:rsidR="00000000" w:rsidRDefault="00000000">
      <w:pPr>
        <w:rPr>
          <w:b/>
          <w:bCs/>
        </w:rPr>
      </w:pPr>
      <w:r>
        <w:rPr>
          <w:b/>
          <w:bCs/>
        </w:rPr>
        <w:t>Пункт 15 с)</w:t>
      </w:r>
    </w:p>
    <w:p w:rsidR="00000000" w:rsidRDefault="00000000">
      <w:pPr>
        <w:rPr>
          <w:b/>
          <w:bCs/>
        </w:rPr>
      </w:pPr>
    </w:p>
    <w:p w:rsidR="00000000" w:rsidRDefault="00000000">
      <w:r>
        <w:t>226.</w:t>
      </w:r>
      <w:r>
        <w:tab/>
        <w:t xml:space="preserve">Согласно статьям 1 и 4 Политической конституции Мексиканских Соединенных Штатов принцип равенства является общественным правом, которое гарантируется на </w:t>
      </w:r>
    </w:p>
    <w:p w:rsidR="00000000" w:rsidRDefault="00000000">
      <w:r>
        <w:br w:type="page"/>
        <w:t>различных уровнях государственной власти, а также государственными органами в целом и имеет конкретной целью удовлетворение социальных и индивидуальных потребностей граждан</w:t>
      </w:r>
      <w:r>
        <w:rPr>
          <w:rStyle w:val="FootnoteReference"/>
        </w:rPr>
        <w:footnoteReference w:id="13"/>
      </w:r>
      <w:r>
        <w:t xml:space="preserve">. </w:t>
      </w:r>
    </w:p>
    <w:p w:rsidR="00000000" w:rsidRDefault="00000000"/>
    <w:p w:rsidR="00000000" w:rsidRDefault="00000000">
      <w:r>
        <w:t>227.</w:t>
      </w:r>
      <w:r>
        <w:tab/>
        <w:t>Настоящая конституционная гарантия дополняется положениями пункта VII статьи 123 Конституции, в которой говорится следующее:</w:t>
      </w:r>
    </w:p>
    <w:p w:rsidR="00000000" w:rsidRDefault="00000000"/>
    <w:p w:rsidR="00000000" w:rsidRDefault="00000000">
      <w:pPr>
        <w:ind w:left="1134" w:hanging="1134"/>
      </w:pPr>
      <w:r>
        <w:tab/>
        <w:t>"VII.</w:t>
      </w:r>
      <w:r>
        <w:tab/>
        <w:t>За труд равной ценности выплачивается равное денежное вознаграждение, независимо от пола и гражданства".</w:t>
      </w:r>
    </w:p>
    <w:p w:rsidR="00000000" w:rsidRDefault="00000000">
      <w:pPr>
        <w:ind w:left="567" w:hanging="567"/>
      </w:pPr>
    </w:p>
    <w:p w:rsidR="00000000" w:rsidRDefault="00000000">
      <w:r>
        <w:t>228.</w:t>
      </w:r>
      <w:r>
        <w:tab/>
        <w:t>В этой связи в статье 86 федерального закона о труде, регламентирующей порядок применения статьи 123 Конституции, говорится, что за труд равной ценности, выполняемый на одном и том же рабочем месте в течение одного и того же рабочего времени и равных условиях, выплачивается равное денежное вознаграждение.</w:t>
      </w:r>
    </w:p>
    <w:p w:rsidR="00000000" w:rsidRDefault="00000000"/>
    <w:p w:rsidR="00000000" w:rsidRDefault="00000000">
      <w:r>
        <w:t>229.</w:t>
      </w:r>
      <w:r>
        <w:tab/>
        <w:t>Информация, касающаяся процедуры и установления размеров минимальной заработной платы, содержится в разделе, посвященном пункту 2 а) статьи 7.</w:t>
      </w:r>
    </w:p>
    <w:p w:rsidR="00000000" w:rsidRDefault="00000000"/>
    <w:p w:rsidR="00000000" w:rsidRDefault="00000000">
      <w:r>
        <w:t>230.</w:t>
      </w:r>
      <w:r>
        <w:tab/>
        <w:t>В этой связи и в соответствии с закрепленным в Конституции принципом равноправия и законности и осуществления процедуры определения размеров общей минимальной заработной платы ни в коем случае не могут применяться критерии или методы, прямым или непосредственным следствием которых является дискриминация какого-либо лица или группы лиц, будь то физические и юридические лица, а также ущемление норм публичного или традиционного права, в частности, по признакам пола, возраста или социального положения.</w:t>
      </w:r>
    </w:p>
    <w:p w:rsidR="00000000" w:rsidRDefault="00000000">
      <w:r>
        <w:t>231.</w:t>
      </w:r>
      <w:r>
        <w:tab/>
        <w:t>Кроме того, следует отметить, что из информации, полученной в ходе Национального обследования в области занятости за первые три месяца 2004 года, следует, что доходы 46,2% трудящихся женщин колеблются в пределах двух минимальных заработных плат, что значительно превышает аналогичную долю среди работающих мужчин, которая составляет 32,9%.  Вместе с тем, для целей решения вопроса относительно наличия неравенства в оплате труда равной ценности необходимо проанализировать одинаковые виды трудовой деятельности и рассмотреть ряд других аспектов, касающихся, в частности, продолжительности рабочего времени.  Этот вопрос решается на основе информации, получаемой в ходе Национального обследования по проблемам занятости, заработной платы, технологии и квалификации в промышленном секторе (ЭНЕСТИК), которое охватывает, в частности, экспортно-сборочную промышленность и содержит данные о заработной плате и денежном вознаграждении в разбивке по основным видам профессий и трудовой деятельности, что позволяет определить величину разрыва в заработной плате между женщинами и мужчинами;  так, например, если в 1999 году разрыв в заработной плате между мужчинами и женщинами составлял 10,2% в пользу мужчин, то в 2001 году он сократился до 5,7%.  Кроме того, следует обратить внимание на сокращение разрыва в денежном вознаграждении по гендерному признаку среди квалифицированных и неквалифицированных трудящихся:  за период с 1999 года соответствующий разрыв сократился с 22,9% для квалифицированных рабочих и 10,8% для неквалифицированных рабочих до 7,5% и 5,2%.  Вместе с тем разрыв в заработной плате между мужчинами и женщинами на руководящих постах вырос за тот же период в пользу мужчин с 18,8% до 21,6%.  При этом речь идет не о конкретных профессиях, а о различных уровнях административной деятельности и свидетельствует о более высокой доле мужчин по сравнению с женщинами на более высоких административных постах.</w:t>
      </w:r>
    </w:p>
    <w:p w:rsidR="00000000" w:rsidRDefault="00000000"/>
    <w:p w:rsidR="00000000" w:rsidRDefault="00000000">
      <w:r>
        <w:t>232.</w:t>
      </w:r>
      <w:r>
        <w:tab/>
        <w:t>МТСО способствовало заключению 16 соглашений с частными структурами и правительственными органами в целях улучшения условий труда женщин, которые охватывали в общей сложности 470 000 трудящихся женщин и членов их семей.</w:t>
      </w:r>
    </w:p>
    <w:p w:rsidR="00000000" w:rsidRDefault="00000000"/>
    <w:p w:rsidR="00000000" w:rsidRDefault="00000000">
      <w:r>
        <w:t>233.</w:t>
      </w:r>
      <w:r>
        <w:tab/>
        <w:t>Так, например, было подписано соглашение о взаимодействии между Национальным советом по экспортно-сборочным производствам и министерством труда и социального обеспечения в интересах трудящихся женщин и членов их семей.  Это соглашение способствовало заключению еще 15 договоренностей с правительствами штатов и ассоциациями женщин-предпринимателей, которые обязались исключить из числа обязательных требований при найме на работу требование о прохождении освидетльствования на предмет беременности, а также требование об обязательном использовании контрацептивных средств на период работы по найму.  Кроме того, соответствующими соглашениями предусматривалось осуществление программ, способствующих выполнению женщинами своих семейных обязанностей и организации на производстве специальных мест для кормления грудных детей.  В дополнение к этому по линии министерства труда и социального обеспечения осуществляются следующие мероприятия:</w:t>
      </w:r>
    </w:p>
    <w:p w:rsidR="00000000" w:rsidRDefault="00000000"/>
    <w:p w:rsidR="00000000" w:rsidRDefault="00000000">
      <w:pPr>
        <w:numPr>
          <w:ilvl w:val="0"/>
          <w:numId w:val="14"/>
        </w:numPr>
      </w:pPr>
      <w:r>
        <w:t>Программа по содействию занятости женщин и созданию для них более благоприятных условий труда, которая осуществляется во взаимодействии с Международной организацией труда (МОТ).  Первый проект в рамках этой программы осуществлялся с апреля 2000 года по сентябрь 2002 года и имел целью расширение возможностей для трудоустройства женщин и улучшение условий труда трудящихся женщин, занятых в сборочно-экспортной промышленности штата Коауила и в неформальном секторе экономики штата Герреро.  С учетом положительных результатов было решено приступить к реализации еще одного проекта, рассчитанного на 18-месячный период, с целью расширения возможностей для трудоустройства женщин в неформальном секторе экономики штатов Чьяпас, Веракрус и Юкатан и улучшения условий труда женщин, занятых в сборочно-экспортном производстве в штатах Чиуауа и Юкатан.</w:t>
      </w:r>
    </w:p>
    <w:p w:rsidR="00000000" w:rsidRDefault="00000000"/>
    <w:p w:rsidR="00000000" w:rsidRDefault="00000000">
      <w:pPr>
        <w:numPr>
          <w:ilvl w:val="0"/>
          <w:numId w:val="15"/>
        </w:numPr>
      </w:pPr>
      <w:r>
        <w:t xml:space="preserve">В 2003 году сотрудники министерства труда и социального обеспечения принимали участие в работе организованного МОТ интерактивного семинара по вопросам внедрения систем профессиональной подготовки в целях повышения занятости и реализации гендерного равноправия, а также в целях расширения возможностей различных социальных структур в контексте исследования гендерных аспектов в соответствующих областях своей деятельности.  </w:t>
      </w:r>
    </w:p>
    <w:p w:rsidR="00000000" w:rsidRDefault="00000000">
      <w:pPr>
        <w:tabs>
          <w:tab w:val="clear" w:pos="1134"/>
        </w:tabs>
      </w:pPr>
    </w:p>
    <w:p w:rsidR="00000000" w:rsidRDefault="00000000">
      <w:pPr>
        <w:numPr>
          <w:ilvl w:val="0"/>
          <w:numId w:val="15"/>
        </w:numPr>
      </w:pPr>
      <w:r>
        <w:t xml:space="preserve">В целях активизации деятельности организаций предпринимателей, трудящихся и гражданского общества было организовано общенациональное обсуждение поправок к федеральному закону о труде, касающихся сексуального домогательства, а также поправок к статьям 101-107 закона о социальном обеспечении, касающихся организации на рабочих местах специальном помещении для кормления грудных детей.  </w:t>
      </w:r>
    </w:p>
    <w:p w:rsidR="00000000" w:rsidRDefault="00000000">
      <w:pPr>
        <w:tabs>
          <w:tab w:val="clear" w:pos="1134"/>
        </w:tabs>
      </w:pPr>
    </w:p>
    <w:p w:rsidR="00000000" w:rsidRDefault="00000000">
      <w:pPr>
        <w:numPr>
          <w:ilvl w:val="0"/>
          <w:numId w:val="15"/>
        </w:numPr>
      </w:pPr>
      <w:r>
        <w:t>В стране проводятся на постоянной основе кампании по улучшению условий труда женщин и по искоренению применяющегося при найме на работу требования о прохождении освидетельствования на предмет беременности.  В ходе этой кампании предусматривается распространение соответствующих брошюр в различных государственных органах и учреждениях по всей стране, а также консультирование женщин сотрудниками компетентных учреждений, в частности по вопросам, касающимся случаев увольнения по причине беременности.</w:t>
      </w:r>
    </w:p>
    <w:p w:rsidR="00000000" w:rsidRDefault="00000000">
      <w:pPr>
        <w:tabs>
          <w:tab w:val="clear" w:pos="1134"/>
        </w:tabs>
      </w:pPr>
    </w:p>
    <w:p w:rsidR="00000000" w:rsidRDefault="00000000">
      <w:pPr>
        <w:numPr>
          <w:ilvl w:val="0"/>
          <w:numId w:val="15"/>
        </w:numPr>
      </w:pPr>
      <w:r>
        <w:t>Трансляция радиопрограмм, посвященных трудовым правам и обязанностям трудящихся женщин, а также распространение буклетов и плакатов о важности женского труда.</w:t>
      </w:r>
    </w:p>
    <w:p w:rsidR="00000000" w:rsidRDefault="00000000">
      <w:pPr>
        <w:tabs>
          <w:tab w:val="clear" w:pos="1134"/>
        </w:tabs>
      </w:pPr>
    </w:p>
    <w:p w:rsidR="00000000" w:rsidRDefault="00000000">
      <w:pPr>
        <w:numPr>
          <w:ilvl w:val="0"/>
          <w:numId w:val="15"/>
        </w:numPr>
      </w:pPr>
      <w:r>
        <w:t xml:space="preserve">В рамках развития системы профессионально-технической подготовки с учетом гендерной перспективы проводились рабочие совещания и конференции представителей федеральных управлений по вопросам труда, посвященные развитию культуры новой системы трудовых отношений.  </w:t>
      </w:r>
    </w:p>
    <w:p w:rsidR="00000000" w:rsidRDefault="00000000">
      <w:pPr>
        <w:tabs>
          <w:tab w:val="clear" w:pos="1134"/>
        </w:tabs>
      </w:pPr>
    </w:p>
    <w:p w:rsidR="00000000" w:rsidRDefault="00000000">
      <w:r>
        <w:t>234.</w:t>
      </w:r>
      <w:r>
        <w:tab/>
        <w:t>К настоящему докладу прилагается статистическая информация о занятости среди мужчин и женщин в разбивке по уровню доходов (приложение IV).</w:t>
      </w:r>
    </w:p>
    <w:p w:rsidR="00000000" w:rsidRDefault="00000000"/>
    <w:bookmarkStart w:id="70" w:name="_MON_1197960280"/>
    <w:bookmarkStart w:id="71" w:name="_MON_1197960433"/>
    <w:bookmarkStart w:id="72" w:name="_MON_1197960529"/>
    <w:bookmarkStart w:id="73" w:name="_MON_1197960566"/>
    <w:bookmarkStart w:id="74" w:name="_MON_1197960598"/>
    <w:bookmarkStart w:id="75" w:name="_MON_1197960699"/>
    <w:bookmarkStart w:id="76" w:name="_MON_1197960731"/>
    <w:bookmarkStart w:id="77" w:name="_MON_1197960772"/>
    <w:bookmarkStart w:id="78" w:name="_MON_1197962159"/>
    <w:bookmarkStart w:id="79" w:name="_MON_1197962295"/>
    <w:bookmarkStart w:id="80" w:name="_MON_1197962649"/>
    <w:bookmarkStart w:id="81" w:name="_MON_1197963011"/>
    <w:bookmarkStart w:id="82" w:name="_MON_1197963154"/>
    <w:bookmarkStart w:id="83" w:name="_MON_1197963228"/>
    <w:bookmarkStart w:id="84" w:name="_MON_1197963286"/>
    <w:bookmarkStart w:id="85" w:name="_MON_1197963550"/>
    <w:bookmarkStart w:id="86" w:name="_MON_1197963738"/>
    <w:bookmarkStart w:id="87" w:name="_MON_1197963775"/>
    <w:bookmarkStart w:id="88" w:name="_MON_1197963942"/>
    <w:bookmarkStart w:id="89" w:name="_MON_1197964015"/>
    <w:bookmarkStart w:id="90" w:name="_MON_1197964250"/>
    <w:bookmarkStart w:id="91" w:name="_MON_1197964332"/>
    <w:bookmarkStart w:id="92" w:name="_MON_1197964440"/>
    <w:bookmarkStart w:id="93" w:name="_MON_1197964454"/>
    <w:bookmarkStart w:id="94" w:name="_MON_1204021222"/>
    <w:bookmarkStart w:id="95" w:name="_MON_1204022088"/>
    <w:bookmarkStart w:id="96" w:name="_MON_1204441948"/>
    <w:bookmarkStart w:id="97" w:name="_MON_1204614533"/>
    <w:bookmarkStart w:id="98" w:name="_MON_1204721760"/>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rsidR="00000000" w:rsidRDefault="00000000">
      <w:pPr>
        <w:jc w:val="center"/>
      </w:pPr>
      <w:r>
        <w:object w:dxaOrig="7218" w:dyaOrig="5426">
          <v:shape id="_x0000_i1032" type="#_x0000_t75" style="width:360.75pt;height:271.5pt" o:ole="">
            <v:imagedata r:id="rId21" o:title=""/>
          </v:shape>
          <o:OLEObject Type="Embed" ProgID="Word.Picture.8" ShapeID="_x0000_i1032" DrawAspect="Content" ObjectID="_1394895087" r:id="rId22"/>
        </w:object>
      </w:r>
    </w:p>
    <w:p w:rsidR="00000000" w:rsidRDefault="00000000">
      <w:pPr>
        <w:jc w:val="center"/>
      </w:pPr>
    </w:p>
    <w:p w:rsidR="00000000" w:rsidRDefault="00000000">
      <w:pPr>
        <w:spacing w:line="240" w:lineRule="auto"/>
        <w:rPr>
          <w:sz w:val="18"/>
        </w:rPr>
      </w:pPr>
      <w:r>
        <w:rPr>
          <w:i/>
          <w:iCs/>
          <w:sz w:val="18"/>
        </w:rPr>
        <w:t>Источник:</w:t>
      </w:r>
      <w:r>
        <w:rPr>
          <w:sz w:val="18"/>
        </w:rPr>
        <w:t xml:space="preserve">  министерство труда и социального обеспечения.</w:t>
      </w:r>
    </w:p>
    <w:p w:rsidR="00000000" w:rsidRDefault="00000000">
      <w:pPr>
        <w:rPr>
          <w:b/>
          <w:bCs/>
        </w:rPr>
      </w:pPr>
    </w:p>
    <w:p w:rsidR="00000000" w:rsidRDefault="00000000">
      <w:pPr>
        <w:rPr>
          <w:b/>
          <w:bCs/>
        </w:rPr>
      </w:pPr>
      <w:r>
        <w:rPr>
          <w:b/>
          <w:bCs/>
        </w:rPr>
        <w:br w:type="page"/>
        <w:t>Пункт 15 d)</w:t>
      </w:r>
    </w:p>
    <w:p w:rsidR="00000000" w:rsidRDefault="00000000">
      <w:pPr>
        <w:rPr>
          <w:b/>
          <w:bCs/>
        </w:rPr>
      </w:pPr>
    </w:p>
    <w:p w:rsidR="00000000" w:rsidRDefault="00000000">
      <w:r>
        <w:t>235.</w:t>
      </w:r>
      <w:r>
        <w:tab/>
        <w:t>Из информации, полученной в ходе Национального обследования занятости за первый триместр 2004 года, явствует, что система распределения доходов в государственном секторе является более благоприятной для наемных работников по сравнению с частным сектором.  Так, например, уровень доходов 81,7% наемных работников государственного сектора составляет более двух минимальных заработных плат, тогда как в частном секторе категория наемных работников, имеющих соответствующий уровень дохода, составляет всего 52,6%.  Что касается данных относительно размеров денежного вознаграждения по сопоставимым видам трудовой деятельности в государственном и частном секторах, то приходится констатировать отсутствие источников информации, которые позволяли бы осуществить анализ на предмет такого сопоставления.</w:t>
      </w:r>
    </w:p>
    <w:p w:rsidR="00000000" w:rsidRDefault="00000000"/>
    <w:p w:rsidR="00000000" w:rsidRDefault="00000000">
      <w:pPr>
        <w:rPr>
          <w:b/>
          <w:bCs/>
        </w:rPr>
      </w:pPr>
      <w:r>
        <w:rPr>
          <w:b/>
          <w:bCs/>
        </w:rPr>
        <w:t>Пункт 16</w:t>
      </w:r>
    </w:p>
    <w:p w:rsidR="00000000" w:rsidRDefault="00000000">
      <w:pPr>
        <w:rPr>
          <w:b/>
          <w:bCs/>
        </w:rPr>
      </w:pPr>
    </w:p>
    <w:p w:rsidR="00000000" w:rsidRDefault="00000000">
      <w:r>
        <w:t>236.</w:t>
      </w:r>
      <w:r>
        <w:tab/>
        <w:t>Нормы, касающиеся техники безопасности и охраны здоровья на производстве, базируются на положениях пункта ХV и последнего абзаца пункта ХХХI статьи 132 Политической конституции Мексиканских Соединенных Штатов, а также на пунктах </w:t>
      </w:r>
      <w:r>
        <w:rPr>
          <w:lang w:val="en-US"/>
        </w:rPr>
        <w:t>XVI</w:t>
      </w:r>
      <w:r>
        <w:t xml:space="preserve">, </w:t>
      </w:r>
      <w:r>
        <w:rPr>
          <w:lang w:val="en-US"/>
        </w:rPr>
        <w:t>XVII</w:t>
      </w:r>
      <w:r>
        <w:t xml:space="preserve">, </w:t>
      </w:r>
      <w:r>
        <w:rPr>
          <w:lang w:val="en-US"/>
        </w:rPr>
        <w:t>XVIII</w:t>
      </w:r>
      <w:r>
        <w:t xml:space="preserve">, </w:t>
      </w:r>
      <w:r>
        <w:rPr>
          <w:lang w:val="en-US"/>
        </w:rPr>
        <w:t>XXVII</w:t>
      </w:r>
      <w:r>
        <w:t xml:space="preserve">, </w:t>
      </w:r>
      <w:r>
        <w:rPr>
          <w:lang w:val="en-US"/>
        </w:rPr>
        <w:t>XXVIII</w:t>
      </w:r>
      <w:r>
        <w:t xml:space="preserve"> статьи 132 Конституции и статьях 509 и 512 федерального закона о труде.  В целях создания более благоприятных с точки зрения безопасности и охраны здоровья условий труда Мексика ратифицировала следующие Конвенции МОТ:  Конвенцию № 155 о защите от радиации, Конвенцию № 120 о гигиене в торговле и учреждениях, Конвенцию № 155 о трудящихся с семейными обязанностями, Конвенцию</w:t>
      </w:r>
      <w:r>
        <w:rPr>
          <w:lang w:val="en-US"/>
        </w:rPr>
        <w:t> </w:t>
      </w:r>
      <w:r>
        <w:t>№ 161 о службах гигиены труда, Конвенцию № 167 о безопасности и гигиене труда в строительстве, Конвенцию № 170 о химических веществах.</w:t>
      </w:r>
    </w:p>
    <w:p w:rsidR="00000000" w:rsidRDefault="00000000">
      <w:pPr>
        <w:rPr>
          <w:lang w:val="en-US"/>
        </w:rPr>
      </w:pPr>
    </w:p>
    <w:p w:rsidR="00000000" w:rsidRDefault="00000000">
      <w:r>
        <w:t>237.</w:t>
      </w:r>
      <w:r>
        <w:tab/>
        <w:t>Кроме того, следует отметить, что другие юридические положения, на основе которых применяются нормы, касающиеся безопасности, гигиены и условий труда на производстве, содержатся в Федеральном регламенте безопасности, гигиены и условий труда на производстве, Общем регламенте инспекционных мероприятий и применения санкций за нарушения трудового законодательства, а также в 36 ныне действующих в стране нормативных актах, определяющих минимальные требования, которые должен соблюдать работодатель для целей обеспечения того, чтобы труд наемного работника осуществлялся на условиях, не наносящих ущерба его жизни и здоровью.</w:t>
      </w:r>
    </w:p>
    <w:p w:rsidR="00000000" w:rsidRDefault="00000000"/>
    <w:p w:rsidR="00000000" w:rsidRDefault="00000000">
      <w:r>
        <w:br w:type="page"/>
        <w:t>238.</w:t>
      </w:r>
      <w:r>
        <w:tab/>
        <w:t>С момента вступления в силу 20 декабря 2001 года поправок к закону о социальном обеспечении осуществляется деятельность в рамках системы надзора за безопасностью и охраной здоровья на производстве;  эти поправки предусматривают, что входящие в систему МТСО предприятия отчисляют 2,2% прибыли на покрытие расходов, связанных с производственными рисками.</w:t>
      </w:r>
    </w:p>
    <w:p w:rsidR="00000000" w:rsidRDefault="00000000"/>
    <w:p w:rsidR="00000000" w:rsidRDefault="00000000">
      <w:pPr>
        <w:rPr>
          <w:lang w:val="en-US"/>
        </w:rPr>
      </w:pPr>
      <w:r>
        <w:t>239.</w:t>
      </w:r>
      <w:r>
        <w:tab/>
        <w:t xml:space="preserve">МТСО осуществляет надзор за соблюдением норм, касающихся безопасности и охраны здоровья на производстве, посредством организации инспекционных проверок на предприятиях.  Следует отметить, что за период с января по июнь 2004 года было проведено в общей сложности 4 445 инспекционных проверок на предприятиях федеральной юрисдикции, в ходе которых осуществлялся контроль за соблюдением норм, касающихся условий труда наемных работников.  </w:t>
      </w:r>
    </w:p>
    <w:p w:rsidR="00000000" w:rsidRDefault="00000000">
      <w:pPr>
        <w:rPr>
          <w:lang w:val="en-US"/>
        </w:rPr>
      </w:pPr>
    </w:p>
    <w:p w:rsidR="00000000" w:rsidRDefault="00000000">
      <w:r>
        <w:t>240.</w:t>
      </w:r>
      <w:r>
        <w:tab/>
        <w:t>Кроме того, следует отметить, что в дополнение к системе инспекционных проверок существуют контрольные механизмы, которые используются с согласия предпринимателей и цель которых заключается в обеспечении соблюдения норм в области безопасности и охраны здоровья на производстве.  К числу этих вспомогательных механизмов относятся следующие:</w:t>
      </w:r>
    </w:p>
    <w:p w:rsidR="00000000" w:rsidRDefault="00000000"/>
    <w:p w:rsidR="00000000" w:rsidRDefault="00000000">
      <w:pPr>
        <w:numPr>
          <w:ilvl w:val="0"/>
          <w:numId w:val="16"/>
        </w:numPr>
      </w:pPr>
      <w:r>
        <w:t>программа для предпринимателей и трудящихся, ответственных за соблюдение норм в области техники безопасности и гигиены на производстве.</w:t>
      </w:r>
    </w:p>
    <w:p w:rsidR="00000000" w:rsidRDefault="00000000">
      <w:pPr>
        <w:tabs>
          <w:tab w:val="clear" w:pos="1134"/>
        </w:tabs>
      </w:pPr>
    </w:p>
    <w:p w:rsidR="00000000" w:rsidRDefault="00000000">
      <w:pPr>
        <w:numPr>
          <w:ilvl w:val="0"/>
          <w:numId w:val="16"/>
        </w:numPr>
      </w:pPr>
      <w:r>
        <w:t>структуры по обеспечению контроля, представляющие собой частные инспекционные службы, сотрудниками которых являются физические или юридические лица, аккредитованные и подведомственные МТСО.</w:t>
      </w:r>
    </w:p>
    <w:p w:rsidR="00000000" w:rsidRDefault="00000000">
      <w:pPr>
        <w:tabs>
          <w:tab w:val="clear" w:pos="1134"/>
        </w:tabs>
      </w:pPr>
    </w:p>
    <w:p w:rsidR="00000000" w:rsidRDefault="00000000">
      <w:r>
        <w:t>241.</w:t>
      </w:r>
      <w:r>
        <w:tab/>
        <w:t>Нормы в области безопасности и гигиены на производстве применяются на всей территории страны и на всех предприятиях независимо от характера производственной деятельности.</w:t>
      </w:r>
    </w:p>
    <w:p w:rsidR="00000000" w:rsidRDefault="00000000"/>
    <w:p w:rsidR="00000000" w:rsidRDefault="00000000">
      <w:pPr>
        <w:rPr>
          <w:b/>
          <w:bCs/>
        </w:rPr>
      </w:pPr>
      <w:r>
        <w:rPr>
          <w:b/>
          <w:bCs/>
        </w:rPr>
        <w:t>Пункт 17</w:t>
      </w:r>
    </w:p>
    <w:p w:rsidR="00000000" w:rsidRDefault="00000000">
      <w:pPr>
        <w:rPr>
          <w:b/>
          <w:bCs/>
        </w:rPr>
      </w:pPr>
    </w:p>
    <w:p w:rsidR="00000000" w:rsidRDefault="00000000">
      <w:r>
        <w:t>242.</w:t>
      </w:r>
      <w:r>
        <w:tab/>
        <w:t>В настоящее время участие женщин в производственной деятельности существенно увеличивается.  В результате преобразований в формальном секторе экономики доля работающих женщин выросла с 17,6% в 1970 году до 36,5% в 2000 году.  В некоторых отраслях экономики страны численность работающих женщин сравнялась с численностью работающих мужчин.  Что касается мужчин, то за период с 1995</w:t>
      </w:r>
      <w:r>
        <w:noBreakHyphen/>
        <w:t>2000 годов наблюдалось некоторое сокращение доли мужчин в экономически активном населении:  в 1995 году она составляла 78,2%, а в 2000 году </w:t>
      </w:r>
      <w:r>
        <w:noBreakHyphen/>
        <w:t xml:space="preserve"> 76,8%.</w:t>
      </w:r>
    </w:p>
    <w:p w:rsidR="00000000" w:rsidRDefault="00000000">
      <w:r>
        <w:t>243.</w:t>
      </w:r>
      <w:r>
        <w:tab/>
        <w:t>Все более активное участие женщин в производительной деятельности, с одной стороны, объясняется необходимостью увеличения доходов семьи, а с другой </w:t>
      </w:r>
      <w:r>
        <w:noBreakHyphen/>
        <w:t xml:space="preserve"> ускоренным ростом образовательного уровня женщин, что позволяет им самостоятельно выходить на рынок труда.  По мере роста уровня школьного  образования повышается доля участия трудоспособного населения в производительной деятельности.  Так, согласно данным Национального обследования занятости за период 1995</w:t>
      </w:r>
      <w:r>
        <w:noBreakHyphen/>
        <w:t>2000 годов, численность населения, имеющего среднее и высшее образование, повысилась соответственно на 73,7% и 74,3%.</w:t>
      </w:r>
    </w:p>
    <w:p w:rsidR="00000000" w:rsidRDefault="00000000"/>
    <w:p w:rsidR="00000000" w:rsidRDefault="00000000">
      <w:r>
        <w:t>244.</w:t>
      </w:r>
      <w:r>
        <w:tab/>
        <w:t>Если в 1995 году доля замужних женщин на рынке труда составляла 29,8%, то в 2000 году соответствующая доля составила 34,5%.  Еще выше этот показатель для женщин </w:t>
      </w:r>
      <w:r>
        <w:noBreakHyphen/>
        <w:t xml:space="preserve"> глав семьи.  В контексте возрастных групп на рынке труда наиболее многочисленной является возрастная группа женщин в возрасте от 20 до 49 лет.  За период 1995</w:t>
      </w:r>
      <w:r>
        <w:noBreakHyphen/>
        <w:t>2000 годов доля этой возрастной группы на рынке труда повысилась с 43,4% до 45,8%.</w:t>
      </w:r>
    </w:p>
    <w:p w:rsidR="00000000" w:rsidRDefault="00000000"/>
    <w:p w:rsidR="00000000" w:rsidRDefault="00000000">
      <w:r>
        <w:t>245.</w:t>
      </w:r>
      <w:r>
        <w:tab/>
        <w:t>Национальный институт по делам женщин (государственный орган, отвечающий за политику государства в вопросах женщин) признает, что, хотя в последние годы доля женщин на рынке труда постепенно увеличивается, женщины по</w:t>
      </w:r>
      <w:r>
        <w:noBreakHyphen/>
        <w:t>прежнему сталкиваются с серьезными трудностями, связанными, в частности, с сегрегацией в профессиональной сфере, следствием которой является концентрация женщин в определенных отраслях или сферах экономической деятельности, включая, в частности, сектор обслуживания (здравоохранение, образование, предприятия сферы досуга и развлечений и работа в качестве домашней прислуги) и торговлю.  Следует также отметить, что мужчины, как правило, получают более высокую заработную плату, поскольку заняты в строительстве, на транспорте, на государственной службе и на военной службе.</w:t>
      </w:r>
    </w:p>
    <w:p w:rsidR="00000000" w:rsidRDefault="00000000"/>
    <w:p w:rsidR="00000000" w:rsidRDefault="00000000">
      <w:r>
        <w:t>246.</w:t>
      </w:r>
      <w:r>
        <w:tab/>
        <w:t>Национальный институт по делам женщин считает, что одна из форм дискриминации заключается в различном наименовании одной и той же производственной деятельности в зависимости от того, кто именно ее выполняет.  Так, например, в сфере торговли мужчины именуются "агентами по продажам", а женщины </w:t>
      </w:r>
      <w:r>
        <w:noBreakHyphen/>
        <w:t xml:space="preserve"> "продавщицами", что используется в качестве основания для выплаты женщинам менее высокого денежного вознаграждения.  Кроме того, женщины часто выполняют менее престижную в социальном отношении работу и не имеют доступа к административным постам на предприятиях.  В дополнение к этому для целей получения и/или сохранения рабочего места к женщинам предъявляются требования, предусматривающие прохождение освидетельствования на предмет подтверждения того, что они не являются беременными.  К числу наиболее серьезных проблем относится до сих пор распространенная на многих предприятиях практика сексуальных домогательств, предполагающая ряд действий сексуального характера, осуществляемых начальниками или коллегами по отношению к женщине против ее воли, которые ущемляют ее достоинство и ставят под угрозу сохранение за ней своего рабочего места.</w:t>
      </w:r>
    </w:p>
    <w:p w:rsidR="00000000" w:rsidRDefault="00000000"/>
    <w:p w:rsidR="00000000" w:rsidRDefault="00000000">
      <w:pPr>
        <w:rPr>
          <w:b/>
          <w:bCs/>
        </w:rPr>
      </w:pPr>
      <w:r>
        <w:rPr>
          <w:b/>
          <w:bCs/>
        </w:rPr>
        <w:tab/>
        <w:t>Женщины</w:t>
      </w:r>
    </w:p>
    <w:p w:rsidR="00000000" w:rsidRDefault="00000000">
      <w:pPr>
        <w:rPr>
          <w:b/>
          <w:bCs/>
        </w:rPr>
      </w:pPr>
    </w:p>
    <w:p w:rsidR="00000000" w:rsidRDefault="00000000">
      <w:r>
        <w:t>247.</w:t>
      </w:r>
      <w:r>
        <w:tab/>
        <w:t>Было заключено 13 соглашений, касающихся запрещения освидетельствования женщин на предмет беременности в качестве одного из требований при найме на работу, выполнения семейных обязанностей и организации специальных помещений на производстве для кормления грудных детей.  Эти соглашения были подписаны с различными предприятиями, органами власти на уровне штатов и ассоциациями женщин в пяти штатах Мексики.  Кроме того, министерство труда и социального обеспечения и правительство штата Юкатан подписали соглашение о координации деятельности в целях улучшения условий труда женщин.  По национальному радио транслировалась передача, посвященная мерам по улучшению условий труда женщин на производстве.  Кроме того, было обеспечено распространение 105 000 брошюр, содержащих информацию о правах и обязанностях трудящихся женщин, и 21 035 плакатов, посвященных запрещению освидетельствования женщин при приеме на работу на предмет подтверждения того, что они не являются беременными, и плакатов, подчеркивающих важное значение трудовой деятельности женщин.</w:t>
      </w:r>
    </w:p>
    <w:p w:rsidR="00000000" w:rsidRDefault="00000000"/>
    <w:p w:rsidR="00000000" w:rsidRDefault="00000000">
      <w:r>
        <w:t>248.</w:t>
      </w:r>
      <w:r>
        <w:tab/>
        <w:t>В координации с Региональной конфедерацией мексиканских трудящихся был проведен первый общенациональный форум трудящихся женщин по вопросам защиты материнства под девизом:  "За гендерное равноправие в профсоюзах";  в форуме участвовали более 800 профсоюзных работниц из различных районов страны, которые сформулировали ряд конкретных предложений, касающихся системы социального обеспечения, функционирования ИНФОНАВИТ и проблемы выполнения женщинами своих семейных обязанностей.  Кроме того, в координации с Институтом по делам женщин штата Морелос был организован форум по проблеме сексуального домогательства, в ходе которого затрагивались, в частности, следующие темы:  "Гендерный фактор и насилие", "Насилие на рабочем месте", "Последствия насилия в семье для трудовой деятельности".</w:t>
      </w:r>
    </w:p>
    <w:p w:rsidR="00000000" w:rsidRDefault="00000000"/>
    <w:p w:rsidR="00000000" w:rsidRDefault="00000000">
      <w:pPr>
        <w:rPr>
          <w:b/>
          <w:bCs/>
        </w:rPr>
      </w:pPr>
      <w:r>
        <w:rPr>
          <w:b/>
          <w:bCs/>
        </w:rPr>
        <w:tab/>
        <w:t>Несовершеннолетние</w:t>
      </w:r>
    </w:p>
    <w:p w:rsidR="00000000" w:rsidRDefault="00000000">
      <w:pPr>
        <w:rPr>
          <w:b/>
          <w:bCs/>
        </w:rPr>
      </w:pPr>
    </w:p>
    <w:p w:rsidR="00000000" w:rsidRDefault="00000000">
      <w:r>
        <w:t>249.</w:t>
      </w:r>
      <w:r>
        <w:tab/>
        <w:t xml:space="preserve">В рамках Программы по борьбе с детским трудом был заключен ряд соглашений о сотрудничестве с правительствами штатов Агуаскальентес и Оахака и сформирована трехсторонняя комиссия в соответствии с положениями Конвенции № 182 МОТ.  Кроме </w:t>
      </w:r>
    </w:p>
    <w:p w:rsidR="00000000" w:rsidRDefault="00000000">
      <w:r>
        <w:br w:type="page"/>
        <w:t>этого, была проведена конференция "за круглым столом" с представителями организаций предпринимателей и трудящихся по вопросам предупреждения и пресечения наихудших форм детского труда.</w:t>
      </w:r>
    </w:p>
    <w:p w:rsidR="00000000" w:rsidRDefault="00000000"/>
    <w:p w:rsidR="00000000" w:rsidRDefault="00000000">
      <w:pPr>
        <w:numPr>
          <w:ilvl w:val="0"/>
          <w:numId w:val="16"/>
        </w:numPr>
      </w:pPr>
      <w:r>
        <w:t>В целях защиты прав несовершеннолетних, имеющих право на трудоустройство, была осуществлена инициатива по распространению буклетов, содержащих информацию о трудовых правах и обязанностях несовершеннолетних лиц.  Кроме того, было выпущено справочное пособие:  "Знаете ли вы о правилах трудоустройства несовершеннолетних?  Сведения о правах несовершеннолетних и мерах по их защите".</w:t>
      </w:r>
    </w:p>
    <w:p w:rsidR="00000000" w:rsidRDefault="00000000"/>
    <w:p w:rsidR="00000000" w:rsidRDefault="00000000">
      <w:pPr>
        <w:numPr>
          <w:ilvl w:val="0"/>
          <w:numId w:val="16"/>
        </w:numPr>
      </w:pPr>
      <w:r>
        <w:t>В ознаменование Всемирного дня борьбы с детским трудом в 27 штатах Республики был проведен конкурс рисунков на тему:  "Какие формы детского труда ты считаешь наихудшими?".</w:t>
      </w:r>
    </w:p>
    <w:p w:rsidR="00000000" w:rsidRDefault="00000000"/>
    <w:p w:rsidR="00000000" w:rsidRDefault="00000000">
      <w:pPr>
        <w:numPr>
          <w:ilvl w:val="0"/>
          <w:numId w:val="16"/>
        </w:numPr>
      </w:pPr>
      <w:r>
        <w:t>В рамках Программы по предупреждению и искоренению сексуальной эксплуатации детей в коммерческих целях (ЭССИ) и осуществляемой по линии ЭССИ программы по защите жертв для работников профсоюзов был организован ряд учебно-просветительских семинаров по вопросам предупреждения и искоренения наихудших форм детского труда, а также было разработано справочное пособие для инструкторов и участников соответствующих семинаров.</w:t>
      </w:r>
    </w:p>
    <w:p w:rsidR="00000000" w:rsidRDefault="00000000"/>
    <w:p w:rsidR="00000000" w:rsidRDefault="00000000">
      <w:pPr>
        <w:numPr>
          <w:ilvl w:val="0"/>
          <w:numId w:val="16"/>
        </w:numPr>
      </w:pPr>
      <w:r>
        <w:t>Кроме того, был подготовлен оперативный протокол по вопросам выявления, защиты и оказания помощи детям и подросткам, пострадавшим вследствие сексуальной эксплуатации в коммерческих целях.  Этот протокол предназначен для государственных служащих.  Было проведено уголовно-правовое исследование по проблеме сексуальной эксплуатации детей в коммерческих целях.  В подготовке этого исследования принимали участие МОТ, МТСО и Национальный институт криминальных наук (ИНАСИПЕ).  Помимо этого была разработана и внедрена система выявления сетей сексуальной эксплуатации (СИРЕС).  Проводилась работа по организации курсов повышения квалификации для работников учреждений федеральной полиции по профилактике преступности.</w:t>
      </w:r>
    </w:p>
    <w:p w:rsidR="00000000" w:rsidRDefault="00000000"/>
    <w:p w:rsidR="00000000" w:rsidRDefault="00000000">
      <w:pPr>
        <w:rPr>
          <w:b/>
          <w:bCs/>
        </w:rPr>
      </w:pPr>
      <w:r>
        <w:rPr>
          <w:b/>
          <w:bCs/>
        </w:rPr>
        <w:br w:type="page"/>
      </w:r>
      <w:r>
        <w:rPr>
          <w:b/>
          <w:bCs/>
        </w:rPr>
        <w:tab/>
        <w:t>Пожилые лица</w:t>
      </w:r>
    </w:p>
    <w:p w:rsidR="00000000" w:rsidRDefault="00000000">
      <w:pPr>
        <w:rPr>
          <w:b/>
          <w:bCs/>
        </w:rPr>
      </w:pPr>
    </w:p>
    <w:p w:rsidR="00000000" w:rsidRDefault="00000000">
      <w:r>
        <w:t>250.</w:t>
      </w:r>
      <w:r>
        <w:tab/>
        <w:t>Ниже перечисляются мероприятия, осуществленные Национальным институтом по делам пожилых лиц совместно с различными государственными структурами:</w:t>
      </w:r>
    </w:p>
    <w:p w:rsidR="00000000" w:rsidRDefault="00000000"/>
    <w:p w:rsidR="00000000" w:rsidRDefault="00000000">
      <w:pPr>
        <w:numPr>
          <w:ilvl w:val="0"/>
          <w:numId w:val="16"/>
        </w:numPr>
      </w:pPr>
      <w:r>
        <w:t>Мероприятия по содействию занятию самостоятельной трудовой деятельностью в рамках семинаров по линии второго этапа программы профессиональной ориентации.  Цель этих семинаров заключается в разработке необходимых инструментов, позволяющих расширить жизненные горизонты пожилых людей в рамках второго этапа программы профессиональной ориентации, а также в содействии осуществлению мероприятий в сфере профессионально-технического обучения и консультативного обслуживания для целей создания микропредприятий и обеспечения самозанятости.</w:t>
      </w:r>
    </w:p>
    <w:p w:rsidR="00000000" w:rsidRDefault="00000000"/>
    <w:p w:rsidR="00000000" w:rsidRDefault="00000000">
      <w:pPr>
        <w:numPr>
          <w:ilvl w:val="0"/>
          <w:numId w:val="16"/>
        </w:numPr>
      </w:pPr>
      <w:r>
        <w:t>Организация министерством экономики семинаров для предпринимателей (в дополнение к семинарам, проведенным по линии второго этапа программы профессиональной ориентации).  Цель этих семинаров заключается в ознакомлении руководителей микропредприятий и малых предприятий с механизмами, позволяющими им определять и осуществлять необходимые меры по разработке планов развития своих предприятий.</w:t>
      </w:r>
    </w:p>
    <w:p w:rsidR="00000000" w:rsidRDefault="00000000"/>
    <w:p w:rsidR="00000000" w:rsidRDefault="00000000">
      <w:pPr>
        <w:numPr>
          <w:ilvl w:val="0"/>
          <w:numId w:val="16"/>
        </w:numPr>
      </w:pPr>
      <w:r>
        <w:t>Содействие трудоустройству пожилых лиц.  В этой связи осуществляются мероприятия, направленные на распространение информации о трудовых правах и обязанностях пожилых людей как в обществе в целом, так и в производственном секторе в целях обеспечения более эффективного соблюдения соответствующих прав.</w:t>
      </w:r>
    </w:p>
    <w:p w:rsidR="00000000" w:rsidRDefault="00000000"/>
    <w:p w:rsidR="00000000" w:rsidRDefault="00000000">
      <w:pPr>
        <w:numPr>
          <w:ilvl w:val="0"/>
          <w:numId w:val="16"/>
        </w:numPr>
      </w:pPr>
      <w:r>
        <w:t>Организация семинаров по теме "Позитивное значение опыта многолетней работы".  Речь идет о распространении и пропаганде в производительном секторе и в обществе в целом информации о производственных навыках и квалификации и опыта пожилых людей в целях обеспечения их трудоустройства, улучшения условий их труда и сохранения за ними рабочих мест, что в свою очередь способствует повышению качества их жизни.</w:t>
      </w:r>
    </w:p>
    <w:p w:rsidR="00000000" w:rsidRDefault="00000000"/>
    <w:p w:rsidR="00000000" w:rsidRDefault="00000000">
      <w:pPr>
        <w:numPr>
          <w:ilvl w:val="0"/>
          <w:numId w:val="16"/>
        </w:numPr>
      </w:pPr>
      <w:r>
        <w:t xml:space="preserve">Организация курсов по теме "Опыт на службе семьи в области начального, дошкольного и школьного образования".  Цель этих курсов заключается в создании рабочих мест для пожилых людей, что позволяет им удовлетворять </w:t>
      </w:r>
    </w:p>
    <w:p w:rsidR="00000000" w:rsidRDefault="00000000">
      <w:pPr>
        <w:ind w:left="1134" w:hanging="1134"/>
      </w:pPr>
      <w:r>
        <w:br w:type="page"/>
      </w:r>
      <w:r>
        <w:tab/>
      </w:r>
      <w:r>
        <w:tab/>
        <w:t>свои материальные потребности, а также в обеспечении их участия в работе по уходу за детьми, что в свою очередь способствует укреплению и улучшению семейных связей.</w:t>
      </w:r>
    </w:p>
    <w:p w:rsidR="00000000" w:rsidRDefault="00000000">
      <w:pPr>
        <w:tabs>
          <w:tab w:val="clear" w:pos="1134"/>
        </w:tabs>
      </w:pPr>
    </w:p>
    <w:p w:rsidR="00000000" w:rsidRDefault="00000000">
      <w:pPr>
        <w:numPr>
          <w:ilvl w:val="0"/>
          <w:numId w:val="16"/>
        </w:numPr>
        <w:tabs>
          <w:tab w:val="left" w:pos="1134"/>
        </w:tabs>
      </w:pPr>
      <w:r>
        <w:t>Организация в производственном секторе пропагандистских кампаний, направленных на предупреждение дискриминации в сфере труда пожилых лиц, инвалидов и лиц, инфицированных ВИЧ/больных СПИДом.  Цель соответствующих мероприятий заключается в обеспечении участия в трудовой деятельности пожилых лиц, инвалидов и лиц, инфицированных ВИЧ/больных СПИДом посредством стимулирования и надлежащего информирования представителей предпринимательских секторов.</w:t>
      </w:r>
    </w:p>
    <w:p w:rsidR="00000000" w:rsidRDefault="00000000"/>
    <w:p w:rsidR="00000000" w:rsidRDefault="00000000">
      <w:pPr>
        <w:numPr>
          <w:ilvl w:val="0"/>
          <w:numId w:val="16"/>
        </w:numPr>
      </w:pPr>
      <w:r>
        <w:t>Управление специализированной координационной сетью в интересах трудоустройства инвалидов и пожилых лиц.  Цель соответствующих мероприятий заключается в осуществлении при участии государственных и частных структур и организаций гражданского общества, входящих в систему РЕД, деятельности в интересах поощрения, расширения, облегчения и более эффективной интеграции на рынке труда инвалидов и пожилых людей на основе механизмов, способствующих установлению прямых контактов между работодателями и ищущими работу лицами.</w:t>
      </w:r>
    </w:p>
    <w:p w:rsidR="00000000" w:rsidRDefault="00000000"/>
    <w:p w:rsidR="00000000" w:rsidRDefault="00000000">
      <w:pPr>
        <w:rPr>
          <w:b/>
          <w:bCs/>
        </w:rPr>
      </w:pPr>
      <w:r>
        <w:rPr>
          <w:b/>
          <w:bCs/>
        </w:rPr>
        <w:tab/>
        <w:t>Инвалиды</w:t>
      </w:r>
    </w:p>
    <w:p w:rsidR="00000000" w:rsidRDefault="00000000">
      <w:pPr>
        <w:rPr>
          <w:b/>
          <w:bCs/>
        </w:rPr>
      </w:pPr>
    </w:p>
    <w:p w:rsidR="00000000" w:rsidRDefault="00000000">
      <w:r>
        <w:t>251.</w:t>
      </w:r>
      <w:r>
        <w:tab/>
        <w:t>Подкомиссия по вопросам трудовой интеграции представляет собой структуру, обеспечивающую совместную деятельность представителей входящих в ее состав учреждений в интересах трудовой интеграции инвалидов в рамках соответствующих совместных проектов.  Члены Подкомиссии представляют предложения на базе программы производственной интеграции инвалидов на период 2001-2006 годов.  В ходе своей работы Подкомиссия провела три совещания "за круглым столом", посвященных контролю за соблюдением Конвенции МОТ № 159, поощрению самостоятельной трудовой деятельности и реабилитационных мероприятий в целях интеграции соответствующих лиц в трудовые процессы.  Было проведено 32 рабочих совещания "за круглым столом" с целью подготовки и дальнейшей реализации Национальной конференции по вопросам трудовой реабилитации, в работе которой принимали участие специалисты, проанализировавшие ситуацию с реабилитацией инвалидов с целью их интеграции на рынке труда, что предполагает осуществление ряда мероприятий по унификации соответствующих критериев, разработке надлежащих процедур и выявлению проблем и определению способов их решения в краткосрочной, среднесрочной и долгосрочной перспективе.</w:t>
      </w:r>
    </w:p>
    <w:p w:rsidR="00000000" w:rsidRDefault="00000000">
      <w:pPr>
        <w:numPr>
          <w:ilvl w:val="0"/>
          <w:numId w:val="16"/>
        </w:numPr>
      </w:pPr>
      <w:r>
        <w:t xml:space="preserve">Проект по созданию центров трудовой интеграции инвалидов предполагает использование инфраструктуры и персонала центров комплексного обслуживания (КАМ), которые обеспечивают профессиональную подготовку соответствующих лиц для целей создания в рамках ЦКО служб по вопросам трудовой интеграции, в состав которых входят как сотрудники соответствующих учреждений, так и инвалиды, обращающиеся в эти службы за помощью.  Кроме того, по линии КОНАЛЕП разрабатывается социальная система обслуживания по профессиональной тематике в целях содействия трудоустройству в сельской местности путем расширения возможностей для трудовой интеграции инвалидов на уровне местных общин.  Для достижения этой цели в рамках организованного министерством народного просвещения общенационального совещания по вопросам специального образования было проведено два семинара по вопросам профессионально-технической подготовки для представителей координационных ведомств на уровне штатов и руководителей ЦКО всех штатов Республики.  В рамках специализированной координационной сети по трудовой интеграции инвалидов и пожилых лиц проводились мероприятия, направленные на поддержку деятельности восьми учреждений федерального уровня по созданию центров трудовой интеграции. </w:t>
      </w:r>
    </w:p>
    <w:p w:rsidR="00000000" w:rsidRDefault="00000000">
      <w:pPr>
        <w:spacing w:line="240" w:lineRule="auto"/>
      </w:pPr>
    </w:p>
    <w:p w:rsidR="00000000" w:rsidRDefault="00000000">
      <w:pPr>
        <w:numPr>
          <w:ilvl w:val="0"/>
          <w:numId w:val="20"/>
        </w:numPr>
        <w:ind w:left="1134" w:hanging="573"/>
      </w:pPr>
      <w:r>
        <w:t>Кроме того, в штате Чьяпас было проведено четыре семинара по проблеме борьбы с дискриминацией, в ходе которых изучались возможности по проведению пропагандистских мероприятий, направленных на информирование населения о положении инвалидов и лиц, инфицированных ВИЧ/больных СПИДом в целях содействия их полномасштабному участию в трудовой деятельности и общественной жизни, а также в целях разработки применимых на практике механизмов, способствующих более эффективному информированию населения об условиях жизни этой категории лиц.</w:t>
      </w:r>
    </w:p>
    <w:p w:rsidR="00000000" w:rsidRDefault="00000000">
      <w:pPr>
        <w:tabs>
          <w:tab w:val="clear" w:pos="567"/>
        </w:tabs>
      </w:pPr>
    </w:p>
    <w:p w:rsidR="00000000" w:rsidRDefault="00000000">
      <w:pPr>
        <w:numPr>
          <w:ilvl w:val="0"/>
          <w:numId w:val="20"/>
        </w:numPr>
        <w:ind w:left="1134" w:hanging="573"/>
      </w:pPr>
      <w:r>
        <w:t>Было подписано соглашение о сотрудничестве с Мексиканской конфедерацией организаций в поддержку лиц, страдающих психическими недостатками (КОНФЕ).  Цель этого соглашения заключается в осуществлении совместных усилий, направленных на более эффективное функционирование и укрепление специализированной координационной сети трудовой интеграции инвалидов и пожилых лиц в различных районах страны, а также на распространение информации о формах трудовой интеграции инвалидов и оказание соответствующей консультативной помощи.</w:t>
      </w:r>
    </w:p>
    <w:p w:rsidR="00000000" w:rsidRDefault="00000000">
      <w:pPr>
        <w:tabs>
          <w:tab w:val="clear" w:pos="567"/>
        </w:tabs>
      </w:pPr>
    </w:p>
    <w:p w:rsidR="00000000" w:rsidRDefault="00000000">
      <w:pPr>
        <w:tabs>
          <w:tab w:val="clear" w:pos="567"/>
          <w:tab w:val="left" w:pos="561"/>
        </w:tabs>
        <w:rPr>
          <w:b/>
          <w:bCs/>
        </w:rPr>
      </w:pPr>
      <w:r>
        <w:rPr>
          <w:b/>
          <w:bCs/>
        </w:rPr>
        <w:br w:type="page"/>
      </w:r>
      <w:r>
        <w:rPr>
          <w:b/>
          <w:bCs/>
        </w:rPr>
        <w:tab/>
        <w:t>Коренные жители</w:t>
      </w:r>
    </w:p>
    <w:p w:rsidR="00000000" w:rsidRDefault="00000000">
      <w:pPr>
        <w:tabs>
          <w:tab w:val="clear" w:pos="567"/>
          <w:tab w:val="left" w:pos="561"/>
        </w:tabs>
        <w:rPr>
          <w:b/>
          <w:bCs/>
        </w:rPr>
      </w:pPr>
    </w:p>
    <w:p w:rsidR="00000000" w:rsidRDefault="00000000">
      <w:pPr>
        <w:tabs>
          <w:tab w:val="clear" w:pos="567"/>
          <w:tab w:val="left" w:pos="561"/>
        </w:tabs>
      </w:pPr>
      <w:r>
        <w:t>252.</w:t>
      </w:r>
      <w:r>
        <w:tab/>
        <w:t>Содействие занятости и самозанятости коренного населения на условиях равноправия и без какой бы то ни было дискриминации в целях повышения уровня благосостояния коренных жителей.  В этой связи предполагается осуществить целый ряд мероприятий, включая, в частности:  а)  содействие занятости и самозанятости коренного населения и  b)  обеспечение трудовой интеграции коренного населения:</w:t>
      </w:r>
    </w:p>
    <w:p w:rsidR="00000000" w:rsidRDefault="00000000">
      <w:pPr>
        <w:tabs>
          <w:tab w:val="clear" w:pos="567"/>
          <w:tab w:val="left" w:pos="561"/>
        </w:tabs>
      </w:pPr>
    </w:p>
    <w:p w:rsidR="00000000" w:rsidRDefault="00000000">
      <w:pPr>
        <w:numPr>
          <w:ilvl w:val="0"/>
          <w:numId w:val="21"/>
        </w:numPr>
        <w:ind w:left="1134" w:hanging="573"/>
      </w:pPr>
      <w:r>
        <w:t>Содействие соблюдению трудовых прав сельскохозяйственных поденных работников и развитие их трудового потенциала.  Соответствующие мероприятия предусматривают:  а)  поощрение социальной ответственности работодателей по отношению к сельскохозяйственным работникам (информационно-просветительская деятельность) и  b)  осуществление мер, направленных на искоренение неравноправия в сфере труда сельскохозяйственных поденщиков.</w:t>
      </w:r>
    </w:p>
    <w:p w:rsidR="00000000" w:rsidRDefault="00000000">
      <w:pPr>
        <w:tabs>
          <w:tab w:val="clear" w:pos="567"/>
        </w:tabs>
      </w:pPr>
    </w:p>
    <w:p w:rsidR="00000000" w:rsidRDefault="00000000">
      <w:pPr>
        <w:numPr>
          <w:ilvl w:val="0"/>
          <w:numId w:val="21"/>
        </w:numPr>
        <w:ind w:left="1134" w:hanging="573"/>
      </w:pPr>
      <w:r>
        <w:t>К числу программ, осуществляемых в интересах коренного населения, относятся, в частности, следующие:  1)  стратегическая программа по самозанятости и занятости коренных жителей на 2003 год и  2)  программа для сельскохозяйственных поденщиков.</w:t>
      </w:r>
    </w:p>
    <w:p w:rsidR="00000000" w:rsidRDefault="00000000">
      <w:pPr>
        <w:tabs>
          <w:tab w:val="clear" w:pos="567"/>
        </w:tabs>
      </w:pPr>
    </w:p>
    <w:p w:rsidR="00000000" w:rsidRDefault="00000000">
      <w:pPr>
        <w:numPr>
          <w:ilvl w:val="0"/>
          <w:numId w:val="21"/>
        </w:numPr>
        <w:ind w:left="1134" w:hanging="573"/>
      </w:pPr>
      <w:r>
        <w:t>Мероприятия, осуществляемые в рамках этих программ, предусматривают:  1)  укрепление взаимодействия по линии заключения соглашений о координации между МТСО и местными органами власти с целью нахождения заинтересованных работодателей и поддержки по линии муниципальных структур производственных проектов, направленных на расширение самозанятости в формальном секторе экономики;  2)  содействие углублению взаимодействия путем заключения соглашений с промышленными секторами, участвующими в проектах Государственного совета по развитию диалога;  3)  разработка и распространение справочных пособий о подготовке и реализации проектов, способствующих развитию самозанятости в производительном секторе;  4)  распространение информации о трудовых правах на языках коренных народов.</w:t>
      </w:r>
    </w:p>
    <w:p w:rsidR="00000000" w:rsidRDefault="00000000">
      <w:pPr>
        <w:tabs>
          <w:tab w:val="clear" w:pos="567"/>
        </w:tabs>
      </w:pPr>
    </w:p>
    <w:p w:rsidR="00000000" w:rsidRDefault="00000000">
      <w:pPr>
        <w:tabs>
          <w:tab w:val="clear" w:pos="567"/>
          <w:tab w:val="left" w:pos="561"/>
        </w:tabs>
        <w:rPr>
          <w:b/>
          <w:bCs/>
        </w:rPr>
      </w:pPr>
      <w:r>
        <w:rPr>
          <w:b/>
          <w:bCs/>
        </w:rPr>
        <w:t>Пункт 18</w:t>
      </w:r>
    </w:p>
    <w:p w:rsidR="00000000" w:rsidRDefault="00000000">
      <w:pPr>
        <w:tabs>
          <w:tab w:val="clear" w:pos="567"/>
          <w:tab w:val="left" w:pos="561"/>
        </w:tabs>
        <w:rPr>
          <w:b/>
          <w:bCs/>
        </w:rPr>
      </w:pPr>
    </w:p>
    <w:p w:rsidR="00000000" w:rsidRDefault="00000000">
      <w:pPr>
        <w:tabs>
          <w:tab w:val="clear" w:pos="567"/>
          <w:tab w:val="left" w:pos="561"/>
        </w:tabs>
      </w:pPr>
      <w:r>
        <w:t>253.</w:t>
      </w:r>
      <w:r>
        <w:tab/>
        <w:t>В федеральном законе о труде говорится следующее:</w:t>
      </w:r>
    </w:p>
    <w:p w:rsidR="00000000" w:rsidRDefault="00000000">
      <w:pPr>
        <w:tabs>
          <w:tab w:val="clear" w:pos="567"/>
          <w:tab w:val="left" w:pos="561"/>
        </w:tabs>
      </w:pPr>
    </w:p>
    <w:p w:rsidR="00000000" w:rsidRDefault="00000000">
      <w:pPr>
        <w:numPr>
          <w:ilvl w:val="0"/>
          <w:numId w:val="22"/>
        </w:numPr>
        <w:ind w:left="1134" w:hanging="573"/>
      </w:pPr>
      <w:r>
        <w:t>Работодатель и рабочий вправе определить приемлемый режим трудовой деятельности при соблюдении предусмотренных законом норм, касающихся режима труда и продолжительности рабочего дня (8-часовой рабочий день в дневное время;  7-часовой рабочий день в ночное время и смешанный рабочий день в дневное и ночное время продолжительностью 7 час. 30 мин.).  В течение рабочего дня все трудящиеся имеют право на перерыв продолжительностью 30 минут.  Что касается сверхурочной работы, то закон гласит, что в том случае, если трудящийся работает свыше предусмотренного законом рабочего времени, то за сверхурочные часы работы он получает денежное вознаграждение по следующей схеме:  за первые девять часов сверхурочной работы ему полагается двойной тариф заработной платы, а начиная с десятого часа его сверхурочный труд оплачивается по тройному тарифу.  Трудящиеся не обязаны работать сверх того времени, которое установлено законом.  Если трудящимся предлагается работать в выходные или праздничные дни, то денежное вознаграждение за такой труд на четверть или вдвое превышает стандартную ставку их заработной платы в зависимости от конкретного случая.</w:t>
      </w:r>
    </w:p>
    <w:p w:rsidR="00000000" w:rsidRDefault="00000000">
      <w:pPr>
        <w:tabs>
          <w:tab w:val="clear" w:pos="567"/>
        </w:tabs>
      </w:pPr>
    </w:p>
    <w:p w:rsidR="00000000" w:rsidRDefault="00000000">
      <w:pPr>
        <w:numPr>
          <w:ilvl w:val="0"/>
          <w:numId w:val="22"/>
        </w:numPr>
        <w:ind w:left="1134" w:hanging="573"/>
      </w:pPr>
      <w:r>
        <w:t>Что касается продолжительности отпуска, то закон предусматривает, что в течение года трудящийся имеет право на шестидневный отпуск, продолжительность которого увеличивается на два дня каждые пять лет;  при этом в течение отпуска все трудящиеся без каких-либо исключений получают заработную плату и соответствующее отпускное пособие</w:t>
      </w:r>
      <w:r>
        <w:rPr>
          <w:rStyle w:val="FootnoteReference"/>
        </w:rPr>
        <w:footnoteReference w:id="14"/>
      </w:r>
      <w:r>
        <w:t>.</w:t>
      </w:r>
    </w:p>
    <w:p w:rsidR="00000000" w:rsidRDefault="00000000">
      <w:pPr>
        <w:tabs>
          <w:tab w:val="clear" w:pos="567"/>
        </w:tabs>
      </w:pPr>
    </w:p>
    <w:p w:rsidR="00000000" w:rsidRDefault="00000000">
      <w:pPr>
        <w:tabs>
          <w:tab w:val="clear" w:pos="567"/>
          <w:tab w:val="left" w:pos="561"/>
        </w:tabs>
      </w:pPr>
      <w:r>
        <w:t>254.</w:t>
      </w:r>
      <w:r>
        <w:tab/>
        <w:t>В принципе не существует никаких факторов, которые препятствовали бы осуществлению прав трудящихся в отношении продолжительности рабочего дня, понедельных выходных дней и нерабочих дней, предусмотренных Федеральным законом о труде, отпускного периода, продления рабочего дня, оплаты сверхурочной работы, денежного вознаграждения за работу в выходные дни и отпускного пособия.</w:t>
      </w:r>
    </w:p>
    <w:p w:rsidR="00000000" w:rsidRDefault="00000000">
      <w:pPr>
        <w:tabs>
          <w:tab w:val="clear" w:pos="567"/>
          <w:tab w:val="left" w:pos="561"/>
        </w:tabs>
      </w:pPr>
    </w:p>
    <w:p w:rsidR="00000000" w:rsidRDefault="00000000">
      <w:pPr>
        <w:tabs>
          <w:tab w:val="clear" w:pos="567"/>
          <w:tab w:val="left" w:pos="561"/>
        </w:tabs>
      </w:pPr>
      <w:r>
        <w:t>255.</w:t>
      </w:r>
      <w:r>
        <w:tab/>
        <w:t>Все вышеуказанные права трудящихся осуществляются на основе предусмотренных законом механизмов.</w:t>
      </w:r>
    </w:p>
    <w:p w:rsidR="00000000" w:rsidRDefault="00000000">
      <w:pPr>
        <w:tabs>
          <w:tab w:val="clear" w:pos="567"/>
          <w:tab w:val="left" w:pos="561"/>
        </w:tabs>
      </w:pPr>
    </w:p>
    <w:p w:rsidR="00000000" w:rsidRDefault="00000000">
      <w:pPr>
        <w:tabs>
          <w:tab w:val="clear" w:pos="567"/>
          <w:tab w:val="left" w:pos="561"/>
        </w:tabs>
      </w:pPr>
      <w:r>
        <w:t>256.</w:t>
      </w:r>
      <w:r>
        <w:tab/>
        <w:t>В этой связи трудящиеся имеют доступ к органам правосудия через государственные учреждения или органы по вопросам защиты трудовых прав, которые предоставляют бесплатные юридические консультации, позволяющие трудящемуся воспользоваться своим правом на применение и соблюдение предусмотренных законом норм.  Кроме того,</w:t>
      </w:r>
    </w:p>
    <w:p w:rsidR="00000000" w:rsidRDefault="00000000">
      <w:pPr>
        <w:tabs>
          <w:tab w:val="clear" w:pos="567"/>
          <w:tab w:val="left" w:pos="561"/>
        </w:tabs>
      </w:pPr>
      <w:r>
        <w:br w:type="page"/>
        <w:t>трудящийся может обратиться в соответствующую инстанцию или орган с просьбой представить от его имени соответствующее ходатайство и дать ему ход в целях осуществления положенных ему прав.</w:t>
      </w:r>
    </w:p>
    <w:p w:rsidR="00000000" w:rsidRDefault="00000000">
      <w:pPr>
        <w:tabs>
          <w:tab w:val="clear" w:pos="567"/>
          <w:tab w:val="left" w:pos="561"/>
        </w:tabs>
      </w:pPr>
    </w:p>
    <w:p w:rsidR="00000000" w:rsidRDefault="00000000">
      <w:pPr>
        <w:tabs>
          <w:tab w:val="clear" w:pos="567"/>
          <w:tab w:val="left" w:pos="561"/>
        </w:tabs>
      </w:pPr>
      <w:r>
        <w:t>257.</w:t>
      </w:r>
      <w:r>
        <w:tab/>
        <w:t>В большинстве случаев права трудящихся соблюдаются, поскольку они не только гарантируются Конституцией и законами, но и закреплены в трудовых соглашениях коллективного или индивидуального характера.  Вместе с тем отсутствие трудовых соглашений никоим образом не мешает работодателю осуществлять права трудящихся, поскольку он вправе руководствоваться нормами, предусмотренными в соответствующем законе.  В случае несоблюдения указанных прав трудящиеся могут обращаться с жалобами в суды по рассмотрению трудовых споров.</w:t>
      </w:r>
    </w:p>
    <w:p w:rsidR="00000000" w:rsidRDefault="00000000"/>
    <w:p w:rsidR="00000000" w:rsidRDefault="00000000">
      <w:r>
        <w:t>258.</w:t>
      </w:r>
      <w:r>
        <w:tab/>
        <w:t xml:space="preserve">Кроме того, трудящиеся могут рассчитывать на поддержку профсоюзов, цель которых заключается в анализе, укреплении и защите прав трудящихся, что позволяет последним более эффективно осуществлять свои права, включая право на забастовку.  </w:t>
      </w:r>
    </w:p>
    <w:p w:rsidR="00000000" w:rsidRDefault="00000000"/>
    <w:p w:rsidR="00000000" w:rsidRDefault="00000000">
      <w:r>
        <w:t>259.</w:t>
      </w:r>
      <w:r>
        <w:tab/>
        <w:t xml:space="preserve">Одна из проблем, которая затрудняет осуществление прав трудящихся, заключается в том, что они редко обращаются к компетентным властям с жалобами на нарушение своих прав или на неприменение предусмотренных законом мер по их защите.  </w:t>
      </w:r>
    </w:p>
    <w:p w:rsidR="00000000" w:rsidRDefault="00000000"/>
    <w:p w:rsidR="00000000" w:rsidRDefault="00000000">
      <w:r>
        <w:t>260.</w:t>
      </w:r>
      <w:r>
        <w:tab/>
        <w:t>В соответствии с Политической конституцией и ФЗТ запрещается дискриминация по любым признакам, что в принципе не предполагает никаких исключений.  Трудящиеся, которые считают, что полагающиеся им по закону права нарушаются, имеют доступ к средствам правовой защиты для целей восстановления нарушенных прав.</w:t>
      </w:r>
    </w:p>
    <w:p w:rsidR="00000000" w:rsidRDefault="00000000"/>
    <w:p w:rsidR="00000000" w:rsidRDefault="00000000">
      <w:r>
        <w:t>261.</w:t>
      </w:r>
      <w:r>
        <w:tab/>
        <w:t>В Основном законе страны закрепляется принцип равноправия без каких бы то ни было различий по признаку пола, расы, возраста, религиозных верований, социального положения, состояния здоровья и сексуальной ориентации.  Кроме того, соблюдение аналогичного принципа обеспечивается в соответствии с федеральными законами и подписанными Мексикой международными договорами, касающимися сферы труда.</w:t>
      </w:r>
    </w:p>
    <w:p w:rsidR="00000000" w:rsidRDefault="00000000"/>
    <w:p w:rsidR="00000000" w:rsidRDefault="00000000">
      <w:r>
        <w:t>262.</w:t>
      </w:r>
      <w:r>
        <w:tab/>
        <w:t>В дополнение к вышеизложенному следует отметить, что в статье 3, пункте I статьи 133 и статье 164 федерального закона о труде говорится следующее:</w:t>
      </w:r>
    </w:p>
    <w:p w:rsidR="00000000" w:rsidRDefault="00000000"/>
    <w:p w:rsidR="00000000" w:rsidRDefault="00000000">
      <w:pPr>
        <w:ind w:left="567"/>
      </w:pPr>
      <w:r>
        <w:tab/>
        <w:t>"Статья 3.  Труд является социальным правом и социальной обязанностью.  Труд не может служить объектом торга, требует уважения свободы и достоинства трудящегося и осуществляется в условиях, гарантирующих жизнь, здоровье и адекватный экономический уровень трудящегося и его семьи".</w:t>
      </w:r>
    </w:p>
    <w:p w:rsidR="00000000" w:rsidRDefault="00000000">
      <w:pPr>
        <w:ind w:left="567"/>
      </w:pPr>
    </w:p>
    <w:p w:rsidR="00000000" w:rsidRDefault="00000000">
      <w:r>
        <w:t>263.</w:t>
      </w:r>
      <w:r>
        <w:tab/>
        <w:t xml:space="preserve">Устанавливается запрет на проведение разграничений между трудящимися по признаку расы, пола, возраста, религиозных верований и политических убеждений или социального положения.  </w:t>
      </w:r>
    </w:p>
    <w:p w:rsidR="00000000" w:rsidRDefault="00000000"/>
    <w:p w:rsidR="00000000" w:rsidRDefault="00000000">
      <w:r>
        <w:t>264.</w:t>
      </w:r>
      <w:r>
        <w:tab/>
        <w:t xml:space="preserve">Кроме того, в социальных интересах обеспечивается поощрение и контроль за профессиональной подготовкой и повышением квалификации трудящихся.  </w:t>
      </w:r>
    </w:p>
    <w:p w:rsidR="00000000" w:rsidRDefault="00000000"/>
    <w:p w:rsidR="00000000" w:rsidRDefault="00000000">
      <w:pPr>
        <w:ind w:left="567"/>
      </w:pPr>
      <w:r>
        <w:t>"Статья 133.  Работодателям запрещается:</w:t>
      </w:r>
    </w:p>
    <w:p w:rsidR="00000000" w:rsidRDefault="00000000">
      <w:pPr>
        <w:ind w:left="567"/>
      </w:pPr>
    </w:p>
    <w:p w:rsidR="00000000" w:rsidRDefault="00000000">
      <w:pPr>
        <w:ind w:left="1134"/>
      </w:pPr>
      <w:r>
        <w:t>Отказывать лицам в приеме на работу по признаку возраста или пола".</w:t>
      </w:r>
    </w:p>
    <w:p w:rsidR="00000000" w:rsidRDefault="00000000">
      <w:pPr>
        <w:ind w:left="1134"/>
      </w:pPr>
    </w:p>
    <w:p w:rsidR="00000000" w:rsidRDefault="00000000">
      <w:pPr>
        <w:ind w:left="567"/>
      </w:pPr>
      <w:r>
        <w:t>"Статья 164.  Женщины пользуются теми же правами и имеют те же обязанности, что и мужчины".</w:t>
      </w:r>
    </w:p>
    <w:p w:rsidR="00000000" w:rsidRDefault="00000000">
      <w:pPr>
        <w:ind w:left="567"/>
      </w:pPr>
    </w:p>
    <w:p w:rsidR="00000000" w:rsidRDefault="00000000">
      <w:r>
        <w:t>265.</w:t>
      </w:r>
      <w:r>
        <w:tab/>
        <w:t>В этой связи применяются также положения статьи 5 Конституции, где говорится следующее:  "Никто не может быть лишен результатов своего труда, кроме как по судебному решению".</w:t>
      </w:r>
    </w:p>
    <w:p w:rsidR="00000000" w:rsidRDefault="00000000"/>
    <w:p w:rsidR="00000000" w:rsidRDefault="00000000">
      <w:r>
        <w:t>266.</w:t>
      </w:r>
      <w:r>
        <w:tab/>
        <w:t>Кроме того, в соответствии со статьей 4 федерального закона о труде "запрещается чинение препятствий какому-либо лицу в труде, выборе подходящей ему профессии, производственной или коммерческой отрасли при условии их законности (…)".</w:t>
      </w:r>
    </w:p>
    <w:p w:rsidR="00000000" w:rsidRDefault="00000000"/>
    <w:p w:rsidR="00000000" w:rsidRDefault="00000000">
      <w:r>
        <w:t>267.</w:t>
      </w:r>
      <w:r>
        <w:tab/>
        <w:t>Кроме того, соответствующая конституционная норма предусматривает ряд исключений, однако все они служат интересам трудящихся:</w:t>
      </w:r>
    </w:p>
    <w:p w:rsidR="00000000" w:rsidRDefault="00000000"/>
    <w:p w:rsidR="00000000" w:rsidRDefault="00000000">
      <w:pPr>
        <w:numPr>
          <w:ilvl w:val="0"/>
          <w:numId w:val="23"/>
        </w:numPr>
      </w:pPr>
      <w:r>
        <w:t>Нормы, касающиеся сверхурочной работы несовершеннолетних лиц в возрасте до 16 лет (пункт ХI статьи 123 Конституции).</w:t>
      </w:r>
    </w:p>
    <w:p w:rsidR="00000000" w:rsidRDefault="00000000">
      <w:pPr>
        <w:tabs>
          <w:tab w:val="clear" w:pos="1134"/>
        </w:tabs>
        <w:ind w:left="567"/>
      </w:pPr>
    </w:p>
    <w:p w:rsidR="00000000" w:rsidRDefault="00000000">
      <w:pPr>
        <w:numPr>
          <w:ilvl w:val="0"/>
          <w:numId w:val="23"/>
        </w:numPr>
      </w:pPr>
      <w:r>
        <w:t>Нормы, запрещающие выполнение беременными женщинами тех работ, которые требуют значительных усилий и представляют угрозу для их здоровья и вынашиваемого плода (пункт </w:t>
      </w:r>
      <w:r>
        <w:rPr>
          <w:lang w:val="en-US"/>
        </w:rPr>
        <w:t>V</w:t>
      </w:r>
      <w:r>
        <w:t xml:space="preserve"> статьи 123, статья 166 и статья 170 федерального закона о труде).</w:t>
      </w:r>
    </w:p>
    <w:p w:rsidR="00000000" w:rsidRDefault="00000000">
      <w:pPr>
        <w:tabs>
          <w:tab w:val="clear" w:pos="1134"/>
        </w:tabs>
        <w:ind w:left="567"/>
      </w:pPr>
    </w:p>
    <w:p w:rsidR="00000000" w:rsidRDefault="00000000">
      <w:r>
        <w:t>268.</w:t>
      </w:r>
      <w:r>
        <w:tab/>
        <w:t>Дополнительная информация по этому вопросу содержится в разделе настоящего доклада в контексте пункта 2 </w:t>
      </w:r>
      <w:r>
        <w:rPr>
          <w:lang w:val="en-US"/>
        </w:rPr>
        <w:t>d</w:t>
      </w:r>
      <w:r>
        <w:t>) руководящих принципов.</w:t>
      </w:r>
    </w:p>
    <w:p w:rsidR="00000000" w:rsidRDefault="00000000"/>
    <w:p w:rsidR="00000000" w:rsidRDefault="00000000">
      <w:pPr>
        <w:rPr>
          <w:b/>
          <w:bCs/>
        </w:rPr>
      </w:pPr>
      <w:r>
        <w:rPr>
          <w:b/>
          <w:bCs/>
        </w:rPr>
        <w:t>Пункт 19</w:t>
      </w:r>
    </w:p>
    <w:p w:rsidR="00000000" w:rsidRDefault="00000000">
      <w:pPr>
        <w:rPr>
          <w:b/>
          <w:bCs/>
        </w:rPr>
      </w:pPr>
    </w:p>
    <w:p w:rsidR="00000000" w:rsidRDefault="00000000">
      <w:r>
        <w:t>269.</w:t>
      </w:r>
      <w:r>
        <w:tab/>
        <w:t>Никаких изменений в этой области не произошло.</w:t>
      </w:r>
    </w:p>
    <w:p w:rsidR="00000000" w:rsidRDefault="00000000">
      <w:pPr>
        <w:rPr>
          <w:b/>
          <w:bCs/>
        </w:rPr>
      </w:pPr>
      <w:r>
        <w:rPr>
          <w:b/>
          <w:bCs/>
        </w:rPr>
        <w:t>Пункт 20</w:t>
      </w:r>
    </w:p>
    <w:p w:rsidR="00000000" w:rsidRDefault="00000000">
      <w:pPr>
        <w:rPr>
          <w:b/>
          <w:bCs/>
        </w:rPr>
      </w:pPr>
    </w:p>
    <w:p w:rsidR="00000000" w:rsidRDefault="00000000">
      <w:r>
        <w:t>270.</w:t>
      </w:r>
      <w:r>
        <w:tab/>
        <w:t>За период 2001</w:t>
      </w:r>
      <w:r>
        <w:noBreakHyphen/>
        <w:t xml:space="preserve">2003 годов была проведена серия мероприятий в рамках технического сотрудничества с МОТ, которая предусматривала реализацию различных программ, проведение исследований и организацию семинаров.  </w:t>
      </w:r>
    </w:p>
    <w:p w:rsidR="00000000" w:rsidRDefault="00000000"/>
    <w:p w:rsidR="00000000" w:rsidRDefault="00000000">
      <w:pPr>
        <w:jc w:val="center"/>
        <w:rPr>
          <w:b/>
          <w:bCs/>
        </w:rPr>
      </w:pPr>
      <w:r>
        <w:rPr>
          <w:b/>
          <w:bCs/>
        </w:rPr>
        <w:t>Техническое сотрудничество по линии МОТ</w:t>
      </w:r>
    </w:p>
    <w:p w:rsidR="00000000" w:rsidRDefault="00000000">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0"/>
        <w:gridCol w:w="4772"/>
      </w:tblGrid>
      <w:tr w:rsidR="00000000">
        <w:tblPrEx>
          <w:tblCellMar>
            <w:top w:w="0" w:type="dxa"/>
            <w:bottom w:w="0" w:type="dxa"/>
          </w:tblCellMar>
        </w:tblPrEx>
        <w:trPr>
          <w:jc w:val="center"/>
        </w:trPr>
        <w:tc>
          <w:tcPr>
            <w:tcW w:w="4440" w:type="dxa"/>
          </w:tcPr>
          <w:p w:rsidR="00000000" w:rsidRDefault="00000000">
            <w:pPr>
              <w:spacing w:after="240"/>
              <w:rPr>
                <w:rFonts w:cs="Arial"/>
                <w:sz w:val="20"/>
                <w:lang w:val="en-US"/>
              </w:rPr>
            </w:pPr>
          </w:p>
          <w:p w:rsidR="00000000" w:rsidRDefault="00000000">
            <w:pPr>
              <w:spacing w:after="240"/>
              <w:rPr>
                <w:rFonts w:cs="Arial"/>
                <w:sz w:val="20"/>
                <w:lang w:val="en-US"/>
              </w:rPr>
            </w:pPr>
          </w:p>
          <w:p w:rsidR="00000000" w:rsidRDefault="00000000">
            <w:pPr>
              <w:spacing w:line="240" w:lineRule="auto"/>
              <w:rPr>
                <w:sz w:val="20"/>
              </w:rPr>
            </w:pPr>
            <w:r>
              <w:rPr>
                <w:sz w:val="20"/>
                <w:lang w:val="en-US"/>
              </w:rPr>
              <w:tab/>
            </w:r>
            <w:r>
              <w:rPr>
                <w:sz w:val="20"/>
              </w:rPr>
              <w:t>Поскольку Мексика является членом МОТ, в 2003 году при содействии этой организации в стране было проведено 13 мероприятий, что представляет собой рост на 333% по сравнению с 2002 годом.</w:t>
            </w:r>
          </w:p>
          <w:p w:rsidR="00000000" w:rsidRDefault="00000000">
            <w:pPr>
              <w:spacing w:line="240" w:lineRule="auto"/>
              <w:rPr>
                <w:sz w:val="20"/>
              </w:rPr>
            </w:pPr>
          </w:p>
          <w:p w:rsidR="00000000" w:rsidRDefault="00000000">
            <w:pPr>
              <w:spacing w:after="240" w:line="240" w:lineRule="auto"/>
              <w:rPr>
                <w:rFonts w:cs="Arial"/>
                <w:sz w:val="20"/>
              </w:rPr>
            </w:pPr>
            <w:r>
              <w:rPr>
                <w:sz w:val="20"/>
              </w:rPr>
              <w:tab/>
              <w:t xml:space="preserve">Мероприятия по линии технического сотрудничества Мексики и МОТ включают реализацию различных исследований, программ, исследований и семинаров.  </w:t>
            </w:r>
          </w:p>
          <w:p w:rsidR="00000000" w:rsidRDefault="00000000">
            <w:pPr>
              <w:spacing w:after="240"/>
              <w:rPr>
                <w:rFonts w:cs="Arial"/>
                <w:sz w:val="20"/>
              </w:rPr>
            </w:pPr>
          </w:p>
          <w:p w:rsidR="00000000" w:rsidRDefault="00000000"/>
        </w:tc>
        <w:tc>
          <w:tcPr>
            <w:tcW w:w="4772" w:type="dxa"/>
          </w:tcPr>
          <w:p w:rsidR="00000000" w:rsidRDefault="00000000">
            <w:r>
              <w:rPr>
                <w:lang w:val="en-US"/>
              </w:rPr>
              <w:pict>
                <v:shape id="_x0000_s1040" type="#_x0000_t75" style="position:absolute;margin-left:0;margin-top:0;width:231.6pt;height:231.6pt;z-index:6;mso-position-horizontal-relative:text;mso-position-vertical-relative:text">
                  <v:imagedata r:id="rId23" o:title=""/>
                  <w10:wrap type="topAndBottom"/>
                </v:shape>
              </w:pict>
            </w:r>
          </w:p>
        </w:tc>
      </w:tr>
    </w:tbl>
    <w:p w:rsidR="00000000" w:rsidRDefault="00000000">
      <w:pPr>
        <w:spacing w:line="240" w:lineRule="auto"/>
        <w:rPr>
          <w:sz w:val="22"/>
        </w:rPr>
      </w:pPr>
    </w:p>
    <w:p w:rsidR="00000000" w:rsidRDefault="00000000">
      <w:pPr>
        <w:spacing w:line="240" w:lineRule="auto"/>
        <w:rPr>
          <w:sz w:val="18"/>
        </w:rPr>
      </w:pPr>
      <w:r>
        <w:rPr>
          <w:i/>
          <w:iCs/>
          <w:sz w:val="18"/>
        </w:rPr>
        <w:t>Источник</w:t>
      </w:r>
      <w:r>
        <w:rPr>
          <w:sz w:val="18"/>
        </w:rPr>
        <w:t>:  министерство труда и социального обеспечения.</w:t>
      </w:r>
    </w:p>
    <w:p w:rsidR="00000000" w:rsidRDefault="00000000">
      <w:pPr>
        <w:jc w:val="center"/>
      </w:pPr>
    </w:p>
    <w:p w:rsidR="00000000" w:rsidRDefault="00000000">
      <w:pPr>
        <w:jc w:val="center"/>
        <w:rPr>
          <w:b/>
          <w:bCs/>
        </w:rPr>
      </w:pPr>
      <w:r>
        <w:rPr>
          <w:b/>
          <w:bCs/>
        </w:rPr>
        <w:t>С.</w:t>
      </w:r>
      <w:r>
        <w:rPr>
          <w:b/>
          <w:bCs/>
        </w:rPr>
        <w:tab/>
        <w:t>Статья 8</w:t>
      </w:r>
    </w:p>
    <w:p w:rsidR="00000000" w:rsidRDefault="00000000">
      <w:pPr>
        <w:jc w:val="center"/>
        <w:rPr>
          <w:b/>
          <w:bCs/>
        </w:rPr>
      </w:pPr>
    </w:p>
    <w:p w:rsidR="00000000" w:rsidRDefault="00000000">
      <w:pPr>
        <w:rPr>
          <w:b/>
          <w:bCs/>
        </w:rPr>
      </w:pPr>
      <w:r>
        <w:rPr>
          <w:b/>
          <w:bCs/>
        </w:rPr>
        <w:t>Пункт 22 руководящих принципов</w:t>
      </w:r>
    </w:p>
    <w:p w:rsidR="00000000" w:rsidRDefault="00000000">
      <w:pPr>
        <w:rPr>
          <w:b/>
          <w:bCs/>
        </w:rPr>
      </w:pPr>
    </w:p>
    <w:p w:rsidR="00000000" w:rsidRDefault="00000000">
      <w:r>
        <w:t>271.</w:t>
      </w:r>
      <w:r>
        <w:tab/>
        <w:t>В статье 9 Политической конституции Мексиканских Соединенных Штатов закрепляется конкретная гарантия, в соответствии с которой каждый человек имеет право на свободу объединений и на мирные собрания для любых разрешенных законом целей.</w:t>
      </w:r>
    </w:p>
    <w:p w:rsidR="00000000" w:rsidRDefault="00000000"/>
    <w:p w:rsidR="00000000" w:rsidRDefault="00000000">
      <w:pPr>
        <w:ind w:left="567" w:hanging="567"/>
      </w:pPr>
      <w:r>
        <w:tab/>
      </w:r>
      <w:r>
        <w:tab/>
        <w:t>"Статья 9.  Право мирно собираться и объединяться для любых разрешенных законом целей не может быть ограничено, но этим правом могут пользоваться только граждане Республики для обсуждения политических дел страны.  Вооруженные собрания для обсуждения каких бы то ни было вопросов не разрешаются.</w:t>
      </w:r>
    </w:p>
    <w:p w:rsidR="00000000" w:rsidRDefault="00000000">
      <w:pPr>
        <w:ind w:left="567" w:hanging="567"/>
      </w:pPr>
    </w:p>
    <w:p w:rsidR="00000000" w:rsidRDefault="00000000">
      <w:pPr>
        <w:ind w:left="567" w:hanging="567"/>
      </w:pPr>
      <w:r>
        <w:tab/>
      </w:r>
      <w:r>
        <w:tab/>
        <w:t>Не считается незаконным и не может быть распущено собрание, ставящее целью обратиться к властям с петицией или с протестом по поводу какого-либо акта, если только не будут иметь место оскорбление власти, или насилие, или угрозы с целью запугать или принудить указанную власть вынести благоприятное решение".</w:t>
      </w:r>
    </w:p>
    <w:p w:rsidR="00000000" w:rsidRDefault="00000000">
      <w:pPr>
        <w:ind w:left="567" w:hanging="567"/>
      </w:pPr>
    </w:p>
    <w:p w:rsidR="00000000" w:rsidRDefault="00000000">
      <w:r>
        <w:t>272.</w:t>
      </w:r>
      <w:r>
        <w:tab/>
        <w:t>Процедура создания профсоюзов регулируется положениями Политической конституции Мексиканских Соединенных Штатов и федерального закона о труде.</w:t>
      </w:r>
    </w:p>
    <w:p w:rsidR="00000000" w:rsidRDefault="00000000"/>
    <w:p w:rsidR="00000000" w:rsidRDefault="00000000">
      <w:r>
        <w:t>273.</w:t>
      </w:r>
      <w:r>
        <w:tab/>
        <w:t>В разделах А и В статьи 123 Конституции говорится, в частности, следующее:</w:t>
      </w:r>
    </w:p>
    <w:p w:rsidR="00000000" w:rsidRDefault="00000000"/>
    <w:p w:rsidR="00000000" w:rsidRDefault="00000000">
      <w:pPr>
        <w:ind w:left="567"/>
      </w:pPr>
      <w:r>
        <w:tab/>
        <w:t>"Статья 123.  Каждый человек имеет право на достойный и социально полезный труд;  в этой связи принимаются меры по созданию рабочих мест и совершенствованию социальной организации труда в соответствии с законом".</w:t>
      </w:r>
    </w:p>
    <w:p w:rsidR="00000000" w:rsidRDefault="00000000">
      <w:pPr>
        <w:ind w:left="567"/>
      </w:pPr>
    </w:p>
    <w:p w:rsidR="00000000" w:rsidRDefault="00000000">
      <w:pPr>
        <w:tabs>
          <w:tab w:val="clear" w:pos="567"/>
          <w:tab w:val="left" w:pos="561"/>
        </w:tabs>
      </w:pPr>
      <w:r>
        <w:t>274.</w:t>
      </w:r>
      <w:r>
        <w:tab/>
        <w:t>Без ущерба для базовых норм Конгресс Республики принимает законы о труде, на основе которых регулируются:</w:t>
      </w:r>
    </w:p>
    <w:p w:rsidR="00000000" w:rsidRDefault="00000000">
      <w:pPr>
        <w:tabs>
          <w:tab w:val="clear" w:pos="567"/>
          <w:tab w:val="left" w:pos="561"/>
        </w:tabs>
      </w:pPr>
    </w:p>
    <w:p w:rsidR="00000000" w:rsidRDefault="00000000">
      <w:pPr>
        <w:tabs>
          <w:tab w:val="clear" w:pos="567"/>
          <w:tab w:val="left" w:pos="561"/>
        </w:tabs>
        <w:ind w:left="1134" w:hanging="1134"/>
      </w:pPr>
      <w:r>
        <w:tab/>
        <w:t>А.</w:t>
      </w:r>
      <w:r>
        <w:tab/>
        <w:t xml:space="preserve">Вопросы, касающиеся любых трудовых соглашений, затрагивающих рабочих, сельскохозяйственных поденщиков, домашней прислуги, кустарных производителей и других категорий трудящихся:  </w:t>
      </w:r>
    </w:p>
    <w:p w:rsidR="00000000" w:rsidRDefault="00000000">
      <w:pPr>
        <w:tabs>
          <w:tab w:val="clear" w:pos="567"/>
          <w:tab w:val="left" w:pos="561"/>
        </w:tabs>
        <w:ind w:left="561" w:hanging="561"/>
      </w:pPr>
    </w:p>
    <w:p w:rsidR="00000000" w:rsidRDefault="00000000">
      <w:pPr>
        <w:tabs>
          <w:tab w:val="clear" w:pos="567"/>
          <w:tab w:val="clear" w:pos="1701"/>
          <w:tab w:val="left" w:pos="561"/>
          <w:tab w:val="left" w:pos="1843"/>
        </w:tabs>
        <w:ind w:left="1843" w:hanging="1701"/>
      </w:pPr>
      <w:r>
        <w:tab/>
      </w:r>
      <w:r>
        <w:tab/>
      </w:r>
      <w:r>
        <w:rPr>
          <w:lang w:val="en-US"/>
        </w:rPr>
        <w:t>XVI</w:t>
      </w:r>
      <w:r>
        <w:t>.</w:t>
      </w:r>
      <w:r>
        <w:tab/>
        <w:t>Как рабочие, так и работодатели имеют право объединяться в целях защиты своих интересов путем создания профсоюзов, профессиональных ассоциаций и т.д.</w:t>
      </w:r>
    </w:p>
    <w:p w:rsidR="00000000" w:rsidRDefault="00000000">
      <w:pPr>
        <w:tabs>
          <w:tab w:val="clear" w:pos="567"/>
          <w:tab w:val="left" w:pos="561"/>
        </w:tabs>
        <w:ind w:left="1134" w:hanging="1134"/>
      </w:pPr>
    </w:p>
    <w:p w:rsidR="00000000" w:rsidRDefault="00000000">
      <w:pPr>
        <w:tabs>
          <w:tab w:val="clear" w:pos="567"/>
          <w:tab w:val="left" w:pos="561"/>
        </w:tabs>
      </w:pPr>
      <w:r>
        <w:t>275.</w:t>
      </w:r>
      <w:r>
        <w:tab/>
        <w:t>Кроме того, принципы, закрепляющие профсоюзные свободы, предусматриваются в статьях 357 и 358 федерального закона о труде:</w:t>
      </w:r>
    </w:p>
    <w:p w:rsidR="00000000" w:rsidRDefault="00000000">
      <w:pPr>
        <w:tabs>
          <w:tab w:val="clear" w:pos="567"/>
          <w:tab w:val="left" w:pos="561"/>
        </w:tabs>
      </w:pPr>
    </w:p>
    <w:p w:rsidR="00000000" w:rsidRDefault="00000000">
      <w:pPr>
        <w:tabs>
          <w:tab w:val="clear" w:pos="567"/>
          <w:tab w:val="left" w:pos="561"/>
        </w:tabs>
        <w:ind w:left="561" w:hanging="561"/>
      </w:pPr>
      <w:r>
        <w:tab/>
      </w:r>
      <w:r>
        <w:tab/>
        <w:t>"Статья 357.  Трудящиеся и работодатели имеют право создавать профсоюзы без какого-либо предварительного разрешения".</w:t>
      </w:r>
    </w:p>
    <w:p w:rsidR="00000000" w:rsidRDefault="00000000">
      <w:pPr>
        <w:tabs>
          <w:tab w:val="clear" w:pos="567"/>
          <w:tab w:val="left" w:pos="561"/>
        </w:tabs>
        <w:ind w:left="561" w:hanging="561"/>
      </w:pPr>
    </w:p>
    <w:p w:rsidR="00000000" w:rsidRDefault="00000000">
      <w:pPr>
        <w:tabs>
          <w:tab w:val="clear" w:pos="567"/>
          <w:tab w:val="left" w:pos="561"/>
        </w:tabs>
        <w:ind w:left="561" w:hanging="561"/>
      </w:pPr>
      <w:r>
        <w:tab/>
      </w:r>
      <w:r>
        <w:tab/>
        <w:t>"Статья 358.  Никто не может принуждаться к вступлению в профсоюз.  Любое положение, которое устанавливает взаимные обязательства сторон в случае выхода из профсоюза или каким-либо образом дезавуируют положения, содержащиеся в предыдущем пункте, не имеет юридической силы".</w:t>
      </w:r>
    </w:p>
    <w:p w:rsidR="00000000" w:rsidRDefault="00000000">
      <w:pPr>
        <w:tabs>
          <w:tab w:val="clear" w:pos="567"/>
          <w:tab w:val="left" w:pos="561"/>
        </w:tabs>
        <w:ind w:left="561" w:hanging="561"/>
      </w:pPr>
    </w:p>
    <w:p w:rsidR="00000000" w:rsidRDefault="00000000">
      <w:pPr>
        <w:tabs>
          <w:tab w:val="clear" w:pos="567"/>
          <w:tab w:val="left" w:pos="561"/>
        </w:tabs>
      </w:pPr>
      <w:r>
        <w:br w:type="page"/>
        <w:t>276.</w:t>
      </w:r>
      <w:r>
        <w:tab/>
        <w:t>Конституционные нормы и регламентирующие нормы законодательства в трудовой сфере соответствуют положениям статьи 2 Конвенции № 87 Международной организации труда о свободе ассоциации и защите права на организацию, которая была принята МОТ в 1948 году.  Мексика присоединилась к этому документу и затем ратифицировала его, в результате чего эта Конвенция вступила в силу для Мексики 4 июля 1950 года.</w:t>
      </w:r>
    </w:p>
    <w:p w:rsidR="00000000" w:rsidRDefault="00000000">
      <w:pPr>
        <w:tabs>
          <w:tab w:val="clear" w:pos="567"/>
          <w:tab w:val="left" w:pos="561"/>
        </w:tabs>
      </w:pPr>
    </w:p>
    <w:p w:rsidR="00000000" w:rsidRDefault="00000000">
      <w:pPr>
        <w:tabs>
          <w:tab w:val="clear" w:pos="567"/>
          <w:tab w:val="left" w:pos="561"/>
        </w:tabs>
      </w:pPr>
      <w:r>
        <w:t>277.</w:t>
      </w:r>
      <w:r>
        <w:tab/>
        <w:t>В отношении права вступать в профсоюзы в статье 2 Конвенции № 87 МОТ говорится следующее:</w:t>
      </w:r>
    </w:p>
    <w:p w:rsidR="00000000" w:rsidRDefault="00000000">
      <w:pPr>
        <w:tabs>
          <w:tab w:val="clear" w:pos="567"/>
          <w:tab w:val="left" w:pos="561"/>
        </w:tabs>
      </w:pPr>
    </w:p>
    <w:p w:rsidR="00000000" w:rsidRDefault="00000000">
      <w:pPr>
        <w:tabs>
          <w:tab w:val="clear" w:pos="567"/>
          <w:tab w:val="left" w:pos="561"/>
        </w:tabs>
        <w:ind w:left="561" w:hanging="561"/>
      </w:pPr>
      <w:r>
        <w:tab/>
        <w:t>"Работники и работодатели без какого бы то ни было различия имеют право создавать по своему выбору организации без предварительного на то разрешения, а также право вступать в такие организации на единственном условии подчинения уставам этих последних"</w:t>
      </w:r>
      <w:r>
        <w:rPr>
          <w:rStyle w:val="FootnoteReference"/>
        </w:rPr>
        <w:footnoteReference w:id="15"/>
      </w:r>
      <w:r>
        <w:t>.</w:t>
      </w:r>
    </w:p>
    <w:p w:rsidR="00000000" w:rsidRDefault="00000000">
      <w:pPr>
        <w:tabs>
          <w:tab w:val="clear" w:pos="567"/>
          <w:tab w:val="left" w:pos="561"/>
        </w:tabs>
        <w:ind w:left="561" w:hanging="561"/>
      </w:pPr>
    </w:p>
    <w:p w:rsidR="00000000" w:rsidRDefault="00000000">
      <w:pPr>
        <w:tabs>
          <w:tab w:val="clear" w:pos="567"/>
          <w:tab w:val="left" w:pos="561"/>
        </w:tabs>
        <w:ind w:left="561" w:hanging="561"/>
      </w:pPr>
      <w:r>
        <w:t>278.</w:t>
      </w:r>
      <w:r>
        <w:tab/>
        <w:t>В федеральном законе о труде предусматриваются в связи с этим следующие нормы:</w:t>
      </w:r>
    </w:p>
    <w:p w:rsidR="00000000" w:rsidRDefault="00000000">
      <w:pPr>
        <w:tabs>
          <w:tab w:val="clear" w:pos="567"/>
          <w:tab w:val="left" w:pos="561"/>
        </w:tabs>
        <w:ind w:left="561" w:hanging="561"/>
      </w:pPr>
    </w:p>
    <w:p w:rsidR="00000000" w:rsidRDefault="00000000">
      <w:pPr>
        <w:jc w:val="center"/>
        <w:rPr>
          <w:b/>
          <w:bCs/>
        </w:rPr>
      </w:pPr>
      <w:r>
        <w:rPr>
          <w:b/>
          <w:bCs/>
        </w:rPr>
        <w:t>Для профсоюзов трудящихся</w:t>
      </w:r>
    </w:p>
    <w:p w:rsidR="00000000" w:rsidRDefault="00000000">
      <w:pPr>
        <w:jc w:val="center"/>
        <w:rPr>
          <w:b/>
          <w:bCs/>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2"/>
        <w:gridCol w:w="4675"/>
      </w:tblGrid>
      <w:tr w:rsidR="00000000">
        <w:tblPrEx>
          <w:tblCellMar>
            <w:top w:w="0" w:type="dxa"/>
            <w:bottom w:w="0" w:type="dxa"/>
          </w:tblCellMar>
        </w:tblPrEx>
        <w:trPr>
          <w:tblHeader/>
        </w:trPr>
        <w:tc>
          <w:tcPr>
            <w:tcW w:w="4662" w:type="dxa"/>
          </w:tcPr>
          <w:p w:rsidR="00000000" w:rsidRDefault="00000000">
            <w:pPr>
              <w:spacing w:before="40" w:after="40"/>
              <w:jc w:val="center"/>
              <w:rPr>
                <w:i/>
                <w:iCs/>
                <w:sz w:val="18"/>
              </w:rPr>
            </w:pPr>
            <w:r>
              <w:rPr>
                <w:i/>
                <w:iCs/>
                <w:sz w:val="18"/>
              </w:rPr>
              <w:t>Содержание</w:t>
            </w:r>
          </w:p>
        </w:tc>
        <w:tc>
          <w:tcPr>
            <w:tcW w:w="4675" w:type="dxa"/>
          </w:tcPr>
          <w:p w:rsidR="00000000" w:rsidRDefault="00000000">
            <w:pPr>
              <w:spacing w:before="40" w:after="40"/>
              <w:jc w:val="center"/>
              <w:rPr>
                <w:i/>
                <w:iCs/>
                <w:sz w:val="18"/>
              </w:rPr>
            </w:pPr>
            <w:r>
              <w:rPr>
                <w:i/>
                <w:iCs/>
                <w:sz w:val="18"/>
              </w:rPr>
              <w:t>Форма</w:t>
            </w:r>
          </w:p>
        </w:tc>
      </w:tr>
      <w:tr w:rsidR="00000000">
        <w:tblPrEx>
          <w:tblCellMar>
            <w:top w:w="0" w:type="dxa"/>
            <w:bottom w:w="0" w:type="dxa"/>
          </w:tblCellMar>
        </w:tblPrEx>
        <w:trPr>
          <w:trHeight w:val="5626"/>
        </w:trPr>
        <w:tc>
          <w:tcPr>
            <w:tcW w:w="4662" w:type="dxa"/>
            <w:tcBorders>
              <w:bottom w:val="single" w:sz="4" w:space="0" w:color="auto"/>
            </w:tcBorders>
          </w:tcPr>
          <w:p w:rsidR="00000000" w:rsidRDefault="00000000">
            <w:pPr>
              <w:spacing w:before="160"/>
              <w:ind w:left="11"/>
              <w:rPr>
                <w:sz w:val="18"/>
              </w:rPr>
            </w:pPr>
            <w:r>
              <w:rPr>
                <w:sz w:val="18"/>
              </w:rPr>
              <w:tab/>
              <w:t>Для вступления в профсоюз необходимо, чтобы трудящийся работал на соответствующем предприятии.</w:t>
            </w:r>
          </w:p>
          <w:p w:rsidR="00000000" w:rsidRDefault="00000000">
            <w:pPr>
              <w:spacing w:before="160"/>
              <w:ind w:left="11"/>
              <w:rPr>
                <w:sz w:val="18"/>
              </w:rPr>
            </w:pPr>
            <w:r>
              <w:rPr>
                <w:sz w:val="18"/>
              </w:rPr>
              <w:tab/>
              <w:t>Профсоюзы имеют право разрабатывать свои уставы и регламенты, свободно выбирать своих представителей, организовывать свой аппарат и свою деятельность и формулировать свою программу действий (359).</w:t>
            </w:r>
          </w:p>
          <w:p w:rsidR="00000000" w:rsidRDefault="00000000">
            <w:pPr>
              <w:spacing w:before="160"/>
              <w:ind w:left="11"/>
              <w:rPr>
                <w:sz w:val="18"/>
              </w:rPr>
            </w:pPr>
            <w:r>
              <w:rPr>
                <w:sz w:val="18"/>
              </w:rPr>
              <w:tab/>
              <w:t>В уставах содержится информация о названии профсоюза, его местонахождении, целях, продолжительности существования, порядке приема в члены профсоюза, обязанностях и правах членов профсоюза, мотивах и процедурах исключения из профсоюза и применении дисциплинарных мер, порядке созыва собраний, процедуре избрания руководящих органов и их численности, периоде деятельности руководящего органа, нормах, касающихся управления, приобретения и распоряжения имуществом и собственностью профсоюза, форме оплаты и размерах профсоюзных взносов, сроках представления отчетов и нормах, касающихся роспуска профсоюза (371).</w:t>
            </w:r>
          </w:p>
        </w:tc>
        <w:tc>
          <w:tcPr>
            <w:tcW w:w="4675" w:type="dxa"/>
            <w:tcBorders>
              <w:bottom w:val="single" w:sz="4" w:space="0" w:color="auto"/>
            </w:tcBorders>
          </w:tcPr>
          <w:p w:rsidR="00000000" w:rsidRDefault="00000000">
            <w:pPr>
              <w:spacing w:before="160"/>
              <w:ind w:left="11"/>
              <w:rPr>
                <w:sz w:val="18"/>
              </w:rPr>
            </w:pPr>
            <w:r>
              <w:rPr>
                <w:sz w:val="18"/>
              </w:rPr>
              <w:tab/>
              <w:t>Трудящиеся или работодатели могут создавать профсоюзы без предварительного на то разрешения (357).</w:t>
            </w:r>
          </w:p>
          <w:p w:rsidR="00000000" w:rsidRDefault="00000000">
            <w:pPr>
              <w:spacing w:before="160"/>
              <w:ind w:left="11"/>
              <w:rPr>
                <w:sz w:val="18"/>
              </w:rPr>
            </w:pPr>
            <w:r>
              <w:rPr>
                <w:sz w:val="18"/>
              </w:rPr>
              <w:tab/>
              <w:t>Членами профсоюзов могут быть лица в возрасте старше 14 лет (362).</w:t>
            </w:r>
          </w:p>
          <w:p w:rsidR="00000000" w:rsidRDefault="00000000">
            <w:pPr>
              <w:tabs>
                <w:tab w:val="clear" w:pos="567"/>
                <w:tab w:val="left" w:pos="603"/>
              </w:tabs>
              <w:spacing w:before="160"/>
              <w:ind w:left="11"/>
              <w:rPr>
                <w:sz w:val="18"/>
              </w:rPr>
            </w:pPr>
            <w:r>
              <w:rPr>
                <w:sz w:val="18"/>
              </w:rPr>
              <w:tab/>
              <w:t>Профсоюзные организации могут создаваться не менее, чем 20 трудящимися, а профсоюзы работодателей </w:t>
            </w:r>
            <w:r>
              <w:rPr>
                <w:sz w:val="18"/>
              </w:rPr>
              <w:noBreakHyphen/>
              <w:t xml:space="preserve"> не менее, чем тремя работодателями (364).</w:t>
            </w:r>
          </w:p>
          <w:p w:rsidR="00000000" w:rsidRDefault="00000000">
            <w:pPr>
              <w:tabs>
                <w:tab w:val="clear" w:pos="567"/>
                <w:tab w:val="left" w:pos="603"/>
              </w:tabs>
              <w:spacing w:before="160"/>
              <w:ind w:left="11"/>
              <w:rPr>
                <w:sz w:val="18"/>
              </w:rPr>
            </w:pPr>
            <w:r>
              <w:rPr>
                <w:sz w:val="18"/>
              </w:rPr>
              <w:tab/>
              <w:t>На федеральном уровне создание профсоюзов регистрируется в министерстве труда и социального обеспечения.</w:t>
            </w:r>
          </w:p>
          <w:p w:rsidR="00000000" w:rsidRDefault="00000000">
            <w:pPr>
              <w:tabs>
                <w:tab w:val="clear" w:pos="567"/>
                <w:tab w:val="left" w:pos="603"/>
              </w:tabs>
              <w:spacing w:before="160"/>
              <w:ind w:left="11"/>
              <w:rPr>
                <w:sz w:val="18"/>
              </w:rPr>
            </w:pPr>
            <w:r>
              <w:rPr>
                <w:sz w:val="18"/>
              </w:rPr>
              <w:tab/>
              <w:t>На местном уровне профсоюзы регистрируются в советах по примирению и арбитражу.</w:t>
            </w:r>
          </w:p>
          <w:p w:rsidR="00000000" w:rsidRDefault="00000000">
            <w:pPr>
              <w:tabs>
                <w:tab w:val="left" w:pos="603"/>
              </w:tabs>
              <w:spacing w:before="160"/>
              <w:ind w:left="11"/>
              <w:rPr>
                <w:sz w:val="18"/>
              </w:rPr>
            </w:pPr>
            <w:r>
              <w:rPr>
                <w:sz w:val="18"/>
              </w:rPr>
              <w:tab/>
              <w:t xml:space="preserve">Процедура регистрации предусматривает представление:  заверенной копии протокола учредительного собрания, заверенной копии устава и заверенной копии протокола собрания, на </w:t>
            </w:r>
          </w:p>
        </w:tc>
      </w:tr>
      <w:tr w:rsidR="00000000">
        <w:tblPrEx>
          <w:tblCellMar>
            <w:top w:w="0" w:type="dxa"/>
            <w:bottom w:w="0" w:type="dxa"/>
          </w:tblCellMar>
        </w:tblPrEx>
        <w:trPr>
          <w:trHeight w:val="300"/>
        </w:trPr>
        <w:tc>
          <w:tcPr>
            <w:tcW w:w="4662" w:type="dxa"/>
            <w:tcBorders>
              <w:bottom w:val="single" w:sz="4" w:space="0" w:color="auto"/>
            </w:tcBorders>
          </w:tcPr>
          <w:p w:rsidR="00000000" w:rsidRDefault="00000000">
            <w:pPr>
              <w:pageBreakBefore/>
              <w:spacing w:before="120"/>
              <w:ind w:left="11"/>
              <w:rPr>
                <w:sz w:val="18"/>
              </w:rPr>
            </w:pPr>
            <w:r>
              <w:rPr>
                <w:sz w:val="18"/>
              </w:rPr>
              <w:tab/>
              <w:t>В состав руководящих органов не могут входить несовершеннолетние трудящиеся в возрасте до 16 лет и иностранцы (374).  О наличии такого требования иностранец уведомляется при вступлении в профсоюз при том условии, что он имеет право вступать в соответствующую профсоюзную организацию.</w:t>
            </w:r>
          </w:p>
          <w:p w:rsidR="00000000" w:rsidRDefault="00000000">
            <w:pPr>
              <w:spacing w:before="120"/>
              <w:ind w:left="11"/>
              <w:rPr>
                <w:sz w:val="18"/>
              </w:rPr>
            </w:pPr>
            <w:r>
              <w:rPr>
                <w:sz w:val="18"/>
              </w:rPr>
              <w:tab/>
              <w:t>В профсоюз не имеют права вступать трудящиеся, представляющие интересы администрации (363).</w:t>
            </w:r>
          </w:p>
          <w:p w:rsidR="00000000" w:rsidRDefault="00000000">
            <w:pPr>
              <w:spacing w:before="120"/>
              <w:ind w:left="11"/>
              <w:rPr>
                <w:sz w:val="18"/>
              </w:rPr>
            </w:pPr>
            <w:r>
              <w:rPr>
                <w:sz w:val="18"/>
              </w:rPr>
              <w:tab/>
              <w:t>Профсоюзы представляют своих членов с целью защиты их индивидуальных прав (375).</w:t>
            </w:r>
          </w:p>
          <w:p w:rsidR="00000000" w:rsidRDefault="00000000">
            <w:pPr>
              <w:spacing w:before="120"/>
              <w:ind w:left="11"/>
              <w:rPr>
                <w:sz w:val="18"/>
              </w:rPr>
            </w:pPr>
            <w:r>
              <w:rPr>
                <w:sz w:val="18"/>
              </w:rPr>
              <w:tab/>
              <w:t>Трудящихся представляет генеральный секретарь или другое лицо, на которое возлагается такая ответственность, если иное не предусматривается соответствующим уставом (376).</w:t>
            </w:r>
          </w:p>
          <w:p w:rsidR="00000000" w:rsidRDefault="00000000">
            <w:pPr>
              <w:spacing w:before="120"/>
              <w:ind w:left="11"/>
              <w:rPr>
                <w:sz w:val="18"/>
              </w:rPr>
            </w:pPr>
            <w:r>
              <w:rPr>
                <w:sz w:val="18"/>
              </w:rPr>
              <w:tab/>
              <w:t>Профсоюзам запрещается вмешиваться в решение религиозных вопросов и осуществлять коммерческую деятельность с целью получения прибыли (378).</w:t>
            </w:r>
          </w:p>
        </w:tc>
        <w:tc>
          <w:tcPr>
            <w:tcW w:w="4675" w:type="dxa"/>
            <w:tcBorders>
              <w:bottom w:val="single" w:sz="4" w:space="0" w:color="auto"/>
            </w:tcBorders>
          </w:tcPr>
          <w:p w:rsidR="00000000" w:rsidRDefault="00000000">
            <w:pPr>
              <w:tabs>
                <w:tab w:val="left" w:pos="603"/>
              </w:tabs>
              <w:spacing w:before="120"/>
              <w:ind w:left="11"/>
              <w:rPr>
                <w:sz w:val="18"/>
              </w:rPr>
            </w:pPr>
            <w:r>
              <w:rPr>
                <w:sz w:val="18"/>
              </w:rPr>
              <w:t>котором были избраны руководящие органы, а также список членов с указанием их числа, имен и домашних адресов и адресов предпринимателей, название предприятий или учреждений, где работают члена профсоюза (365).</w:t>
            </w:r>
          </w:p>
        </w:tc>
      </w:tr>
    </w:tbl>
    <w:p w:rsidR="00000000" w:rsidRDefault="00000000"/>
    <w:p w:rsidR="00000000" w:rsidRDefault="00000000">
      <w:pPr>
        <w:spacing w:after="240"/>
        <w:jc w:val="center"/>
        <w:rPr>
          <w:b/>
          <w:bCs/>
        </w:rPr>
      </w:pPr>
      <w:r>
        <w:rPr>
          <w:b/>
          <w:bCs/>
        </w:rPr>
        <w:t>Для профсоюзов работодателей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88"/>
      </w:tblGrid>
      <w:tr w:rsidR="00000000">
        <w:tblPrEx>
          <w:tblCellMar>
            <w:top w:w="0" w:type="dxa"/>
            <w:bottom w:w="0" w:type="dxa"/>
          </w:tblCellMar>
        </w:tblPrEx>
        <w:trPr>
          <w:trHeight w:val="2927"/>
        </w:trPr>
        <w:tc>
          <w:tcPr>
            <w:tcW w:w="4677" w:type="dxa"/>
          </w:tcPr>
          <w:p w:rsidR="00000000" w:rsidRDefault="00000000">
            <w:pPr>
              <w:spacing w:before="120"/>
              <w:ind w:left="11"/>
              <w:rPr>
                <w:sz w:val="18"/>
              </w:rPr>
            </w:pPr>
            <w:r>
              <w:rPr>
                <w:sz w:val="18"/>
              </w:rPr>
              <w:tab/>
              <w:t>Профсоюзы работодателей могут создаваться предпринимателями одной или нескольких отраслей промышленности и национальными профсоюзами, создаваемыми предпринимателями одной или нескольких отраслей промышленности в различных федеральных административно-территориальных единицах (361).</w:t>
            </w:r>
          </w:p>
          <w:p w:rsidR="00000000" w:rsidRDefault="00000000">
            <w:pPr>
              <w:tabs>
                <w:tab w:val="clear" w:pos="6237"/>
                <w:tab w:val="left" w:pos="5812"/>
              </w:tabs>
              <w:spacing w:before="120"/>
              <w:ind w:left="11"/>
              <w:rPr>
                <w:sz w:val="18"/>
              </w:rPr>
            </w:pPr>
            <w:r>
              <w:rPr>
                <w:sz w:val="18"/>
              </w:rPr>
              <w:tab/>
              <w:t>Профсоюзы предпринимателей могут разрабатывать свои уставы и регламенты, свободно выбирать своих представителей, организовывать свой аппарат и свою деятельность и формулировать свою программу действий (359).</w:t>
            </w:r>
          </w:p>
        </w:tc>
        <w:tc>
          <w:tcPr>
            <w:tcW w:w="4688" w:type="dxa"/>
          </w:tcPr>
          <w:p w:rsidR="00000000" w:rsidRDefault="00000000">
            <w:pPr>
              <w:tabs>
                <w:tab w:val="clear" w:pos="567"/>
                <w:tab w:val="left" w:pos="602"/>
              </w:tabs>
              <w:spacing w:before="120"/>
              <w:ind w:left="11"/>
              <w:rPr>
                <w:sz w:val="18"/>
              </w:rPr>
            </w:pPr>
            <w:r>
              <w:rPr>
                <w:sz w:val="18"/>
              </w:rPr>
              <w:tab/>
              <w:t>Профсоюзы работодателей могут создаваться без предварительного на то разрешения (357).</w:t>
            </w:r>
          </w:p>
        </w:tc>
      </w:tr>
    </w:tbl>
    <w:p w:rsidR="00000000" w:rsidRDefault="00000000"/>
    <w:p w:rsidR="00000000" w:rsidRDefault="00000000">
      <w:pPr>
        <w:spacing w:after="240"/>
      </w:pPr>
      <w:r>
        <w:t>279.</w:t>
      </w:r>
      <w:r>
        <w:tab/>
        <w:t>Кроме того, в законе говорится, что трудящийся, являющийся членом профсоюза, может быть исключен из его членов, выйти из него на добровольной основе (358), а также вправе не вступать в ту или иную профсоюзную организацию.</w:t>
      </w:r>
    </w:p>
    <w:p w:rsidR="00000000" w:rsidRDefault="00000000">
      <w:pPr>
        <w:spacing w:after="240"/>
      </w:pPr>
      <w:r>
        <w:t>280.</w:t>
      </w:r>
      <w:r>
        <w:tab/>
        <w:t>В соответствии со статьей 360 федерального закона о труде профсоюзы трудящихся могут быть:</w:t>
      </w:r>
    </w:p>
    <w:p w:rsidR="00000000" w:rsidRDefault="00000000">
      <w:pPr>
        <w:tabs>
          <w:tab w:val="clear" w:pos="567"/>
          <w:tab w:val="right" w:pos="748"/>
        </w:tabs>
        <w:spacing w:after="240"/>
        <w:ind w:left="1134" w:hanging="1134"/>
      </w:pPr>
      <w:r>
        <w:tab/>
        <w:t>I.</w:t>
      </w:r>
      <w:r>
        <w:tab/>
        <w:t>цеховыми, т.е. создаваемыми работниками одной профессии, рода занятий или специальности;</w:t>
      </w:r>
    </w:p>
    <w:p w:rsidR="00000000" w:rsidRDefault="00000000">
      <w:pPr>
        <w:tabs>
          <w:tab w:val="clear" w:pos="567"/>
          <w:tab w:val="right" w:pos="748"/>
        </w:tabs>
        <w:spacing w:after="240"/>
        <w:ind w:left="1134" w:hanging="1134"/>
      </w:pPr>
      <w:r>
        <w:tab/>
        <w:t>II.</w:t>
      </w:r>
      <w:r>
        <w:tab/>
        <w:t>профсоюзами предприятий, создаваемыми трудящимися, работающими на одном предприятии;</w:t>
      </w:r>
    </w:p>
    <w:p w:rsidR="00000000" w:rsidRDefault="00000000">
      <w:pPr>
        <w:tabs>
          <w:tab w:val="clear" w:pos="567"/>
          <w:tab w:val="right" w:pos="748"/>
        </w:tabs>
        <w:spacing w:after="240"/>
        <w:ind w:left="1134" w:hanging="1134"/>
      </w:pPr>
      <w:r>
        <w:tab/>
        <w:t>III.</w:t>
      </w:r>
      <w:r>
        <w:tab/>
        <w:t>отраслевыми, т.е. создаваемыми трудящимися, работающими на одном или нескольких предприятиях одной отрасли промышленности;</w:t>
      </w:r>
    </w:p>
    <w:p w:rsidR="00000000" w:rsidRDefault="00000000">
      <w:pPr>
        <w:tabs>
          <w:tab w:val="clear" w:pos="567"/>
          <w:tab w:val="right" w:pos="748"/>
        </w:tabs>
        <w:spacing w:after="240"/>
        <w:ind w:left="1134" w:hanging="1134"/>
      </w:pPr>
      <w:r>
        <w:tab/>
        <w:t>IV.</w:t>
      </w:r>
      <w:r>
        <w:tab/>
        <w:t>национально-отраслевыми, т.е. создаваемыми трудящимися, работающими на одном или нескольких предприятиях одной отрасли, расположенных в двух или нескольких федеральных единицах;  и</w:t>
      </w:r>
    </w:p>
    <w:p w:rsidR="00000000" w:rsidRDefault="00000000">
      <w:pPr>
        <w:tabs>
          <w:tab w:val="clear" w:pos="567"/>
          <w:tab w:val="right" w:pos="748"/>
        </w:tabs>
        <w:ind w:left="1134" w:hanging="1134"/>
      </w:pPr>
      <w:r>
        <w:tab/>
        <w:t>V.</w:t>
      </w:r>
      <w:r>
        <w:tab/>
        <w:t>профсоюзами, создаваемыми работниками различных профессий.  Такие профсоюзы могут создаваться лишь тогда, когда в данной муниципии число трудящихся одной профессии составляет менее 20.</w:t>
      </w:r>
    </w:p>
    <w:p w:rsidR="00000000" w:rsidRDefault="00000000">
      <w:pPr>
        <w:tabs>
          <w:tab w:val="clear" w:pos="567"/>
          <w:tab w:val="right" w:pos="748"/>
        </w:tabs>
        <w:ind w:left="1134" w:hanging="1134"/>
      </w:pPr>
    </w:p>
    <w:p w:rsidR="00000000" w:rsidRDefault="00000000">
      <w:pPr>
        <w:keepNext/>
      </w:pPr>
      <w:r>
        <w:rPr>
          <w:b/>
          <w:bCs/>
        </w:rPr>
        <w:t>Пункт 22 а)</w:t>
      </w:r>
    </w:p>
    <w:p w:rsidR="00000000" w:rsidRDefault="00000000">
      <w:pPr>
        <w:keepNext/>
      </w:pPr>
    </w:p>
    <w:p w:rsidR="00000000" w:rsidRDefault="00000000">
      <w:r>
        <w:t>281.</w:t>
      </w:r>
      <w:r>
        <w:tab/>
        <w:t>В соответствии со статьей 123 Политической конституции Мексиканских Соединенных Штатов право на профсоюзные свободы в одинаковой мере распространяется на все категории трудящихся.  Регламентирующие законы в области труда признают это право с учетом духа и буквы вышеупомянутого положения.</w:t>
      </w:r>
    </w:p>
    <w:p w:rsidR="00000000" w:rsidRDefault="00000000"/>
    <w:p w:rsidR="00000000" w:rsidRDefault="00000000">
      <w:r>
        <w:t>282.</w:t>
      </w:r>
      <w:r>
        <w:tab/>
        <w:t>Вместе с тем в течение продолжительного времени в отношении целого ряда категорий трудящихся академической сферы и гражданского общества применяются положения принятого в Мексике в 1960 году федерального закона о государственных служащих, регламентирующих применение раздела В статьи 123 Конституции.  Этот закон содержит конкретную норму, регулирующую трудовые отношения в сфере государственной службы, которая предусматривает существенное ограничение права на профсоюзные свободы.</w:t>
      </w:r>
    </w:p>
    <w:p w:rsidR="00000000" w:rsidRDefault="00000000"/>
    <w:p w:rsidR="00000000" w:rsidRDefault="00000000">
      <w:r>
        <w:t>283.</w:t>
      </w:r>
      <w:r>
        <w:tab/>
        <w:t>Так, например, в статье 68 указанного закона содержится следующие ограничительные нормы:  "В каждой отрасли может существовать лишь один профсоюз.  В случае наличия нескольких групп трудящихся, которые хотели бы воспользоваться этим правом, Федеральный трибунал по примирению и арбитражу признает это право за группой, объединяющей наибольшее число трудящихся".  Кроме того, в статье 69 того же закона содержатся следующие ограничения относительно вступления трудящихся в профсоюзы:  "Каждый трудящийся имеет право вступать в соответствующий профсоюз, но после этого он уже не может самостоятельно выйти из этого профсоюза, а может быть исключен из его членов".</w:t>
      </w:r>
    </w:p>
    <w:p w:rsidR="00000000" w:rsidRDefault="00000000"/>
    <w:p w:rsidR="00000000" w:rsidRDefault="00000000">
      <w:pPr>
        <w:keepNext/>
        <w:rPr>
          <w:b/>
          <w:bCs/>
        </w:rPr>
      </w:pPr>
      <w:r>
        <w:rPr>
          <w:b/>
          <w:bCs/>
        </w:rPr>
        <w:t xml:space="preserve">Пункт 22 </w:t>
      </w:r>
      <w:r>
        <w:rPr>
          <w:b/>
          <w:bCs/>
          <w:lang w:val="en-US"/>
        </w:rPr>
        <w:t>b</w:t>
      </w:r>
      <w:r>
        <w:rPr>
          <w:b/>
          <w:bCs/>
        </w:rPr>
        <w:t>)</w:t>
      </w:r>
    </w:p>
    <w:p w:rsidR="00000000" w:rsidRDefault="00000000">
      <w:pPr>
        <w:keepNext/>
        <w:spacing w:line="240" w:lineRule="auto"/>
        <w:rPr>
          <w:b/>
          <w:bCs/>
        </w:rPr>
      </w:pPr>
    </w:p>
    <w:p w:rsidR="00000000" w:rsidRDefault="00000000">
      <w:r>
        <w:t>284.</w:t>
      </w:r>
      <w:r>
        <w:tab/>
        <w:t>Ограничения в отношении полного осуществления права на профсоюзные свободы в рамках законодательства, регулирующего трудовые отношения в сфере государственной службы, которые конкретно предусматриваются в статьях 68 и 69 федерального закона о государственных служащих, постепенно устраняются в соответствии с рядом решений, принятых в 1996 году Верховным судом (ВС).</w:t>
      </w:r>
    </w:p>
    <w:p w:rsidR="00000000" w:rsidRDefault="00000000"/>
    <w:p w:rsidR="00000000" w:rsidRDefault="00000000">
      <w:r>
        <w:t>285.</w:t>
      </w:r>
      <w:r>
        <w:tab/>
        <w:t>В этой связи в судебном постановлении № 1/1996 от 15 января 1996 года, принятом единогласно 11 членами Верховного суда, говорилось, что "(…) отношения децентрализованных государственных органов федерального характера со своими служащими не определяются положениями раздела В статьи 123 Конституции".  Отсюда вытекает, что профсоюзы децентрализованных государственных структур могут регистрироваться в МТСО и, соответственно, входить в состав центральной профсоюзной федерации, которая не обязательно должна быть Федерацией работников государственного сектора (ФРГС).</w:t>
      </w:r>
    </w:p>
    <w:p w:rsidR="00000000" w:rsidRDefault="00000000"/>
    <w:p w:rsidR="00000000" w:rsidRDefault="00000000">
      <w:r>
        <w:t>286.</w:t>
      </w:r>
      <w:r>
        <w:tab/>
        <w:t>Кроме того, в том же году Верховный суд принял другое крайне важное решение в связи с предусмотренным в статье 68 федерального закона о государственных служащих ограничением в отношении запрета на существование более одного профсоюза в конкретной государственной отрасли.  При рассмотрении дел, касающихся штата Оахака и профсоюза работников Гвадалахарского университета Верховный суд вынес решение о неконституционности норм, ущемляющих профсоюзные свободы, что открывает реальные возможности для создания государственными служащими отраслевых профсоюзов.</w:t>
      </w:r>
    </w:p>
    <w:p w:rsidR="00000000" w:rsidRDefault="00000000"/>
    <w:p w:rsidR="00000000" w:rsidRDefault="00000000">
      <w:r>
        <w:t>287.</w:t>
      </w:r>
      <w:r>
        <w:tab/>
        <w:t>В этом последнем случае Верховный суд вынес решение № 43/1999, в котором, в частности, отмечалось, что любые законы или нормативные акты, предусматривающие существование лишь одного профсоюза, нарушают принцип профсоюзной свободы, закрепленный в пункте </w:t>
      </w:r>
      <w:r>
        <w:rPr>
          <w:lang w:val="en-US"/>
        </w:rPr>
        <w:t>I</w:t>
      </w:r>
      <w:r>
        <w:t xml:space="preserve"> раздела В статьи 123 Конституции.  Верховный суд посчитал, что руководство таким единственным профсоюзом работниками соответствующей государственной отрасли нарушает предусмотренную в Конституции социальную гарантию на свободное объединение в профсоюзы, ущемляя право на свободу объединения трудящихся в целях защиты своих интересов.</w:t>
      </w:r>
    </w:p>
    <w:p w:rsidR="00000000" w:rsidRDefault="00000000"/>
    <w:p w:rsidR="00000000" w:rsidRDefault="00000000">
      <w:r>
        <w:t>288.</w:t>
      </w:r>
      <w:r>
        <w:tab/>
        <w:t>С учетом вышеизложенного появляется возможность существования двух или нескольких профсоюзов в конкретных государственных отраслях при условии наличия у соответствующих трудящихся права создавать дополнительные профсоюзные объединения в соответствии с предусмотренными законом нормами, касающимися организации и функционирования профсоюзов.</w:t>
      </w:r>
    </w:p>
    <w:p w:rsidR="00000000" w:rsidRDefault="00000000">
      <w:r>
        <w:t>289.</w:t>
      </w:r>
      <w:r>
        <w:tab/>
        <w:t xml:space="preserve">В этой связи и с учетом того, что к соответствующим решениям не применяется принцип </w:t>
      </w:r>
      <w:r>
        <w:rPr>
          <w:lang w:val="en-US"/>
        </w:rPr>
        <w:t>erga</w:t>
      </w:r>
      <w:r>
        <w:t xml:space="preserve"> </w:t>
      </w:r>
      <w:r>
        <w:rPr>
          <w:lang w:val="en-US"/>
        </w:rPr>
        <w:t>omnes</w:t>
      </w:r>
      <w:r>
        <w:t xml:space="preserve"> и что указанные решения обязывают федеральные и местные суды обеспечивать их применение при том условии, что какая-либо группа трудящихся желает создать новую профсоюзную организацию, соответствующие трудящиеся должны прибегнуть к процедуре ампаро для целей обеспечения того, чтобы административные власти общефедерального уровня и уровня штатов соблюдали указанные положения и выносили решения, обеспечивающие надлежащее и неукоснительное их применение.</w:t>
      </w:r>
    </w:p>
    <w:p w:rsidR="00000000" w:rsidRDefault="00000000"/>
    <w:p w:rsidR="00000000" w:rsidRDefault="00000000">
      <w:pPr>
        <w:keepNext/>
      </w:pPr>
      <w:r>
        <w:rPr>
          <w:b/>
          <w:bCs/>
        </w:rPr>
        <w:t>Пункт 22 с)</w:t>
      </w:r>
    </w:p>
    <w:p w:rsidR="00000000" w:rsidRDefault="00000000">
      <w:pPr>
        <w:keepNext/>
      </w:pPr>
    </w:p>
    <w:p w:rsidR="00000000" w:rsidRDefault="00000000">
      <w:r>
        <w:t>290.</w:t>
      </w:r>
      <w:r>
        <w:tab/>
        <w:t>В соответствии со статьей 381 федерального закона о труде в контексте профсоюзных свобод признается право трудящегося не вступать в профсоюзы или выходить из профсоюзной организации, членом которой он является, если он считает это целесообразным.  Это предусматривает также право профсоюзных организаций входить или не входить в более крупные профсоюзные структуры, такие, как федерации или конфедерации.</w:t>
      </w:r>
    </w:p>
    <w:p w:rsidR="00000000" w:rsidRDefault="00000000"/>
    <w:p w:rsidR="00000000" w:rsidRDefault="00000000">
      <w:pPr>
        <w:ind w:left="567"/>
      </w:pPr>
      <w:r>
        <w:tab/>
        <w:t>"Статья 381.  Профсоюзы могут образовывать федерации и конфедерации, которые руководствуются предусмотренными в настоящей главе нормами, применяемыми в отношении профсоюзов".</w:t>
      </w:r>
    </w:p>
    <w:p w:rsidR="00000000" w:rsidRDefault="00000000">
      <w:pPr>
        <w:ind w:left="567"/>
      </w:pPr>
    </w:p>
    <w:p w:rsidR="00000000" w:rsidRDefault="00000000">
      <w:r>
        <w:t>291.</w:t>
      </w:r>
      <w:r>
        <w:tab/>
        <w:t>Информация о профсоюзных федерациях и конфедерациях не представляется по той причине, что профсоюзы имеют право создавать их, а также могут выходить из них в любое время, если соответствующими нормами не предусматривается иное;  в уставах профсоюзных федераций и конфедераций должны, в частности, указываться имена и домашние адреса их членов, условия приема новых членов и форма представительства их членов в руководящих органах и на общих собраниях.</w:t>
      </w:r>
    </w:p>
    <w:p w:rsidR="00000000" w:rsidRDefault="00000000"/>
    <w:p w:rsidR="00000000" w:rsidRDefault="00000000">
      <w:r>
        <w:t>292.</w:t>
      </w:r>
      <w:r>
        <w:tab/>
        <w:t>Если федерации и конфедерации не проходят процедуру регистрации на условиях, предусмотренных для профсоюзов, то они автоматически регистрируются в качестве профсоюзных объединений.</w:t>
      </w:r>
    </w:p>
    <w:p w:rsidR="00000000" w:rsidRDefault="00000000"/>
    <w:p w:rsidR="00000000" w:rsidRDefault="00000000">
      <w:pPr>
        <w:rPr>
          <w:b/>
          <w:bCs/>
        </w:rPr>
      </w:pPr>
      <w:r>
        <w:rPr>
          <w:b/>
          <w:bCs/>
        </w:rPr>
        <w:t xml:space="preserve">Пункт 22 </w:t>
      </w:r>
      <w:r>
        <w:rPr>
          <w:b/>
          <w:bCs/>
          <w:lang w:val="en-US"/>
        </w:rPr>
        <w:t>d</w:t>
      </w:r>
      <w:r>
        <w:rPr>
          <w:b/>
          <w:bCs/>
        </w:rPr>
        <w:t>)</w:t>
      </w:r>
    </w:p>
    <w:p w:rsidR="00000000" w:rsidRDefault="00000000">
      <w:pPr>
        <w:rPr>
          <w:b/>
          <w:bCs/>
        </w:rPr>
      </w:pPr>
    </w:p>
    <w:p w:rsidR="00000000" w:rsidRDefault="00000000">
      <w:r>
        <w:t>293.</w:t>
      </w:r>
      <w:r>
        <w:tab/>
        <w:t>Как уже отмечалось выше, профсоюзные свободы распространяются на все категории трудящихся.</w:t>
      </w:r>
    </w:p>
    <w:p w:rsidR="00000000" w:rsidRDefault="00000000"/>
    <w:p w:rsidR="00000000" w:rsidRDefault="00000000">
      <w:r>
        <w:br w:type="page"/>
        <w:t>294.</w:t>
      </w:r>
      <w:r>
        <w:tab/>
        <w:t>Федеральным законом о труде регулируются вопросы, касающиеся учреждения, видов и регистрации профсоюзов;  кроме того, в этом законе устанавливается порядок оформления профсоюзного устава и предусматриваются обязанности и ограничения профсоюзного характера.</w:t>
      </w:r>
    </w:p>
    <w:p w:rsidR="00000000" w:rsidRDefault="00000000"/>
    <w:p w:rsidR="00000000" w:rsidRDefault="00000000">
      <w:r>
        <w:t>295.</w:t>
      </w:r>
      <w:r>
        <w:tab/>
        <w:t>В учредительном акте провозглашается создание профсоюза в соответствии с волей его членов, при этом предусматривается возможность вступления в профсоюз новых членов при условии соблюдения предусмотренных в соответствующем уставе требований.</w:t>
      </w:r>
    </w:p>
    <w:p w:rsidR="00000000" w:rsidRDefault="00000000"/>
    <w:p w:rsidR="00000000" w:rsidRDefault="00000000">
      <w:r>
        <w:t>296.</w:t>
      </w:r>
      <w:r>
        <w:tab/>
        <w:t xml:space="preserve">Закон устанавливает ряд требований в отношении создания профсоюзов, включая, в частности, требование о том, что в составе профсоюзной организации должно быть не менее 20 трудящихся или трех предпринимателей.  </w:t>
      </w:r>
    </w:p>
    <w:p w:rsidR="00000000" w:rsidRDefault="00000000"/>
    <w:p w:rsidR="00000000" w:rsidRDefault="00000000">
      <w:r>
        <w:t>297.</w:t>
      </w:r>
      <w:r>
        <w:tab/>
        <w:t>В этой связи при соблюдении предусмотренного законом требования о минимальной численности профсоюзной организации следствием учредительного акта о создании профсоюза является его наделение правосубъектностью.</w:t>
      </w:r>
    </w:p>
    <w:p w:rsidR="00000000" w:rsidRDefault="00000000"/>
    <w:p w:rsidR="00000000" w:rsidRDefault="00000000">
      <w:r>
        <w:t>298.</w:t>
      </w:r>
      <w:r>
        <w:tab/>
        <w:t xml:space="preserve">Информация, касающаяся ограничений относительно существования в каждой отрасли лишь одного профсоюза, содержащихся в законе о порядке применения раздела В статьи 123 Конституции, приводится в настоящем докладе в связи с пунктом 2 </w:t>
      </w:r>
      <w:r>
        <w:rPr>
          <w:lang w:val="en-US"/>
        </w:rPr>
        <w:t>b</w:t>
      </w:r>
      <w:r>
        <w:t>) пункта 8 руководящих принципов.</w:t>
      </w:r>
    </w:p>
    <w:p w:rsidR="00000000" w:rsidRDefault="00000000"/>
    <w:p w:rsidR="00000000" w:rsidRDefault="00000000">
      <w:r>
        <w:t>299.</w:t>
      </w:r>
      <w:r>
        <w:tab/>
        <w:t xml:space="preserve">В отношении предусмотренных трудовым законодательством ограничений в отношении функционирования профсоюзных организаций следует также отметить, что в статье 378 федерального закона о труде предусматривается следующее:  </w:t>
      </w:r>
    </w:p>
    <w:p w:rsidR="00000000" w:rsidRDefault="00000000"/>
    <w:p w:rsidR="00000000" w:rsidRDefault="00000000">
      <w:r>
        <w:tab/>
        <w:t>"Статья 378.  Профсоюзам запрещается:</w:t>
      </w:r>
    </w:p>
    <w:p w:rsidR="00000000" w:rsidRDefault="00000000"/>
    <w:p w:rsidR="00000000" w:rsidRDefault="00000000">
      <w:pPr>
        <w:tabs>
          <w:tab w:val="right" w:pos="1134"/>
        </w:tabs>
      </w:pPr>
      <w:r>
        <w:tab/>
      </w:r>
      <w:r>
        <w:tab/>
      </w:r>
      <w:r>
        <w:rPr>
          <w:lang w:val="en-US"/>
        </w:rPr>
        <w:t>I</w:t>
      </w:r>
      <w:r>
        <w:t>.</w:t>
      </w:r>
      <w:r>
        <w:tab/>
        <w:t>Вмешиваться в решение религиозных вопросов и</w:t>
      </w:r>
    </w:p>
    <w:p w:rsidR="00000000" w:rsidRDefault="00000000"/>
    <w:p w:rsidR="00000000" w:rsidRDefault="00000000">
      <w:pPr>
        <w:tabs>
          <w:tab w:val="right" w:pos="1134"/>
        </w:tabs>
        <w:ind w:left="1701" w:hanging="1701"/>
      </w:pPr>
      <w:r>
        <w:tab/>
      </w:r>
      <w:r>
        <w:tab/>
      </w:r>
      <w:r>
        <w:rPr>
          <w:lang w:val="en-US"/>
        </w:rPr>
        <w:t>II</w:t>
      </w:r>
      <w:r>
        <w:t>.</w:t>
      </w:r>
      <w:r>
        <w:tab/>
        <w:t>Осуществлять коммерческую деятельность с целью извлечения прибыли".</w:t>
      </w:r>
    </w:p>
    <w:p w:rsidR="00000000" w:rsidRDefault="00000000">
      <w:pPr>
        <w:tabs>
          <w:tab w:val="right" w:pos="1134"/>
        </w:tabs>
        <w:ind w:left="1701" w:hanging="1701"/>
      </w:pPr>
    </w:p>
    <w:p w:rsidR="00000000" w:rsidRDefault="00000000">
      <w:r>
        <w:t>300.</w:t>
      </w:r>
      <w:r>
        <w:tab/>
        <w:t>Что касается положений, касающихся права профсоюзов вести переговоры с целью заключения коллективных трудовых соглашений, то соответствующие положения содержатся в статьях 386-403 федерального закона о труде:</w:t>
      </w:r>
    </w:p>
    <w:p w:rsidR="00000000" w:rsidRDefault="00000000"/>
    <w:p w:rsidR="00000000" w:rsidRDefault="00000000">
      <w:pPr>
        <w:ind w:left="567" w:hanging="567"/>
      </w:pPr>
      <w:r>
        <w:br w:type="page"/>
      </w:r>
      <w:r>
        <w:tab/>
      </w:r>
      <w:r>
        <w:tab/>
        <w:t>"Статья 386.  Коллективное трудовое соглашение представляет собой соглашение, заключаемое между одним или несколькими профсоюзами трудящихся и одним или несколькими предпринимателями или одним или несколькими профсоюзами предпринимателей с целью определения условий труда в рамках одного или нескольких предприятий или учреждений.</w:t>
      </w:r>
    </w:p>
    <w:p w:rsidR="00000000" w:rsidRDefault="00000000">
      <w:pPr>
        <w:ind w:left="567" w:hanging="567"/>
      </w:pPr>
    </w:p>
    <w:p w:rsidR="00000000" w:rsidRDefault="00000000">
      <w:pPr>
        <w:ind w:left="567" w:hanging="567"/>
      </w:pPr>
      <w:r>
        <w:tab/>
      </w:r>
      <w:r>
        <w:tab/>
        <w:t>Статья 387.  Предприниматель, на которого работают трудящиеся из числа членов какого-либо профсоюза, обязан заключить с этим профсоюзом, если профсоюз этого требует, коллективный договор.</w:t>
      </w:r>
    </w:p>
    <w:p w:rsidR="00000000" w:rsidRDefault="00000000">
      <w:pPr>
        <w:ind w:left="567" w:hanging="567"/>
      </w:pPr>
    </w:p>
    <w:p w:rsidR="00000000" w:rsidRDefault="00000000">
      <w:pPr>
        <w:ind w:left="567" w:hanging="567"/>
      </w:pPr>
      <w:r>
        <w:tab/>
      </w:r>
      <w:r>
        <w:tab/>
        <w:t>Если предприниматель отказывается заключить такой договор, то трудящиеся могут воспользоваться правом на забастовку, которое предусмотрено в статье 450.</w:t>
      </w:r>
    </w:p>
    <w:p w:rsidR="00000000" w:rsidRDefault="00000000">
      <w:pPr>
        <w:ind w:left="567" w:hanging="567"/>
      </w:pPr>
    </w:p>
    <w:p w:rsidR="00000000" w:rsidRDefault="00000000">
      <w:pPr>
        <w:ind w:left="567" w:hanging="567"/>
      </w:pPr>
      <w:r>
        <w:tab/>
      </w:r>
      <w:r>
        <w:tab/>
        <w:t>Статья 388.  Если на одном и том же предприятии существует несколько профсоюзов, то соблюдаются следующие нормы:</w:t>
      </w:r>
    </w:p>
    <w:p w:rsidR="00000000" w:rsidRDefault="00000000">
      <w:pPr>
        <w:ind w:left="567" w:hanging="567"/>
      </w:pPr>
    </w:p>
    <w:p w:rsidR="00000000" w:rsidRDefault="00000000">
      <w:pPr>
        <w:tabs>
          <w:tab w:val="clear" w:pos="567"/>
          <w:tab w:val="right" w:pos="561"/>
          <w:tab w:val="decimal" w:pos="1134"/>
        </w:tabs>
        <w:ind w:left="1701" w:hanging="1701"/>
      </w:pPr>
      <w:r>
        <w:tab/>
      </w:r>
      <w:r>
        <w:tab/>
      </w:r>
      <w:r>
        <w:rPr>
          <w:lang w:val="en-US"/>
        </w:rPr>
        <w:t>I</w:t>
      </w:r>
      <w:r>
        <w:t>.</w:t>
      </w:r>
      <w:r>
        <w:tab/>
        <w:t>в случае наличия нескольких профсоюзов на предприятии или в отрасли или на предприятии и в отрасли, то коллективное соглашение заключается с профсоюзной организацией предприятия, на котором работает самое большое число трудящихся;</w:t>
      </w:r>
    </w:p>
    <w:p w:rsidR="00000000" w:rsidRDefault="00000000">
      <w:pPr>
        <w:tabs>
          <w:tab w:val="clear" w:pos="567"/>
          <w:tab w:val="right" w:pos="561"/>
          <w:tab w:val="decimal" w:pos="1134"/>
        </w:tabs>
        <w:ind w:left="1134" w:hanging="1134"/>
      </w:pPr>
    </w:p>
    <w:p w:rsidR="00000000" w:rsidRDefault="00000000">
      <w:pPr>
        <w:tabs>
          <w:tab w:val="clear" w:pos="567"/>
          <w:tab w:val="right" w:pos="561"/>
          <w:tab w:val="decimal" w:pos="1134"/>
        </w:tabs>
        <w:ind w:left="1701" w:hanging="1701"/>
      </w:pPr>
      <w:r>
        <w:tab/>
      </w:r>
      <w:r>
        <w:tab/>
      </w:r>
      <w:r>
        <w:rPr>
          <w:lang w:val="en-US"/>
        </w:rPr>
        <w:t>II</w:t>
      </w:r>
      <w:r>
        <w:t>.</w:t>
      </w:r>
      <w:r>
        <w:tab/>
        <w:t>при наличии нескольких цеховых профсоюзов коллективное соглашение заключается с группой профсоюзов, на которых работает большинство представителей соответствующих профессий, при условии согласия трудящихся.  В противном случае каждый профсоюз заключает отдельное коллективное соглашение в рамках соответствующей профессии;  а также</w:t>
      </w:r>
    </w:p>
    <w:p w:rsidR="00000000" w:rsidRDefault="00000000">
      <w:pPr>
        <w:tabs>
          <w:tab w:val="clear" w:pos="567"/>
          <w:tab w:val="right" w:pos="561"/>
          <w:tab w:val="decimal" w:pos="1134"/>
        </w:tabs>
        <w:ind w:left="1134" w:hanging="1134"/>
      </w:pPr>
    </w:p>
    <w:p w:rsidR="00000000" w:rsidRDefault="00000000">
      <w:pPr>
        <w:tabs>
          <w:tab w:val="clear" w:pos="567"/>
          <w:tab w:val="right" w:pos="561"/>
          <w:tab w:val="decimal" w:pos="1134"/>
        </w:tabs>
        <w:ind w:left="1701" w:hanging="1701"/>
      </w:pPr>
      <w:r>
        <w:tab/>
      </w:r>
      <w:r>
        <w:tab/>
      </w:r>
      <w:r>
        <w:rPr>
          <w:lang w:val="en-US"/>
        </w:rPr>
        <w:t>III</w:t>
      </w:r>
      <w:r>
        <w:t>.</w:t>
      </w:r>
      <w:r>
        <w:tab/>
        <w:t>в случае наличия нескольких цеховых, заводских или отраслевых профсоюзов цеховые профсоюзы могут заключать коллективное соглашение в рамках соответствующей профессии при том условии, что численность членов соответствующего профсоюза превышает численность представителей соответствующей профессии, которые являются членами заводской или отраслевой профсоюзной организации".</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jc w:val="center"/>
        <w:rPr>
          <w:b/>
          <w:bCs/>
        </w:rPr>
      </w:pPr>
    </w:p>
    <w:p w:rsidR="00000000" w:rsidRDefault="00000000">
      <w:pPr>
        <w:tabs>
          <w:tab w:val="clear" w:pos="567"/>
          <w:tab w:val="right" w:pos="561"/>
        </w:tabs>
        <w:ind w:left="1134" w:hanging="1134"/>
        <w:jc w:val="center"/>
        <w:rPr>
          <w:b/>
          <w:bCs/>
        </w:rPr>
      </w:pPr>
      <w:r>
        <w:t xml:space="preserve"> </w:t>
      </w:r>
      <w:bookmarkStart w:id="99" w:name="_MON_1198652052"/>
      <w:bookmarkStart w:id="100" w:name="_MON_1198653202"/>
      <w:bookmarkStart w:id="101" w:name="_MON_1198653286"/>
      <w:bookmarkStart w:id="102" w:name="_MON_1204034092"/>
      <w:bookmarkStart w:id="103" w:name="_MON_1204034360"/>
      <w:bookmarkStart w:id="104" w:name="_MON_1204358930"/>
      <w:bookmarkStart w:id="105" w:name="_MON_1204443535"/>
      <w:bookmarkStart w:id="106" w:name="_MON_1204615857"/>
      <w:bookmarkStart w:id="107" w:name="_MON_1204615895"/>
      <w:bookmarkStart w:id="108" w:name="_MON_1204615923"/>
      <w:bookmarkStart w:id="109" w:name="_MON_1204615954"/>
      <w:bookmarkStart w:id="110" w:name="_MON_1204615973"/>
      <w:bookmarkStart w:id="111" w:name="_MON_1204722931"/>
      <w:bookmarkStart w:id="112" w:name="_MON_1204722937"/>
      <w:bookmarkStart w:id="113" w:name="_MON_1204723048"/>
      <w:bookmarkStart w:id="114" w:name="_MON_1204723065"/>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object w:dxaOrig="7134" w:dyaOrig="5376">
          <v:shape id="_x0000_i1033" type="#_x0000_t75" style="width:357pt;height:268.5pt" o:ole="">
            <v:imagedata r:id="rId24" o:title=""/>
          </v:shape>
          <o:OLEObject Type="Embed" ProgID="Word.Picture.8" ShapeID="_x0000_i1033" DrawAspect="Content" ObjectID="_1394895088" r:id="rId25"/>
        </w:object>
      </w:r>
    </w:p>
    <w:p w:rsidR="00000000" w:rsidRDefault="00000000">
      <w:pPr>
        <w:tabs>
          <w:tab w:val="clear" w:pos="567"/>
          <w:tab w:val="right" w:pos="561"/>
        </w:tabs>
        <w:ind w:left="1134" w:hanging="1134"/>
        <w:jc w:val="center"/>
        <w:rPr>
          <w:b/>
          <w:bCs/>
        </w:rPr>
      </w:pPr>
    </w:p>
    <w:p w:rsidR="00000000" w:rsidRDefault="00000000">
      <w:pPr>
        <w:tabs>
          <w:tab w:val="clear" w:pos="567"/>
          <w:tab w:val="right" w:pos="561"/>
        </w:tabs>
        <w:spacing w:line="240" w:lineRule="auto"/>
        <w:ind w:left="1134" w:hanging="1134"/>
        <w:rPr>
          <w:sz w:val="18"/>
        </w:rPr>
      </w:pPr>
      <w:r>
        <w:rPr>
          <w:i/>
          <w:iCs/>
          <w:sz w:val="18"/>
        </w:rPr>
        <w:t xml:space="preserve">Источник: </w:t>
      </w:r>
      <w:r>
        <w:rPr>
          <w:sz w:val="18"/>
        </w:rPr>
        <w:t xml:space="preserve"> министерство труда и социального обеспечения.</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rPr>
          <w:b/>
          <w:bCs/>
        </w:rPr>
      </w:pPr>
      <w:r>
        <w:rPr>
          <w:b/>
          <w:bCs/>
        </w:rPr>
        <w:t>Пункт 22 е)</w:t>
      </w:r>
    </w:p>
    <w:p w:rsidR="00000000" w:rsidRDefault="00000000">
      <w:pPr>
        <w:tabs>
          <w:tab w:val="clear" w:pos="567"/>
          <w:tab w:val="right" w:pos="561"/>
        </w:tabs>
        <w:ind w:left="1134" w:hanging="1134"/>
        <w:rPr>
          <w:b/>
          <w:bCs/>
        </w:rPr>
      </w:pPr>
    </w:p>
    <w:p w:rsidR="00000000" w:rsidRDefault="00000000">
      <w:pPr>
        <w:tabs>
          <w:tab w:val="clear" w:pos="567"/>
          <w:tab w:val="left" w:pos="561"/>
        </w:tabs>
      </w:pPr>
      <w:r>
        <w:t>301.</w:t>
      </w:r>
      <w:r>
        <w:tab/>
        <w:t>В статье 9 федерального закона о труде содержатся нормы, касающиеся создания, классификации и регистрации профсоюзов;  кроме того, в этой статье определяется порядок оформления профсоюзного устава и предусматриваются нормы, касающиеся обязательств и ограничений профсоюзного характера.</w:t>
      </w:r>
    </w:p>
    <w:p w:rsidR="00000000" w:rsidRDefault="00000000">
      <w:pPr>
        <w:tabs>
          <w:tab w:val="clear" w:pos="567"/>
          <w:tab w:val="left" w:pos="561"/>
        </w:tabs>
      </w:pPr>
    </w:p>
    <w:p w:rsidR="00000000" w:rsidRDefault="00000000">
      <w:r>
        <w:t>302.</w:t>
      </w:r>
      <w:r>
        <w:tab/>
        <w:t xml:space="preserve">Учредительным актом провозглашается создание профсоюза с согласия его членов и предусматривается возможность вступления в него новых членов при соблюдении юридических требований, предусмотренных в соответствующих уставах.  Для справки в приложении </w:t>
      </w:r>
      <w:r>
        <w:rPr>
          <w:lang w:val="en-US"/>
        </w:rPr>
        <w:t>VI</w:t>
      </w:r>
      <w:r>
        <w:t xml:space="preserve"> к настоящему документу содержится таблица, содержащая данные о количестве и структуре мексиканских профсоюзов и об их составе</w:t>
      </w:r>
      <w:r>
        <w:rPr>
          <w:rStyle w:val="FootnoteReference"/>
        </w:rPr>
        <w:footnoteReference w:id="16"/>
      </w:r>
      <w:r>
        <w:t xml:space="preserve">.  </w:t>
      </w:r>
    </w:p>
    <w:p w:rsidR="00000000" w:rsidRDefault="00000000"/>
    <w:p w:rsidR="00000000" w:rsidRDefault="00000000">
      <w:pPr>
        <w:rPr>
          <w:b/>
          <w:bCs/>
        </w:rPr>
      </w:pPr>
      <w:r>
        <w:rPr>
          <w:b/>
          <w:bCs/>
        </w:rPr>
        <w:t>Пункт 23</w:t>
      </w:r>
    </w:p>
    <w:p w:rsidR="00000000" w:rsidRDefault="00000000">
      <w:pPr>
        <w:rPr>
          <w:b/>
          <w:bCs/>
        </w:rPr>
      </w:pPr>
    </w:p>
    <w:p w:rsidR="00000000" w:rsidRDefault="00000000">
      <w:r>
        <w:t>303.</w:t>
      </w:r>
      <w:r>
        <w:tab/>
        <w:t xml:space="preserve">В пунктах </w:t>
      </w:r>
      <w:r>
        <w:rPr>
          <w:lang w:val="en-US"/>
        </w:rPr>
        <w:t>XXVII</w:t>
      </w:r>
      <w:r>
        <w:t>-</w:t>
      </w:r>
      <w:r>
        <w:rPr>
          <w:lang w:val="en-US"/>
        </w:rPr>
        <w:t>XIX</w:t>
      </w:r>
      <w:r>
        <w:t xml:space="preserve"> раздела А статьи 123 Политической конституции Мексиканских Соединенных Штатов предусматривается право на забастовку:</w:t>
      </w:r>
    </w:p>
    <w:p w:rsidR="00000000" w:rsidRDefault="00000000"/>
    <w:p w:rsidR="00000000" w:rsidRDefault="00000000">
      <w:pPr>
        <w:ind w:left="1701" w:hanging="1701"/>
      </w:pPr>
      <w:r>
        <w:tab/>
        <w:t>"</w:t>
      </w:r>
      <w:r>
        <w:rPr>
          <w:lang w:val="en-US"/>
        </w:rPr>
        <w:t>XVII</w:t>
      </w:r>
      <w:r>
        <w:t>.</w:t>
      </w:r>
      <w:r>
        <w:tab/>
        <w:t>Законами признается право трудящихся и работодателей на забастовку и приостановку работы.</w:t>
      </w:r>
    </w:p>
    <w:p w:rsidR="00000000" w:rsidRDefault="00000000">
      <w:pPr>
        <w:ind w:left="567" w:hanging="567"/>
      </w:pPr>
    </w:p>
    <w:p w:rsidR="00000000" w:rsidRDefault="00000000">
      <w:pPr>
        <w:ind w:left="1701" w:hanging="1701"/>
      </w:pPr>
      <w:r>
        <w:tab/>
      </w:r>
      <w:r>
        <w:rPr>
          <w:lang w:val="en-US"/>
        </w:rPr>
        <w:t>XVIII</w:t>
      </w:r>
      <w:r>
        <w:t>.</w:t>
      </w:r>
      <w:r>
        <w:tab/>
        <w:t>Забастовки считаются законными, когда они ставят целью достижение равновесия между различными факторами производства и между правами труда и правами капитала.  Если речь идет о публичных службах, то трудящиеся обязаны за десять дней до проведения забастовки уведомить Совет по примирению и арбитражу об объявленной дате прекращения работы.  Забастовки признаются незаконными лишь в том случае, если забастовщики совершают акты насилия против каких-либо лиц или собственности или если они проводятся в военное время, когда бастующие заняты на предприятиях и службах, находящихся под контролем правительства.</w:t>
      </w:r>
    </w:p>
    <w:p w:rsidR="00000000" w:rsidRDefault="00000000">
      <w:pPr>
        <w:ind w:left="567" w:hanging="567"/>
      </w:pPr>
    </w:p>
    <w:p w:rsidR="00000000" w:rsidRDefault="00000000">
      <w:pPr>
        <w:ind w:left="1701" w:hanging="1701"/>
      </w:pPr>
      <w:r>
        <w:tab/>
      </w:r>
      <w:r>
        <w:rPr>
          <w:lang w:val="en-US"/>
        </w:rPr>
        <w:t>XIX</w:t>
      </w:r>
      <w:r>
        <w:t>.</w:t>
      </w:r>
      <w:r>
        <w:tab/>
      </w:r>
      <w:r>
        <w:tab/>
        <w:t>Остановка работы считается законной лишь в том случае, если избыток продукции требует временной приостановки производственной деятельности для целей поддержания цен на рентабельном уровне с одобрения Совета по примирению и арбитражу".</w:t>
      </w:r>
    </w:p>
    <w:p w:rsidR="00000000" w:rsidRDefault="00000000">
      <w:pPr>
        <w:ind w:left="567" w:hanging="567"/>
      </w:pPr>
    </w:p>
    <w:p w:rsidR="00000000" w:rsidRDefault="00000000">
      <w:r>
        <w:t>304.</w:t>
      </w:r>
      <w:r>
        <w:tab/>
        <w:t>Кроме того, это право регулируется федеральным законом о труде, где устанавливаются критерии, по которым забастовка объявляется законной или незаконной (если в ходе забастовки совершаются акты насилия или забастовка проводится в военное время, когда бастующие заняты на предприятиях и службах, находящихся под контролем правительства):</w:t>
      </w:r>
    </w:p>
    <w:p w:rsidR="00000000" w:rsidRDefault="00000000"/>
    <w:p w:rsidR="00000000" w:rsidRDefault="00000000">
      <w:pPr>
        <w:ind w:left="567" w:hanging="567"/>
      </w:pPr>
      <w:r>
        <w:tab/>
      </w:r>
      <w:r>
        <w:tab/>
        <w:t xml:space="preserve">"Статья 440.  Забастовка есть временное прекращение работы группой трудящихся.   </w:t>
      </w:r>
    </w:p>
    <w:p w:rsidR="00000000" w:rsidRDefault="00000000">
      <w:pPr>
        <w:ind w:left="567" w:hanging="567"/>
      </w:pPr>
    </w:p>
    <w:p w:rsidR="00000000" w:rsidRDefault="00000000">
      <w:pPr>
        <w:ind w:left="567" w:hanging="567"/>
      </w:pPr>
      <w:r>
        <w:tab/>
      </w:r>
      <w:r>
        <w:tab/>
        <w:t>Статья 441.  Для целей настоящего раздела профсоюзы трудящихся рассматриваются в качестве постоянно действующих объединений.</w:t>
      </w:r>
    </w:p>
    <w:p w:rsidR="00000000" w:rsidRDefault="00000000">
      <w:pPr>
        <w:ind w:left="567" w:hanging="567"/>
      </w:pPr>
    </w:p>
    <w:p w:rsidR="00000000" w:rsidRDefault="00000000">
      <w:pPr>
        <w:ind w:left="567" w:hanging="567"/>
      </w:pPr>
      <w:r>
        <w:tab/>
      </w:r>
      <w:r>
        <w:tab/>
        <w:t>Статья 442.  Забастовка может охватывать одно или несколько предприятий или учреждений.</w:t>
      </w:r>
    </w:p>
    <w:p w:rsidR="00000000" w:rsidRDefault="00000000">
      <w:pPr>
        <w:ind w:left="567" w:hanging="567"/>
      </w:pPr>
    </w:p>
    <w:p w:rsidR="00000000" w:rsidRDefault="00000000">
      <w:pPr>
        <w:ind w:left="567" w:hanging="567"/>
      </w:pPr>
      <w:r>
        <w:tab/>
      </w:r>
      <w:r>
        <w:tab/>
        <w:t>Статья 443.  Забастовка должна ограничиваться простым актом временной остановки работы.</w:t>
      </w:r>
    </w:p>
    <w:p w:rsidR="00000000" w:rsidRDefault="00000000">
      <w:pPr>
        <w:ind w:left="567" w:hanging="567"/>
      </w:pPr>
    </w:p>
    <w:p w:rsidR="00000000" w:rsidRDefault="00000000">
      <w:pPr>
        <w:ind w:left="567" w:hanging="567"/>
      </w:pPr>
      <w:r>
        <w:tab/>
      </w:r>
      <w:r>
        <w:tab/>
        <w:t xml:space="preserve">Статья 444.  Законной является забастовка, удовлетворяющая требованиям и преследующая цели, предусмотренные в статье 450.  </w:t>
      </w:r>
    </w:p>
    <w:p w:rsidR="00000000" w:rsidRDefault="00000000">
      <w:pPr>
        <w:ind w:left="567" w:hanging="567"/>
      </w:pPr>
      <w:r>
        <w:tab/>
      </w:r>
      <w:r>
        <w:tab/>
        <w:t>Статья 445.  Забастовка является незаконной:</w:t>
      </w:r>
    </w:p>
    <w:p w:rsidR="00000000" w:rsidRDefault="00000000">
      <w:pPr>
        <w:ind w:left="567" w:hanging="567"/>
      </w:pPr>
    </w:p>
    <w:p w:rsidR="00000000" w:rsidRDefault="00000000">
      <w:pPr>
        <w:tabs>
          <w:tab w:val="decimal" w:pos="1134"/>
        </w:tabs>
        <w:ind w:left="1701" w:hanging="1701"/>
      </w:pPr>
      <w:r>
        <w:tab/>
      </w:r>
      <w:r>
        <w:tab/>
      </w:r>
      <w:r>
        <w:rPr>
          <w:lang w:val="en-US"/>
        </w:rPr>
        <w:t>I</w:t>
      </w:r>
      <w:r>
        <w:t>.</w:t>
      </w:r>
      <w:r>
        <w:tab/>
        <w:t>Если большинство забастовщиков осуществляют насильственные действия в отношении лиц или имущества;  а также</w:t>
      </w:r>
    </w:p>
    <w:p w:rsidR="00000000" w:rsidRDefault="00000000">
      <w:pPr>
        <w:tabs>
          <w:tab w:val="decimal" w:pos="1134"/>
        </w:tabs>
        <w:ind w:left="567" w:hanging="567"/>
      </w:pPr>
    </w:p>
    <w:p w:rsidR="00000000" w:rsidRDefault="00000000">
      <w:pPr>
        <w:tabs>
          <w:tab w:val="decimal" w:pos="1134"/>
        </w:tabs>
        <w:ind w:left="1701" w:hanging="1701"/>
      </w:pPr>
      <w:r>
        <w:tab/>
      </w:r>
      <w:r>
        <w:tab/>
      </w:r>
      <w:r>
        <w:rPr>
          <w:lang w:val="en-US"/>
        </w:rPr>
        <w:t>II</w:t>
      </w:r>
      <w:r>
        <w:t>.</w:t>
      </w:r>
      <w:r>
        <w:tab/>
        <w:t>в военное время, когда бастующие заняты на предприятиях или службах, находящихся под контролем государства.</w:t>
      </w:r>
    </w:p>
    <w:p w:rsidR="00000000" w:rsidRDefault="00000000">
      <w:pPr>
        <w:ind w:left="567" w:hanging="567"/>
      </w:pPr>
    </w:p>
    <w:p w:rsidR="00000000" w:rsidRDefault="00000000">
      <w:pPr>
        <w:ind w:left="567" w:hanging="567"/>
      </w:pPr>
      <w:r>
        <w:tab/>
      </w:r>
      <w:r>
        <w:tab/>
        <w:t>Статья 446.  Правомерной является забастовка, мотивы которой обусловлены действиями работодателя.</w:t>
      </w:r>
    </w:p>
    <w:p w:rsidR="00000000" w:rsidRDefault="00000000">
      <w:pPr>
        <w:ind w:left="567" w:hanging="567"/>
      </w:pPr>
    </w:p>
    <w:p w:rsidR="00000000" w:rsidRDefault="00000000">
      <w:pPr>
        <w:ind w:left="567" w:hanging="567"/>
      </w:pPr>
      <w:r>
        <w:tab/>
      </w:r>
      <w:r>
        <w:tab/>
        <w:t>Статья 447.  Забастовка является юридическим следствием приостановки работы по причинам трудовых отношений на весь период ее действия.</w:t>
      </w:r>
    </w:p>
    <w:p w:rsidR="00000000" w:rsidRDefault="00000000">
      <w:pPr>
        <w:ind w:left="567" w:hanging="567"/>
      </w:pPr>
    </w:p>
    <w:p w:rsidR="00000000" w:rsidRDefault="00000000">
      <w:pPr>
        <w:ind w:left="567" w:hanging="567"/>
      </w:pPr>
      <w:r>
        <w:tab/>
      </w:r>
      <w:r>
        <w:tab/>
        <w:t>Статья 448.  Осуществление права на забастовку влечет за собой приостановку процедур урегулирования коллективных конфликтов экономического характера, переданных на рассмотрение Совета по примирению и арбитражу, и представленных сторонами ходатайств, за исключением тех случаев, когда трудящиеся возбуждают конфликт по решению Совета.</w:t>
      </w:r>
    </w:p>
    <w:p w:rsidR="00000000" w:rsidRDefault="00000000">
      <w:pPr>
        <w:ind w:left="567" w:hanging="567"/>
      </w:pPr>
    </w:p>
    <w:p w:rsidR="00000000" w:rsidRDefault="00000000">
      <w:pPr>
        <w:ind w:left="1134" w:hanging="1134"/>
      </w:pPr>
      <w:r>
        <w:tab/>
      </w:r>
      <w:r>
        <w:tab/>
        <w:t xml:space="preserve">Положения предыдущего абзаца не применяются в тех случаях, когда забастовка объявляется в целях, предусмотренных в разделе </w:t>
      </w:r>
      <w:r>
        <w:rPr>
          <w:lang w:val="en-US"/>
        </w:rPr>
        <w:t>VI</w:t>
      </w:r>
      <w:r>
        <w:t xml:space="preserve"> статьи 450.</w:t>
      </w:r>
    </w:p>
    <w:p w:rsidR="00000000" w:rsidRDefault="00000000">
      <w:pPr>
        <w:ind w:left="567" w:hanging="567"/>
      </w:pPr>
    </w:p>
    <w:p w:rsidR="00000000" w:rsidRDefault="00000000">
      <w:pPr>
        <w:ind w:left="567" w:hanging="567"/>
      </w:pPr>
      <w:r>
        <w:tab/>
      </w:r>
      <w:r>
        <w:tab/>
        <w:t>Статья 449.  Совет по примирению и арбитражу и компетентные государственные органы должны соблюдать право на забастовку путем обеспечения трудящихся необходимыми гарантиями и предоставления помощи, которая им требуется для целей приостановки работы.</w:t>
      </w:r>
    </w:p>
    <w:p w:rsidR="00000000" w:rsidRDefault="00000000">
      <w:pPr>
        <w:ind w:left="567" w:hanging="567"/>
      </w:pPr>
    </w:p>
    <w:p w:rsidR="00000000" w:rsidRDefault="00000000">
      <w:pPr>
        <w:ind w:left="567" w:hanging="567"/>
      </w:pPr>
      <w:r>
        <w:tab/>
      </w:r>
      <w:r>
        <w:tab/>
        <w:t>Статья 450.  Целью забастовки является:</w:t>
      </w:r>
    </w:p>
    <w:p w:rsidR="00000000" w:rsidRDefault="00000000">
      <w:pPr>
        <w:ind w:left="567" w:hanging="567"/>
      </w:pPr>
    </w:p>
    <w:p w:rsidR="00000000" w:rsidRDefault="00000000">
      <w:pPr>
        <w:tabs>
          <w:tab w:val="decimal" w:pos="1134"/>
        </w:tabs>
        <w:ind w:left="1701" w:hanging="1701"/>
      </w:pPr>
      <w:r>
        <w:tab/>
      </w:r>
      <w:r>
        <w:tab/>
      </w:r>
      <w:r>
        <w:rPr>
          <w:lang w:val="en-US"/>
        </w:rPr>
        <w:t>I</w:t>
      </w:r>
      <w:r>
        <w:t>.</w:t>
      </w:r>
      <w:r>
        <w:tab/>
        <w:t>Достижение равновесия между различными факторами производства и между правами труда и правами капитала;</w:t>
      </w:r>
    </w:p>
    <w:p w:rsidR="00000000" w:rsidRDefault="00000000">
      <w:pPr>
        <w:tabs>
          <w:tab w:val="decimal" w:pos="1134"/>
        </w:tabs>
        <w:ind w:left="567" w:hanging="567"/>
      </w:pPr>
    </w:p>
    <w:p w:rsidR="00000000" w:rsidRDefault="00000000">
      <w:pPr>
        <w:tabs>
          <w:tab w:val="decimal" w:pos="1134"/>
        </w:tabs>
        <w:ind w:left="1701" w:hanging="1701"/>
      </w:pPr>
      <w:r>
        <w:tab/>
      </w:r>
      <w:r>
        <w:tab/>
      </w:r>
      <w:r>
        <w:rPr>
          <w:lang w:val="en-US"/>
        </w:rPr>
        <w:t>II</w:t>
      </w:r>
      <w:r>
        <w:t>.</w:t>
      </w:r>
      <w:r>
        <w:tab/>
        <w:t xml:space="preserve">Заключение с работодателем или работодателями коллективного трудового соглашения и требования его пересмотра по истечении срока его действия в соответствии с положениями части </w:t>
      </w:r>
      <w:r>
        <w:rPr>
          <w:lang w:val="en-US"/>
        </w:rPr>
        <w:t>VII</w:t>
      </w:r>
      <w:r>
        <w:t xml:space="preserve"> главы </w:t>
      </w:r>
      <w:r>
        <w:rPr>
          <w:lang w:val="en-US"/>
        </w:rPr>
        <w:t>III</w:t>
      </w:r>
      <w:r>
        <w:t xml:space="preserve">;  </w:t>
      </w:r>
    </w:p>
    <w:p w:rsidR="00000000" w:rsidRDefault="00000000">
      <w:pPr>
        <w:ind w:left="567" w:hanging="567"/>
      </w:pPr>
    </w:p>
    <w:p w:rsidR="00000000" w:rsidRDefault="00000000">
      <w:pPr>
        <w:tabs>
          <w:tab w:val="decimal" w:pos="1134"/>
        </w:tabs>
        <w:ind w:left="1701" w:hanging="1701"/>
      </w:pPr>
      <w:r>
        <w:tab/>
      </w:r>
      <w:r>
        <w:tab/>
      </w:r>
      <w:r>
        <w:rPr>
          <w:lang w:val="en-US"/>
        </w:rPr>
        <w:t>III</w:t>
      </w:r>
      <w:r>
        <w:t>.</w:t>
      </w:r>
      <w:r>
        <w:tab/>
        <w:t xml:space="preserve">Заключение с работодателями соглашения, имеющего силу закона, и требование его пересмотра по истечении срока его действия в соответствии с положениями части </w:t>
      </w:r>
      <w:r>
        <w:rPr>
          <w:lang w:val="en-US"/>
        </w:rPr>
        <w:t>VII</w:t>
      </w:r>
      <w:r>
        <w:t xml:space="preserve"> главы </w:t>
      </w:r>
      <w:r>
        <w:rPr>
          <w:lang w:val="en-US"/>
        </w:rPr>
        <w:t>IV</w:t>
      </w:r>
      <w:r>
        <w:t>;</w:t>
      </w:r>
    </w:p>
    <w:p w:rsidR="00000000" w:rsidRDefault="00000000">
      <w:pPr>
        <w:ind w:left="567" w:hanging="567"/>
      </w:pPr>
    </w:p>
    <w:p w:rsidR="00000000" w:rsidRDefault="00000000">
      <w:pPr>
        <w:tabs>
          <w:tab w:val="decimal" w:pos="1134"/>
        </w:tabs>
        <w:ind w:left="1701" w:hanging="1701"/>
      </w:pPr>
      <w:r>
        <w:tab/>
      </w:r>
      <w:r>
        <w:tab/>
      </w:r>
      <w:r>
        <w:rPr>
          <w:lang w:val="en-US"/>
        </w:rPr>
        <w:t>IV</w:t>
      </w:r>
      <w:r>
        <w:t>.</w:t>
      </w:r>
      <w:r>
        <w:tab/>
        <w:t>Требование о выполнении условий коллективного трудового соглашения или соглашения, имеющего силу закона, на предприятиях или в учреждениях, где они нарушаются;</w:t>
      </w:r>
    </w:p>
    <w:p w:rsidR="00000000" w:rsidRDefault="00000000">
      <w:pPr>
        <w:ind w:left="567" w:hanging="567"/>
      </w:pPr>
    </w:p>
    <w:p w:rsidR="00000000" w:rsidRDefault="00000000">
      <w:pPr>
        <w:tabs>
          <w:tab w:val="decimal" w:pos="1134"/>
        </w:tabs>
        <w:ind w:left="1701" w:hanging="1701"/>
      </w:pPr>
      <w:r>
        <w:tab/>
      </w:r>
      <w:r>
        <w:tab/>
      </w:r>
      <w:r>
        <w:rPr>
          <w:lang w:val="en-US"/>
        </w:rPr>
        <w:t>V</w:t>
      </w:r>
      <w:r>
        <w:t>.</w:t>
      </w:r>
      <w:r>
        <w:tab/>
        <w:t>Выполнение юридических соглашений, касающихся участия в распределении доходов.</w:t>
      </w:r>
    </w:p>
    <w:p w:rsidR="00000000" w:rsidRDefault="00000000">
      <w:pPr>
        <w:ind w:left="567" w:hanging="567"/>
      </w:pPr>
    </w:p>
    <w:p w:rsidR="00000000" w:rsidRDefault="00000000">
      <w:pPr>
        <w:tabs>
          <w:tab w:val="decimal" w:pos="1134"/>
        </w:tabs>
        <w:ind w:left="1701" w:hanging="1701"/>
      </w:pPr>
      <w:r>
        <w:tab/>
      </w:r>
      <w:r>
        <w:tab/>
      </w:r>
      <w:r>
        <w:rPr>
          <w:lang w:val="en-US"/>
        </w:rPr>
        <w:t>VI</w:t>
      </w:r>
      <w:r>
        <w:t>.</w:t>
      </w:r>
      <w:r>
        <w:tab/>
        <w:t>Поддержка забастовки, которая проводится с одной из целей, предусмотренных в предыдущих пунктах;</w:t>
      </w:r>
    </w:p>
    <w:p w:rsidR="00000000" w:rsidRDefault="00000000">
      <w:pPr>
        <w:ind w:left="567" w:hanging="567"/>
      </w:pPr>
    </w:p>
    <w:p w:rsidR="00000000" w:rsidRDefault="00000000">
      <w:pPr>
        <w:tabs>
          <w:tab w:val="decimal" w:pos="1134"/>
        </w:tabs>
        <w:ind w:left="1701" w:hanging="1701"/>
      </w:pPr>
      <w:r>
        <w:tab/>
      </w:r>
      <w:r>
        <w:tab/>
      </w:r>
      <w:r>
        <w:rPr>
          <w:lang w:val="en-US"/>
        </w:rPr>
        <w:t>VII</w:t>
      </w:r>
      <w:r>
        <w:t>.</w:t>
      </w:r>
      <w:r>
        <w:tab/>
        <w:t>Пересмотр закрепленных в трудовом соглашении размеров заработной платы в связи со статьями 399-бис и 419-бис".</w:t>
      </w:r>
    </w:p>
    <w:p w:rsidR="00000000" w:rsidRDefault="00000000"/>
    <w:p w:rsidR="00000000" w:rsidRDefault="00000000">
      <w:pPr>
        <w:rPr>
          <w:b/>
          <w:bCs/>
        </w:rPr>
      </w:pPr>
      <w:r>
        <w:rPr>
          <w:b/>
          <w:bCs/>
        </w:rPr>
        <w:t>Пункт 23 а)</w:t>
      </w:r>
    </w:p>
    <w:p w:rsidR="00000000" w:rsidRDefault="00000000"/>
    <w:p w:rsidR="00000000" w:rsidRDefault="00000000">
      <w:r>
        <w:t>305.</w:t>
      </w:r>
      <w:r>
        <w:tab/>
        <w:t>Как уже отмечалось выше, в Политической конституции Мексиканских Соединенных Штатов предусматриваются следующие требования в отношении осуществления права на забастовку.</w:t>
      </w:r>
    </w:p>
    <w:p w:rsidR="00000000" w:rsidRDefault="00000000"/>
    <w:p w:rsidR="00000000" w:rsidRDefault="00000000">
      <w:pPr>
        <w:ind w:left="567" w:hanging="567"/>
      </w:pPr>
      <w:r>
        <w:tab/>
      </w:r>
      <w:r>
        <w:tab/>
        <w:t>"Статья 123, пункт ХVIII…  Если речь идет о публичных службах, то трудящиеся обязаны за 10 дней до проведения забастовки уведомить Совет по примирению и арбитражу об объявленной дате прекращения работы.  Забастовки признаются незаконными лишь в том случае, если забастовщики совершают акты насилия против каких-либо лиц или собственности или если они проводятся в военное время, когда бастующие заняты на предприятиях и службах, находящихся под контролем государства".</w:t>
      </w:r>
    </w:p>
    <w:p w:rsidR="00000000" w:rsidRDefault="00000000">
      <w:pPr>
        <w:ind w:left="567" w:hanging="567"/>
      </w:pPr>
    </w:p>
    <w:p w:rsidR="00000000" w:rsidRDefault="00000000">
      <w:r>
        <w:t>306.</w:t>
      </w:r>
      <w:r>
        <w:tab/>
        <w:t>Понятие публичной службы, употребленное в пункте ХVIII статьи 123 Конституции, разъясняется в статье 925 федерального закона о труде.</w:t>
      </w:r>
    </w:p>
    <w:p w:rsidR="00000000" w:rsidRDefault="00000000"/>
    <w:p w:rsidR="00000000" w:rsidRDefault="00000000">
      <w:r>
        <w:t>307.</w:t>
      </w:r>
      <w:r>
        <w:tab/>
        <w:t>Кроме того, в ФЗТ определяются следующие требования, которые должны соблюдаться при осуществлении права на забастовку:</w:t>
      </w:r>
    </w:p>
    <w:p w:rsidR="00000000" w:rsidRDefault="00000000"/>
    <w:p w:rsidR="00000000" w:rsidRDefault="00000000">
      <w:pPr>
        <w:ind w:left="567" w:hanging="567"/>
      </w:pPr>
      <w:r>
        <w:tab/>
      </w:r>
      <w:r>
        <w:tab/>
        <w:t>"Статья 443.  Забастовка должна ограничиваться простым актом приостановки работы.</w:t>
      </w:r>
    </w:p>
    <w:p w:rsidR="00000000" w:rsidRDefault="00000000">
      <w:pPr>
        <w:ind w:left="567" w:hanging="567"/>
      </w:pPr>
      <w:r>
        <w:tab/>
      </w:r>
      <w:r>
        <w:tab/>
        <w:t>Статья 444.  Законной является забастовка, которая соответствует требованиям и преследует цели, предусмотренные в статье 450".</w:t>
      </w:r>
    </w:p>
    <w:p w:rsidR="00000000" w:rsidRDefault="00000000">
      <w:pPr>
        <w:ind w:left="567" w:hanging="567"/>
      </w:pPr>
    </w:p>
    <w:p w:rsidR="00000000" w:rsidRDefault="00000000">
      <w:r>
        <w:t>308.</w:t>
      </w:r>
      <w:r>
        <w:tab/>
        <w:t>При этом в том же законе содержатся нормы, определяющие, когда забастовка является незаконной.</w:t>
      </w:r>
    </w:p>
    <w:p w:rsidR="00000000" w:rsidRDefault="00000000"/>
    <w:p w:rsidR="00000000" w:rsidRDefault="00000000">
      <w:r>
        <w:tab/>
      </w:r>
      <w:r>
        <w:tab/>
        <w:t>"Статья 445.  Забастовка является незаконной:</w:t>
      </w:r>
    </w:p>
    <w:p w:rsidR="00000000" w:rsidRDefault="00000000"/>
    <w:p w:rsidR="00000000" w:rsidRDefault="00000000">
      <w:pPr>
        <w:tabs>
          <w:tab w:val="clear" w:pos="567"/>
          <w:tab w:val="clear" w:pos="1134"/>
          <w:tab w:val="clear" w:pos="1701"/>
          <w:tab w:val="decimal" w:pos="1418"/>
        </w:tabs>
        <w:ind w:left="1843" w:hanging="1701"/>
      </w:pPr>
      <w:r>
        <w:tab/>
        <w:t>I.</w:t>
      </w:r>
      <w:r>
        <w:tab/>
        <w:t>Если большинство забастовщиков совершают акты насилия против каких-либо лиц или собственности;  а также</w:t>
      </w:r>
    </w:p>
    <w:p w:rsidR="00000000" w:rsidRDefault="00000000">
      <w:pPr>
        <w:tabs>
          <w:tab w:val="clear" w:pos="567"/>
          <w:tab w:val="clear" w:pos="1134"/>
          <w:tab w:val="clear" w:pos="1701"/>
          <w:tab w:val="decimal" w:pos="1418"/>
        </w:tabs>
        <w:ind w:left="1843" w:hanging="567"/>
      </w:pPr>
    </w:p>
    <w:p w:rsidR="00000000" w:rsidRDefault="00000000">
      <w:pPr>
        <w:tabs>
          <w:tab w:val="clear" w:pos="567"/>
          <w:tab w:val="clear" w:pos="1134"/>
          <w:tab w:val="clear" w:pos="1701"/>
          <w:tab w:val="decimal" w:pos="1418"/>
        </w:tabs>
        <w:ind w:left="1843" w:hanging="1701"/>
      </w:pPr>
      <w:r>
        <w:tab/>
        <w:t>II.</w:t>
      </w:r>
      <w:r>
        <w:tab/>
        <w:t>если забастовка проводится в военное время, когда бастующие заняты на предприятиях или службах, находящихся под контролем государства.</w:t>
      </w:r>
    </w:p>
    <w:p w:rsidR="00000000" w:rsidRDefault="00000000">
      <w:pPr>
        <w:tabs>
          <w:tab w:val="decimal" w:pos="1418"/>
        </w:tabs>
        <w:ind w:left="1843" w:hanging="567"/>
      </w:pPr>
    </w:p>
    <w:p w:rsidR="00000000" w:rsidRDefault="00000000">
      <w:pPr>
        <w:keepNext/>
      </w:pPr>
      <w:r>
        <w:tab/>
      </w:r>
      <w:r>
        <w:tab/>
        <w:t>Статья 451.  Для целей приостановки работы необходимо, чтобы:</w:t>
      </w:r>
    </w:p>
    <w:p w:rsidR="00000000" w:rsidRDefault="00000000">
      <w:pPr>
        <w:keepNext/>
      </w:pPr>
    </w:p>
    <w:p w:rsidR="00000000" w:rsidRDefault="00000000">
      <w:pPr>
        <w:tabs>
          <w:tab w:val="clear" w:pos="567"/>
          <w:tab w:val="clear" w:pos="1134"/>
          <w:tab w:val="clear" w:pos="1701"/>
          <w:tab w:val="decimal" w:pos="1418"/>
        </w:tabs>
        <w:ind w:left="1843" w:hanging="1701"/>
      </w:pPr>
      <w:r>
        <w:tab/>
        <w:t>I.</w:t>
      </w:r>
      <w:r>
        <w:tab/>
        <w:t>забастовка проводилась с целью или целями, которые предусматривается в предыдущей статье;</w:t>
      </w:r>
    </w:p>
    <w:p w:rsidR="00000000" w:rsidRDefault="00000000">
      <w:pPr>
        <w:ind w:left="567" w:hanging="567"/>
      </w:pPr>
    </w:p>
    <w:p w:rsidR="00000000" w:rsidRDefault="00000000">
      <w:pPr>
        <w:tabs>
          <w:tab w:val="clear" w:pos="567"/>
          <w:tab w:val="clear" w:pos="1134"/>
          <w:tab w:val="clear" w:pos="1701"/>
          <w:tab w:val="decimal" w:pos="1418"/>
        </w:tabs>
        <w:ind w:left="1843" w:hanging="1701"/>
      </w:pPr>
      <w:r>
        <w:tab/>
        <w:t>II.</w:t>
      </w:r>
      <w:r>
        <w:tab/>
        <w:t>временное прекращение трудовой деятельности осуществлялось большинством трудящихся предприятия или службы.  Принцип большинства, о котором говорится в настоящем разделе, может применяться лишь для целей ходатайства о признании забастовки юридически недействительной в соответствии с положениями статьи 460 и ни в коем случае в качестве предварительного требования для целей приостановки работы".</w:t>
      </w:r>
    </w:p>
    <w:p w:rsidR="00000000" w:rsidRDefault="00000000">
      <w:pPr>
        <w:ind w:left="567" w:hanging="567"/>
      </w:pPr>
    </w:p>
    <w:p w:rsidR="00000000" w:rsidRDefault="00000000">
      <w:pPr>
        <w:ind w:left="567" w:hanging="567"/>
      </w:pPr>
      <w:r>
        <w:t>309.</w:t>
      </w:r>
      <w:r>
        <w:tab/>
        <w:t>Забастовка является юридически недействительной в следующих случаях:</w:t>
      </w:r>
    </w:p>
    <w:p w:rsidR="00000000" w:rsidRDefault="00000000">
      <w:pPr>
        <w:ind w:left="567" w:hanging="567"/>
      </w:pPr>
    </w:p>
    <w:p w:rsidR="00000000" w:rsidRDefault="00000000">
      <w:pPr>
        <w:ind w:left="567" w:hanging="567"/>
      </w:pPr>
      <w:r>
        <w:tab/>
      </w:r>
      <w:r>
        <w:tab/>
        <w:t>"Статья 459.  Забастовка является юридически недействительной, если:</w:t>
      </w:r>
    </w:p>
    <w:p w:rsidR="00000000" w:rsidRDefault="00000000">
      <w:pPr>
        <w:ind w:left="567" w:hanging="567"/>
      </w:pPr>
    </w:p>
    <w:p w:rsidR="00000000" w:rsidRDefault="00000000">
      <w:pPr>
        <w:tabs>
          <w:tab w:val="clear" w:pos="567"/>
          <w:tab w:val="clear" w:pos="1134"/>
          <w:tab w:val="clear" w:pos="1701"/>
          <w:tab w:val="decimal" w:pos="1418"/>
        </w:tabs>
        <w:ind w:left="1843" w:hanging="1701"/>
      </w:pPr>
      <w:r>
        <w:tab/>
        <w:t>I.</w:t>
      </w:r>
      <w:r>
        <w:tab/>
        <w:t>Приостановка работы осуществляется меньшим числом трудящихся, чем это предусмотрено в пункте II статьи 451;</w:t>
      </w:r>
    </w:p>
    <w:p w:rsidR="00000000" w:rsidRDefault="00000000">
      <w:pPr>
        <w:ind w:left="567" w:hanging="567"/>
      </w:pPr>
    </w:p>
    <w:p w:rsidR="00000000" w:rsidRDefault="00000000">
      <w:pPr>
        <w:tabs>
          <w:tab w:val="clear" w:pos="567"/>
          <w:tab w:val="clear" w:pos="1134"/>
          <w:tab w:val="clear" w:pos="1701"/>
          <w:tab w:val="decimal" w:pos="1418"/>
        </w:tabs>
        <w:ind w:left="1843" w:hanging="1701"/>
      </w:pPr>
      <w:r>
        <w:tab/>
        <w:t>II.</w:t>
      </w:r>
      <w:r>
        <w:tab/>
        <w:t>цель проведения забастовки не охватывается положениями статьи 450;  и</w:t>
      </w:r>
    </w:p>
    <w:p w:rsidR="00000000" w:rsidRDefault="00000000">
      <w:pPr>
        <w:ind w:left="567" w:hanging="567"/>
      </w:pPr>
    </w:p>
    <w:p w:rsidR="00000000" w:rsidRDefault="00000000">
      <w:pPr>
        <w:tabs>
          <w:tab w:val="clear" w:pos="567"/>
          <w:tab w:val="clear" w:pos="1134"/>
          <w:tab w:val="clear" w:pos="1701"/>
          <w:tab w:val="decimal" w:pos="1418"/>
        </w:tabs>
        <w:ind w:left="1843" w:hanging="1701"/>
      </w:pPr>
      <w:r>
        <w:tab/>
        <w:t>III.</w:t>
      </w:r>
      <w:r>
        <w:tab/>
        <w:t>не соблюдаются требования, предусмотренные в статье 452.</w:t>
      </w:r>
    </w:p>
    <w:p w:rsidR="00000000" w:rsidRDefault="00000000">
      <w:pPr>
        <w:ind w:left="567" w:hanging="567"/>
      </w:pPr>
    </w:p>
    <w:p w:rsidR="00000000" w:rsidRDefault="00000000">
      <w:pPr>
        <w:ind w:left="1134" w:hanging="1134"/>
      </w:pPr>
      <w:r>
        <w:tab/>
      </w:r>
      <w:r>
        <w:tab/>
        <w:t>Забастовка не может объявляться юридически недействительной по каким</w:t>
      </w:r>
      <w:r>
        <w:noBreakHyphen/>
        <w:t>либо иным причинам, кроме причин, указанных в предшествующих разделах".</w:t>
      </w:r>
    </w:p>
    <w:p w:rsidR="00000000" w:rsidRDefault="00000000"/>
    <w:p w:rsidR="00000000" w:rsidRDefault="00000000">
      <w:r>
        <w:t>310.</w:t>
      </w:r>
      <w:r>
        <w:tab/>
        <w:t>Что касается продолжения предоставления услуг с момента начала забастовки, то в Федеральном законе о труде говорится следующее:</w:t>
      </w:r>
    </w:p>
    <w:p w:rsidR="00000000" w:rsidRDefault="00000000"/>
    <w:p w:rsidR="00000000" w:rsidRDefault="00000000">
      <w:pPr>
        <w:ind w:left="567" w:hanging="567"/>
      </w:pPr>
      <w:r>
        <w:tab/>
      </w:r>
      <w:r>
        <w:tab/>
        <w:t>"Статья 466.  Бастующие трудящиеся обязаны обеспечивать предоставление следующих услуг:</w:t>
      </w:r>
    </w:p>
    <w:p w:rsidR="00000000" w:rsidRDefault="00000000">
      <w:pPr>
        <w:ind w:left="567" w:hanging="567"/>
      </w:pPr>
    </w:p>
    <w:p w:rsidR="00000000" w:rsidRDefault="00000000">
      <w:pPr>
        <w:tabs>
          <w:tab w:val="clear" w:pos="567"/>
          <w:tab w:val="clear" w:pos="1134"/>
          <w:tab w:val="clear" w:pos="1701"/>
          <w:tab w:val="decimal" w:pos="1418"/>
        </w:tabs>
        <w:ind w:left="1843" w:hanging="1701"/>
      </w:pPr>
      <w:r>
        <w:tab/>
        <w:t>I.</w:t>
      </w:r>
      <w:r>
        <w:tab/>
        <w:t xml:space="preserve">Морские и воздушные суда, поезда, автобусы и другие транспортные средства, которые находятся в пути, должны прибыть в пункт своего назначения;  </w:t>
      </w:r>
    </w:p>
    <w:p w:rsidR="00000000" w:rsidRDefault="00000000">
      <w:pPr>
        <w:tabs>
          <w:tab w:val="clear" w:pos="567"/>
          <w:tab w:val="clear" w:pos="1134"/>
          <w:tab w:val="clear" w:pos="1701"/>
          <w:tab w:val="decimal" w:pos="1418"/>
        </w:tabs>
        <w:ind w:left="1843" w:hanging="1701"/>
      </w:pPr>
    </w:p>
    <w:p w:rsidR="00000000" w:rsidRDefault="00000000">
      <w:pPr>
        <w:tabs>
          <w:tab w:val="clear" w:pos="567"/>
          <w:tab w:val="clear" w:pos="1134"/>
          <w:tab w:val="clear" w:pos="1701"/>
          <w:tab w:val="decimal" w:pos="1418"/>
        </w:tabs>
        <w:ind w:left="1843" w:hanging="1701"/>
      </w:pPr>
      <w:r>
        <w:tab/>
        <w:t>II.</w:t>
      </w:r>
      <w:r>
        <w:tab/>
        <w:t>в больницах, лечебницах, клиниках и других аналогичных учреждениях продолжается оказание услуг пациентам, находящимся там на момент приостановки работы, вплоть до тех пор пока не появится возможность для их перевода в какое</w:t>
      </w:r>
      <w:r>
        <w:noBreakHyphen/>
        <w:t>либо другое учреждение".</w:t>
      </w:r>
    </w:p>
    <w:p w:rsidR="00000000" w:rsidRDefault="00000000">
      <w:pPr>
        <w:ind w:left="567" w:hanging="567"/>
      </w:pPr>
    </w:p>
    <w:p w:rsidR="00000000" w:rsidRDefault="00000000">
      <w:pPr>
        <w:keepNext/>
        <w:rPr>
          <w:b/>
          <w:bCs/>
        </w:rPr>
      </w:pPr>
      <w:r>
        <w:rPr>
          <w:b/>
          <w:bCs/>
        </w:rPr>
        <w:t>Пункт 23 b)</w:t>
      </w:r>
    </w:p>
    <w:p w:rsidR="00000000" w:rsidRDefault="00000000">
      <w:pPr>
        <w:keepNext/>
        <w:rPr>
          <w:b/>
          <w:bCs/>
        </w:rPr>
      </w:pPr>
    </w:p>
    <w:p w:rsidR="00000000" w:rsidRDefault="00000000">
      <w:r>
        <w:t>311.</w:t>
      </w:r>
      <w:r>
        <w:tab/>
        <w:t>Положения ФЗТ, касающиеся забастовки, применяются во всех центрах трудовой деятельности, т.е. иными словами они имеют общий характер.  Вместе с тем без ущерба для вышеизложенного в законе говорится, что некоторые бастующие трудящиеся обязаны продолжать предоставление услуг в следующих случаях:</w:t>
      </w:r>
    </w:p>
    <w:p w:rsidR="00000000" w:rsidRDefault="00000000"/>
    <w:p w:rsidR="00000000" w:rsidRDefault="00000000">
      <w:pPr>
        <w:ind w:left="567" w:hanging="567"/>
      </w:pPr>
      <w:r>
        <w:tab/>
      </w:r>
      <w:r>
        <w:tab/>
        <w:t>"Статья 466.  Бастующие трудящиеся обязаны обеспечивать предоставление следующих услуг:</w:t>
      </w:r>
    </w:p>
    <w:p w:rsidR="00000000" w:rsidRDefault="00000000">
      <w:pPr>
        <w:ind w:left="567" w:hanging="567"/>
      </w:pPr>
    </w:p>
    <w:p w:rsidR="00000000" w:rsidRDefault="00000000">
      <w:pPr>
        <w:tabs>
          <w:tab w:val="clear" w:pos="1134"/>
          <w:tab w:val="decimal" w:pos="1122"/>
        </w:tabs>
        <w:ind w:left="1701" w:hanging="1701"/>
      </w:pPr>
      <w:r>
        <w:tab/>
      </w:r>
      <w:r>
        <w:tab/>
        <w:t>I.</w:t>
      </w:r>
      <w:r>
        <w:tab/>
        <w:t xml:space="preserve">Морские и воздушные суда, поезда, автобусы и другие транспортные средства, которые находятся в пути, должны прибыть в пункт своего назначения; </w:t>
      </w:r>
    </w:p>
    <w:p w:rsidR="00000000" w:rsidRDefault="00000000">
      <w:pPr>
        <w:ind w:left="567" w:hanging="567"/>
      </w:pPr>
    </w:p>
    <w:p w:rsidR="00000000" w:rsidRDefault="00000000">
      <w:pPr>
        <w:tabs>
          <w:tab w:val="clear" w:pos="1134"/>
          <w:tab w:val="decimal" w:pos="1122"/>
        </w:tabs>
        <w:ind w:left="1701" w:hanging="1701"/>
      </w:pPr>
      <w:r>
        <w:tab/>
      </w:r>
      <w:r>
        <w:tab/>
        <w:t>II.</w:t>
      </w:r>
      <w:r>
        <w:tab/>
        <w:t>в больницах, лечебницах, клиниках и других аналогичных учреждениях продолжается оказание услуг пациентам, находящимся там на момент приостановки работы, вплоть до тех пор, пока не появится возможность для их перевода в какое-либо другое учреждение".</w:t>
      </w:r>
    </w:p>
    <w:p w:rsidR="00000000" w:rsidRDefault="00000000">
      <w:pPr>
        <w:ind w:left="567" w:hanging="567"/>
      </w:pPr>
    </w:p>
    <w:p w:rsidR="00000000" w:rsidRDefault="00000000">
      <w:r>
        <w:br w:type="page"/>
        <w:t>312.</w:t>
      </w:r>
      <w:r>
        <w:tab/>
        <w:t>Кроме того, в соответствии со статьей 925 эта специальная норма распространяется на предприятия связи, транспорта и энергоснабжения, предприятия по уборке улиц, предприятия водоснабжения и газоснабжения, санитарные службы, медицинские учреждения, кладбища и предприятия сферы питания, торгующие продуктами питания первой необходимости, притом что, если в этом последнем случае приостановка работы охватывает целиком какую-либо сферу обслуживания, государство принимает меры, обеспечивающие оказание населению соответствующих услуг.</w:t>
      </w:r>
    </w:p>
    <w:p w:rsidR="00000000" w:rsidRDefault="00000000"/>
    <w:p w:rsidR="00000000" w:rsidRDefault="00000000">
      <w:pPr>
        <w:rPr>
          <w:b/>
          <w:bCs/>
        </w:rPr>
      </w:pPr>
      <w:r>
        <w:rPr>
          <w:b/>
          <w:bCs/>
        </w:rPr>
        <w:t>Пункт 24</w:t>
      </w:r>
    </w:p>
    <w:p w:rsidR="00000000" w:rsidRDefault="00000000">
      <w:pPr>
        <w:rPr>
          <w:b/>
          <w:bCs/>
        </w:rPr>
      </w:pPr>
    </w:p>
    <w:p w:rsidR="00000000" w:rsidRDefault="00000000">
      <w:r>
        <w:t>313.</w:t>
      </w:r>
      <w:r>
        <w:tab/>
        <w:t>Что касается государственных служащих, то в разделе В Политической конституции Мексиканских Соединенных Штатов устанавливается следующее:</w:t>
      </w:r>
    </w:p>
    <w:p w:rsidR="00000000" w:rsidRDefault="00000000"/>
    <w:p w:rsidR="00000000" w:rsidRDefault="00000000">
      <w:pPr>
        <w:ind w:left="1134" w:hanging="1134"/>
      </w:pPr>
      <w:r>
        <w:tab/>
        <w:t>"В.</w:t>
      </w:r>
      <w:r>
        <w:tab/>
        <w:t>Что касается органов власти Республики, правительства Федерального округа и государственных служащих, то:</w:t>
      </w:r>
    </w:p>
    <w:p w:rsidR="00000000" w:rsidRDefault="00000000">
      <w:pPr>
        <w:ind w:left="567" w:hanging="567"/>
      </w:pPr>
    </w:p>
    <w:p w:rsidR="00000000" w:rsidRDefault="00000000">
      <w:pPr>
        <w:tabs>
          <w:tab w:val="clear" w:pos="1134"/>
          <w:tab w:val="left" w:pos="935"/>
        </w:tabs>
        <w:ind w:left="1701" w:hanging="1134"/>
      </w:pPr>
      <w:r>
        <w:tab/>
      </w:r>
      <w:r>
        <w:rPr>
          <w:lang w:val="en-US"/>
        </w:rPr>
        <w:t>X</w:t>
      </w:r>
      <w:r>
        <w:t>.</w:t>
      </w:r>
      <w:r>
        <w:tab/>
        <w:t>трудящиеся имеют право объединяться для целей защиты своих общих интересов.  Кроме того, они могут прибегать к праву на забастовку при условии выполнения предусмотренных законом требований в контексте одной или нескольких сфер государственной власти в случае наличия общих и систематических нарушений прав, которые закрепляются в настоящей статье.</w:t>
      </w:r>
    </w:p>
    <w:p w:rsidR="00000000" w:rsidRDefault="00000000">
      <w:pPr>
        <w:tabs>
          <w:tab w:val="clear" w:pos="1134"/>
          <w:tab w:val="left" w:pos="935"/>
        </w:tabs>
        <w:ind w:left="567" w:hanging="567"/>
      </w:pPr>
    </w:p>
    <w:p w:rsidR="00000000" w:rsidRDefault="00000000">
      <w:pPr>
        <w:tabs>
          <w:tab w:val="clear" w:pos="1134"/>
          <w:tab w:val="left" w:pos="935"/>
        </w:tabs>
        <w:ind w:left="1701" w:hanging="1134"/>
      </w:pPr>
      <w:r>
        <w:tab/>
      </w:r>
      <w:r>
        <w:rPr>
          <w:lang w:val="en-US"/>
        </w:rPr>
        <w:t>XIII</w:t>
      </w:r>
      <w:r>
        <w:t>.</w:t>
      </w:r>
      <w:r>
        <w:tab/>
        <w:t>военнослужащие сухопутных войск и военно-морских сил, персонал учреждений по внешним сношениям, работники государственной прокуратуры и сотрудники учреждений полиции осуществляют свои права на основе нормативных актов, принимаемых соответствующими учреждениями".</w:t>
      </w:r>
    </w:p>
    <w:p w:rsidR="00000000" w:rsidRDefault="00000000">
      <w:pPr>
        <w:ind w:left="567" w:hanging="567"/>
      </w:pPr>
    </w:p>
    <w:p w:rsidR="00000000" w:rsidRDefault="00000000">
      <w:r>
        <w:t>314.</w:t>
      </w:r>
      <w:r>
        <w:tab/>
        <w:t>С учетом вышеизложенного в федеральном законе о государственных служащих, регламентирующем порядок применения положений раздела В статьи 123 Конституции, предусматривается следующее:</w:t>
      </w:r>
    </w:p>
    <w:p w:rsidR="00000000" w:rsidRDefault="00000000"/>
    <w:p w:rsidR="00000000" w:rsidRDefault="00000000">
      <w:pPr>
        <w:ind w:left="567" w:hanging="567"/>
      </w:pPr>
      <w:r>
        <w:tab/>
      </w:r>
      <w:r>
        <w:tab/>
        <w:t>"Статья 8.  Положения соответствующих статей настоящего закона не распространяются на ответственных должностных лиц, перечисленных в статье 5;  военнослужащих, за исключением гражданского персонала министерства национальной обороны и военно-морских сил;  персонал военизированных подразделений или создаваемых в соответствии с законом подразделений милиции;  сотрудников служб по внешним сношениям;  надзирателей пенитенциарных учреждений, тюрем или мест временного содержания под стражей, а также на лиц, предоставляющих соответствующие услуги на основе гражданского контракта или подряда".</w:t>
      </w:r>
    </w:p>
    <w:p w:rsidR="00000000" w:rsidRDefault="00000000">
      <w:pPr>
        <w:ind w:left="567" w:hanging="567"/>
      </w:pPr>
    </w:p>
    <w:p w:rsidR="00000000" w:rsidRDefault="00000000">
      <w:r>
        <w:t>315.</w:t>
      </w:r>
      <w:r>
        <w:tab/>
        <w:t>Из вышеизложенного следует, что право на объединение для целей защиты общих интересов не распространяется на военнослужащих, персонал военизированных подразделений или создаваемых в соответствии с законом подразделений милиции, а также на надзирателей пенитенциарных учреждений, тюрем или мест временного содержания под стражей, работников государственной прокуратуры и сотрудников учреждений полиции, деятельность которых во всех случаях регулируется специальными нормативными актами, предусмотренными для каждой категории этих работников.</w:t>
      </w:r>
    </w:p>
    <w:p w:rsidR="00000000" w:rsidRDefault="00000000"/>
    <w:p w:rsidR="00000000" w:rsidRDefault="00000000">
      <w:r>
        <w:t>316.</w:t>
      </w:r>
      <w:r>
        <w:tab/>
        <w:t xml:space="preserve">Следует отметить, что Верховный суд вынес ряд решений, касающихся системы отношений между военнослужащими и полицейскими и государственной властью, согласно которым такие отношения носят не трудовой, а административный характер, в силу чего работники соответствующих служб не могут пользоваться правом на забастовку. </w:t>
      </w:r>
    </w:p>
    <w:p w:rsidR="00000000" w:rsidRDefault="00000000"/>
    <w:p w:rsidR="00000000" w:rsidRDefault="00000000">
      <w:pPr>
        <w:rPr>
          <w:b/>
          <w:bCs/>
        </w:rPr>
      </w:pPr>
      <w:r>
        <w:rPr>
          <w:b/>
          <w:bCs/>
        </w:rPr>
        <w:t>Пункт 25</w:t>
      </w:r>
    </w:p>
    <w:p w:rsidR="00000000" w:rsidRDefault="00000000">
      <w:pPr>
        <w:rPr>
          <w:b/>
          <w:bCs/>
        </w:rPr>
      </w:pPr>
    </w:p>
    <w:p w:rsidR="00000000" w:rsidRDefault="00000000">
      <w:r>
        <w:t>317.</w:t>
      </w:r>
      <w:r>
        <w:tab/>
        <w:t>Что касается данного пункта руководящих принципов, то за период с момента представления предыдущего доклада соответствующее законодательство не претерпело никаких изменений.</w:t>
      </w:r>
    </w:p>
    <w:p w:rsidR="00000000" w:rsidRDefault="00000000"/>
    <w:p w:rsidR="00000000" w:rsidRDefault="00000000">
      <w:pPr>
        <w:jc w:val="center"/>
        <w:rPr>
          <w:b/>
          <w:bCs/>
        </w:rPr>
      </w:pPr>
      <w:r>
        <w:rPr>
          <w:b/>
          <w:bCs/>
          <w:lang w:val="en-US"/>
        </w:rPr>
        <w:t>D.</w:t>
      </w:r>
      <w:r>
        <w:rPr>
          <w:b/>
          <w:bCs/>
          <w:lang w:val="en-US"/>
        </w:rPr>
        <w:tab/>
      </w:r>
      <w:r>
        <w:rPr>
          <w:b/>
          <w:bCs/>
        </w:rPr>
        <w:t>Статья 9</w:t>
      </w:r>
    </w:p>
    <w:p w:rsidR="00000000" w:rsidRDefault="00000000">
      <w:pPr>
        <w:jc w:val="center"/>
        <w:rPr>
          <w:b/>
          <w:bCs/>
        </w:rPr>
      </w:pPr>
    </w:p>
    <w:p w:rsidR="00000000" w:rsidRDefault="00000000">
      <w:pPr>
        <w:rPr>
          <w:b/>
          <w:bCs/>
        </w:rPr>
      </w:pPr>
      <w:r>
        <w:rPr>
          <w:b/>
          <w:bCs/>
        </w:rPr>
        <w:t>Пункт 27 руководящих принципов</w:t>
      </w:r>
    </w:p>
    <w:p w:rsidR="00000000" w:rsidRDefault="00000000">
      <w:pPr>
        <w:rPr>
          <w:b/>
          <w:bCs/>
        </w:rPr>
      </w:pPr>
    </w:p>
    <w:p w:rsidR="00000000" w:rsidRDefault="00000000">
      <w:r>
        <w:t>318.</w:t>
      </w:r>
      <w:r>
        <w:tab/>
        <w:t>В рамках Мексиканского института социального обеспечения (МИСО) предусматривается предоставление социальных услуг по следующим пяти направлениям:</w:t>
      </w:r>
    </w:p>
    <w:p w:rsidR="00000000" w:rsidRDefault="00000000"/>
    <w:p w:rsidR="00000000" w:rsidRDefault="00000000">
      <w:pPr>
        <w:tabs>
          <w:tab w:val="clear" w:pos="567"/>
          <w:tab w:val="left" w:pos="561"/>
        </w:tabs>
        <w:ind w:left="561" w:hanging="561"/>
      </w:pPr>
      <w:r>
        <w:tab/>
        <w:t>пособия по болезни, беременности и родам;  пособия в случае производственных травм;  пособия по инвалидности и в случае смерти кормильца;  пенсии, пособия в случае увольнения в преклонном возрасте и по старости;  обслуживание в связи с уходом за детьми и сопутствующие социальные льготы.</w:t>
      </w:r>
    </w:p>
    <w:p w:rsidR="00000000" w:rsidRDefault="00000000"/>
    <w:p w:rsidR="00000000" w:rsidRDefault="00000000">
      <w:r>
        <w:br w:type="page"/>
        <w:t>319.</w:t>
      </w:r>
      <w:r>
        <w:tab/>
        <w:t>По линии Института социального обеспечения и социального обслуживания государственных служащих (ИСОГС) предоставляются следующие виды социальной помощи:  медицинское обслуживание, пособия по болезни, беременности и родам, пособия по старости, по инвалидности, по случаю потери кормильца и в связи с производственным травматизмом, а также семейные пособия.</w:t>
      </w:r>
    </w:p>
    <w:p w:rsidR="00000000" w:rsidRDefault="00000000"/>
    <w:p w:rsidR="00000000" w:rsidRDefault="00000000">
      <w:r>
        <w:t>320.</w:t>
      </w:r>
      <w:r>
        <w:tab/>
        <w:t>По линии ИСОГС предоставляются следующие пособия, выплаты и льготы:  профилактическое медицинское обслуживание;  пособия по болезни, беременности и родам;  услуги, связанные с физической и психической реабилитацией;  пособия в случае производственных травм;  пенсии, пособия по возрасту и за выслугу лет;  пособия по инвалидности;  пособия в случае смерти кормильца;  пособия в случае увольнения в преклонном возрасте;  компенсации общего характера;  обслуживание в связи с уходом за детьми;  комплексное обслуживание пенсионеров и престарелых;  аренда или продажа дешевого жилья, находящегося в собственности Института;  предоставление ипотечных кредитов и ссуд на приобретение земли и/или жилья, строительство, ремонт, расширение или улучшение жилья, а также предоставление средств для покрытия ссуд, взятых для этих целей;  предоставление среднесрочных и краткосрочных кредитов;  оказание услуг, способствующих повышению качества жизни государственных служащих и членов их семей;  предоставление туристических услуг;  льготы в области культуры, технического творчества, занятия спортом и организации отдыха;  предоставление ритуальных услуг и услуг по линии пенсионного фонда (статья 3 Закона о ИСОГС).</w:t>
      </w:r>
    </w:p>
    <w:p w:rsidR="00000000" w:rsidRDefault="00000000"/>
    <w:p w:rsidR="00000000" w:rsidRDefault="00000000">
      <w:pPr>
        <w:rPr>
          <w:b/>
          <w:bCs/>
        </w:rPr>
      </w:pPr>
      <w:r>
        <w:rPr>
          <w:b/>
          <w:bCs/>
        </w:rPr>
        <w:t>Пункт 28</w:t>
      </w:r>
    </w:p>
    <w:p w:rsidR="00000000" w:rsidRDefault="00000000">
      <w:pPr>
        <w:rPr>
          <w:b/>
          <w:bCs/>
        </w:rPr>
      </w:pPr>
    </w:p>
    <w:p w:rsidR="00000000" w:rsidRDefault="00000000">
      <w:r>
        <w:t>321.</w:t>
      </w:r>
      <w:r>
        <w:tab/>
        <w:t>В рамках различных планов социального обеспечения по линии ключевых социальных структур в Мексике предлагаются следующие льготы и выплаты:</w:t>
      </w:r>
    </w:p>
    <w:p w:rsidR="00000000" w:rsidRDefault="00000000"/>
    <w:p w:rsidR="00000000" w:rsidRDefault="00000000">
      <w:pPr>
        <w:rPr>
          <w:b/>
          <w:bCs/>
        </w:rPr>
      </w:pPr>
      <w:r>
        <w:rPr>
          <w:b/>
          <w:bCs/>
        </w:rPr>
        <w:tab/>
        <w:t>Мексиканский институт социального обеспечения</w:t>
      </w:r>
    </w:p>
    <w:p w:rsidR="00000000" w:rsidRDefault="00000000">
      <w:pPr>
        <w:rPr>
          <w:b/>
          <w:bCs/>
        </w:rPr>
      </w:pPr>
    </w:p>
    <w:p w:rsidR="00000000" w:rsidRDefault="00000000">
      <w:pPr>
        <w:tabs>
          <w:tab w:val="clear" w:pos="567"/>
          <w:tab w:val="left" w:pos="561"/>
        </w:tabs>
        <w:ind w:left="1122" w:hanging="1122"/>
      </w:pPr>
      <w:r>
        <w:rPr>
          <w:b/>
          <w:bCs/>
        </w:rPr>
        <w:tab/>
      </w:r>
      <w:r>
        <w:rPr>
          <w:b/>
          <w:bCs/>
        </w:rPr>
        <w:sym w:font="Symbol" w:char="F0B7"/>
      </w:r>
      <w:r>
        <w:rPr>
          <w:b/>
          <w:bCs/>
        </w:rPr>
        <w:tab/>
        <w:t>Пособия по болезни, беременности и родам</w:t>
      </w:r>
      <w:r>
        <w:t>.  Соответствующие пособия предоставляются по линии программы профилактики и охраны здоровья охваченных системой социального обеспечения лиц.  В этой связи обеспечивается хирургическое, фармацевтическое и больничное обслуживание, которое считается необходимым для целей лечения соответствующего заболевания или недуга и, при необходимости, предоставление экономической компенсации с учетом общего характера заболевания.  В случае беременности и родов предусматривается оказание акушерской помощи и предоставление денежного пособия в течение предусмотренного законом периода.</w:t>
      </w:r>
    </w:p>
    <w:p w:rsidR="00000000" w:rsidRDefault="00000000">
      <w:pPr>
        <w:tabs>
          <w:tab w:val="clear" w:pos="567"/>
          <w:tab w:val="left" w:pos="561"/>
        </w:tabs>
        <w:ind w:left="1122" w:hanging="1122"/>
      </w:pPr>
    </w:p>
    <w:p w:rsidR="00000000" w:rsidRDefault="00000000">
      <w:pPr>
        <w:tabs>
          <w:tab w:val="clear" w:pos="567"/>
          <w:tab w:val="left" w:pos="561"/>
        </w:tabs>
        <w:ind w:left="1122" w:hanging="1122"/>
      </w:pPr>
      <w:r>
        <w:tab/>
      </w:r>
      <w:r>
        <w:tab/>
        <w:t>Пенсионер имеет право на выплаты в рамках социальной схемы медицинского обслуживания пенсионеров.</w:t>
      </w:r>
    </w:p>
    <w:p w:rsidR="00000000" w:rsidRDefault="00000000">
      <w:pPr>
        <w:tabs>
          <w:tab w:val="clear" w:pos="1134"/>
        </w:tabs>
        <w:ind w:left="569"/>
      </w:pPr>
    </w:p>
    <w:p w:rsidR="00000000" w:rsidRDefault="00000000">
      <w:pPr>
        <w:ind w:left="1134" w:hanging="565"/>
      </w:pPr>
      <w:r>
        <w:rPr>
          <w:b/>
          <w:bCs/>
        </w:rPr>
        <w:sym w:font="Symbol" w:char="F0B7"/>
      </w:r>
      <w:r>
        <w:rPr>
          <w:b/>
          <w:bCs/>
        </w:rPr>
        <w:tab/>
        <w:t>Страхование от производственных рисков.</w:t>
      </w:r>
      <w:r>
        <w:t xml:space="preserve">  Эта схема охватывает медицинское обслуживание и выплату денежных пособий в случае производственных травм и заболеваний трудящихся во время работы или в связи с работой.  Эта социальная схема защищает права не только трудящихся, но и обеспечивает страхование заключивших соответствующее соглашение предприятий, что позволяет предпринимателю выполнять предусмотренные законом обязательства в случае получения трудящимся травмы на производстве вследствие производственных рисков.</w:t>
      </w:r>
    </w:p>
    <w:p w:rsidR="00000000" w:rsidRDefault="00000000">
      <w:pPr>
        <w:tabs>
          <w:tab w:val="clear" w:pos="1134"/>
        </w:tabs>
        <w:ind w:left="569"/>
      </w:pPr>
    </w:p>
    <w:p w:rsidR="00000000" w:rsidRDefault="00000000">
      <w:pPr>
        <w:ind w:left="1134" w:hanging="565"/>
      </w:pPr>
      <w:r>
        <w:rPr>
          <w:b/>
          <w:bCs/>
        </w:rPr>
        <w:sym w:font="Symbol" w:char="F0B7"/>
      </w:r>
      <w:r>
        <w:rPr>
          <w:b/>
          <w:bCs/>
        </w:rPr>
        <w:tab/>
        <w:t>Социальная помощь по линии детских учреждений и соответствующие социальные выплаты.</w:t>
      </w:r>
      <w:r>
        <w:t xml:space="preserve">  По линии МИСО обеспечивается обслуживание детских учреждений, в которых находятся малолетние дети работающих матерей, охваченных системой социального обеспечения, а также овдовевших или разведенных трудящихся, на попечении которых продолжают находиться дети.  Эта льгота может распространяться на охваченных системой социального обеспечения лиц, которые по судебному решению осуществляют родительские обязанности и на попечении которых находится несовершеннолетние, при том условии, что права застрахованных трудящихся не утратили свою силу перед Институтом и что они не в состоянии обеспечивать уход за соответствующими несовершеннолетними.  Эти виды социальных услуг направлены на улучшение здоровья населения, предотвращение заболеваний и несчастных случаев и повышение общего уровня жизни населения.</w:t>
      </w:r>
    </w:p>
    <w:p w:rsidR="00000000" w:rsidRDefault="00000000">
      <w:pPr>
        <w:tabs>
          <w:tab w:val="clear" w:pos="1134"/>
        </w:tabs>
        <w:ind w:left="569"/>
      </w:pPr>
    </w:p>
    <w:p w:rsidR="00000000" w:rsidRDefault="00000000">
      <w:pPr>
        <w:ind w:left="1134" w:hanging="565"/>
      </w:pPr>
      <w:r>
        <w:rPr>
          <w:b/>
          <w:bCs/>
        </w:rPr>
        <w:sym w:font="Symbol" w:char="F0B7"/>
      </w:r>
      <w:r>
        <w:rPr>
          <w:b/>
          <w:bCs/>
        </w:rPr>
        <w:tab/>
        <w:t>Страхование по инвалидности и на случай смерти.</w:t>
      </w:r>
      <w:r>
        <w:t xml:space="preserve">  Эта схема покрывает риски, возникающие в случае инвалидности или смерти застрахованного лица путем предоставления на временной или единовременной основе пенсионных пособий застрахованному или членам его семьи в случае его смерти.  Страхование по инвалидности и на случай смерти покрывает риск несчастных случаев или заболеваний, не связанных с производственной деятельностью, а также предусматривает предоставление социальных пособий семье умершего застрахованного лица.  В случае травмы, которая приводит к инвалидности трудящегося, последний имеет право на пожизненную пенсию.  В случае смерти пенсионера члены его семьи продолжают получать соответствующее пенсионное пособие на период действия страхования по случаю смерти кормильца.</w:t>
      </w:r>
    </w:p>
    <w:p w:rsidR="00000000" w:rsidRDefault="00000000">
      <w:pPr>
        <w:ind w:left="1134" w:hanging="565"/>
      </w:pPr>
      <w:r>
        <w:rPr>
          <w:b/>
          <w:bCs/>
        </w:rPr>
        <w:sym w:font="Symbol" w:char="F0B7"/>
      </w:r>
      <w:r>
        <w:rPr>
          <w:b/>
          <w:bCs/>
        </w:rPr>
        <w:tab/>
        <w:t>Страхование на случай выхода на пенсию, увольнения в преклонном возрасте и по старости.</w:t>
      </w:r>
      <w:r>
        <w:t xml:space="preserve">  Эта система покрывает такие страховые случаи, как выход на пенсию, увольнение в преклонном возрасте и старость, а также смерть лица, застрахованного по этой системе.  В рамках такого социального соглашения МИСО предоставляет целый ряд социальных услуг, включая, в частности, пенсию, медицинское обслуживание, семейные пособия и другие виды вспомоществования.  Административные службы пенсионного фонда являются элементом системы социального обеспечения в рамках МИСО.  В их обязанность входит обслуживание при содействии финансовых учреждений индивидуальных счетов трудящихся, которые имеют пенсионные накопления.</w:t>
      </w:r>
    </w:p>
    <w:p w:rsidR="00000000" w:rsidRDefault="00000000">
      <w:pPr>
        <w:ind w:left="1134" w:hanging="565"/>
      </w:pPr>
    </w:p>
    <w:p w:rsidR="00000000" w:rsidRDefault="00000000">
      <w:pPr>
        <w:ind w:left="1134" w:hanging="565"/>
      </w:pPr>
      <w:r>
        <w:rPr>
          <w:b/>
          <w:bCs/>
        </w:rPr>
        <w:sym w:font="Symbol" w:char="F0B7"/>
      </w:r>
      <w:r>
        <w:rPr>
          <w:b/>
          <w:bCs/>
        </w:rPr>
        <w:tab/>
        <w:t>Страхование здоровья в интересах семьи.</w:t>
      </w:r>
      <w:r>
        <w:t xml:space="preserve">  Данная страховая схема обеспечивает доступ к системе выплаты денежных пособий по случаю болезни, беременности и родам.  Право на получение соответствующих пособий имеет как глава семьи, так и находящиеся на его иждивении лица в том случае, если они не покрываются никакой другой схемой социального обеспечения.  Этот вид страхования открывает для мексиканских семей самые широкие возможности для целей пользования предоставляемыми по линии МИСО медицинскими услугами независимо от их трудового статуса или трудовой деятельности.</w:t>
      </w:r>
    </w:p>
    <w:p w:rsidR="00000000" w:rsidRDefault="00000000">
      <w:pPr>
        <w:tabs>
          <w:tab w:val="clear" w:pos="1134"/>
        </w:tabs>
        <w:ind w:left="569"/>
      </w:pPr>
    </w:p>
    <w:p w:rsidR="00000000" w:rsidRDefault="00000000">
      <w:r>
        <w:t>322.</w:t>
      </w:r>
      <w:r>
        <w:tab/>
        <w:t>Сеть детских учреждений позволяет покрывать риски трудящихся матерей, которые не в состоянии обеспечивать уход за своими малолетними детьми в течение рабочего дня;  эти услуги распространяются также на овдовевших или разведенных трудящихся или трудящихся, которые обеспечивают уход за своими детьми в соответствии с судебным решением.</w:t>
      </w:r>
    </w:p>
    <w:p w:rsidR="00000000" w:rsidRDefault="00000000"/>
    <w:p w:rsidR="00000000" w:rsidRDefault="00000000">
      <w:r>
        <w:t>323.</w:t>
      </w:r>
      <w:r>
        <w:tab/>
        <w:t>Такая льгота может распространяться на застрахованных лиц, которые по судебному решению осуществляют родительскую власть и попечение над несовершеннолетним в том случае, если права соответствующих застрахованных лиц сохраняют свою действительность для МИСО и если эти лица не в состоянии обеспечивать уход за находящимся на их попечении несовершеннолетним.</w:t>
      </w:r>
    </w:p>
    <w:p w:rsidR="00000000" w:rsidRDefault="00000000"/>
    <w:p w:rsidR="00000000" w:rsidRDefault="00000000">
      <w:r>
        <w:t>324.</w:t>
      </w:r>
      <w:r>
        <w:tab/>
        <w:t>Детские сады предоставляют услуги детям в возрасте от 43 дней до четырех лет.</w:t>
      </w:r>
    </w:p>
    <w:p w:rsidR="00000000" w:rsidRDefault="00000000"/>
    <w:p w:rsidR="00000000" w:rsidRDefault="00000000">
      <w:r>
        <w:t>325.</w:t>
      </w:r>
      <w:r>
        <w:tab/>
        <w:t>По линии МИСО осуществляются мероприятия в сфере охраны здоровья, предупреждения заболеваний и несчастных случаев и повышения уровня жизни населения в рамках следующих четырех стратегических направлений:</w:t>
      </w:r>
    </w:p>
    <w:p w:rsidR="00000000" w:rsidRDefault="00000000"/>
    <w:p w:rsidR="00000000" w:rsidRDefault="00000000">
      <w:pPr>
        <w:ind w:left="569"/>
      </w:pPr>
      <w:r>
        <w:rPr>
          <w:b/>
          <w:bCs/>
        </w:rPr>
        <w:sym w:font="Symbol" w:char="F0B7"/>
      </w:r>
      <w:r>
        <w:rPr>
          <w:b/>
          <w:bCs/>
        </w:rPr>
        <w:tab/>
      </w:r>
      <w:r>
        <w:t>Улучшение здоровья населения.</w:t>
      </w:r>
    </w:p>
    <w:p w:rsidR="00000000" w:rsidRDefault="00000000">
      <w:pPr>
        <w:ind w:left="569"/>
      </w:pPr>
    </w:p>
    <w:p w:rsidR="00000000" w:rsidRDefault="00000000">
      <w:pPr>
        <w:ind w:left="569"/>
      </w:pPr>
      <w:r>
        <w:rPr>
          <w:b/>
          <w:bCs/>
        </w:rPr>
        <w:sym w:font="Symbol" w:char="F0B7"/>
      </w:r>
      <w:r>
        <w:rPr>
          <w:b/>
          <w:bCs/>
        </w:rPr>
        <w:tab/>
      </w:r>
      <w:r>
        <w:t>Повышение материального уровня жизни отдельных лиц и семей.</w:t>
      </w:r>
    </w:p>
    <w:p w:rsidR="00000000" w:rsidRDefault="00000000">
      <w:pPr>
        <w:ind w:left="569"/>
      </w:pPr>
    </w:p>
    <w:p w:rsidR="00000000" w:rsidRDefault="00000000">
      <w:pPr>
        <w:ind w:left="569"/>
      </w:pPr>
      <w:r>
        <w:rPr>
          <w:b/>
          <w:bCs/>
        </w:rPr>
        <w:sym w:font="Symbol" w:char="F0B7"/>
      </w:r>
      <w:r>
        <w:rPr>
          <w:b/>
          <w:bCs/>
        </w:rPr>
        <w:tab/>
      </w:r>
      <w:r>
        <w:t>Просветительская деятельность в целях повышения уровня жизни населения.</w:t>
      </w:r>
    </w:p>
    <w:p w:rsidR="00000000" w:rsidRDefault="00000000">
      <w:pPr>
        <w:tabs>
          <w:tab w:val="clear" w:pos="1134"/>
        </w:tabs>
        <w:ind w:left="569"/>
      </w:pPr>
    </w:p>
    <w:p w:rsidR="00000000" w:rsidRDefault="00000000">
      <w:pPr>
        <w:ind w:left="569"/>
      </w:pPr>
      <w:r>
        <w:rPr>
          <w:b/>
          <w:bCs/>
        </w:rPr>
        <w:sym w:font="Symbol" w:char="F0B7"/>
      </w:r>
      <w:r>
        <w:rPr>
          <w:b/>
          <w:bCs/>
        </w:rPr>
        <w:tab/>
      </w:r>
      <w:r>
        <w:t>Просветительская деятельность в области охраны окружающей среды.</w:t>
      </w:r>
    </w:p>
    <w:p w:rsidR="00000000" w:rsidRDefault="00000000">
      <w:pPr>
        <w:tabs>
          <w:tab w:val="clear" w:pos="1134"/>
        </w:tabs>
        <w:ind w:left="569"/>
      </w:pPr>
    </w:p>
    <w:p w:rsidR="00000000" w:rsidRDefault="00000000">
      <w:r>
        <w:t>326.</w:t>
      </w:r>
      <w:r>
        <w:tab/>
        <w:t>Соответствующие стратегии осуществляются в рамках учебных курсов, семинаров, кампаний, пропагандистских инициатив, спортивных мероприятий, театральных постановок и других целенаправленных мероприятий.</w:t>
      </w:r>
    </w:p>
    <w:p w:rsidR="00000000" w:rsidRDefault="00000000"/>
    <w:p w:rsidR="00000000" w:rsidRDefault="00000000">
      <w:r>
        <w:t>327.</w:t>
      </w:r>
      <w:r>
        <w:tab/>
        <w:t>Ниже перечисляются виды материальной помощи по линии различных схем системы социального обеспечения.</w:t>
      </w:r>
    </w:p>
    <w:p w:rsidR="00000000" w:rsidRDefault="00000000"/>
    <w:p w:rsidR="00000000" w:rsidRDefault="00000000">
      <w:pPr>
        <w:ind w:left="1134" w:hanging="565"/>
      </w:pPr>
      <w:r>
        <w:rPr>
          <w:b/>
          <w:bCs/>
        </w:rPr>
        <w:sym w:font="Symbol" w:char="F0B7"/>
      </w:r>
      <w:r>
        <w:rPr>
          <w:b/>
          <w:bCs/>
        </w:rPr>
        <w:tab/>
        <w:t>Общая компенсация в связи с производственными рисками.</w:t>
      </w:r>
      <w:r>
        <w:t xml:space="preserve">  Этот вид социального пособия, предусмотренный действующим законом о социальном обеспечении, предусматривает, что в случае постоянной утраты застрахованным лицом своей трудоспособности на 25% соответствующему лицу выплачивается взамен пенсионного пособия общая компенсация в размере причитающегося ему пособия за пятилетний период.  Указанное застрахованное лицо может выбирать между получением такой компенсации или пенсионного пособия в том случае, если утрата им трудоспособности колеблется в пределах 25-50%.</w:t>
      </w:r>
    </w:p>
    <w:p w:rsidR="00000000" w:rsidRDefault="00000000">
      <w:pPr>
        <w:tabs>
          <w:tab w:val="clear" w:pos="1134"/>
        </w:tabs>
        <w:ind w:left="569"/>
        <w:rPr>
          <w:lang w:val="en-US"/>
        </w:rPr>
      </w:pPr>
    </w:p>
    <w:p w:rsidR="00000000" w:rsidRDefault="00000000">
      <w:pPr>
        <w:ind w:left="1134" w:hanging="565"/>
      </w:pPr>
      <w:r>
        <w:rPr>
          <w:b/>
          <w:bCs/>
        </w:rPr>
        <w:sym w:font="Symbol" w:char="F0B7"/>
      </w:r>
      <w:r>
        <w:rPr>
          <w:b/>
          <w:bCs/>
        </w:rPr>
        <w:tab/>
        <w:t xml:space="preserve">Пенсии в связи с частичной или полной окончательной утратой трудоспособности в связи с производственной травмой.  </w:t>
      </w:r>
      <w:r>
        <w:t xml:space="preserve">Такое денежное пособие выплачивается в случае окончательной (частичной или полной) утраты трудоспособности или квалификации трудящегося лица в связи с производственной травмой.  Пособие выплачивается первоначально либо в течение двухлетнего переходного периода, либо изначально на постоянной основе.  В случае полной окончательной утраты трудоспособности размер пособия может достигать 70% размера заработной платы, которую получал застрахованный на момент наступления страхового случая.  В случае производственного заболевания, средний уровень заработной платы исчисляется на основе отчислений по социальному страхованию за последние 52 недели до момента наступления страхового случая или на основе </w:t>
      </w:r>
    </w:p>
    <w:p w:rsidR="00000000" w:rsidRDefault="00000000">
      <w:pPr>
        <w:ind w:left="1134" w:hanging="565"/>
      </w:pPr>
      <w:r>
        <w:tab/>
        <w:t>соответствующих отчислений за более короткий срок, если период пребывания застрахованного в системе социального обеспечения составлял менее 52 недель.</w:t>
      </w:r>
    </w:p>
    <w:p w:rsidR="00000000" w:rsidRDefault="00000000">
      <w:pPr>
        <w:tabs>
          <w:tab w:val="clear" w:pos="1134"/>
        </w:tabs>
        <w:ind w:left="569"/>
      </w:pPr>
    </w:p>
    <w:p w:rsidR="00000000" w:rsidRDefault="00000000">
      <w:pPr>
        <w:ind w:left="1134" w:hanging="565"/>
        <w:rPr>
          <w:lang w:val="en-US"/>
        </w:rPr>
      </w:pPr>
      <w:r>
        <w:rPr>
          <w:b/>
          <w:bCs/>
        </w:rPr>
        <w:sym w:font="Symbol" w:char="F0B7"/>
      </w:r>
      <w:r>
        <w:rPr>
          <w:b/>
          <w:bCs/>
        </w:rPr>
        <w:tab/>
      </w:r>
      <w:r>
        <w:t>В случае частичной окончательной утраты трудоспособности размер выплачиваемого пособия составляет соответствующую долю пособия, которое выплачивалось бы застрахованному в случае полной и окончательной утраты трудоспособности.  Пособие выплачивается по линии МИСО или другого страхового учреждения на основе контракта, в соответствии с которым соответствующее учреждение обязано выплачивать застрахованному лицу пенсию на протяжении его жизни за счет средств, аккумулированных на индивидуальном лицевом счете застрахованного.</w:t>
      </w:r>
    </w:p>
    <w:p w:rsidR="00000000" w:rsidRDefault="00000000">
      <w:pPr>
        <w:ind w:left="1134" w:hanging="565"/>
        <w:rPr>
          <w:lang w:val="en-US"/>
        </w:rPr>
      </w:pPr>
    </w:p>
    <w:p w:rsidR="00000000" w:rsidRDefault="00000000">
      <w:pPr>
        <w:ind w:left="1134" w:hanging="565"/>
      </w:pPr>
      <w:r>
        <w:rPr>
          <w:b/>
          <w:bCs/>
        </w:rPr>
        <w:sym w:font="Symbol" w:char="F0B7"/>
      </w:r>
      <w:r>
        <w:rPr>
          <w:b/>
          <w:bCs/>
        </w:rPr>
        <w:tab/>
        <w:t>Пенсии в связи с потерей кормильца по причине производственных рисков.</w:t>
      </w:r>
      <w:r>
        <w:t xml:space="preserve">  Это денежное пособие предоставляется вдовцу (вдове) или сожителю (сожительнице) в случае смерти застрахованного в результате несчастного случая на производстве, если они находились на иждивении умершего или получали пенсию по полной или частичной окончательной утрате трудоспособности.  Размер соответствующего пособия составляет 40% от размера пособия, которое причиталось бы застрахованному в случае полной окончательной утраты трудоспособности (размер этого пособия не может быть ниже минимального размера пенсии по случаю потери кормильца, выплачиваемой по социальной линии в связи с инвалидностью и смертью застрахованного лица).  Выплаты могут производиться по линии МИСО или другого страхового учреждения на основе контракта, по которому соответствующее учреждение обязано систематически выплачивать пенсию в течение жизни пенсионера [вдовца (вдовы) или сожителя (сожительницы)] за счет аккумулированных ресурсов на индивидуальном банковском счете соответствующего лица.</w:t>
      </w:r>
    </w:p>
    <w:p w:rsidR="00000000" w:rsidRDefault="00000000">
      <w:pPr>
        <w:ind w:left="201"/>
      </w:pPr>
    </w:p>
    <w:p w:rsidR="00000000" w:rsidRDefault="00000000">
      <w:pPr>
        <w:ind w:left="1134" w:hanging="933"/>
      </w:pPr>
      <w:r>
        <w:rPr>
          <w:b/>
          <w:bCs/>
          <w:lang w:val="en-US"/>
        </w:rPr>
        <w:tab/>
      </w:r>
      <w:r>
        <w:rPr>
          <w:b/>
          <w:bCs/>
        </w:rPr>
        <w:sym w:font="Symbol" w:char="F0B7"/>
      </w:r>
      <w:r>
        <w:rPr>
          <w:b/>
          <w:bCs/>
        </w:rPr>
        <w:tab/>
        <w:t>Пенсии по сиротству в связи с производственными рисками.</w:t>
      </w:r>
      <w:r>
        <w:t xml:space="preserve">  Это денежное пособие выплачивается каждому из детей застрахованного в случае его смерти по причинам, связанным с производственными рисками, или в связи с выплатой пенсии по случаю полной или частичной окончательной утраты трудоспособности и/или смерти супруги или сожительницы - детям в возрасте от 16 до 25 лет при том условии, что они учатся в государственных учебных заведениях;  или на постоянной основе - сироте, имеющему статус полностью нетрудоспособного лица в силу хронического заболевания, физического или психического порока на весь срок его инвалидности.  В случае смерти отца или матери размер пенсионного пособия составляет 20% суммы пособия по причине полной окончательной нетрудоспособности, которую получал застрахованный, при том что размер этой суммы может быть увеличен до 30% в случае смерти второго родителя.  Пособие выплачивается по линии МИСО или другого страхового учреждения на основе контракта, в соответствии с которым соответствующее учреждение обязуется систематически выплачивать пенсию за счет средств, накопленных на лицевом счете застрахованного.</w:t>
      </w:r>
    </w:p>
    <w:p w:rsidR="00000000" w:rsidRDefault="00000000">
      <w:pPr>
        <w:ind w:left="1134" w:hanging="933"/>
        <w:rPr>
          <w:lang w:val="en-US"/>
        </w:rPr>
      </w:pPr>
    </w:p>
    <w:p w:rsidR="00000000" w:rsidRDefault="00000000">
      <w:pPr>
        <w:ind w:left="1134" w:hanging="933"/>
      </w:pPr>
      <w:r>
        <w:rPr>
          <w:lang w:val="en-US"/>
        </w:rPr>
        <w:tab/>
      </w:r>
      <w:r>
        <w:rPr>
          <w:b/>
          <w:bCs/>
        </w:rPr>
        <w:sym w:font="Symbol" w:char="F0B7"/>
      </w:r>
      <w:r>
        <w:rPr>
          <w:b/>
          <w:bCs/>
        </w:rPr>
        <w:tab/>
        <w:t>Пенсионное пособие родственникам в связи с несчастным случаем на производстве.</w:t>
      </w:r>
      <w:r>
        <w:t xml:space="preserve">  В случае отсутствия вдовца (вдовы), сирот или сожителя (сожительницы) такое пособие выплачивается каждому из родственников по восходящей линии, находившихся на иждивении застрахованного лица или пенсионера, умершего в результате несчастного случая на производстве, при том что размер соответствующего пособия может достигать 20% суммы пенсии застрахованного, которую тот получал на момент смерти, или размера пенсионного пособия, которое ему причитается в случае полной окончательной утраты трудоспособности.  Пособие выплачивается по линии МИСО или другого страхового учреждения на основании контракта, в соответствии с которым соответствующее учреждение обязуется регулярно выплачивать пенсию на протяжении жизни пенсионера (находившихся на его иждивении родственников по восходящей линии) за счет средств, накопленных на лицевом счете застрахованного лица.</w:t>
      </w:r>
    </w:p>
    <w:p w:rsidR="00000000" w:rsidRDefault="00000000">
      <w:pPr>
        <w:rPr>
          <w:lang w:val="en-US"/>
        </w:rPr>
      </w:pPr>
    </w:p>
    <w:p w:rsidR="00000000" w:rsidRDefault="00000000">
      <w:pPr>
        <w:ind w:left="1134" w:hanging="1134"/>
        <w:rPr>
          <w:lang w:val="en-US"/>
        </w:rPr>
      </w:pPr>
      <w:r>
        <w:rPr>
          <w:b/>
          <w:bCs/>
          <w:lang w:val="en-US"/>
        </w:rPr>
        <w:tab/>
      </w:r>
      <w:r>
        <w:rPr>
          <w:b/>
          <w:bCs/>
        </w:rPr>
        <w:sym w:font="Symbol" w:char="F0B7"/>
      </w:r>
      <w:r>
        <w:rPr>
          <w:b/>
          <w:bCs/>
        </w:rPr>
        <w:tab/>
        <w:t>Пенсии по инвалидности в рамках страхования по инвалидности и на случай смерти.</w:t>
      </w:r>
      <w:r>
        <w:t xml:space="preserve">  Это денежное пособие предоставляется в тех случаях, когда застрахованное лицо утрачивает способность продолжать трудовую деятельность по причине заболевания или не связанного с производством несчастного случая;  такое пособие выплачивается на временной основе при условии возможности продления его выплаты на оговоренные сроки в том случае, если сохраняется вероятность восстановления трудоспособности соответствующего лица, или на постоянной основе, если утрата трудоспособности носит окончательный характер.  Выплата пособия осуществляется по линии МИСО или другого страхового учреждения на основе контракта, в соответствии с которым соответствующее учреждение обязуется регулярно выплачивать пенсию в течение жизни пенсионера за счет средств, накопленных на его лицевом счете.</w:t>
      </w:r>
    </w:p>
    <w:p w:rsidR="00000000" w:rsidRDefault="00000000">
      <w:pPr>
        <w:ind w:left="1134" w:hanging="1134"/>
        <w:rPr>
          <w:b/>
          <w:bCs/>
          <w:lang w:val="en-US"/>
        </w:rPr>
      </w:pPr>
      <w:r>
        <w:rPr>
          <w:b/>
          <w:bCs/>
          <w:lang w:val="en-US"/>
        </w:rPr>
        <w:tab/>
      </w:r>
    </w:p>
    <w:p w:rsidR="00000000" w:rsidRDefault="00000000">
      <w:pPr>
        <w:ind w:left="1134" w:hanging="1134"/>
        <w:rPr>
          <w:lang w:val="en-US"/>
        </w:rPr>
      </w:pPr>
      <w:r>
        <w:rPr>
          <w:b/>
          <w:bCs/>
          <w:lang w:val="en-US"/>
        </w:rPr>
        <w:br w:type="page"/>
      </w:r>
      <w:r>
        <w:rPr>
          <w:b/>
          <w:bCs/>
          <w:lang w:val="en-US"/>
        </w:rPr>
        <w:tab/>
      </w:r>
      <w:r>
        <w:rPr>
          <w:b/>
          <w:bCs/>
        </w:rPr>
        <w:sym w:font="Symbol" w:char="F0B7"/>
      </w:r>
      <w:r>
        <w:rPr>
          <w:b/>
          <w:bCs/>
        </w:rPr>
        <w:tab/>
        <w:t>Пенсия по вдовству в рамках страхования по инвалидности и на случай смерти.</w:t>
      </w:r>
      <w:r>
        <w:t xml:space="preserve">  Это денежное пособие выплачивается вдовцу (вдове) или сожителю (сожительнице) умершего застрахованного лица по причине заболевания или не связанного с производственной деятельностью несчастного случая, которые находились на его иждивении или которые получали пенсионное пособие по случаю полной или частичной окончательной утрате трудоспособности (если речь идет о вдовце или вдове, то в расчет принимается также уровень инвалидности).  Размер соответствующего пенсионного пособия может достигать 90% суммы пенсии, которая причиталась бы застрахованному лицу в случае инвалидности или которую он получал в этом качестве.  Пособие выплачивается по линии МИСО (закон 1973 года) или другого страхового учреждения (закон 1997 года) на основе контракта, в соответствии с которым соответствующее учреждение обязуется систематически выплачивать пенсию пенсионеру [вдовцу (вдове) или сожителю (сожительнице)] за счет средств, накопленных на лицевом счете застрахованного.</w:t>
      </w:r>
    </w:p>
    <w:p w:rsidR="00000000" w:rsidRDefault="00000000">
      <w:pPr>
        <w:ind w:left="1134" w:hanging="1134"/>
        <w:rPr>
          <w:lang w:val="en-US"/>
        </w:rPr>
      </w:pPr>
    </w:p>
    <w:p w:rsidR="00000000" w:rsidRDefault="00000000">
      <w:pPr>
        <w:ind w:left="1134" w:hanging="1134"/>
      </w:pPr>
      <w:r>
        <w:rPr>
          <w:lang w:val="en-US"/>
        </w:rPr>
        <w:tab/>
      </w:r>
      <w:r>
        <w:rPr>
          <w:b/>
          <w:bCs/>
        </w:rPr>
        <w:sym w:font="Symbol" w:char="F0B7"/>
      </w:r>
      <w:r>
        <w:rPr>
          <w:b/>
          <w:bCs/>
        </w:rPr>
        <w:tab/>
        <w:t>Пенсия по сиротству в рамках страхования по инвалидности и на случай смерти.</w:t>
      </w:r>
      <w:r>
        <w:t xml:space="preserve">  Это денежное пособие выплачивается каждому из сыновей умершего застрахованного лица по причине заболевания или не связанного с производством несчастного случая или застрахованного лица, получающего пенсию по случаю полной или частичной окончательной утраты трудоспособности и/или в случае смерти супруги или сожительницы;  пособие выплачивается детям в возрасте от 16 до 25 лет при том условии, что они обучаются в каком-либо учебном заведении государственной системы образования, а также на постоянной основе сиротам, которые полностью утратили трудоспособность по причине хронического заболевания, физического или психического порока на период сохранения инвалидности.  Если речь идет о смерти отца или матери, то размер пенсионного пособия составляет 20% суммы, причитающейся застрахованному лицу или лицу, получающему пособие по инвалидности, при том что размер соответствующего пособия увеличивается до 30% в случае смерти второго родителя.  Выплата пособия осуществляется по линии МИСО или другого страхового учреждения на основе контракта, в соответствии с которым соответствующее учреждение обязуется систематически выплачивать пенсию за счет средств, накопленных на лицевом счете застрахованного.</w:t>
      </w:r>
    </w:p>
    <w:p w:rsidR="00000000" w:rsidRDefault="00000000">
      <w:pPr>
        <w:ind w:left="1134" w:hanging="1134"/>
        <w:rPr>
          <w:lang w:val="en-US"/>
        </w:rPr>
      </w:pPr>
    </w:p>
    <w:p w:rsidR="00000000" w:rsidRDefault="00000000">
      <w:pPr>
        <w:ind w:left="1134" w:hanging="1134"/>
      </w:pPr>
      <w:r>
        <w:rPr>
          <w:lang w:val="en-US"/>
        </w:rPr>
        <w:tab/>
      </w:r>
      <w:r>
        <w:rPr>
          <w:b/>
          <w:bCs/>
        </w:rPr>
        <w:sym w:font="Symbol" w:char="F0B7"/>
      </w:r>
      <w:r>
        <w:rPr>
          <w:b/>
          <w:bCs/>
        </w:rPr>
        <w:tab/>
        <w:t>Пенсии родственникам по восходящей линии в рамках страхования по инвалидности и на случай смерти.</w:t>
      </w:r>
      <w:r>
        <w:t xml:space="preserve">  Соответствующее денежное пособие выплачивается в случае отсутствия вдовца (вдовы), сирот или сожителя (сожительницы) каждому из родственников по восходящей линии, которые находились на иждивении застрахованного лица или умершего пенсионера (вследствие заболевания или не связанного с производственной деятельностью несчастного случая), при том что размер пособия может достигать 20% от суммы пенсии, которую получало застрахованное лицо, или суммы пенсии, которая причиталась бы соответствующему лицу в случае его инвалидности.  Пособие выплачивается по линии МИСО или другого страхового учреждения на основе контракта, в соответствии с которым соответствующее учреждение обязуется регулярно выплачивать пенсию на протяжении жизни пенсионера (родственников по восходящей линии) за счет средств, накопленных на лицевом счете застрахованного.</w:t>
      </w:r>
    </w:p>
    <w:p w:rsidR="00000000" w:rsidRDefault="00000000">
      <w:pPr>
        <w:ind w:left="201"/>
        <w:rPr>
          <w:lang w:val="en-US"/>
        </w:rPr>
      </w:pPr>
    </w:p>
    <w:p w:rsidR="00000000" w:rsidRDefault="00000000">
      <w:pPr>
        <w:ind w:left="1134" w:hanging="1134"/>
      </w:pPr>
      <w:r>
        <w:rPr>
          <w:b/>
          <w:bCs/>
          <w:lang w:val="en-US"/>
        </w:rPr>
        <w:tab/>
      </w:r>
      <w:r>
        <w:rPr>
          <w:b/>
          <w:bCs/>
        </w:rPr>
        <w:sym w:font="Symbol" w:char="F0B7"/>
      </w:r>
      <w:r>
        <w:rPr>
          <w:b/>
          <w:bCs/>
        </w:rPr>
        <w:tab/>
        <w:t>Пенсионное пособие в рамках страхования на случай выхода на пенсию, увольнения в преклонном возрасте и по старости.</w:t>
      </w:r>
      <w:r>
        <w:t xml:space="preserve">  Это денежное пособие выплачивается в том случае, если застрахованное лицо лишается приносящей доход трудовой деятельности начиная с 60-летнего возраста.  Соответствующее пособие выплачивается МИСО (закон 1973 года, предусматривающий отчисление взносов в систему социального обеспечения в течение 500 недель) или другим страховым учреждением (закон 1997 года, предусматривающий отчисление страховых взносов в течение 1 250 недель) на основе контракта, в соответствии с которым соответствующее учреждение обязуется систематически выплачивать пенсию в течение жизни пенсионера за счет средств, накопленных на его лицевом счете.</w:t>
      </w:r>
    </w:p>
    <w:p w:rsidR="00000000" w:rsidRDefault="00000000">
      <w:pPr>
        <w:ind w:left="1134" w:hanging="1134"/>
        <w:rPr>
          <w:lang w:val="en-US"/>
        </w:rPr>
      </w:pPr>
    </w:p>
    <w:p w:rsidR="00000000" w:rsidRDefault="00000000">
      <w:pPr>
        <w:ind w:left="1134" w:hanging="1134"/>
      </w:pPr>
      <w:r>
        <w:rPr>
          <w:lang w:val="en-US"/>
        </w:rPr>
        <w:tab/>
      </w:r>
      <w:r>
        <w:rPr>
          <w:b/>
          <w:bCs/>
        </w:rPr>
        <w:sym w:font="Symbol" w:char="F0B7"/>
      </w:r>
      <w:r>
        <w:rPr>
          <w:b/>
          <w:bCs/>
        </w:rPr>
        <w:tab/>
        <w:t>Пенсионное пособие по старости в рамках страхования на случай выхода на пенсию, увольнения в преклонном возрасте и по старости.</w:t>
      </w:r>
      <w:r>
        <w:t xml:space="preserve">  Соответствующее денежное пособие выплачивается застрахованному лицу после того, как ему исполняется 65 лет, и при том условии, что оно лишается приносящей доход трудовой деятельности.  Пособие выплачивается МИСО (закон 1973 года, предусматривающий отчисление взносов в систему социального обеспечения в течение 500 недель) или другим страховым учреждением (закон 1997 года, предусматривающий отчисление соответствующих взносов в течение 1 250 недель) на основе контракта, в соответствии с которым соответствующее учреждение обязуется регулярно выплачивать пенсию в течение жизни пенсионера за счет средств, накопленных на его лицевом счете.</w:t>
      </w:r>
    </w:p>
    <w:p w:rsidR="00000000" w:rsidRDefault="00000000">
      <w:pPr>
        <w:ind w:left="1134" w:hanging="1134"/>
        <w:rPr>
          <w:lang w:val="en-US"/>
        </w:rPr>
      </w:pPr>
    </w:p>
    <w:p w:rsidR="00000000" w:rsidRDefault="00000000">
      <w:pPr>
        <w:ind w:left="1134" w:hanging="1134"/>
        <w:rPr>
          <w:lang w:val="en-US"/>
        </w:rPr>
      </w:pPr>
      <w:r>
        <w:rPr>
          <w:lang w:val="en-US"/>
        </w:rPr>
        <w:br w:type="page"/>
      </w:r>
      <w:r>
        <w:rPr>
          <w:lang w:val="en-US"/>
        </w:rPr>
        <w:tab/>
      </w:r>
      <w:r>
        <w:rPr>
          <w:b/>
          <w:bCs/>
        </w:rPr>
        <w:sym w:font="Symbol" w:char="F0B7"/>
      </w:r>
      <w:r>
        <w:rPr>
          <w:b/>
          <w:bCs/>
        </w:rPr>
        <w:tab/>
        <w:t>Пособие в связи с несчастным случаем на производстве</w:t>
      </w:r>
      <w:r>
        <w:t>.  Этот вид денежного пособия предоставляется застрахованному лицу, которое утрачивает способность к трудовой деятельности по причине несчастного случая на производстве, взамен причитающейся ему заработной платы.  Сумма пособия равняется 100% заработной платы трудящегося на момент несчастного случая;  это пособие выплачивается с первого дня наступления нетрудоспособности в течение не более чем 52 недель.</w:t>
      </w:r>
    </w:p>
    <w:p w:rsidR="00000000" w:rsidRDefault="00000000">
      <w:pPr>
        <w:ind w:left="1134" w:hanging="1134"/>
        <w:rPr>
          <w:lang w:val="en-US"/>
        </w:rPr>
      </w:pPr>
    </w:p>
    <w:p w:rsidR="00000000" w:rsidRDefault="00000000">
      <w:pPr>
        <w:ind w:left="1134" w:hanging="1134"/>
      </w:pPr>
      <w:r>
        <w:rPr>
          <w:lang w:val="en-US"/>
        </w:rPr>
        <w:tab/>
      </w:r>
      <w:r>
        <w:rPr>
          <w:b/>
          <w:bCs/>
        </w:rPr>
        <w:sym w:font="Symbol" w:char="F0B7"/>
      </w:r>
      <w:r>
        <w:rPr>
          <w:b/>
          <w:bCs/>
        </w:rPr>
        <w:tab/>
        <w:t>Пособие в связи с заболеванием общего характера.</w:t>
      </w:r>
      <w:r>
        <w:t xml:space="preserve">  Этот вид денежного пособия выплачивается застрахованному, который утрачивает способность к труду по причине заболевания или не связанного с производственной деятельностью взамен причитающейся ему заработной платы.  Пособие составляет 60% от последней дневной заработной платы трудящегося, с которой он отчислял взносы в систему социального обеспечения, и выплачивается начиная с четвертого дня после наступления нетрудоспособности в течение срока, не превышающего 52 недель;  по представлению соответствующей медицинской справки выплата пособия может быть продлена на дополнительный срок, не превышающий 26 недель.</w:t>
      </w:r>
    </w:p>
    <w:p w:rsidR="00000000" w:rsidRDefault="00000000">
      <w:pPr>
        <w:ind w:left="1134" w:hanging="1134"/>
        <w:rPr>
          <w:lang w:val="en-US"/>
        </w:rPr>
      </w:pPr>
    </w:p>
    <w:p w:rsidR="00000000" w:rsidRDefault="00000000">
      <w:pPr>
        <w:ind w:left="1134" w:hanging="1134"/>
      </w:pPr>
      <w:r>
        <w:rPr>
          <w:lang w:val="en-US"/>
        </w:rPr>
        <w:tab/>
      </w:r>
      <w:r>
        <w:rPr>
          <w:b/>
          <w:bCs/>
        </w:rPr>
        <w:sym w:font="Symbol" w:char="F0B7"/>
      </w:r>
      <w:r>
        <w:rPr>
          <w:b/>
          <w:bCs/>
        </w:rPr>
        <w:tab/>
        <w:t xml:space="preserve">Пособие по беременности и родам.  </w:t>
      </w:r>
      <w:r>
        <w:t>Этот вид денежного пособия выплачивается застрахованной женщине, которая утрачивает способность к трудовой деятельности по причине беременности, взамен причитающейся ей заработной платы.  Пособие составляет 100% последней дневной заработной платы трудящейся женщины, за которую она отчисляла взносы в систему социального обеспечения, и выплачивается в течение 42 дней, предшествующих родам, и 42 дней после родов (речь идет о пренатальном и постнатальном периодах, в течение которых женщине предоставляется отпуск согласно медицинскому предписанию и соответствующим правовым нормам).  Дни, выходящие за пределы указанного периода, оплачиваются в размере 60% дневной заработной платы застрахованной женщины.</w:t>
      </w:r>
    </w:p>
    <w:p w:rsidR="00000000" w:rsidRDefault="00000000">
      <w:pPr>
        <w:ind w:left="1134" w:hanging="1134"/>
        <w:rPr>
          <w:lang w:val="en-US"/>
        </w:rPr>
      </w:pPr>
    </w:p>
    <w:p w:rsidR="00000000" w:rsidRDefault="00000000">
      <w:pPr>
        <w:ind w:left="1134" w:hanging="1134"/>
      </w:pPr>
      <w:r>
        <w:rPr>
          <w:lang w:val="en-US"/>
        </w:rPr>
        <w:tab/>
      </w:r>
      <w:r>
        <w:rPr>
          <w:b/>
          <w:bCs/>
        </w:rPr>
        <w:sym w:font="Symbol" w:char="F0B7"/>
      </w:r>
      <w:r>
        <w:rPr>
          <w:b/>
          <w:bCs/>
        </w:rPr>
        <w:tab/>
        <w:t>Пособие на покрытие погребальных расходов.</w:t>
      </w:r>
      <w:r>
        <w:t xml:space="preserve">  Этот вид денежного пособия выплачивается лицу, в первую очередь члену семьи умершего застрахованного лица или пенсионера, которое представляет копию свидетельства о смерти и подлинники счетов, связанных с расходами на погребение.  Размер этого пособия равен общей минимальной заработной плате за два месяца (исходя из того что продолжительность каждого финансового месяца составляет 30 дней) по ставкам, которые действовали в Федеральном округе на момент смерти соответствующего лица.</w:t>
      </w:r>
    </w:p>
    <w:p w:rsidR="00000000" w:rsidRDefault="00000000">
      <w:pPr>
        <w:ind w:left="1134" w:hanging="1134"/>
      </w:pPr>
      <w:r>
        <w:rPr>
          <w:b/>
          <w:bCs/>
          <w:lang w:val="en-US"/>
        </w:rPr>
        <w:tab/>
      </w:r>
      <w:r>
        <w:rPr>
          <w:b/>
          <w:bCs/>
        </w:rPr>
        <w:sym w:font="Symbol" w:char="F0B7"/>
      </w:r>
      <w:r>
        <w:rPr>
          <w:b/>
          <w:bCs/>
        </w:rPr>
        <w:tab/>
        <w:t xml:space="preserve">Финансовая помощь на покрытие расходов, связанных с заключением брака.  </w:t>
      </w:r>
      <w:r>
        <w:t>Сумма этого пособия равна общей минимальной заработной плате за 30 рабочих дней по действовавшей на соответствующий момент ставке в Федеральном округе.  Пособие выплачивается федеральным правительством за счет средств, находящихся на индивидуальном банковском счете застрахованного лица при том условии, что до этой выплаты соответствующее лицо отчисляло в течение не менее 150 недель взносы в систему социального страхования на случай выхода на пенсию, увольнения в преклонном возрасте и по старости, что в соответствующих случаях должно подтверждаться представлением надлежащих документов о смерти предыдущей супруги, являвшейся членом системы социального обеспечения, или представлением акта о расторжении брака, а также документов, свидетельствующих о том, что вступающая в брак женщина не была зарегистрирована в МИСО в качестве официальной супруги.  Этим правом можно воспользоваться лишь один раз, что означает, что застрахованное лицо лишается права ходатайствовать о предоставлении ему соответствующего пособия в случае заключения новых браков.</w:t>
      </w:r>
    </w:p>
    <w:p w:rsidR="00000000" w:rsidRDefault="00000000"/>
    <w:p w:rsidR="00000000" w:rsidRDefault="00000000">
      <w:r>
        <w:t>328.</w:t>
      </w:r>
      <w:r>
        <w:tab/>
        <w:t>Ниже приводится информация за период 1998-2003 годов относительно социальных денежных выплат:</w:t>
      </w:r>
    </w:p>
    <w:p w:rsidR="00000000" w:rsidRDefault="00000000">
      <w:pPr>
        <w:keepNext/>
        <w:keepLines/>
        <w:spacing w:line="240" w:lineRule="auto"/>
        <w:jc w:val="center"/>
      </w:pPr>
    </w:p>
    <w:tbl>
      <w:tblPr>
        <w:tblW w:w="4995"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31"/>
        <w:gridCol w:w="1133"/>
        <w:gridCol w:w="3145"/>
        <w:gridCol w:w="1136"/>
      </w:tblGrid>
      <w:tr w:rsidR="00000000">
        <w:tblPrEx>
          <w:tblCellMar>
            <w:top w:w="0" w:type="dxa"/>
            <w:bottom w:w="0" w:type="dxa"/>
          </w:tblCellMar>
        </w:tblPrEx>
        <w:trPr>
          <w:cantSplit/>
          <w:tblHeader/>
          <w:jc w:val="center"/>
        </w:trPr>
        <w:tc>
          <w:tcPr>
            <w:tcW w:w="9355" w:type="dxa"/>
            <w:gridSpan w:val="4"/>
            <w:tcBorders>
              <w:top w:val="nil"/>
              <w:left w:val="nil"/>
              <w:right w:val="nil"/>
            </w:tcBorders>
          </w:tcPr>
          <w:p w:rsidR="00000000" w:rsidRDefault="00000000">
            <w:pPr>
              <w:keepNext/>
              <w:spacing w:before="60" w:line="240" w:lineRule="auto"/>
              <w:ind w:left="113" w:right="284"/>
              <w:jc w:val="center"/>
              <w:rPr>
                <w:sz w:val="18"/>
                <w:szCs w:val="22"/>
              </w:rPr>
            </w:pPr>
            <w:r>
              <w:rPr>
                <w:b/>
                <w:bCs/>
                <w:szCs w:val="22"/>
              </w:rPr>
              <w:t>Число выплачиваемых пособий и их общая сумма, 1998-2003 годы</w:t>
            </w:r>
          </w:p>
        </w:tc>
      </w:tr>
      <w:tr w:rsidR="00000000">
        <w:tblPrEx>
          <w:tblCellMar>
            <w:top w:w="0" w:type="dxa"/>
            <w:bottom w:w="0" w:type="dxa"/>
          </w:tblCellMar>
        </w:tblPrEx>
        <w:trPr>
          <w:jc w:val="center"/>
        </w:trPr>
        <w:tc>
          <w:tcPr>
            <w:tcW w:w="3935" w:type="dxa"/>
            <w:tcBorders>
              <w:top w:val="single" w:sz="4" w:space="0" w:color="auto"/>
            </w:tcBorders>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Всего пособий</w:t>
            </w:r>
          </w:p>
        </w:tc>
        <w:tc>
          <w:tcPr>
            <w:tcW w:w="1134" w:type="dxa"/>
            <w:tcBorders>
              <w:top w:val="single" w:sz="4" w:space="0" w:color="auto"/>
            </w:tcBorders>
          </w:tcPr>
          <w:p w:rsidR="00000000" w:rsidRDefault="00000000">
            <w:pPr>
              <w:keepNext/>
              <w:spacing w:before="60" w:line="240" w:lineRule="auto"/>
              <w:ind w:left="113" w:right="170"/>
              <w:jc w:val="right"/>
              <w:rPr>
                <w:sz w:val="18"/>
                <w:szCs w:val="22"/>
              </w:rPr>
            </w:pPr>
            <w:r>
              <w:rPr>
                <w:sz w:val="18"/>
                <w:szCs w:val="22"/>
              </w:rPr>
              <w:t>1 734 945</w:t>
            </w:r>
          </w:p>
        </w:tc>
        <w:tc>
          <w:tcPr>
            <w:tcW w:w="3149" w:type="dxa"/>
            <w:tcBorders>
              <w:top w:val="single" w:sz="4" w:space="0" w:color="auto"/>
            </w:tcBorders>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Пособия по инвалидности</w:t>
            </w:r>
          </w:p>
        </w:tc>
        <w:tc>
          <w:tcPr>
            <w:tcW w:w="1137" w:type="dxa"/>
            <w:tcBorders>
              <w:top w:val="single" w:sz="4" w:space="0" w:color="auto"/>
            </w:tcBorders>
          </w:tcPr>
          <w:p w:rsidR="00000000" w:rsidRDefault="00000000">
            <w:pPr>
              <w:keepNext/>
              <w:spacing w:before="60" w:line="240" w:lineRule="auto"/>
              <w:ind w:left="113" w:right="284"/>
              <w:jc w:val="right"/>
              <w:rPr>
                <w:sz w:val="18"/>
                <w:szCs w:val="22"/>
              </w:rPr>
            </w:pPr>
            <w:r>
              <w:rPr>
                <w:sz w:val="18"/>
                <w:szCs w:val="22"/>
              </w:rPr>
              <w:t>325 152</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1 797</w:t>
            </w:r>
            <w:r>
              <w:rPr>
                <w:sz w:val="18"/>
                <w:szCs w:val="22"/>
              </w:rPr>
              <w:t xml:space="preserve"> </w:t>
            </w:r>
            <w:r>
              <w:rPr>
                <w:sz w:val="18"/>
                <w:szCs w:val="22"/>
                <w:lang w:val="en-US"/>
              </w:rPr>
              <w:t>016</w:t>
            </w:r>
          </w:p>
        </w:tc>
        <w:tc>
          <w:tcPr>
            <w:tcW w:w="3149" w:type="dxa"/>
          </w:tcPr>
          <w:p w:rsidR="00000000" w:rsidRDefault="00000000">
            <w:pPr>
              <w:keepNext/>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324</w:t>
            </w:r>
            <w:r>
              <w:rPr>
                <w:sz w:val="18"/>
                <w:szCs w:val="22"/>
              </w:rPr>
              <w:t xml:space="preserve"> </w:t>
            </w:r>
            <w:r>
              <w:rPr>
                <w:sz w:val="18"/>
                <w:szCs w:val="22"/>
                <w:lang w:val="en-US"/>
              </w:rPr>
              <w:t>829</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1</w:t>
            </w:r>
            <w:r>
              <w:rPr>
                <w:sz w:val="18"/>
                <w:szCs w:val="22"/>
              </w:rPr>
              <w:t xml:space="preserve"> </w:t>
            </w:r>
            <w:r>
              <w:rPr>
                <w:sz w:val="18"/>
                <w:szCs w:val="22"/>
                <w:lang w:val="en-US"/>
              </w:rPr>
              <w:t>861</w:t>
            </w:r>
            <w:r>
              <w:rPr>
                <w:sz w:val="18"/>
                <w:szCs w:val="22"/>
              </w:rPr>
              <w:t xml:space="preserve"> </w:t>
            </w:r>
            <w:r>
              <w:rPr>
                <w:sz w:val="18"/>
                <w:szCs w:val="22"/>
                <w:lang w:val="en-US"/>
              </w:rPr>
              <w:t>058</w:t>
            </w:r>
          </w:p>
        </w:tc>
        <w:tc>
          <w:tcPr>
            <w:tcW w:w="3149" w:type="dxa"/>
          </w:tcPr>
          <w:p w:rsidR="00000000" w:rsidRDefault="00000000">
            <w:pPr>
              <w:keepNext/>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325</w:t>
            </w:r>
            <w:r>
              <w:rPr>
                <w:sz w:val="18"/>
                <w:szCs w:val="22"/>
              </w:rPr>
              <w:t xml:space="preserve"> </w:t>
            </w:r>
            <w:r>
              <w:rPr>
                <w:sz w:val="18"/>
                <w:szCs w:val="22"/>
                <w:lang w:val="en-US"/>
              </w:rPr>
              <w:t>708</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1</w:t>
            </w:r>
            <w:r>
              <w:rPr>
                <w:sz w:val="18"/>
                <w:szCs w:val="22"/>
              </w:rPr>
              <w:t xml:space="preserve"> </w:t>
            </w:r>
            <w:r>
              <w:rPr>
                <w:sz w:val="18"/>
                <w:szCs w:val="22"/>
                <w:lang w:val="en-US"/>
              </w:rPr>
              <w:t>950</w:t>
            </w:r>
            <w:r>
              <w:rPr>
                <w:sz w:val="18"/>
                <w:szCs w:val="22"/>
              </w:rPr>
              <w:t xml:space="preserve"> </w:t>
            </w:r>
            <w:r>
              <w:rPr>
                <w:sz w:val="18"/>
                <w:szCs w:val="22"/>
                <w:lang w:val="en-US"/>
              </w:rPr>
              <w:t>909</w:t>
            </w:r>
          </w:p>
        </w:tc>
        <w:tc>
          <w:tcPr>
            <w:tcW w:w="3149" w:type="dxa"/>
          </w:tcPr>
          <w:p w:rsidR="00000000" w:rsidRDefault="00000000">
            <w:pPr>
              <w:keepNext/>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330</w:t>
            </w:r>
            <w:r>
              <w:rPr>
                <w:sz w:val="18"/>
                <w:szCs w:val="22"/>
              </w:rPr>
              <w:t xml:space="preserve"> </w:t>
            </w:r>
            <w:r>
              <w:rPr>
                <w:sz w:val="18"/>
                <w:szCs w:val="22"/>
                <w:lang w:val="en-US"/>
              </w:rPr>
              <w:t>775</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2</w:t>
            </w:r>
            <w:r>
              <w:rPr>
                <w:sz w:val="18"/>
                <w:szCs w:val="22"/>
              </w:rPr>
              <w:t xml:space="preserve"> </w:t>
            </w:r>
            <w:r>
              <w:rPr>
                <w:sz w:val="18"/>
                <w:szCs w:val="22"/>
                <w:lang w:val="en-US"/>
              </w:rPr>
              <w:t>034</w:t>
            </w:r>
            <w:r>
              <w:rPr>
                <w:sz w:val="18"/>
                <w:szCs w:val="22"/>
              </w:rPr>
              <w:t xml:space="preserve"> </w:t>
            </w:r>
            <w:r>
              <w:rPr>
                <w:sz w:val="18"/>
                <w:szCs w:val="22"/>
                <w:lang w:val="en-US"/>
              </w:rPr>
              <w:t>188</w:t>
            </w:r>
          </w:p>
        </w:tc>
        <w:tc>
          <w:tcPr>
            <w:tcW w:w="3149" w:type="dxa"/>
          </w:tcPr>
          <w:p w:rsidR="00000000" w:rsidRDefault="00000000">
            <w:pPr>
              <w:keepNext/>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331</w:t>
            </w:r>
            <w:r>
              <w:rPr>
                <w:sz w:val="18"/>
                <w:szCs w:val="22"/>
              </w:rPr>
              <w:t xml:space="preserve"> </w:t>
            </w:r>
            <w:r>
              <w:rPr>
                <w:sz w:val="18"/>
                <w:szCs w:val="22"/>
                <w:lang w:val="en-US"/>
              </w:rPr>
              <w:t>626</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rPr>
            </w:pPr>
            <w:r>
              <w:rPr>
                <w:sz w:val="18"/>
                <w:szCs w:val="22"/>
              </w:rPr>
              <w:t>2 133 532</w:t>
            </w:r>
          </w:p>
        </w:tc>
        <w:tc>
          <w:tcPr>
            <w:tcW w:w="3149" w:type="dxa"/>
          </w:tcPr>
          <w:p w:rsidR="00000000" w:rsidRDefault="00000000">
            <w:pPr>
              <w:keepNext/>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334 551</w:t>
            </w:r>
          </w:p>
        </w:tc>
      </w:tr>
      <w:tr w:rsidR="00000000">
        <w:tblPrEx>
          <w:tblCellMar>
            <w:top w:w="0" w:type="dxa"/>
            <w:bottom w:w="0" w:type="dxa"/>
          </w:tblCellMar>
        </w:tblPrEx>
        <w:trPr>
          <w:jc w:val="center"/>
        </w:trPr>
        <w:tc>
          <w:tcPr>
            <w:tcW w:w="3935" w:type="dxa"/>
          </w:tcPr>
          <w:p w:rsidR="00000000" w:rsidRDefault="00000000">
            <w:pPr>
              <w:keepNext/>
              <w:numPr>
                <w:ilvl w:val="0"/>
                <w:numId w:val="43"/>
              </w:numPr>
              <w:tabs>
                <w:tab w:val="clear" w:pos="360"/>
              </w:tabs>
              <w:spacing w:before="60" w:line="240" w:lineRule="auto"/>
              <w:ind w:left="567" w:right="113" w:hanging="459"/>
              <w:rPr>
                <w:sz w:val="18"/>
                <w:szCs w:val="22"/>
              </w:rPr>
            </w:pPr>
            <w:r>
              <w:rPr>
                <w:sz w:val="18"/>
                <w:szCs w:val="22"/>
              </w:rPr>
              <w:t>Несчастные случаи на производстве</w:t>
            </w:r>
          </w:p>
        </w:tc>
        <w:tc>
          <w:tcPr>
            <w:tcW w:w="1134" w:type="dxa"/>
            <w:vAlign w:val="bottom"/>
          </w:tcPr>
          <w:p w:rsidR="00000000" w:rsidRDefault="00000000">
            <w:pPr>
              <w:keepNext/>
              <w:spacing w:before="60" w:line="240" w:lineRule="auto"/>
              <w:ind w:left="113" w:right="170"/>
              <w:jc w:val="right"/>
              <w:rPr>
                <w:sz w:val="18"/>
                <w:szCs w:val="22"/>
              </w:rPr>
            </w:pPr>
            <w:r>
              <w:rPr>
                <w:sz w:val="18"/>
                <w:szCs w:val="22"/>
              </w:rPr>
              <w:t>281 781</w:t>
            </w:r>
          </w:p>
        </w:tc>
        <w:tc>
          <w:tcPr>
            <w:tcW w:w="3149"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Пособие по вдовству</w:t>
            </w:r>
          </w:p>
        </w:tc>
        <w:tc>
          <w:tcPr>
            <w:tcW w:w="1137" w:type="dxa"/>
            <w:vAlign w:val="bottom"/>
          </w:tcPr>
          <w:p w:rsidR="00000000" w:rsidRDefault="00000000">
            <w:pPr>
              <w:keepNext/>
              <w:spacing w:before="60" w:line="240" w:lineRule="auto"/>
              <w:ind w:left="113" w:right="284"/>
              <w:jc w:val="right"/>
              <w:rPr>
                <w:sz w:val="18"/>
                <w:szCs w:val="22"/>
              </w:rPr>
            </w:pPr>
            <w:r>
              <w:rPr>
                <w:sz w:val="18"/>
                <w:szCs w:val="22"/>
              </w:rPr>
              <w:t>390 911</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286 212</w:t>
            </w:r>
          </w:p>
        </w:tc>
        <w:tc>
          <w:tcPr>
            <w:tcW w:w="3149" w:type="dxa"/>
          </w:tcPr>
          <w:p w:rsidR="00000000" w:rsidRDefault="00000000">
            <w:pPr>
              <w:keepNext/>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409 586</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292 548</w:t>
            </w:r>
          </w:p>
        </w:tc>
        <w:tc>
          <w:tcPr>
            <w:tcW w:w="3149" w:type="dxa"/>
          </w:tcPr>
          <w:p w:rsidR="00000000" w:rsidRDefault="00000000">
            <w:pPr>
              <w:keepNext/>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427 694</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301 410</w:t>
            </w:r>
          </w:p>
        </w:tc>
        <w:tc>
          <w:tcPr>
            <w:tcW w:w="3149" w:type="dxa"/>
          </w:tcPr>
          <w:p w:rsidR="00000000" w:rsidRDefault="00000000">
            <w:pPr>
              <w:keepNext/>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449 657</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308 217</w:t>
            </w:r>
          </w:p>
        </w:tc>
        <w:tc>
          <w:tcPr>
            <w:tcW w:w="3149" w:type="dxa"/>
          </w:tcPr>
          <w:p w:rsidR="00000000" w:rsidRDefault="00000000">
            <w:pPr>
              <w:keepNext/>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470 604</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318 465</w:t>
            </w:r>
          </w:p>
        </w:tc>
        <w:tc>
          <w:tcPr>
            <w:tcW w:w="3149" w:type="dxa"/>
          </w:tcPr>
          <w:p w:rsidR="00000000" w:rsidRDefault="00000000">
            <w:pPr>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494 086</w:t>
            </w:r>
          </w:p>
        </w:tc>
      </w:tr>
      <w:tr w:rsidR="00000000">
        <w:tblPrEx>
          <w:tblCellMar>
            <w:top w:w="0" w:type="dxa"/>
            <w:bottom w:w="0" w:type="dxa"/>
          </w:tblCellMar>
        </w:tblPrEx>
        <w:trPr>
          <w:jc w:val="center"/>
        </w:trPr>
        <w:tc>
          <w:tcPr>
            <w:tcW w:w="3935" w:type="dxa"/>
          </w:tcPr>
          <w:p w:rsidR="00000000" w:rsidRDefault="00000000">
            <w:pPr>
              <w:keepNext/>
              <w:numPr>
                <w:ilvl w:val="0"/>
                <w:numId w:val="43"/>
              </w:numPr>
              <w:tabs>
                <w:tab w:val="clear" w:pos="360"/>
              </w:tabs>
              <w:spacing w:before="60" w:line="240" w:lineRule="auto"/>
              <w:ind w:left="567" w:right="113" w:hanging="459"/>
              <w:rPr>
                <w:sz w:val="18"/>
                <w:szCs w:val="22"/>
              </w:rPr>
            </w:pPr>
            <w:r>
              <w:rPr>
                <w:sz w:val="18"/>
                <w:szCs w:val="22"/>
              </w:rPr>
              <w:t>Окончательная утрата трудоспособности</w:t>
            </w:r>
          </w:p>
        </w:tc>
        <w:tc>
          <w:tcPr>
            <w:tcW w:w="1134" w:type="dxa"/>
            <w:vAlign w:val="bottom"/>
          </w:tcPr>
          <w:p w:rsidR="00000000" w:rsidRDefault="00000000">
            <w:pPr>
              <w:keepNext/>
              <w:spacing w:before="60" w:line="240" w:lineRule="auto"/>
              <w:ind w:left="113" w:right="170"/>
              <w:jc w:val="right"/>
              <w:rPr>
                <w:sz w:val="18"/>
                <w:szCs w:val="22"/>
              </w:rPr>
            </w:pPr>
            <w:r>
              <w:rPr>
                <w:sz w:val="18"/>
                <w:szCs w:val="22"/>
              </w:rPr>
              <w:t>210 862</w:t>
            </w:r>
          </w:p>
        </w:tc>
        <w:tc>
          <w:tcPr>
            <w:tcW w:w="3149"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Пособие по сиротству</w:t>
            </w:r>
          </w:p>
        </w:tc>
        <w:tc>
          <w:tcPr>
            <w:tcW w:w="1137" w:type="dxa"/>
          </w:tcPr>
          <w:p w:rsidR="00000000" w:rsidRDefault="00000000">
            <w:pPr>
              <w:keepNext/>
              <w:spacing w:before="60" w:line="240" w:lineRule="auto"/>
              <w:ind w:left="113" w:right="284"/>
              <w:jc w:val="right"/>
              <w:rPr>
                <w:sz w:val="18"/>
                <w:szCs w:val="22"/>
              </w:rPr>
            </w:pPr>
            <w:r>
              <w:rPr>
                <w:sz w:val="18"/>
                <w:szCs w:val="22"/>
              </w:rPr>
              <w:t>103 890</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216</w:t>
            </w:r>
            <w:r>
              <w:rPr>
                <w:sz w:val="18"/>
                <w:szCs w:val="22"/>
              </w:rPr>
              <w:t xml:space="preserve"> </w:t>
            </w:r>
            <w:r>
              <w:rPr>
                <w:sz w:val="18"/>
                <w:szCs w:val="22"/>
                <w:lang w:val="en-US"/>
              </w:rPr>
              <w:t>478</w:t>
            </w:r>
          </w:p>
        </w:tc>
        <w:tc>
          <w:tcPr>
            <w:tcW w:w="3149" w:type="dxa"/>
          </w:tcPr>
          <w:p w:rsidR="00000000" w:rsidRDefault="00000000">
            <w:pPr>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97</w:t>
            </w:r>
            <w:r>
              <w:rPr>
                <w:sz w:val="18"/>
                <w:szCs w:val="22"/>
              </w:rPr>
              <w:t xml:space="preserve"> </w:t>
            </w:r>
            <w:r>
              <w:rPr>
                <w:sz w:val="18"/>
                <w:szCs w:val="22"/>
                <w:lang w:val="en-US"/>
              </w:rPr>
              <w:t>146</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224 644</w:t>
            </w:r>
          </w:p>
        </w:tc>
        <w:tc>
          <w:tcPr>
            <w:tcW w:w="3149" w:type="dxa"/>
          </w:tcPr>
          <w:p w:rsidR="00000000" w:rsidRDefault="00000000">
            <w:pPr>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88 576</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234 645</w:t>
            </w:r>
          </w:p>
        </w:tc>
        <w:tc>
          <w:tcPr>
            <w:tcW w:w="3149" w:type="dxa"/>
          </w:tcPr>
          <w:p w:rsidR="00000000" w:rsidRDefault="00000000">
            <w:pPr>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82 322</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242 439</w:t>
            </w:r>
          </w:p>
        </w:tc>
        <w:tc>
          <w:tcPr>
            <w:tcW w:w="3149" w:type="dxa"/>
          </w:tcPr>
          <w:p w:rsidR="00000000" w:rsidRDefault="00000000">
            <w:pPr>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78 241</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253 064</w:t>
            </w:r>
          </w:p>
        </w:tc>
        <w:tc>
          <w:tcPr>
            <w:tcW w:w="3149" w:type="dxa"/>
          </w:tcPr>
          <w:p w:rsidR="00000000" w:rsidRDefault="00000000">
            <w:pPr>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79 268</w:t>
            </w:r>
          </w:p>
        </w:tc>
      </w:tr>
      <w:tr w:rsidR="00000000">
        <w:tblPrEx>
          <w:tblCellMar>
            <w:top w:w="0" w:type="dxa"/>
            <w:bottom w:w="0" w:type="dxa"/>
          </w:tblCellMar>
        </w:tblPrEx>
        <w:trPr>
          <w:jc w:val="center"/>
        </w:trPr>
        <w:tc>
          <w:tcPr>
            <w:tcW w:w="3935"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Пособие по вдовству</w:t>
            </w:r>
          </w:p>
        </w:tc>
        <w:tc>
          <w:tcPr>
            <w:tcW w:w="1134" w:type="dxa"/>
            <w:vAlign w:val="bottom"/>
          </w:tcPr>
          <w:p w:rsidR="00000000" w:rsidRDefault="00000000">
            <w:pPr>
              <w:keepNext/>
              <w:spacing w:before="60" w:line="240" w:lineRule="auto"/>
              <w:ind w:left="113" w:right="170"/>
              <w:jc w:val="right"/>
              <w:rPr>
                <w:sz w:val="18"/>
                <w:szCs w:val="22"/>
              </w:rPr>
            </w:pPr>
            <w:r>
              <w:rPr>
                <w:sz w:val="18"/>
                <w:szCs w:val="22"/>
              </w:rPr>
              <w:t>33 882</w:t>
            </w:r>
          </w:p>
        </w:tc>
        <w:tc>
          <w:tcPr>
            <w:tcW w:w="3149" w:type="dxa"/>
          </w:tcPr>
          <w:p w:rsidR="00000000" w:rsidRDefault="00000000">
            <w:pPr>
              <w:keepNext/>
              <w:numPr>
                <w:ilvl w:val="0"/>
                <w:numId w:val="43"/>
              </w:numPr>
              <w:tabs>
                <w:tab w:val="clear" w:pos="360"/>
              </w:tabs>
              <w:spacing w:before="60" w:line="240" w:lineRule="auto"/>
              <w:ind w:left="567" w:right="113" w:hanging="459"/>
              <w:rPr>
                <w:sz w:val="18"/>
                <w:szCs w:val="22"/>
              </w:rPr>
            </w:pPr>
            <w:r>
              <w:rPr>
                <w:sz w:val="18"/>
                <w:szCs w:val="22"/>
              </w:rPr>
              <w:t>Пособие близким родственникам по восходящей линии</w:t>
            </w:r>
          </w:p>
        </w:tc>
        <w:tc>
          <w:tcPr>
            <w:tcW w:w="1137" w:type="dxa"/>
            <w:vAlign w:val="bottom"/>
          </w:tcPr>
          <w:p w:rsidR="00000000" w:rsidRDefault="00000000">
            <w:pPr>
              <w:keepNext/>
              <w:spacing w:before="60" w:line="240" w:lineRule="auto"/>
              <w:ind w:left="113" w:right="284"/>
              <w:jc w:val="right"/>
              <w:rPr>
                <w:sz w:val="18"/>
                <w:szCs w:val="22"/>
              </w:rPr>
            </w:pPr>
            <w:r>
              <w:rPr>
                <w:sz w:val="18"/>
                <w:szCs w:val="22"/>
              </w:rPr>
              <w:t>20 700</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34 822</w:t>
            </w:r>
          </w:p>
        </w:tc>
        <w:tc>
          <w:tcPr>
            <w:tcW w:w="3149" w:type="dxa"/>
          </w:tcPr>
          <w:p w:rsidR="00000000" w:rsidRDefault="00000000">
            <w:pPr>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21 691</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35 642</w:t>
            </w:r>
          </w:p>
        </w:tc>
        <w:tc>
          <w:tcPr>
            <w:tcW w:w="3149" w:type="dxa"/>
          </w:tcPr>
          <w:p w:rsidR="00000000" w:rsidRDefault="00000000">
            <w:pPr>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22 644</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36 579</w:t>
            </w:r>
          </w:p>
        </w:tc>
        <w:tc>
          <w:tcPr>
            <w:tcW w:w="3149" w:type="dxa"/>
          </w:tcPr>
          <w:p w:rsidR="00000000" w:rsidRDefault="00000000">
            <w:pPr>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23 884</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37 231</w:t>
            </w:r>
          </w:p>
        </w:tc>
        <w:tc>
          <w:tcPr>
            <w:tcW w:w="3149" w:type="dxa"/>
          </w:tcPr>
          <w:p w:rsidR="00000000" w:rsidRDefault="00000000">
            <w:pPr>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25 051</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37 971</w:t>
            </w:r>
          </w:p>
        </w:tc>
        <w:tc>
          <w:tcPr>
            <w:tcW w:w="3149" w:type="dxa"/>
          </w:tcPr>
          <w:p w:rsidR="00000000" w:rsidRDefault="00000000">
            <w:pPr>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26,975</w:t>
            </w:r>
          </w:p>
        </w:tc>
      </w:tr>
      <w:tr w:rsidR="00000000">
        <w:tblPrEx>
          <w:tblCellMar>
            <w:top w:w="0" w:type="dxa"/>
            <w:bottom w:w="0" w:type="dxa"/>
          </w:tblCellMar>
        </w:tblPrEx>
        <w:trPr>
          <w:jc w:val="center"/>
        </w:trPr>
        <w:tc>
          <w:tcPr>
            <w:tcW w:w="3935"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Пособие по сиротству</w:t>
            </w:r>
          </w:p>
        </w:tc>
        <w:tc>
          <w:tcPr>
            <w:tcW w:w="1134" w:type="dxa"/>
            <w:vAlign w:val="bottom"/>
          </w:tcPr>
          <w:p w:rsidR="00000000" w:rsidRDefault="00000000">
            <w:pPr>
              <w:keepNext/>
              <w:spacing w:before="60" w:line="240" w:lineRule="auto"/>
              <w:ind w:left="113" w:right="170"/>
              <w:jc w:val="right"/>
              <w:rPr>
                <w:sz w:val="18"/>
                <w:szCs w:val="22"/>
              </w:rPr>
            </w:pPr>
            <w:r>
              <w:rPr>
                <w:sz w:val="18"/>
                <w:szCs w:val="22"/>
              </w:rPr>
              <w:t>24 603</w:t>
            </w:r>
          </w:p>
        </w:tc>
        <w:tc>
          <w:tcPr>
            <w:tcW w:w="3149" w:type="dxa"/>
            <w:tcMar>
              <w:right w:w="0" w:type="dxa"/>
            </w:tcMar>
          </w:tcPr>
          <w:p w:rsidR="00000000" w:rsidRDefault="00000000">
            <w:pPr>
              <w:keepNext/>
              <w:numPr>
                <w:ilvl w:val="0"/>
                <w:numId w:val="43"/>
              </w:numPr>
              <w:tabs>
                <w:tab w:val="clear" w:pos="360"/>
              </w:tabs>
              <w:spacing w:before="60" w:line="240" w:lineRule="auto"/>
              <w:ind w:left="567" w:right="113" w:hanging="459"/>
              <w:rPr>
                <w:sz w:val="18"/>
                <w:szCs w:val="22"/>
              </w:rPr>
            </w:pPr>
            <w:r>
              <w:rPr>
                <w:sz w:val="18"/>
                <w:szCs w:val="22"/>
              </w:rPr>
              <w:t>Страхование на случай выхода на пенсию, увольнения и по старости</w:t>
            </w:r>
          </w:p>
        </w:tc>
        <w:tc>
          <w:tcPr>
            <w:tcW w:w="1137" w:type="dxa"/>
            <w:vAlign w:val="bottom"/>
          </w:tcPr>
          <w:p w:rsidR="00000000" w:rsidRDefault="00000000">
            <w:pPr>
              <w:keepNext/>
              <w:spacing w:before="60" w:line="240" w:lineRule="auto"/>
              <w:ind w:left="113" w:right="284"/>
              <w:jc w:val="right"/>
              <w:rPr>
                <w:sz w:val="18"/>
                <w:szCs w:val="22"/>
              </w:rPr>
            </w:pPr>
            <w:r>
              <w:rPr>
                <w:sz w:val="18"/>
                <w:szCs w:val="22"/>
              </w:rPr>
              <w:t>612 511</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22 399</w:t>
            </w:r>
          </w:p>
        </w:tc>
        <w:tc>
          <w:tcPr>
            <w:tcW w:w="3149" w:type="dxa"/>
          </w:tcPr>
          <w:p w:rsidR="00000000" w:rsidRDefault="00000000">
            <w:pPr>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657 552</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19 672</w:t>
            </w:r>
          </w:p>
        </w:tc>
        <w:tc>
          <w:tcPr>
            <w:tcW w:w="3149" w:type="dxa"/>
          </w:tcPr>
          <w:p w:rsidR="00000000" w:rsidRDefault="00000000">
            <w:pPr>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703 888</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17 402</w:t>
            </w:r>
          </w:p>
        </w:tc>
        <w:tc>
          <w:tcPr>
            <w:tcW w:w="3149" w:type="dxa"/>
          </w:tcPr>
          <w:p w:rsidR="00000000" w:rsidRDefault="00000000">
            <w:pPr>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762 861</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15 719</w:t>
            </w:r>
          </w:p>
        </w:tc>
        <w:tc>
          <w:tcPr>
            <w:tcW w:w="3149" w:type="dxa"/>
          </w:tcPr>
          <w:p w:rsidR="00000000" w:rsidRDefault="00000000">
            <w:pPr>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820 449</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rPr>
            </w:pPr>
            <w:r>
              <w:rPr>
                <w:sz w:val="18"/>
                <w:szCs w:val="22"/>
              </w:rPr>
              <w:t>14 546</w:t>
            </w:r>
          </w:p>
        </w:tc>
        <w:tc>
          <w:tcPr>
            <w:tcW w:w="3149" w:type="dxa"/>
          </w:tcPr>
          <w:p w:rsidR="00000000" w:rsidRDefault="00000000">
            <w:pPr>
              <w:spacing w:before="60" w:line="240" w:lineRule="auto"/>
              <w:ind w:left="113" w:right="113"/>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880 187</w:t>
            </w:r>
          </w:p>
        </w:tc>
      </w:tr>
      <w:tr w:rsidR="00000000">
        <w:tblPrEx>
          <w:tblCellMar>
            <w:top w:w="0" w:type="dxa"/>
            <w:bottom w:w="0" w:type="dxa"/>
          </w:tblCellMar>
        </w:tblPrEx>
        <w:trPr>
          <w:jc w:val="center"/>
        </w:trPr>
        <w:tc>
          <w:tcPr>
            <w:tcW w:w="3935" w:type="dxa"/>
          </w:tcPr>
          <w:p w:rsidR="00000000" w:rsidRDefault="00000000">
            <w:pPr>
              <w:keepNext/>
              <w:numPr>
                <w:ilvl w:val="0"/>
                <w:numId w:val="43"/>
              </w:numPr>
              <w:tabs>
                <w:tab w:val="clear" w:pos="360"/>
              </w:tabs>
              <w:spacing w:before="60" w:line="240" w:lineRule="auto"/>
              <w:ind w:left="567" w:right="113" w:hanging="459"/>
              <w:rPr>
                <w:sz w:val="18"/>
                <w:szCs w:val="22"/>
              </w:rPr>
            </w:pPr>
            <w:r>
              <w:rPr>
                <w:sz w:val="18"/>
                <w:szCs w:val="22"/>
              </w:rPr>
              <w:t>Пособие близким родственникам по восходящей линии</w:t>
            </w:r>
          </w:p>
        </w:tc>
        <w:tc>
          <w:tcPr>
            <w:tcW w:w="1134" w:type="dxa"/>
            <w:vAlign w:val="bottom"/>
          </w:tcPr>
          <w:p w:rsidR="00000000" w:rsidRDefault="00000000">
            <w:pPr>
              <w:keepNext/>
              <w:spacing w:before="60" w:line="240" w:lineRule="auto"/>
              <w:ind w:left="113" w:right="170"/>
              <w:jc w:val="right"/>
              <w:rPr>
                <w:sz w:val="18"/>
                <w:szCs w:val="22"/>
              </w:rPr>
            </w:pPr>
            <w:r>
              <w:rPr>
                <w:sz w:val="18"/>
                <w:szCs w:val="22"/>
              </w:rPr>
              <w:t>12 434</w:t>
            </w:r>
          </w:p>
        </w:tc>
        <w:tc>
          <w:tcPr>
            <w:tcW w:w="3149" w:type="dxa"/>
          </w:tcPr>
          <w:p w:rsidR="00000000" w:rsidRDefault="00000000">
            <w:pPr>
              <w:keepNext/>
              <w:numPr>
                <w:ilvl w:val="0"/>
                <w:numId w:val="43"/>
              </w:numPr>
              <w:tabs>
                <w:tab w:val="clear" w:pos="360"/>
              </w:tabs>
              <w:spacing w:before="60" w:line="240" w:lineRule="auto"/>
              <w:ind w:left="567" w:right="113" w:hanging="459"/>
              <w:rPr>
                <w:sz w:val="18"/>
                <w:szCs w:val="22"/>
              </w:rPr>
            </w:pPr>
            <w:r>
              <w:rPr>
                <w:sz w:val="18"/>
                <w:szCs w:val="22"/>
              </w:rPr>
              <w:t>Пособие в случае увольнения</w:t>
            </w:r>
          </w:p>
        </w:tc>
        <w:tc>
          <w:tcPr>
            <w:tcW w:w="1137" w:type="dxa"/>
          </w:tcPr>
          <w:p w:rsidR="00000000" w:rsidRDefault="00000000">
            <w:pPr>
              <w:keepNext/>
              <w:spacing w:before="60" w:line="240" w:lineRule="auto"/>
              <w:ind w:left="113" w:right="284"/>
              <w:jc w:val="right"/>
              <w:rPr>
                <w:sz w:val="18"/>
                <w:szCs w:val="22"/>
              </w:rPr>
            </w:pPr>
            <w:r>
              <w:rPr>
                <w:sz w:val="18"/>
                <w:szCs w:val="22"/>
              </w:rPr>
              <w:t>412 847</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12 513</w:t>
            </w:r>
          </w:p>
        </w:tc>
        <w:tc>
          <w:tcPr>
            <w:tcW w:w="3149" w:type="dxa"/>
          </w:tcPr>
          <w:p w:rsidR="00000000" w:rsidRDefault="00000000">
            <w:pPr>
              <w:keepNext/>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450</w:t>
            </w:r>
            <w:r>
              <w:rPr>
                <w:sz w:val="18"/>
                <w:szCs w:val="22"/>
              </w:rPr>
              <w:t xml:space="preserve"> </w:t>
            </w:r>
            <w:r>
              <w:rPr>
                <w:sz w:val="18"/>
                <w:szCs w:val="22"/>
                <w:lang w:val="en-US"/>
              </w:rPr>
              <w:t>550</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12 590</w:t>
            </w:r>
          </w:p>
        </w:tc>
        <w:tc>
          <w:tcPr>
            <w:tcW w:w="3149" w:type="dxa"/>
          </w:tcPr>
          <w:p w:rsidR="00000000" w:rsidRDefault="00000000">
            <w:pPr>
              <w:keepNext/>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489 991</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12 784</w:t>
            </w:r>
          </w:p>
        </w:tc>
        <w:tc>
          <w:tcPr>
            <w:tcW w:w="3149" w:type="dxa"/>
          </w:tcPr>
          <w:p w:rsidR="00000000" w:rsidRDefault="00000000">
            <w:pPr>
              <w:keepNext/>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538 855</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12 828</w:t>
            </w:r>
          </w:p>
        </w:tc>
        <w:tc>
          <w:tcPr>
            <w:tcW w:w="3149" w:type="dxa"/>
          </w:tcPr>
          <w:p w:rsidR="00000000" w:rsidRDefault="00000000">
            <w:pPr>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587 457</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12 884</w:t>
            </w:r>
          </w:p>
        </w:tc>
        <w:tc>
          <w:tcPr>
            <w:tcW w:w="3149" w:type="dxa"/>
          </w:tcPr>
          <w:p w:rsidR="00000000" w:rsidRDefault="00000000">
            <w:pPr>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638 298</w:t>
            </w:r>
          </w:p>
        </w:tc>
      </w:tr>
      <w:tr w:rsidR="00000000">
        <w:tblPrEx>
          <w:tblCellMar>
            <w:top w:w="0" w:type="dxa"/>
            <w:bottom w:w="0" w:type="dxa"/>
          </w:tblCellMar>
        </w:tblPrEx>
        <w:trPr>
          <w:jc w:val="center"/>
        </w:trPr>
        <w:tc>
          <w:tcPr>
            <w:tcW w:w="3935" w:type="dxa"/>
          </w:tcPr>
          <w:p w:rsidR="00000000" w:rsidRDefault="00000000">
            <w:pPr>
              <w:keepNext/>
              <w:numPr>
                <w:ilvl w:val="0"/>
                <w:numId w:val="43"/>
              </w:numPr>
              <w:tabs>
                <w:tab w:val="clear" w:pos="360"/>
              </w:tabs>
              <w:spacing w:before="60" w:line="240" w:lineRule="auto"/>
              <w:ind w:left="567" w:right="113" w:hanging="459"/>
              <w:rPr>
                <w:spacing w:val="-2"/>
                <w:sz w:val="18"/>
                <w:szCs w:val="22"/>
              </w:rPr>
            </w:pPr>
            <w:r>
              <w:rPr>
                <w:spacing w:val="-2"/>
                <w:sz w:val="18"/>
                <w:szCs w:val="22"/>
              </w:rPr>
              <w:t>Пособие по инвалидности и в случае смерти</w:t>
            </w:r>
          </w:p>
        </w:tc>
        <w:tc>
          <w:tcPr>
            <w:tcW w:w="1134" w:type="dxa"/>
            <w:vAlign w:val="bottom"/>
          </w:tcPr>
          <w:p w:rsidR="00000000" w:rsidRDefault="00000000">
            <w:pPr>
              <w:keepNext/>
              <w:spacing w:before="60" w:line="240" w:lineRule="auto"/>
              <w:ind w:left="113" w:right="170"/>
              <w:jc w:val="right"/>
              <w:rPr>
                <w:sz w:val="18"/>
                <w:szCs w:val="22"/>
                <w:lang w:val="en-US"/>
              </w:rPr>
            </w:pPr>
            <w:r>
              <w:rPr>
                <w:sz w:val="18"/>
                <w:szCs w:val="22"/>
                <w:lang w:val="en-US"/>
              </w:rPr>
              <w:t>840 653</w:t>
            </w:r>
          </w:p>
        </w:tc>
        <w:tc>
          <w:tcPr>
            <w:tcW w:w="3149"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Пособие по старости</w:t>
            </w:r>
          </w:p>
        </w:tc>
        <w:tc>
          <w:tcPr>
            <w:tcW w:w="1137" w:type="dxa"/>
          </w:tcPr>
          <w:p w:rsidR="00000000" w:rsidRDefault="00000000">
            <w:pPr>
              <w:keepNext/>
              <w:spacing w:before="60" w:line="240" w:lineRule="auto"/>
              <w:ind w:left="113" w:right="284"/>
              <w:jc w:val="right"/>
              <w:rPr>
                <w:sz w:val="18"/>
                <w:szCs w:val="22"/>
              </w:rPr>
            </w:pPr>
            <w:r>
              <w:rPr>
                <w:sz w:val="18"/>
                <w:szCs w:val="22"/>
              </w:rPr>
              <w:t>199 664</w:t>
            </w:r>
          </w:p>
        </w:tc>
      </w:tr>
      <w:tr w:rsidR="00000000">
        <w:tblPrEx>
          <w:tblCellMar>
            <w:top w:w="0" w:type="dxa"/>
            <w:bottom w:w="0" w:type="dxa"/>
          </w:tblCellMar>
        </w:tblPrEx>
        <w:trPr>
          <w:jc w:val="center"/>
        </w:trPr>
        <w:tc>
          <w:tcPr>
            <w:tcW w:w="3935" w:type="dxa"/>
          </w:tcPr>
          <w:p w:rsidR="00000000" w:rsidRDefault="00000000">
            <w:pPr>
              <w:keepNext/>
              <w:spacing w:before="60" w:line="240" w:lineRule="auto"/>
              <w:ind w:left="113" w:right="113"/>
              <w:rPr>
                <w:sz w:val="18"/>
                <w:szCs w:val="22"/>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853,622</w:t>
            </w:r>
          </w:p>
        </w:tc>
        <w:tc>
          <w:tcPr>
            <w:tcW w:w="3149" w:type="dxa"/>
          </w:tcPr>
          <w:p w:rsidR="00000000" w:rsidRDefault="00000000">
            <w:pPr>
              <w:keepNext/>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207 002</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864,622</w:t>
            </w:r>
          </w:p>
        </w:tc>
        <w:tc>
          <w:tcPr>
            <w:tcW w:w="3149" w:type="dxa"/>
          </w:tcPr>
          <w:p w:rsidR="00000000" w:rsidRDefault="00000000">
            <w:pPr>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213 897</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886,638</w:t>
            </w:r>
          </w:p>
        </w:tc>
        <w:tc>
          <w:tcPr>
            <w:tcW w:w="3149" w:type="dxa"/>
          </w:tcPr>
          <w:p w:rsidR="00000000" w:rsidRDefault="00000000">
            <w:pPr>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224 006</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905,522</w:t>
            </w:r>
          </w:p>
        </w:tc>
        <w:tc>
          <w:tcPr>
            <w:tcW w:w="3149" w:type="dxa"/>
          </w:tcPr>
          <w:p w:rsidR="00000000" w:rsidRDefault="00000000">
            <w:pPr>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232 992</w:t>
            </w:r>
          </w:p>
        </w:tc>
      </w:tr>
      <w:tr w:rsidR="00000000">
        <w:tblPrEx>
          <w:tblCellMar>
            <w:top w:w="0" w:type="dxa"/>
            <w:bottom w:w="0" w:type="dxa"/>
          </w:tblCellMar>
        </w:tblPrEx>
        <w:trPr>
          <w:jc w:val="center"/>
        </w:trPr>
        <w:tc>
          <w:tcPr>
            <w:tcW w:w="3935" w:type="dxa"/>
          </w:tcPr>
          <w:p w:rsidR="00000000" w:rsidRDefault="00000000">
            <w:pPr>
              <w:spacing w:before="60" w:line="240" w:lineRule="auto"/>
              <w:ind w:left="113" w:right="113"/>
              <w:rPr>
                <w:sz w:val="18"/>
                <w:szCs w:val="22"/>
                <w:lang w:val="en-US"/>
              </w:rPr>
            </w:pPr>
          </w:p>
        </w:tc>
        <w:tc>
          <w:tcPr>
            <w:tcW w:w="1134" w:type="dxa"/>
          </w:tcPr>
          <w:p w:rsidR="00000000" w:rsidRDefault="00000000">
            <w:pPr>
              <w:keepNext/>
              <w:spacing w:before="60" w:line="240" w:lineRule="auto"/>
              <w:ind w:left="113" w:right="170"/>
              <w:jc w:val="right"/>
              <w:rPr>
                <w:sz w:val="18"/>
                <w:szCs w:val="22"/>
                <w:lang w:val="en-US"/>
              </w:rPr>
            </w:pPr>
            <w:r>
              <w:rPr>
                <w:sz w:val="18"/>
                <w:szCs w:val="22"/>
                <w:lang w:val="en-US"/>
              </w:rPr>
              <w:t>934,880</w:t>
            </w:r>
          </w:p>
        </w:tc>
        <w:tc>
          <w:tcPr>
            <w:tcW w:w="3149" w:type="dxa"/>
          </w:tcPr>
          <w:p w:rsidR="00000000" w:rsidRDefault="00000000">
            <w:pPr>
              <w:spacing w:before="60" w:line="240" w:lineRule="auto"/>
              <w:ind w:left="113" w:right="113"/>
              <w:rPr>
                <w:sz w:val="18"/>
                <w:szCs w:val="22"/>
                <w:lang w:val="en-US"/>
              </w:rPr>
            </w:pPr>
          </w:p>
        </w:tc>
        <w:tc>
          <w:tcPr>
            <w:tcW w:w="1137" w:type="dxa"/>
          </w:tcPr>
          <w:p w:rsidR="00000000" w:rsidRDefault="00000000">
            <w:pPr>
              <w:keepNext/>
              <w:spacing w:before="60" w:line="240" w:lineRule="auto"/>
              <w:ind w:left="113" w:right="284"/>
              <w:jc w:val="right"/>
              <w:rPr>
                <w:sz w:val="18"/>
                <w:szCs w:val="22"/>
                <w:lang w:val="en-US"/>
              </w:rPr>
            </w:pPr>
            <w:r>
              <w:rPr>
                <w:sz w:val="18"/>
                <w:szCs w:val="22"/>
                <w:lang w:val="en-US"/>
              </w:rPr>
              <w:t>241 889</w:t>
            </w:r>
          </w:p>
        </w:tc>
      </w:tr>
      <w:tr w:rsidR="00000000">
        <w:tblPrEx>
          <w:tblCellMar>
            <w:top w:w="0" w:type="dxa"/>
            <w:bottom w:w="0" w:type="dxa"/>
          </w:tblCellMar>
        </w:tblPrEx>
        <w:trPr>
          <w:cantSplit/>
          <w:jc w:val="center"/>
        </w:trPr>
        <w:tc>
          <w:tcPr>
            <w:tcW w:w="8218" w:type="dxa"/>
            <w:gridSpan w:val="3"/>
          </w:tcPr>
          <w:p w:rsidR="00000000" w:rsidRDefault="00000000">
            <w:pPr>
              <w:keepNext/>
              <w:tabs>
                <w:tab w:val="left" w:pos="142"/>
                <w:tab w:val="left" w:pos="284"/>
              </w:tabs>
              <w:spacing w:before="60" w:line="240" w:lineRule="auto"/>
              <w:ind w:right="113"/>
              <w:rPr>
                <w:sz w:val="18"/>
                <w:szCs w:val="22"/>
              </w:rPr>
            </w:pPr>
            <w:r>
              <w:rPr>
                <w:sz w:val="18"/>
                <w:szCs w:val="22"/>
                <w:lang w:val="en-US"/>
              </w:rPr>
              <w:tab/>
            </w:r>
            <w:r>
              <w:rPr>
                <w:sz w:val="18"/>
                <w:szCs w:val="22"/>
              </w:rPr>
              <w:t>Общая сумма выплат</w:t>
            </w:r>
          </w:p>
        </w:tc>
        <w:tc>
          <w:tcPr>
            <w:tcW w:w="1137" w:type="dxa"/>
            <w:vAlign w:val="bottom"/>
          </w:tcPr>
          <w:p w:rsidR="00000000" w:rsidRDefault="00000000">
            <w:pPr>
              <w:spacing w:before="60" w:line="240" w:lineRule="auto"/>
              <w:ind w:left="113" w:right="284"/>
              <w:jc w:val="right"/>
              <w:rPr>
                <w:sz w:val="18"/>
                <w:szCs w:val="22"/>
              </w:rPr>
            </w:pPr>
            <w:r>
              <w:rPr>
                <w:sz w:val="18"/>
                <w:szCs w:val="22"/>
              </w:rPr>
              <w:t>11 528</w:t>
            </w:r>
          </w:p>
        </w:tc>
      </w:tr>
      <w:tr w:rsidR="00000000">
        <w:tblPrEx>
          <w:tblCellMar>
            <w:top w:w="0" w:type="dxa"/>
            <w:bottom w:w="0" w:type="dxa"/>
          </w:tblCellMar>
        </w:tblPrEx>
        <w:trPr>
          <w:cantSplit/>
          <w:jc w:val="center"/>
        </w:trPr>
        <w:tc>
          <w:tcPr>
            <w:tcW w:w="8218" w:type="dxa"/>
            <w:gridSpan w:val="3"/>
          </w:tcPr>
          <w:p w:rsidR="00000000" w:rsidRDefault="00000000">
            <w:pPr>
              <w:spacing w:before="60" w:line="240" w:lineRule="auto"/>
              <w:ind w:left="113" w:right="340"/>
              <w:jc w:val="right"/>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11 101</w:t>
            </w:r>
          </w:p>
        </w:tc>
      </w:tr>
      <w:tr w:rsidR="00000000">
        <w:tblPrEx>
          <w:tblCellMar>
            <w:top w:w="0" w:type="dxa"/>
            <w:bottom w:w="0" w:type="dxa"/>
          </w:tblCellMar>
        </w:tblPrEx>
        <w:trPr>
          <w:cantSplit/>
          <w:jc w:val="center"/>
        </w:trPr>
        <w:tc>
          <w:tcPr>
            <w:tcW w:w="8218" w:type="dxa"/>
            <w:gridSpan w:val="3"/>
          </w:tcPr>
          <w:p w:rsidR="00000000" w:rsidRDefault="00000000">
            <w:pPr>
              <w:spacing w:before="60" w:line="240" w:lineRule="auto"/>
              <w:ind w:left="113" w:right="340"/>
              <w:jc w:val="right"/>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11 012</w:t>
            </w:r>
          </w:p>
        </w:tc>
      </w:tr>
      <w:tr w:rsidR="00000000">
        <w:tblPrEx>
          <w:tblCellMar>
            <w:top w:w="0" w:type="dxa"/>
            <w:bottom w:w="0" w:type="dxa"/>
          </w:tblCellMar>
        </w:tblPrEx>
        <w:trPr>
          <w:cantSplit/>
          <w:jc w:val="center"/>
        </w:trPr>
        <w:tc>
          <w:tcPr>
            <w:tcW w:w="8218" w:type="dxa"/>
            <w:gridSpan w:val="3"/>
          </w:tcPr>
          <w:p w:rsidR="00000000" w:rsidRDefault="00000000">
            <w:pPr>
              <w:spacing w:before="60" w:line="240" w:lineRule="auto"/>
              <w:ind w:left="113" w:right="340"/>
              <w:jc w:val="right"/>
              <w:rPr>
                <w:sz w:val="18"/>
                <w:szCs w:val="22"/>
              </w:rPr>
            </w:pPr>
          </w:p>
        </w:tc>
        <w:tc>
          <w:tcPr>
            <w:tcW w:w="1137" w:type="dxa"/>
          </w:tcPr>
          <w:p w:rsidR="00000000" w:rsidRDefault="00000000">
            <w:pPr>
              <w:keepNext/>
              <w:spacing w:before="60" w:line="240" w:lineRule="auto"/>
              <w:ind w:left="113" w:right="284"/>
              <w:jc w:val="right"/>
              <w:rPr>
                <w:sz w:val="18"/>
                <w:szCs w:val="22"/>
              </w:rPr>
            </w:pPr>
            <w:r>
              <w:rPr>
                <w:sz w:val="18"/>
                <w:szCs w:val="22"/>
              </w:rPr>
              <w:t>9 891</w:t>
            </w:r>
          </w:p>
        </w:tc>
      </w:tr>
      <w:tr w:rsidR="00000000">
        <w:tblPrEx>
          <w:tblCellMar>
            <w:top w:w="0" w:type="dxa"/>
            <w:bottom w:w="0" w:type="dxa"/>
          </w:tblCellMar>
        </w:tblPrEx>
        <w:trPr>
          <w:cantSplit/>
          <w:jc w:val="center"/>
        </w:trPr>
        <w:tc>
          <w:tcPr>
            <w:tcW w:w="8218" w:type="dxa"/>
            <w:gridSpan w:val="3"/>
            <w:tcBorders>
              <w:bottom w:val="single" w:sz="4" w:space="0" w:color="auto"/>
            </w:tcBorders>
          </w:tcPr>
          <w:p w:rsidR="00000000" w:rsidRDefault="00000000">
            <w:pPr>
              <w:spacing w:before="60" w:line="240" w:lineRule="auto"/>
              <w:ind w:left="113" w:right="340"/>
              <w:jc w:val="right"/>
              <w:rPr>
                <w:sz w:val="18"/>
                <w:szCs w:val="22"/>
              </w:rPr>
            </w:pPr>
          </w:p>
        </w:tc>
        <w:tc>
          <w:tcPr>
            <w:tcW w:w="1137" w:type="dxa"/>
            <w:tcBorders>
              <w:bottom w:val="single" w:sz="4" w:space="0" w:color="auto"/>
            </w:tcBorders>
          </w:tcPr>
          <w:p w:rsidR="00000000" w:rsidRDefault="00000000">
            <w:pPr>
              <w:keepNext/>
              <w:spacing w:before="60" w:line="240" w:lineRule="auto"/>
              <w:ind w:left="113" w:right="284"/>
              <w:jc w:val="right"/>
              <w:rPr>
                <w:sz w:val="18"/>
                <w:szCs w:val="22"/>
              </w:rPr>
            </w:pPr>
            <w:r>
              <w:rPr>
                <w:sz w:val="18"/>
                <w:szCs w:val="22"/>
              </w:rPr>
              <w:t>8 830</w:t>
            </w:r>
          </w:p>
        </w:tc>
      </w:tr>
      <w:tr w:rsidR="00000000">
        <w:tblPrEx>
          <w:tblCellMar>
            <w:top w:w="0" w:type="dxa"/>
            <w:bottom w:w="0" w:type="dxa"/>
          </w:tblCellMar>
        </w:tblPrEx>
        <w:trPr>
          <w:cantSplit/>
          <w:jc w:val="center"/>
        </w:trPr>
        <w:tc>
          <w:tcPr>
            <w:tcW w:w="8218" w:type="dxa"/>
            <w:gridSpan w:val="3"/>
            <w:tcBorders>
              <w:bottom w:val="single" w:sz="4" w:space="0" w:color="auto"/>
            </w:tcBorders>
          </w:tcPr>
          <w:p w:rsidR="00000000" w:rsidRDefault="00000000">
            <w:pPr>
              <w:spacing w:before="60" w:line="240" w:lineRule="auto"/>
              <w:ind w:left="113" w:right="340"/>
              <w:jc w:val="right"/>
              <w:rPr>
                <w:sz w:val="18"/>
                <w:szCs w:val="22"/>
              </w:rPr>
            </w:pPr>
          </w:p>
        </w:tc>
        <w:tc>
          <w:tcPr>
            <w:tcW w:w="1137" w:type="dxa"/>
            <w:tcBorders>
              <w:bottom w:val="single" w:sz="4" w:space="0" w:color="auto"/>
            </w:tcBorders>
          </w:tcPr>
          <w:p w:rsidR="00000000" w:rsidRDefault="00000000">
            <w:pPr>
              <w:keepNext/>
              <w:spacing w:before="60" w:line="240" w:lineRule="auto"/>
              <w:ind w:left="113" w:right="284"/>
              <w:jc w:val="right"/>
              <w:rPr>
                <w:sz w:val="18"/>
                <w:szCs w:val="22"/>
              </w:rPr>
            </w:pPr>
            <w:r>
              <w:rPr>
                <w:sz w:val="18"/>
                <w:szCs w:val="22"/>
              </w:rPr>
              <w:t>8 488</w:t>
            </w:r>
          </w:p>
        </w:tc>
      </w:tr>
      <w:tr w:rsidR="00000000">
        <w:tblPrEx>
          <w:tblCellMar>
            <w:top w:w="0" w:type="dxa"/>
            <w:bottom w:w="0" w:type="dxa"/>
          </w:tblCellMar>
        </w:tblPrEx>
        <w:trPr>
          <w:cantSplit/>
          <w:jc w:val="center"/>
        </w:trPr>
        <w:tc>
          <w:tcPr>
            <w:tcW w:w="8218" w:type="dxa"/>
            <w:gridSpan w:val="3"/>
            <w:tcBorders>
              <w:top w:val="single" w:sz="4" w:space="0" w:color="auto"/>
              <w:left w:val="nil"/>
              <w:bottom w:val="nil"/>
              <w:right w:val="nil"/>
            </w:tcBorders>
          </w:tcPr>
          <w:p w:rsidR="00000000" w:rsidRDefault="00000000">
            <w:pPr>
              <w:spacing w:before="60" w:line="216" w:lineRule="auto"/>
              <w:ind w:left="-4" w:right="340"/>
              <w:rPr>
                <w:sz w:val="18"/>
                <w:szCs w:val="22"/>
              </w:rPr>
            </w:pPr>
            <w:r>
              <w:rPr>
                <w:i/>
                <w:iCs/>
                <w:sz w:val="18"/>
                <w:szCs w:val="22"/>
              </w:rPr>
              <w:t>Источник</w:t>
            </w:r>
            <w:r>
              <w:rPr>
                <w:sz w:val="18"/>
                <w:szCs w:val="22"/>
              </w:rPr>
              <w:t>:  МИСО, управление по координации экономической помощи.</w:t>
            </w:r>
          </w:p>
          <w:p w:rsidR="00000000" w:rsidRDefault="00000000">
            <w:pPr>
              <w:spacing w:before="60" w:line="216" w:lineRule="auto"/>
              <w:ind w:left="-4" w:right="340"/>
              <w:rPr>
                <w:sz w:val="18"/>
                <w:szCs w:val="22"/>
              </w:rPr>
            </w:pPr>
          </w:p>
          <w:p w:rsidR="00000000" w:rsidRDefault="00000000">
            <w:pPr>
              <w:spacing w:before="60" w:line="216" w:lineRule="auto"/>
              <w:ind w:left="-4" w:right="340"/>
              <w:rPr>
                <w:sz w:val="18"/>
                <w:szCs w:val="22"/>
              </w:rPr>
            </w:pPr>
            <w:r>
              <w:rPr>
                <w:b/>
                <w:bCs/>
                <w:sz w:val="18"/>
                <w:szCs w:val="22"/>
                <w:vertAlign w:val="superscript"/>
              </w:rPr>
              <w:t>1</w:t>
            </w:r>
            <w:r>
              <w:rPr>
                <w:sz w:val="18"/>
                <w:szCs w:val="22"/>
              </w:rPr>
              <w:tab/>
              <w:t>Предварительные данные.</w:t>
            </w:r>
          </w:p>
        </w:tc>
        <w:tc>
          <w:tcPr>
            <w:tcW w:w="1137" w:type="dxa"/>
            <w:tcBorders>
              <w:top w:val="single" w:sz="4" w:space="0" w:color="auto"/>
              <w:left w:val="nil"/>
              <w:bottom w:val="nil"/>
              <w:right w:val="nil"/>
            </w:tcBorders>
          </w:tcPr>
          <w:p w:rsidR="00000000" w:rsidRDefault="00000000">
            <w:pPr>
              <w:keepNext/>
              <w:spacing w:before="60" w:line="240" w:lineRule="auto"/>
              <w:ind w:left="113" w:right="284"/>
              <w:jc w:val="right"/>
              <w:rPr>
                <w:sz w:val="18"/>
                <w:szCs w:val="22"/>
              </w:rPr>
            </w:pPr>
          </w:p>
        </w:tc>
      </w:tr>
    </w:tbl>
    <w:p w:rsidR="00000000" w:rsidRDefault="00000000">
      <w:pPr>
        <w:spacing w:line="240" w:lineRule="auto"/>
      </w:pPr>
    </w:p>
    <w:p w:rsidR="00000000" w:rsidRDefault="00000000">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26"/>
        <w:gridCol w:w="1550"/>
        <w:gridCol w:w="3178"/>
        <w:gridCol w:w="1500"/>
      </w:tblGrid>
      <w:tr w:rsidR="00000000">
        <w:tblPrEx>
          <w:tblCellMar>
            <w:top w:w="0" w:type="dxa"/>
            <w:bottom w:w="0" w:type="dxa"/>
          </w:tblCellMar>
        </w:tblPrEx>
        <w:trPr>
          <w:cantSplit/>
          <w:tblHeader/>
        </w:trPr>
        <w:tc>
          <w:tcPr>
            <w:tcW w:w="9355" w:type="dxa"/>
            <w:gridSpan w:val="4"/>
            <w:tcBorders>
              <w:top w:val="nil"/>
              <w:left w:val="nil"/>
              <w:bottom w:val="single" w:sz="4" w:space="0" w:color="auto"/>
              <w:right w:val="nil"/>
            </w:tcBorders>
          </w:tcPr>
          <w:p w:rsidR="00000000" w:rsidRDefault="00000000">
            <w:pPr>
              <w:pageBreakBefore/>
              <w:spacing w:before="120" w:after="120" w:line="240" w:lineRule="auto"/>
              <w:ind w:left="113" w:right="113"/>
              <w:jc w:val="center"/>
              <w:rPr>
                <w:b/>
                <w:szCs w:val="22"/>
              </w:rPr>
            </w:pPr>
            <w:r>
              <w:rPr>
                <w:b/>
                <w:szCs w:val="22"/>
              </w:rPr>
              <w:t>Пособия и другие виды социальных выплат, 1998-2003 годы</w:t>
            </w:r>
          </w:p>
        </w:tc>
      </w:tr>
      <w:tr w:rsidR="00000000">
        <w:tblPrEx>
          <w:tblCellMar>
            <w:top w:w="0" w:type="dxa"/>
            <w:bottom w:w="0" w:type="dxa"/>
          </w:tblCellMar>
        </w:tblPrEx>
        <w:trPr>
          <w:cantSplit/>
        </w:trPr>
        <w:tc>
          <w:tcPr>
            <w:tcW w:w="4677" w:type="dxa"/>
            <w:gridSpan w:val="2"/>
            <w:tcBorders>
              <w:top w:val="single" w:sz="4" w:space="0" w:color="auto"/>
            </w:tcBorders>
          </w:tcPr>
          <w:p w:rsidR="00000000" w:rsidRDefault="00000000">
            <w:pPr>
              <w:keepNext/>
              <w:spacing w:before="60" w:line="240" w:lineRule="auto"/>
              <w:ind w:left="113" w:right="113"/>
              <w:jc w:val="center"/>
              <w:rPr>
                <w:i/>
                <w:iCs/>
                <w:sz w:val="18"/>
                <w:szCs w:val="22"/>
              </w:rPr>
            </w:pPr>
            <w:r>
              <w:rPr>
                <w:i/>
                <w:iCs/>
                <w:sz w:val="18"/>
                <w:szCs w:val="22"/>
              </w:rPr>
              <w:t>Пособия</w:t>
            </w:r>
            <w:r>
              <w:rPr>
                <w:i/>
                <w:iCs/>
                <w:sz w:val="18"/>
                <w:szCs w:val="22"/>
                <w:lang w:val="en-US"/>
              </w:rPr>
              <w:t>s</w:t>
            </w:r>
          </w:p>
        </w:tc>
        <w:tc>
          <w:tcPr>
            <w:tcW w:w="4678" w:type="dxa"/>
            <w:gridSpan w:val="2"/>
            <w:tcBorders>
              <w:top w:val="single" w:sz="4" w:space="0" w:color="auto"/>
            </w:tcBorders>
          </w:tcPr>
          <w:p w:rsidR="00000000" w:rsidRDefault="00000000">
            <w:pPr>
              <w:keepNext/>
              <w:spacing w:before="60" w:line="240" w:lineRule="auto"/>
              <w:ind w:left="113" w:right="113"/>
              <w:jc w:val="center"/>
              <w:rPr>
                <w:i/>
                <w:iCs/>
                <w:sz w:val="18"/>
                <w:szCs w:val="22"/>
              </w:rPr>
            </w:pPr>
            <w:r>
              <w:rPr>
                <w:i/>
                <w:iCs/>
                <w:sz w:val="18"/>
                <w:szCs w:val="22"/>
              </w:rPr>
              <w:t>Заболевания общего характера</w:t>
            </w:r>
          </w:p>
        </w:tc>
      </w:tr>
      <w:tr w:rsidR="00000000">
        <w:tblPrEx>
          <w:tblCellMar>
            <w:top w:w="0" w:type="dxa"/>
            <w:bottom w:w="0" w:type="dxa"/>
          </w:tblCellMar>
        </w:tblPrEx>
        <w:tc>
          <w:tcPr>
            <w:tcW w:w="3127"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Количество случаев</w:t>
            </w:r>
          </w:p>
        </w:tc>
        <w:tc>
          <w:tcPr>
            <w:tcW w:w="1550" w:type="dxa"/>
          </w:tcPr>
          <w:p w:rsidR="00000000" w:rsidRDefault="00000000">
            <w:pPr>
              <w:keepNext/>
              <w:spacing w:before="60" w:line="240" w:lineRule="auto"/>
              <w:ind w:left="113" w:right="340"/>
              <w:jc w:val="right"/>
              <w:rPr>
                <w:sz w:val="18"/>
                <w:szCs w:val="22"/>
              </w:rPr>
            </w:pPr>
            <w:r>
              <w:rPr>
                <w:sz w:val="18"/>
                <w:szCs w:val="22"/>
              </w:rPr>
              <w:t>4 878 095</w:t>
            </w:r>
          </w:p>
        </w:tc>
        <w:tc>
          <w:tcPr>
            <w:tcW w:w="3178"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Количество случаев</w:t>
            </w:r>
          </w:p>
        </w:tc>
        <w:tc>
          <w:tcPr>
            <w:tcW w:w="1500" w:type="dxa"/>
          </w:tcPr>
          <w:p w:rsidR="00000000" w:rsidRDefault="00000000">
            <w:pPr>
              <w:keepNext/>
              <w:spacing w:before="60" w:line="240" w:lineRule="auto"/>
              <w:ind w:left="113" w:right="340"/>
              <w:jc w:val="right"/>
              <w:rPr>
                <w:sz w:val="18"/>
                <w:szCs w:val="22"/>
              </w:rPr>
            </w:pPr>
            <w:r>
              <w:rPr>
                <w:sz w:val="18"/>
                <w:szCs w:val="22"/>
              </w:rPr>
              <w:t>3 343 264</w:t>
            </w:r>
          </w:p>
        </w:tc>
      </w:tr>
      <w:tr w:rsidR="00000000">
        <w:tblPrEx>
          <w:tblCellMar>
            <w:top w:w="0" w:type="dxa"/>
            <w:bottom w:w="0" w:type="dxa"/>
          </w:tblCellMar>
        </w:tblPrEx>
        <w:tc>
          <w:tcPr>
            <w:tcW w:w="3127" w:type="dxa"/>
          </w:tcPr>
          <w:p w:rsidR="00000000" w:rsidRDefault="00000000">
            <w:pPr>
              <w:keepNext/>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5 053 676</w:t>
            </w:r>
          </w:p>
        </w:tc>
        <w:tc>
          <w:tcPr>
            <w:tcW w:w="3178" w:type="dxa"/>
          </w:tcPr>
          <w:p w:rsidR="00000000" w:rsidRDefault="00000000">
            <w:pPr>
              <w:keepNext/>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3 526 981</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5 189 053</w:t>
            </w:r>
          </w:p>
        </w:tc>
        <w:tc>
          <w:tcPr>
            <w:tcW w:w="3178" w:type="dxa"/>
          </w:tcPr>
          <w:p w:rsidR="00000000" w:rsidRDefault="00000000">
            <w:pPr>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3 647 148</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4 867 280</w:t>
            </w:r>
          </w:p>
        </w:tc>
        <w:tc>
          <w:tcPr>
            <w:tcW w:w="3178" w:type="dxa"/>
          </w:tcPr>
          <w:p w:rsidR="00000000" w:rsidRDefault="00000000">
            <w:pPr>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3 343 908</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4 620 463</w:t>
            </w:r>
          </w:p>
        </w:tc>
        <w:tc>
          <w:tcPr>
            <w:tcW w:w="3178" w:type="dxa"/>
          </w:tcPr>
          <w:p w:rsidR="00000000" w:rsidRDefault="00000000">
            <w:pPr>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3 173 069</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4 417 884</w:t>
            </w:r>
          </w:p>
        </w:tc>
        <w:tc>
          <w:tcPr>
            <w:tcW w:w="3178" w:type="dxa"/>
          </w:tcPr>
          <w:p w:rsidR="00000000" w:rsidRDefault="00000000">
            <w:pPr>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3 084 419</w:t>
            </w:r>
          </w:p>
        </w:tc>
      </w:tr>
      <w:tr w:rsidR="00000000">
        <w:tblPrEx>
          <w:tblCellMar>
            <w:top w:w="0" w:type="dxa"/>
            <w:bottom w:w="0" w:type="dxa"/>
          </w:tblCellMar>
        </w:tblPrEx>
        <w:tc>
          <w:tcPr>
            <w:tcW w:w="3127"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Количество дней</w:t>
            </w:r>
          </w:p>
        </w:tc>
        <w:tc>
          <w:tcPr>
            <w:tcW w:w="1550" w:type="dxa"/>
            <w:vAlign w:val="bottom"/>
          </w:tcPr>
          <w:p w:rsidR="00000000" w:rsidRDefault="00000000">
            <w:pPr>
              <w:keepNext/>
              <w:spacing w:before="60" w:line="240" w:lineRule="auto"/>
              <w:ind w:left="113" w:right="340"/>
              <w:jc w:val="right"/>
              <w:rPr>
                <w:sz w:val="18"/>
                <w:szCs w:val="22"/>
              </w:rPr>
            </w:pPr>
            <w:r>
              <w:rPr>
                <w:sz w:val="18"/>
                <w:szCs w:val="22"/>
              </w:rPr>
              <w:t>49 375 781</w:t>
            </w:r>
          </w:p>
        </w:tc>
        <w:tc>
          <w:tcPr>
            <w:tcW w:w="3178"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Количество дней</w:t>
            </w:r>
          </w:p>
        </w:tc>
        <w:tc>
          <w:tcPr>
            <w:tcW w:w="1500" w:type="dxa"/>
            <w:vAlign w:val="bottom"/>
          </w:tcPr>
          <w:p w:rsidR="00000000" w:rsidRDefault="00000000">
            <w:pPr>
              <w:keepNext/>
              <w:spacing w:before="60" w:line="240" w:lineRule="auto"/>
              <w:ind w:left="113" w:right="340"/>
              <w:jc w:val="right"/>
              <w:rPr>
                <w:sz w:val="18"/>
                <w:szCs w:val="22"/>
              </w:rPr>
            </w:pPr>
            <w:r>
              <w:rPr>
                <w:sz w:val="18"/>
                <w:szCs w:val="22"/>
              </w:rPr>
              <w:t>26 021 467</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51 529 182</w:t>
            </w:r>
          </w:p>
        </w:tc>
        <w:tc>
          <w:tcPr>
            <w:tcW w:w="3178" w:type="dxa"/>
          </w:tcPr>
          <w:p w:rsidR="00000000" w:rsidRDefault="00000000">
            <w:pPr>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27 624 119</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53 763 012</w:t>
            </w:r>
          </w:p>
        </w:tc>
        <w:tc>
          <w:tcPr>
            <w:tcW w:w="3178" w:type="dxa"/>
          </w:tcPr>
          <w:p w:rsidR="00000000" w:rsidRDefault="00000000">
            <w:pPr>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28 734 539</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51 690 738</w:t>
            </w:r>
          </w:p>
        </w:tc>
        <w:tc>
          <w:tcPr>
            <w:tcW w:w="3178" w:type="dxa"/>
          </w:tcPr>
          <w:p w:rsidR="00000000" w:rsidRDefault="00000000">
            <w:pPr>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26 742 878</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49 779 141</w:t>
            </w:r>
          </w:p>
        </w:tc>
        <w:tc>
          <w:tcPr>
            <w:tcW w:w="3178" w:type="dxa"/>
          </w:tcPr>
          <w:p w:rsidR="00000000" w:rsidRDefault="00000000">
            <w:pPr>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25 569 474</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47 004 950</w:t>
            </w:r>
          </w:p>
        </w:tc>
        <w:tc>
          <w:tcPr>
            <w:tcW w:w="3178" w:type="dxa"/>
          </w:tcPr>
          <w:p w:rsidR="00000000" w:rsidRDefault="00000000">
            <w:pPr>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23 967 663</w:t>
            </w:r>
          </w:p>
        </w:tc>
      </w:tr>
      <w:tr w:rsidR="00000000">
        <w:tblPrEx>
          <w:tblCellMar>
            <w:top w:w="0" w:type="dxa"/>
            <w:bottom w:w="0" w:type="dxa"/>
          </w:tblCellMar>
        </w:tblPrEx>
        <w:trPr>
          <w:cantSplit/>
        </w:trPr>
        <w:tc>
          <w:tcPr>
            <w:tcW w:w="4677" w:type="dxa"/>
            <w:gridSpan w:val="2"/>
            <w:vAlign w:val="center"/>
          </w:tcPr>
          <w:p w:rsidR="00000000" w:rsidRDefault="00000000">
            <w:pPr>
              <w:spacing w:before="60" w:line="240" w:lineRule="auto"/>
              <w:ind w:left="113" w:right="340"/>
              <w:rPr>
                <w:sz w:val="18"/>
                <w:szCs w:val="22"/>
              </w:rPr>
            </w:pPr>
            <w:r>
              <w:rPr>
                <w:sz w:val="18"/>
                <w:szCs w:val="22"/>
              </w:rPr>
              <w:t>Несчастные случаи на производстве</w:t>
            </w:r>
          </w:p>
        </w:tc>
        <w:tc>
          <w:tcPr>
            <w:tcW w:w="4678" w:type="dxa"/>
            <w:gridSpan w:val="2"/>
          </w:tcPr>
          <w:p w:rsidR="00000000" w:rsidRDefault="00000000">
            <w:pPr>
              <w:spacing w:before="60" w:line="240" w:lineRule="auto"/>
              <w:ind w:left="113" w:right="340"/>
              <w:rPr>
                <w:sz w:val="18"/>
                <w:szCs w:val="22"/>
              </w:rPr>
            </w:pPr>
            <w:r>
              <w:rPr>
                <w:sz w:val="18"/>
                <w:szCs w:val="22"/>
              </w:rPr>
              <w:t>Пособия по беременности и родам</w:t>
            </w:r>
          </w:p>
        </w:tc>
      </w:tr>
      <w:tr w:rsidR="00000000">
        <w:tblPrEx>
          <w:tblCellMar>
            <w:top w:w="0" w:type="dxa"/>
            <w:bottom w:w="0" w:type="dxa"/>
          </w:tblCellMar>
        </w:tblPrEx>
        <w:tc>
          <w:tcPr>
            <w:tcW w:w="3127"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Количество случаев</w:t>
            </w:r>
          </w:p>
        </w:tc>
        <w:tc>
          <w:tcPr>
            <w:tcW w:w="1550" w:type="dxa"/>
          </w:tcPr>
          <w:p w:rsidR="00000000" w:rsidRDefault="00000000">
            <w:pPr>
              <w:keepNext/>
              <w:spacing w:before="60" w:line="240" w:lineRule="auto"/>
              <w:ind w:left="113" w:right="340"/>
              <w:jc w:val="right"/>
              <w:rPr>
                <w:sz w:val="18"/>
                <w:szCs w:val="22"/>
              </w:rPr>
            </w:pPr>
            <w:r>
              <w:rPr>
                <w:sz w:val="18"/>
                <w:szCs w:val="22"/>
              </w:rPr>
              <w:t>1 148 263</w:t>
            </w:r>
          </w:p>
        </w:tc>
        <w:tc>
          <w:tcPr>
            <w:tcW w:w="3178"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Количество случаев</w:t>
            </w:r>
          </w:p>
        </w:tc>
        <w:tc>
          <w:tcPr>
            <w:tcW w:w="1500" w:type="dxa"/>
          </w:tcPr>
          <w:p w:rsidR="00000000" w:rsidRDefault="00000000">
            <w:pPr>
              <w:keepNext/>
              <w:spacing w:before="60" w:line="240" w:lineRule="auto"/>
              <w:ind w:left="113" w:right="340"/>
              <w:jc w:val="right"/>
              <w:rPr>
                <w:sz w:val="18"/>
                <w:szCs w:val="22"/>
                <w:lang w:val="en-US"/>
              </w:rPr>
            </w:pPr>
            <w:r>
              <w:rPr>
                <w:sz w:val="18"/>
                <w:szCs w:val="22"/>
                <w:lang w:val="en-US"/>
              </w:rPr>
              <w:t>386</w:t>
            </w:r>
            <w:r>
              <w:rPr>
                <w:sz w:val="18"/>
                <w:szCs w:val="22"/>
              </w:rPr>
              <w:t xml:space="preserve"> </w:t>
            </w:r>
            <w:r>
              <w:rPr>
                <w:sz w:val="18"/>
                <w:szCs w:val="22"/>
                <w:lang w:val="en-US"/>
              </w:rPr>
              <w:t>568</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lang w:val="en-US"/>
              </w:rPr>
            </w:pPr>
          </w:p>
        </w:tc>
        <w:tc>
          <w:tcPr>
            <w:tcW w:w="1550" w:type="dxa"/>
          </w:tcPr>
          <w:p w:rsidR="00000000" w:rsidRDefault="00000000">
            <w:pPr>
              <w:keepNext/>
              <w:spacing w:before="60" w:line="240" w:lineRule="auto"/>
              <w:ind w:left="113" w:right="340"/>
              <w:jc w:val="right"/>
              <w:rPr>
                <w:sz w:val="18"/>
                <w:szCs w:val="22"/>
                <w:lang w:val="en-US"/>
              </w:rPr>
            </w:pPr>
            <w:r>
              <w:rPr>
                <w:sz w:val="18"/>
                <w:szCs w:val="22"/>
                <w:lang w:val="en-US"/>
              </w:rPr>
              <w:t>1</w:t>
            </w:r>
            <w:r>
              <w:rPr>
                <w:sz w:val="18"/>
                <w:szCs w:val="22"/>
              </w:rPr>
              <w:t xml:space="preserve"> </w:t>
            </w:r>
            <w:r>
              <w:rPr>
                <w:sz w:val="18"/>
                <w:szCs w:val="22"/>
                <w:lang w:val="en-US"/>
              </w:rPr>
              <w:t>121 241</w:t>
            </w:r>
          </w:p>
        </w:tc>
        <w:tc>
          <w:tcPr>
            <w:tcW w:w="3178" w:type="dxa"/>
          </w:tcPr>
          <w:p w:rsidR="00000000" w:rsidRDefault="00000000">
            <w:pPr>
              <w:spacing w:before="60" w:line="240" w:lineRule="auto"/>
              <w:ind w:left="113" w:right="113"/>
              <w:rPr>
                <w:sz w:val="18"/>
                <w:szCs w:val="22"/>
                <w:lang w:val="en-US"/>
              </w:rPr>
            </w:pPr>
          </w:p>
        </w:tc>
        <w:tc>
          <w:tcPr>
            <w:tcW w:w="1500" w:type="dxa"/>
          </w:tcPr>
          <w:p w:rsidR="00000000" w:rsidRDefault="00000000">
            <w:pPr>
              <w:keepNext/>
              <w:spacing w:before="60" w:line="240" w:lineRule="auto"/>
              <w:ind w:left="113" w:right="340"/>
              <w:jc w:val="right"/>
              <w:rPr>
                <w:sz w:val="18"/>
                <w:szCs w:val="22"/>
                <w:lang w:val="en-US"/>
              </w:rPr>
            </w:pPr>
            <w:r>
              <w:rPr>
                <w:sz w:val="18"/>
                <w:szCs w:val="22"/>
                <w:lang w:val="en-US"/>
              </w:rPr>
              <w:t>405 454</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lang w:val="en-US"/>
              </w:rPr>
            </w:pPr>
          </w:p>
        </w:tc>
        <w:tc>
          <w:tcPr>
            <w:tcW w:w="1550" w:type="dxa"/>
          </w:tcPr>
          <w:p w:rsidR="00000000" w:rsidRDefault="00000000">
            <w:pPr>
              <w:keepNext/>
              <w:spacing w:before="60" w:line="240" w:lineRule="auto"/>
              <w:ind w:left="113" w:right="340"/>
              <w:jc w:val="right"/>
              <w:rPr>
                <w:sz w:val="18"/>
                <w:szCs w:val="22"/>
                <w:lang w:val="en-US"/>
              </w:rPr>
            </w:pPr>
            <w:r>
              <w:rPr>
                <w:sz w:val="18"/>
                <w:szCs w:val="22"/>
                <w:lang w:val="en-US"/>
              </w:rPr>
              <w:t>1</w:t>
            </w:r>
            <w:r>
              <w:rPr>
                <w:sz w:val="18"/>
                <w:szCs w:val="22"/>
              </w:rPr>
              <w:t xml:space="preserve"> </w:t>
            </w:r>
            <w:r>
              <w:rPr>
                <w:sz w:val="18"/>
                <w:szCs w:val="22"/>
                <w:lang w:val="en-US"/>
              </w:rPr>
              <w:t>107</w:t>
            </w:r>
            <w:r>
              <w:rPr>
                <w:sz w:val="18"/>
                <w:szCs w:val="22"/>
              </w:rPr>
              <w:t xml:space="preserve"> </w:t>
            </w:r>
            <w:r>
              <w:rPr>
                <w:sz w:val="18"/>
                <w:szCs w:val="22"/>
                <w:lang w:val="en-US"/>
              </w:rPr>
              <w:t>599</w:t>
            </w:r>
          </w:p>
        </w:tc>
        <w:tc>
          <w:tcPr>
            <w:tcW w:w="3178" w:type="dxa"/>
          </w:tcPr>
          <w:p w:rsidR="00000000" w:rsidRDefault="00000000">
            <w:pPr>
              <w:spacing w:before="60" w:line="240" w:lineRule="auto"/>
              <w:ind w:left="113" w:right="113"/>
              <w:rPr>
                <w:sz w:val="18"/>
                <w:szCs w:val="22"/>
                <w:lang w:val="en-US"/>
              </w:rPr>
            </w:pPr>
          </w:p>
        </w:tc>
        <w:tc>
          <w:tcPr>
            <w:tcW w:w="1500" w:type="dxa"/>
          </w:tcPr>
          <w:p w:rsidR="00000000" w:rsidRDefault="00000000">
            <w:pPr>
              <w:keepNext/>
              <w:spacing w:before="60" w:line="240" w:lineRule="auto"/>
              <w:ind w:left="113" w:right="340"/>
              <w:jc w:val="right"/>
              <w:rPr>
                <w:sz w:val="18"/>
                <w:szCs w:val="22"/>
                <w:lang w:val="en-US"/>
              </w:rPr>
            </w:pPr>
            <w:r>
              <w:rPr>
                <w:sz w:val="18"/>
                <w:szCs w:val="22"/>
                <w:lang w:val="en-US"/>
              </w:rPr>
              <w:t>434 306</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lang w:val="en-US"/>
              </w:rPr>
            </w:pPr>
          </w:p>
        </w:tc>
        <w:tc>
          <w:tcPr>
            <w:tcW w:w="1550" w:type="dxa"/>
          </w:tcPr>
          <w:p w:rsidR="00000000" w:rsidRDefault="00000000">
            <w:pPr>
              <w:keepNext/>
              <w:spacing w:before="60" w:line="240" w:lineRule="auto"/>
              <w:ind w:left="113" w:right="340"/>
              <w:jc w:val="right"/>
              <w:rPr>
                <w:sz w:val="18"/>
                <w:szCs w:val="22"/>
                <w:lang w:val="en-US"/>
              </w:rPr>
            </w:pPr>
            <w:r>
              <w:rPr>
                <w:sz w:val="18"/>
                <w:szCs w:val="22"/>
                <w:lang w:val="en-US"/>
              </w:rPr>
              <w:t>1</w:t>
            </w:r>
            <w:r>
              <w:rPr>
                <w:sz w:val="18"/>
                <w:szCs w:val="22"/>
              </w:rPr>
              <w:t xml:space="preserve"> </w:t>
            </w:r>
            <w:r>
              <w:rPr>
                <w:sz w:val="18"/>
                <w:szCs w:val="22"/>
                <w:lang w:val="en-US"/>
              </w:rPr>
              <w:t>077 063</w:t>
            </w:r>
          </w:p>
        </w:tc>
        <w:tc>
          <w:tcPr>
            <w:tcW w:w="3178" w:type="dxa"/>
          </w:tcPr>
          <w:p w:rsidR="00000000" w:rsidRDefault="00000000">
            <w:pPr>
              <w:spacing w:before="60" w:line="240" w:lineRule="auto"/>
              <w:ind w:left="113" w:right="113"/>
              <w:rPr>
                <w:sz w:val="18"/>
                <w:szCs w:val="22"/>
                <w:lang w:val="en-US"/>
              </w:rPr>
            </w:pPr>
          </w:p>
        </w:tc>
        <w:tc>
          <w:tcPr>
            <w:tcW w:w="1500" w:type="dxa"/>
          </w:tcPr>
          <w:p w:rsidR="00000000" w:rsidRDefault="00000000">
            <w:pPr>
              <w:keepNext/>
              <w:spacing w:before="60" w:line="240" w:lineRule="auto"/>
              <w:ind w:left="113" w:right="340"/>
              <w:jc w:val="right"/>
              <w:rPr>
                <w:sz w:val="18"/>
                <w:szCs w:val="22"/>
                <w:lang w:val="en-US"/>
              </w:rPr>
            </w:pPr>
            <w:r>
              <w:rPr>
                <w:sz w:val="18"/>
                <w:szCs w:val="22"/>
                <w:lang w:val="en-US"/>
              </w:rPr>
              <w:t>446 309</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lang w:val="en-US"/>
              </w:rPr>
            </w:pPr>
          </w:p>
        </w:tc>
        <w:tc>
          <w:tcPr>
            <w:tcW w:w="1550" w:type="dxa"/>
          </w:tcPr>
          <w:p w:rsidR="00000000" w:rsidRDefault="00000000">
            <w:pPr>
              <w:keepNext/>
              <w:spacing w:before="60" w:line="240" w:lineRule="auto"/>
              <w:ind w:left="113" w:right="340"/>
              <w:jc w:val="right"/>
              <w:rPr>
                <w:sz w:val="18"/>
                <w:szCs w:val="22"/>
                <w:lang w:val="en-US"/>
              </w:rPr>
            </w:pPr>
            <w:r>
              <w:rPr>
                <w:sz w:val="18"/>
                <w:szCs w:val="22"/>
                <w:lang w:val="en-US"/>
              </w:rPr>
              <w:t>1 006</w:t>
            </w:r>
            <w:r>
              <w:rPr>
                <w:sz w:val="18"/>
                <w:szCs w:val="22"/>
              </w:rPr>
              <w:t xml:space="preserve"> </w:t>
            </w:r>
            <w:r>
              <w:rPr>
                <w:sz w:val="18"/>
                <w:szCs w:val="22"/>
                <w:lang w:val="en-US"/>
              </w:rPr>
              <w:t>389</w:t>
            </w:r>
          </w:p>
        </w:tc>
        <w:tc>
          <w:tcPr>
            <w:tcW w:w="3178" w:type="dxa"/>
          </w:tcPr>
          <w:p w:rsidR="00000000" w:rsidRDefault="00000000">
            <w:pPr>
              <w:spacing w:before="60" w:line="240" w:lineRule="auto"/>
              <w:ind w:left="113" w:right="113"/>
              <w:rPr>
                <w:sz w:val="18"/>
                <w:szCs w:val="22"/>
                <w:lang w:val="en-US"/>
              </w:rPr>
            </w:pPr>
          </w:p>
        </w:tc>
        <w:tc>
          <w:tcPr>
            <w:tcW w:w="1500" w:type="dxa"/>
          </w:tcPr>
          <w:p w:rsidR="00000000" w:rsidRDefault="00000000">
            <w:pPr>
              <w:keepNext/>
              <w:spacing w:before="60" w:line="240" w:lineRule="auto"/>
              <w:ind w:left="113" w:right="340"/>
              <w:jc w:val="right"/>
              <w:rPr>
                <w:sz w:val="18"/>
                <w:szCs w:val="22"/>
                <w:lang w:val="en-US"/>
              </w:rPr>
            </w:pPr>
            <w:r>
              <w:rPr>
                <w:sz w:val="18"/>
                <w:szCs w:val="22"/>
                <w:lang w:val="en-US"/>
              </w:rPr>
              <w:t>441 005</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lang w:val="en-US"/>
              </w:rPr>
            </w:pPr>
          </w:p>
        </w:tc>
        <w:tc>
          <w:tcPr>
            <w:tcW w:w="1550" w:type="dxa"/>
          </w:tcPr>
          <w:p w:rsidR="00000000" w:rsidRDefault="00000000">
            <w:pPr>
              <w:keepNext/>
              <w:spacing w:before="60" w:line="240" w:lineRule="auto"/>
              <w:ind w:left="113" w:right="340"/>
              <w:jc w:val="right"/>
              <w:rPr>
                <w:sz w:val="18"/>
                <w:szCs w:val="22"/>
                <w:lang w:val="en-US"/>
              </w:rPr>
            </w:pPr>
            <w:r>
              <w:rPr>
                <w:sz w:val="18"/>
                <w:szCs w:val="22"/>
                <w:lang w:val="en-US"/>
              </w:rPr>
              <w:t>899 499</w:t>
            </w:r>
          </w:p>
        </w:tc>
        <w:tc>
          <w:tcPr>
            <w:tcW w:w="3178" w:type="dxa"/>
          </w:tcPr>
          <w:p w:rsidR="00000000" w:rsidRDefault="00000000">
            <w:pPr>
              <w:spacing w:before="60" w:line="240" w:lineRule="auto"/>
              <w:ind w:left="113" w:right="113"/>
              <w:rPr>
                <w:sz w:val="18"/>
                <w:szCs w:val="22"/>
                <w:lang w:val="en-US"/>
              </w:rPr>
            </w:pPr>
          </w:p>
        </w:tc>
        <w:tc>
          <w:tcPr>
            <w:tcW w:w="1500" w:type="dxa"/>
          </w:tcPr>
          <w:p w:rsidR="00000000" w:rsidRDefault="00000000">
            <w:pPr>
              <w:keepNext/>
              <w:spacing w:before="60" w:line="240" w:lineRule="auto"/>
              <w:ind w:left="113" w:right="340"/>
              <w:jc w:val="right"/>
              <w:rPr>
                <w:sz w:val="18"/>
                <w:szCs w:val="22"/>
                <w:lang w:val="en-US"/>
              </w:rPr>
            </w:pPr>
            <w:r>
              <w:rPr>
                <w:sz w:val="18"/>
                <w:szCs w:val="22"/>
                <w:lang w:val="en-US"/>
              </w:rPr>
              <w:t>433 966</w:t>
            </w:r>
          </w:p>
        </w:tc>
      </w:tr>
      <w:tr w:rsidR="00000000">
        <w:tblPrEx>
          <w:tblCellMar>
            <w:top w:w="0" w:type="dxa"/>
            <w:bottom w:w="0" w:type="dxa"/>
          </w:tblCellMar>
        </w:tblPrEx>
        <w:tc>
          <w:tcPr>
            <w:tcW w:w="3127"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Количество дней</w:t>
            </w:r>
          </w:p>
        </w:tc>
        <w:tc>
          <w:tcPr>
            <w:tcW w:w="1550" w:type="dxa"/>
            <w:vAlign w:val="bottom"/>
          </w:tcPr>
          <w:p w:rsidR="00000000" w:rsidRDefault="00000000">
            <w:pPr>
              <w:keepNext/>
              <w:spacing w:before="60" w:line="240" w:lineRule="auto"/>
              <w:ind w:left="113" w:right="340"/>
              <w:jc w:val="right"/>
              <w:rPr>
                <w:sz w:val="18"/>
                <w:szCs w:val="22"/>
              </w:rPr>
            </w:pPr>
            <w:r>
              <w:rPr>
                <w:sz w:val="18"/>
                <w:szCs w:val="22"/>
              </w:rPr>
              <w:t>9 387 341</w:t>
            </w:r>
          </w:p>
        </w:tc>
        <w:tc>
          <w:tcPr>
            <w:tcW w:w="3178" w:type="dxa"/>
          </w:tcPr>
          <w:p w:rsidR="00000000" w:rsidRDefault="00000000">
            <w:pPr>
              <w:keepNext/>
              <w:numPr>
                <w:ilvl w:val="0"/>
                <w:numId w:val="43"/>
              </w:numPr>
              <w:tabs>
                <w:tab w:val="clear" w:pos="360"/>
              </w:tabs>
              <w:spacing w:before="60" w:line="240" w:lineRule="auto"/>
              <w:ind w:left="126" w:right="113" w:hanging="18"/>
              <w:rPr>
                <w:sz w:val="18"/>
                <w:szCs w:val="22"/>
              </w:rPr>
            </w:pPr>
            <w:r>
              <w:rPr>
                <w:sz w:val="18"/>
                <w:szCs w:val="22"/>
              </w:rPr>
              <w:t>Количество дней</w:t>
            </w:r>
          </w:p>
        </w:tc>
        <w:tc>
          <w:tcPr>
            <w:tcW w:w="1500" w:type="dxa"/>
            <w:vAlign w:val="bottom"/>
          </w:tcPr>
          <w:p w:rsidR="00000000" w:rsidRDefault="00000000">
            <w:pPr>
              <w:keepNext/>
              <w:spacing w:before="60" w:line="240" w:lineRule="auto"/>
              <w:ind w:left="113" w:right="340"/>
              <w:jc w:val="right"/>
              <w:rPr>
                <w:sz w:val="18"/>
                <w:szCs w:val="22"/>
                <w:lang w:val="en-US"/>
              </w:rPr>
            </w:pPr>
            <w:r>
              <w:rPr>
                <w:sz w:val="18"/>
                <w:szCs w:val="22"/>
                <w:lang w:val="en-US"/>
              </w:rPr>
              <w:t>13</w:t>
            </w:r>
            <w:r>
              <w:rPr>
                <w:sz w:val="18"/>
                <w:szCs w:val="22"/>
              </w:rPr>
              <w:t xml:space="preserve"> </w:t>
            </w:r>
            <w:r>
              <w:rPr>
                <w:sz w:val="18"/>
                <w:szCs w:val="22"/>
                <w:lang w:val="en-US"/>
              </w:rPr>
              <w:t>966 973</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lang w:val="en-US"/>
              </w:rPr>
            </w:pPr>
          </w:p>
        </w:tc>
        <w:tc>
          <w:tcPr>
            <w:tcW w:w="1550" w:type="dxa"/>
          </w:tcPr>
          <w:p w:rsidR="00000000" w:rsidRDefault="00000000">
            <w:pPr>
              <w:keepNext/>
              <w:spacing w:before="60" w:line="240" w:lineRule="auto"/>
              <w:ind w:left="113" w:right="340"/>
              <w:jc w:val="right"/>
              <w:rPr>
                <w:sz w:val="18"/>
                <w:szCs w:val="22"/>
                <w:lang w:val="en-US"/>
              </w:rPr>
            </w:pPr>
            <w:r>
              <w:rPr>
                <w:sz w:val="18"/>
                <w:szCs w:val="22"/>
                <w:lang w:val="en-US"/>
              </w:rPr>
              <w:t>9</w:t>
            </w:r>
            <w:r>
              <w:rPr>
                <w:sz w:val="18"/>
                <w:szCs w:val="22"/>
              </w:rPr>
              <w:t xml:space="preserve"> </w:t>
            </w:r>
            <w:r>
              <w:rPr>
                <w:sz w:val="18"/>
                <w:szCs w:val="22"/>
                <w:lang w:val="en-US"/>
              </w:rPr>
              <w:t>240</w:t>
            </w:r>
            <w:r>
              <w:rPr>
                <w:sz w:val="18"/>
                <w:szCs w:val="22"/>
              </w:rPr>
              <w:t xml:space="preserve"> </w:t>
            </w:r>
            <w:r>
              <w:rPr>
                <w:sz w:val="18"/>
                <w:szCs w:val="22"/>
                <w:lang w:val="en-US"/>
              </w:rPr>
              <w:t>694</w:t>
            </w:r>
          </w:p>
        </w:tc>
        <w:tc>
          <w:tcPr>
            <w:tcW w:w="3178" w:type="dxa"/>
          </w:tcPr>
          <w:p w:rsidR="00000000" w:rsidRDefault="00000000">
            <w:pPr>
              <w:spacing w:before="60" w:line="240" w:lineRule="auto"/>
              <w:ind w:left="113" w:right="113"/>
              <w:rPr>
                <w:sz w:val="18"/>
                <w:szCs w:val="22"/>
                <w:lang w:val="en-US"/>
              </w:rPr>
            </w:pPr>
          </w:p>
        </w:tc>
        <w:tc>
          <w:tcPr>
            <w:tcW w:w="1500" w:type="dxa"/>
          </w:tcPr>
          <w:p w:rsidR="00000000" w:rsidRDefault="00000000">
            <w:pPr>
              <w:keepNext/>
              <w:spacing w:before="60" w:line="240" w:lineRule="auto"/>
              <w:ind w:left="113" w:right="340"/>
              <w:jc w:val="right"/>
              <w:rPr>
                <w:sz w:val="18"/>
                <w:szCs w:val="22"/>
                <w:lang w:val="en-US"/>
              </w:rPr>
            </w:pPr>
            <w:r>
              <w:rPr>
                <w:sz w:val="18"/>
                <w:szCs w:val="22"/>
                <w:lang w:val="en-US"/>
              </w:rPr>
              <w:t>14</w:t>
            </w:r>
            <w:r>
              <w:rPr>
                <w:sz w:val="18"/>
                <w:szCs w:val="22"/>
              </w:rPr>
              <w:t xml:space="preserve"> </w:t>
            </w:r>
            <w:r>
              <w:rPr>
                <w:sz w:val="18"/>
                <w:szCs w:val="22"/>
                <w:lang w:val="en-US"/>
              </w:rPr>
              <w:t>664</w:t>
            </w:r>
            <w:r>
              <w:rPr>
                <w:sz w:val="18"/>
                <w:szCs w:val="22"/>
              </w:rPr>
              <w:t xml:space="preserve"> </w:t>
            </w:r>
            <w:r>
              <w:rPr>
                <w:sz w:val="18"/>
                <w:szCs w:val="22"/>
                <w:lang w:val="en-US"/>
              </w:rPr>
              <w:t>369</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lang w:val="en-US"/>
              </w:rPr>
            </w:pPr>
          </w:p>
        </w:tc>
        <w:tc>
          <w:tcPr>
            <w:tcW w:w="1550" w:type="dxa"/>
          </w:tcPr>
          <w:p w:rsidR="00000000" w:rsidRDefault="00000000">
            <w:pPr>
              <w:keepNext/>
              <w:spacing w:before="60" w:line="240" w:lineRule="auto"/>
              <w:ind w:left="113" w:right="340"/>
              <w:jc w:val="right"/>
              <w:rPr>
                <w:sz w:val="18"/>
                <w:szCs w:val="22"/>
                <w:lang w:val="en-US"/>
              </w:rPr>
            </w:pPr>
            <w:r>
              <w:rPr>
                <w:sz w:val="18"/>
                <w:szCs w:val="22"/>
                <w:lang w:val="en-US"/>
              </w:rPr>
              <w:t>9</w:t>
            </w:r>
            <w:r>
              <w:rPr>
                <w:sz w:val="18"/>
                <w:szCs w:val="22"/>
              </w:rPr>
              <w:t xml:space="preserve"> </w:t>
            </w:r>
            <w:r>
              <w:rPr>
                <w:sz w:val="18"/>
                <w:szCs w:val="22"/>
                <w:lang w:val="en-US"/>
              </w:rPr>
              <w:t>109 674</w:t>
            </w:r>
          </w:p>
        </w:tc>
        <w:tc>
          <w:tcPr>
            <w:tcW w:w="3178" w:type="dxa"/>
          </w:tcPr>
          <w:p w:rsidR="00000000" w:rsidRDefault="00000000">
            <w:pPr>
              <w:spacing w:before="60" w:line="240" w:lineRule="auto"/>
              <w:ind w:left="113" w:right="113"/>
              <w:rPr>
                <w:sz w:val="18"/>
                <w:szCs w:val="22"/>
                <w:lang w:val="en-US"/>
              </w:rPr>
            </w:pPr>
          </w:p>
        </w:tc>
        <w:tc>
          <w:tcPr>
            <w:tcW w:w="1500" w:type="dxa"/>
          </w:tcPr>
          <w:p w:rsidR="00000000" w:rsidRDefault="00000000">
            <w:pPr>
              <w:keepNext/>
              <w:spacing w:before="60" w:line="240" w:lineRule="auto"/>
              <w:ind w:left="113" w:right="340"/>
              <w:jc w:val="right"/>
              <w:rPr>
                <w:sz w:val="18"/>
                <w:szCs w:val="22"/>
                <w:lang w:val="en-US"/>
              </w:rPr>
            </w:pPr>
            <w:r>
              <w:rPr>
                <w:sz w:val="18"/>
                <w:szCs w:val="22"/>
                <w:lang w:val="en-US"/>
              </w:rPr>
              <w:t>15</w:t>
            </w:r>
            <w:r>
              <w:rPr>
                <w:sz w:val="18"/>
                <w:szCs w:val="22"/>
              </w:rPr>
              <w:t xml:space="preserve"> </w:t>
            </w:r>
            <w:r>
              <w:rPr>
                <w:sz w:val="18"/>
                <w:szCs w:val="22"/>
                <w:lang w:val="en-US"/>
              </w:rPr>
              <w:t>918</w:t>
            </w:r>
            <w:r>
              <w:rPr>
                <w:sz w:val="18"/>
                <w:szCs w:val="22"/>
              </w:rPr>
              <w:t xml:space="preserve"> </w:t>
            </w:r>
            <w:r>
              <w:rPr>
                <w:sz w:val="18"/>
                <w:szCs w:val="22"/>
                <w:lang w:val="en-US"/>
              </w:rPr>
              <w:t>799</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lang w:val="en-US"/>
              </w:rPr>
            </w:pPr>
          </w:p>
        </w:tc>
        <w:tc>
          <w:tcPr>
            <w:tcW w:w="1550" w:type="dxa"/>
          </w:tcPr>
          <w:p w:rsidR="00000000" w:rsidRDefault="00000000">
            <w:pPr>
              <w:keepNext/>
              <w:spacing w:before="60" w:line="240" w:lineRule="auto"/>
              <w:ind w:left="113" w:right="340"/>
              <w:jc w:val="right"/>
              <w:rPr>
                <w:sz w:val="18"/>
                <w:szCs w:val="22"/>
                <w:lang w:val="en-US"/>
              </w:rPr>
            </w:pPr>
            <w:r>
              <w:rPr>
                <w:sz w:val="18"/>
                <w:szCs w:val="22"/>
                <w:lang w:val="en-US"/>
              </w:rPr>
              <w:t>8 571</w:t>
            </w:r>
            <w:r>
              <w:rPr>
                <w:sz w:val="18"/>
                <w:szCs w:val="22"/>
              </w:rPr>
              <w:t xml:space="preserve"> </w:t>
            </w:r>
            <w:r>
              <w:rPr>
                <w:sz w:val="18"/>
                <w:szCs w:val="22"/>
                <w:lang w:val="en-US"/>
              </w:rPr>
              <w:t>204</w:t>
            </w:r>
          </w:p>
        </w:tc>
        <w:tc>
          <w:tcPr>
            <w:tcW w:w="3178" w:type="dxa"/>
          </w:tcPr>
          <w:p w:rsidR="00000000" w:rsidRDefault="00000000">
            <w:pPr>
              <w:spacing w:before="60" w:line="240" w:lineRule="auto"/>
              <w:ind w:left="113" w:right="113"/>
              <w:rPr>
                <w:sz w:val="18"/>
                <w:szCs w:val="22"/>
                <w:lang w:val="en-US"/>
              </w:rPr>
            </w:pPr>
          </w:p>
        </w:tc>
        <w:tc>
          <w:tcPr>
            <w:tcW w:w="1500" w:type="dxa"/>
          </w:tcPr>
          <w:p w:rsidR="00000000" w:rsidRDefault="00000000">
            <w:pPr>
              <w:keepNext/>
              <w:spacing w:before="60" w:line="240" w:lineRule="auto"/>
              <w:ind w:left="113" w:right="340"/>
              <w:jc w:val="right"/>
              <w:rPr>
                <w:sz w:val="18"/>
                <w:szCs w:val="22"/>
                <w:lang w:val="en-US"/>
              </w:rPr>
            </w:pPr>
            <w:r>
              <w:rPr>
                <w:sz w:val="18"/>
                <w:szCs w:val="22"/>
                <w:lang w:val="en-US"/>
              </w:rPr>
              <w:t>16</w:t>
            </w:r>
            <w:r>
              <w:rPr>
                <w:sz w:val="18"/>
                <w:szCs w:val="22"/>
              </w:rPr>
              <w:t xml:space="preserve"> </w:t>
            </w:r>
            <w:r>
              <w:rPr>
                <w:sz w:val="18"/>
                <w:szCs w:val="22"/>
                <w:lang w:val="en-US"/>
              </w:rPr>
              <w:t>376 656</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lang w:val="en-US"/>
              </w:rPr>
            </w:pPr>
          </w:p>
        </w:tc>
        <w:tc>
          <w:tcPr>
            <w:tcW w:w="1550" w:type="dxa"/>
          </w:tcPr>
          <w:p w:rsidR="00000000" w:rsidRDefault="00000000">
            <w:pPr>
              <w:keepNext/>
              <w:spacing w:before="60" w:line="240" w:lineRule="auto"/>
              <w:ind w:left="113" w:right="340"/>
              <w:jc w:val="right"/>
              <w:rPr>
                <w:sz w:val="18"/>
                <w:szCs w:val="22"/>
                <w:lang w:val="en-US"/>
              </w:rPr>
            </w:pPr>
            <w:r>
              <w:rPr>
                <w:sz w:val="18"/>
                <w:szCs w:val="22"/>
                <w:lang w:val="en-US"/>
              </w:rPr>
              <w:t>7</w:t>
            </w:r>
            <w:r>
              <w:rPr>
                <w:sz w:val="18"/>
                <w:szCs w:val="22"/>
              </w:rPr>
              <w:t xml:space="preserve"> </w:t>
            </w:r>
            <w:r>
              <w:rPr>
                <w:sz w:val="18"/>
                <w:szCs w:val="22"/>
                <w:lang w:val="en-US"/>
              </w:rPr>
              <w:t>872 416</w:t>
            </w:r>
          </w:p>
        </w:tc>
        <w:tc>
          <w:tcPr>
            <w:tcW w:w="3178" w:type="dxa"/>
          </w:tcPr>
          <w:p w:rsidR="00000000" w:rsidRDefault="00000000">
            <w:pPr>
              <w:spacing w:before="60" w:line="240" w:lineRule="auto"/>
              <w:ind w:left="113" w:right="113"/>
              <w:rPr>
                <w:sz w:val="18"/>
                <w:szCs w:val="22"/>
                <w:lang w:val="en-US"/>
              </w:rPr>
            </w:pPr>
          </w:p>
        </w:tc>
        <w:tc>
          <w:tcPr>
            <w:tcW w:w="1500" w:type="dxa"/>
          </w:tcPr>
          <w:p w:rsidR="00000000" w:rsidRDefault="00000000">
            <w:pPr>
              <w:keepNext/>
              <w:spacing w:before="60" w:line="240" w:lineRule="auto"/>
              <w:ind w:left="113" w:right="340"/>
              <w:jc w:val="right"/>
              <w:rPr>
                <w:sz w:val="18"/>
                <w:szCs w:val="22"/>
                <w:lang w:val="en-US"/>
              </w:rPr>
            </w:pPr>
            <w:r>
              <w:rPr>
                <w:sz w:val="18"/>
                <w:szCs w:val="22"/>
                <w:lang w:val="en-US"/>
              </w:rPr>
              <w:t>16</w:t>
            </w:r>
            <w:r>
              <w:rPr>
                <w:sz w:val="18"/>
                <w:szCs w:val="22"/>
              </w:rPr>
              <w:t xml:space="preserve"> </w:t>
            </w:r>
            <w:r>
              <w:rPr>
                <w:sz w:val="18"/>
                <w:szCs w:val="22"/>
                <w:lang w:val="en-US"/>
              </w:rPr>
              <w:t>337</w:t>
            </w:r>
            <w:r>
              <w:rPr>
                <w:sz w:val="18"/>
                <w:szCs w:val="22"/>
              </w:rPr>
              <w:t xml:space="preserve"> </w:t>
            </w:r>
            <w:r>
              <w:rPr>
                <w:sz w:val="18"/>
                <w:szCs w:val="22"/>
                <w:lang w:val="en-US"/>
              </w:rPr>
              <w:t>251</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lang w:val="en-US"/>
              </w:rPr>
            </w:pPr>
          </w:p>
        </w:tc>
        <w:tc>
          <w:tcPr>
            <w:tcW w:w="1550" w:type="dxa"/>
          </w:tcPr>
          <w:p w:rsidR="00000000" w:rsidRDefault="00000000">
            <w:pPr>
              <w:keepNext/>
              <w:spacing w:before="60" w:line="240" w:lineRule="auto"/>
              <w:ind w:left="113" w:right="340"/>
              <w:jc w:val="right"/>
              <w:rPr>
                <w:sz w:val="18"/>
                <w:szCs w:val="22"/>
                <w:lang w:val="en-US"/>
              </w:rPr>
            </w:pPr>
            <w:r>
              <w:rPr>
                <w:sz w:val="18"/>
                <w:szCs w:val="22"/>
                <w:lang w:val="en-US"/>
              </w:rPr>
              <w:t>6 976</w:t>
            </w:r>
            <w:r>
              <w:rPr>
                <w:sz w:val="18"/>
                <w:szCs w:val="22"/>
              </w:rPr>
              <w:t xml:space="preserve"> </w:t>
            </w:r>
            <w:r>
              <w:rPr>
                <w:sz w:val="18"/>
                <w:szCs w:val="22"/>
                <w:lang w:val="en-US"/>
              </w:rPr>
              <w:t>973</w:t>
            </w:r>
          </w:p>
        </w:tc>
        <w:tc>
          <w:tcPr>
            <w:tcW w:w="3178" w:type="dxa"/>
          </w:tcPr>
          <w:p w:rsidR="00000000" w:rsidRDefault="00000000">
            <w:pPr>
              <w:spacing w:before="60" w:line="240" w:lineRule="auto"/>
              <w:ind w:left="113" w:right="113"/>
              <w:rPr>
                <w:sz w:val="18"/>
                <w:szCs w:val="22"/>
                <w:lang w:val="en-US"/>
              </w:rPr>
            </w:pPr>
          </w:p>
        </w:tc>
        <w:tc>
          <w:tcPr>
            <w:tcW w:w="1500" w:type="dxa"/>
          </w:tcPr>
          <w:p w:rsidR="00000000" w:rsidRDefault="00000000">
            <w:pPr>
              <w:keepNext/>
              <w:spacing w:before="60" w:line="240" w:lineRule="auto"/>
              <w:ind w:left="113" w:right="340"/>
              <w:jc w:val="right"/>
              <w:rPr>
                <w:sz w:val="18"/>
                <w:szCs w:val="22"/>
                <w:lang w:val="en-US"/>
              </w:rPr>
            </w:pPr>
            <w:r>
              <w:rPr>
                <w:sz w:val="18"/>
                <w:szCs w:val="22"/>
                <w:lang w:val="en-US"/>
              </w:rPr>
              <w:t>16</w:t>
            </w:r>
            <w:r>
              <w:rPr>
                <w:sz w:val="18"/>
                <w:szCs w:val="22"/>
              </w:rPr>
              <w:t xml:space="preserve"> </w:t>
            </w:r>
            <w:r>
              <w:rPr>
                <w:sz w:val="18"/>
                <w:szCs w:val="22"/>
                <w:lang w:val="en-US"/>
              </w:rPr>
              <w:t>060 315</w:t>
            </w:r>
          </w:p>
        </w:tc>
      </w:tr>
      <w:tr w:rsidR="00000000">
        <w:tblPrEx>
          <w:tblCellMar>
            <w:top w:w="0" w:type="dxa"/>
            <w:bottom w:w="0" w:type="dxa"/>
          </w:tblCellMar>
        </w:tblPrEx>
        <w:trPr>
          <w:cantSplit/>
        </w:trPr>
        <w:tc>
          <w:tcPr>
            <w:tcW w:w="4677" w:type="dxa"/>
            <w:gridSpan w:val="2"/>
          </w:tcPr>
          <w:p w:rsidR="00000000" w:rsidRDefault="00000000">
            <w:pPr>
              <w:keepNext/>
              <w:spacing w:before="60" w:line="240" w:lineRule="auto"/>
              <w:ind w:left="113" w:right="340"/>
              <w:rPr>
                <w:sz w:val="18"/>
                <w:szCs w:val="22"/>
              </w:rPr>
            </w:pPr>
            <w:r>
              <w:rPr>
                <w:sz w:val="18"/>
                <w:szCs w:val="22"/>
              </w:rPr>
              <w:t>Материальная помощь на покрытие погребальных расходов</w:t>
            </w:r>
          </w:p>
        </w:tc>
        <w:tc>
          <w:tcPr>
            <w:tcW w:w="4678" w:type="dxa"/>
            <w:gridSpan w:val="2"/>
          </w:tcPr>
          <w:p w:rsidR="00000000" w:rsidRDefault="00000000">
            <w:pPr>
              <w:keepNext/>
              <w:spacing w:before="60" w:line="240" w:lineRule="auto"/>
              <w:ind w:left="113" w:right="340"/>
              <w:rPr>
                <w:sz w:val="18"/>
                <w:szCs w:val="22"/>
              </w:rPr>
            </w:pPr>
            <w:r>
              <w:rPr>
                <w:sz w:val="18"/>
                <w:szCs w:val="22"/>
              </w:rPr>
              <w:t>Материальная помощь на покрытие расходов в связи с заключением брака</w:t>
            </w:r>
          </w:p>
        </w:tc>
      </w:tr>
      <w:tr w:rsidR="00000000">
        <w:tblPrEx>
          <w:tblCellMar>
            <w:top w:w="0" w:type="dxa"/>
            <w:bottom w:w="0" w:type="dxa"/>
          </w:tblCellMar>
        </w:tblPrEx>
        <w:tc>
          <w:tcPr>
            <w:tcW w:w="3127" w:type="dxa"/>
          </w:tcPr>
          <w:p w:rsidR="00000000" w:rsidRDefault="00000000">
            <w:pPr>
              <w:keepNext/>
              <w:spacing w:before="60" w:line="240" w:lineRule="auto"/>
              <w:ind w:left="113" w:right="113"/>
              <w:rPr>
                <w:i/>
                <w:iCs/>
                <w:sz w:val="18"/>
                <w:szCs w:val="22"/>
                <w:lang w:val="en-US"/>
              </w:rPr>
            </w:pPr>
          </w:p>
        </w:tc>
        <w:tc>
          <w:tcPr>
            <w:tcW w:w="1550" w:type="dxa"/>
            <w:vAlign w:val="bottom"/>
          </w:tcPr>
          <w:p w:rsidR="00000000" w:rsidRDefault="00000000">
            <w:pPr>
              <w:keepNext/>
              <w:spacing w:before="60" w:line="240" w:lineRule="auto"/>
              <w:ind w:left="113" w:right="340"/>
              <w:jc w:val="right"/>
              <w:rPr>
                <w:sz w:val="18"/>
                <w:szCs w:val="22"/>
              </w:rPr>
            </w:pPr>
            <w:r>
              <w:rPr>
                <w:sz w:val="18"/>
                <w:szCs w:val="22"/>
              </w:rPr>
              <w:t>46 798</w:t>
            </w:r>
          </w:p>
        </w:tc>
        <w:tc>
          <w:tcPr>
            <w:tcW w:w="3178" w:type="dxa"/>
            <w:vAlign w:val="center"/>
          </w:tcPr>
          <w:p w:rsidR="00000000" w:rsidRDefault="00000000">
            <w:pPr>
              <w:keepNext/>
              <w:spacing w:before="60" w:line="240" w:lineRule="auto"/>
              <w:ind w:left="113" w:right="113"/>
              <w:rPr>
                <w:i/>
                <w:iCs/>
                <w:w w:val="95"/>
                <w:sz w:val="18"/>
                <w:szCs w:val="22"/>
              </w:rPr>
            </w:pPr>
          </w:p>
        </w:tc>
        <w:tc>
          <w:tcPr>
            <w:tcW w:w="1500" w:type="dxa"/>
            <w:vAlign w:val="bottom"/>
          </w:tcPr>
          <w:p w:rsidR="00000000" w:rsidRDefault="00000000">
            <w:pPr>
              <w:keepNext/>
              <w:spacing w:before="60" w:line="240" w:lineRule="auto"/>
              <w:ind w:left="113" w:right="340"/>
              <w:jc w:val="right"/>
              <w:rPr>
                <w:sz w:val="18"/>
                <w:szCs w:val="22"/>
              </w:rPr>
            </w:pPr>
            <w:r>
              <w:rPr>
                <w:sz w:val="18"/>
                <w:szCs w:val="22"/>
              </w:rPr>
              <w:t>75</w:t>
            </w:r>
          </w:p>
        </w:tc>
      </w:tr>
      <w:tr w:rsidR="00000000">
        <w:tblPrEx>
          <w:tblCellMar>
            <w:top w:w="0" w:type="dxa"/>
            <w:bottom w:w="0" w:type="dxa"/>
          </w:tblCellMar>
        </w:tblPrEx>
        <w:tc>
          <w:tcPr>
            <w:tcW w:w="3127" w:type="dxa"/>
          </w:tcPr>
          <w:p w:rsidR="00000000" w:rsidRDefault="00000000">
            <w:pPr>
              <w:keepNext/>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48 226</w:t>
            </w:r>
          </w:p>
        </w:tc>
        <w:tc>
          <w:tcPr>
            <w:tcW w:w="3178" w:type="dxa"/>
          </w:tcPr>
          <w:p w:rsidR="00000000" w:rsidRDefault="00000000">
            <w:pPr>
              <w:keepNext/>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53 579</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50 166</w:t>
            </w:r>
          </w:p>
        </w:tc>
        <w:tc>
          <w:tcPr>
            <w:tcW w:w="3178" w:type="dxa"/>
          </w:tcPr>
          <w:p w:rsidR="00000000" w:rsidRDefault="00000000">
            <w:pPr>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60 073</w:t>
            </w:r>
          </w:p>
        </w:tc>
      </w:tr>
      <w:tr w:rsidR="00000000">
        <w:tblPrEx>
          <w:tblCellMar>
            <w:top w:w="0" w:type="dxa"/>
            <w:bottom w:w="0" w:type="dxa"/>
          </w:tblCellMar>
        </w:tblPrEx>
        <w:tc>
          <w:tcPr>
            <w:tcW w:w="3127" w:type="dxa"/>
          </w:tcPr>
          <w:p w:rsidR="00000000" w:rsidRDefault="00000000">
            <w:pPr>
              <w:spacing w:before="60" w:line="240" w:lineRule="auto"/>
              <w:ind w:left="113" w:right="113"/>
              <w:rPr>
                <w:sz w:val="18"/>
                <w:szCs w:val="22"/>
              </w:rPr>
            </w:pPr>
          </w:p>
        </w:tc>
        <w:tc>
          <w:tcPr>
            <w:tcW w:w="1550" w:type="dxa"/>
          </w:tcPr>
          <w:p w:rsidR="00000000" w:rsidRDefault="00000000">
            <w:pPr>
              <w:keepNext/>
              <w:spacing w:before="60" w:line="240" w:lineRule="auto"/>
              <w:ind w:left="113" w:right="340"/>
              <w:jc w:val="right"/>
              <w:rPr>
                <w:sz w:val="18"/>
                <w:szCs w:val="22"/>
              </w:rPr>
            </w:pPr>
            <w:r>
              <w:rPr>
                <w:sz w:val="18"/>
                <w:szCs w:val="22"/>
              </w:rPr>
              <w:t>51 066</w:t>
            </w:r>
          </w:p>
        </w:tc>
        <w:tc>
          <w:tcPr>
            <w:tcW w:w="3178" w:type="dxa"/>
          </w:tcPr>
          <w:p w:rsidR="00000000" w:rsidRDefault="00000000">
            <w:pPr>
              <w:spacing w:before="60" w:line="240" w:lineRule="auto"/>
              <w:ind w:left="113" w:right="113"/>
              <w:rPr>
                <w:sz w:val="18"/>
                <w:szCs w:val="22"/>
              </w:rPr>
            </w:pPr>
          </w:p>
        </w:tc>
        <w:tc>
          <w:tcPr>
            <w:tcW w:w="1500" w:type="dxa"/>
          </w:tcPr>
          <w:p w:rsidR="00000000" w:rsidRDefault="00000000">
            <w:pPr>
              <w:keepNext/>
              <w:spacing w:before="60" w:line="240" w:lineRule="auto"/>
              <w:ind w:left="113" w:right="340"/>
              <w:jc w:val="right"/>
              <w:rPr>
                <w:sz w:val="18"/>
                <w:szCs w:val="22"/>
              </w:rPr>
            </w:pPr>
            <w:r>
              <w:rPr>
                <w:sz w:val="18"/>
                <w:szCs w:val="22"/>
              </w:rPr>
              <w:t>64 191</w:t>
            </w:r>
          </w:p>
        </w:tc>
      </w:tr>
      <w:tr w:rsidR="00000000">
        <w:tblPrEx>
          <w:tblCellMar>
            <w:top w:w="0" w:type="dxa"/>
            <w:bottom w:w="0" w:type="dxa"/>
          </w:tblCellMar>
        </w:tblPrEx>
        <w:tc>
          <w:tcPr>
            <w:tcW w:w="3127" w:type="dxa"/>
            <w:tcBorders>
              <w:bottom w:val="single" w:sz="4" w:space="0" w:color="auto"/>
            </w:tcBorders>
          </w:tcPr>
          <w:p w:rsidR="00000000" w:rsidRDefault="00000000">
            <w:pPr>
              <w:spacing w:before="60" w:line="240" w:lineRule="auto"/>
              <w:ind w:left="113" w:right="113"/>
              <w:rPr>
                <w:sz w:val="18"/>
                <w:szCs w:val="22"/>
              </w:rPr>
            </w:pPr>
          </w:p>
        </w:tc>
        <w:tc>
          <w:tcPr>
            <w:tcW w:w="1550" w:type="dxa"/>
            <w:tcBorders>
              <w:bottom w:val="single" w:sz="4" w:space="0" w:color="auto"/>
            </w:tcBorders>
          </w:tcPr>
          <w:p w:rsidR="00000000" w:rsidRDefault="00000000">
            <w:pPr>
              <w:keepNext/>
              <w:spacing w:before="60" w:line="240" w:lineRule="auto"/>
              <w:ind w:left="113" w:right="340"/>
              <w:jc w:val="right"/>
              <w:rPr>
                <w:sz w:val="18"/>
                <w:szCs w:val="22"/>
              </w:rPr>
            </w:pPr>
            <w:r>
              <w:rPr>
                <w:sz w:val="18"/>
                <w:szCs w:val="22"/>
              </w:rPr>
              <w:t>49 226</w:t>
            </w:r>
          </w:p>
        </w:tc>
        <w:tc>
          <w:tcPr>
            <w:tcW w:w="3178" w:type="dxa"/>
            <w:tcBorders>
              <w:bottom w:val="single" w:sz="4" w:space="0" w:color="auto"/>
            </w:tcBorders>
          </w:tcPr>
          <w:p w:rsidR="00000000" w:rsidRDefault="00000000">
            <w:pPr>
              <w:spacing w:before="60" w:line="240" w:lineRule="auto"/>
              <w:ind w:left="113" w:right="113"/>
              <w:rPr>
                <w:sz w:val="18"/>
                <w:szCs w:val="22"/>
              </w:rPr>
            </w:pPr>
          </w:p>
        </w:tc>
        <w:tc>
          <w:tcPr>
            <w:tcW w:w="1500" w:type="dxa"/>
            <w:tcBorders>
              <w:bottom w:val="single" w:sz="4" w:space="0" w:color="auto"/>
            </w:tcBorders>
          </w:tcPr>
          <w:p w:rsidR="00000000" w:rsidRDefault="00000000">
            <w:pPr>
              <w:keepNext/>
              <w:spacing w:before="60" w:line="240" w:lineRule="auto"/>
              <w:ind w:left="113" w:right="340"/>
              <w:jc w:val="right"/>
              <w:rPr>
                <w:sz w:val="18"/>
                <w:szCs w:val="22"/>
              </w:rPr>
            </w:pPr>
            <w:r>
              <w:rPr>
                <w:sz w:val="18"/>
                <w:szCs w:val="22"/>
              </w:rPr>
              <w:t>58 505</w:t>
            </w:r>
          </w:p>
        </w:tc>
      </w:tr>
      <w:tr w:rsidR="00000000">
        <w:tblPrEx>
          <w:tblCellMar>
            <w:top w:w="0" w:type="dxa"/>
            <w:bottom w:w="0" w:type="dxa"/>
          </w:tblCellMar>
        </w:tblPrEx>
        <w:tc>
          <w:tcPr>
            <w:tcW w:w="3127" w:type="dxa"/>
            <w:tcBorders>
              <w:bottom w:val="single" w:sz="4" w:space="0" w:color="auto"/>
            </w:tcBorders>
          </w:tcPr>
          <w:p w:rsidR="00000000" w:rsidRDefault="00000000">
            <w:pPr>
              <w:spacing w:before="60" w:line="240" w:lineRule="auto"/>
              <w:ind w:left="113" w:right="113"/>
              <w:rPr>
                <w:sz w:val="18"/>
                <w:szCs w:val="22"/>
              </w:rPr>
            </w:pPr>
          </w:p>
        </w:tc>
        <w:tc>
          <w:tcPr>
            <w:tcW w:w="1550" w:type="dxa"/>
            <w:tcBorders>
              <w:bottom w:val="single" w:sz="4" w:space="0" w:color="auto"/>
            </w:tcBorders>
          </w:tcPr>
          <w:p w:rsidR="00000000" w:rsidRDefault="00000000">
            <w:pPr>
              <w:keepNext/>
              <w:spacing w:before="60" w:line="240" w:lineRule="auto"/>
              <w:ind w:left="113" w:right="340"/>
              <w:jc w:val="right"/>
              <w:rPr>
                <w:sz w:val="18"/>
                <w:szCs w:val="22"/>
              </w:rPr>
            </w:pPr>
            <w:r>
              <w:rPr>
                <w:sz w:val="18"/>
                <w:szCs w:val="22"/>
              </w:rPr>
              <w:t>55 322</w:t>
            </w:r>
          </w:p>
        </w:tc>
        <w:tc>
          <w:tcPr>
            <w:tcW w:w="3178" w:type="dxa"/>
            <w:tcBorders>
              <w:bottom w:val="single" w:sz="4" w:space="0" w:color="auto"/>
            </w:tcBorders>
          </w:tcPr>
          <w:p w:rsidR="00000000" w:rsidRDefault="00000000">
            <w:pPr>
              <w:spacing w:before="60" w:line="240" w:lineRule="auto"/>
              <w:ind w:left="113" w:right="113"/>
              <w:rPr>
                <w:sz w:val="18"/>
                <w:szCs w:val="22"/>
              </w:rPr>
            </w:pPr>
          </w:p>
        </w:tc>
        <w:tc>
          <w:tcPr>
            <w:tcW w:w="1500" w:type="dxa"/>
            <w:tcBorders>
              <w:bottom w:val="single" w:sz="4" w:space="0" w:color="auto"/>
            </w:tcBorders>
          </w:tcPr>
          <w:p w:rsidR="00000000" w:rsidRDefault="00000000">
            <w:pPr>
              <w:keepNext/>
              <w:spacing w:before="60" w:line="240" w:lineRule="auto"/>
              <w:ind w:left="113" w:right="340"/>
              <w:jc w:val="right"/>
              <w:rPr>
                <w:sz w:val="18"/>
                <w:szCs w:val="22"/>
              </w:rPr>
            </w:pPr>
            <w:r>
              <w:rPr>
                <w:sz w:val="18"/>
                <w:szCs w:val="22"/>
              </w:rPr>
              <w:t>64 203</w:t>
            </w:r>
          </w:p>
        </w:tc>
      </w:tr>
      <w:tr w:rsidR="00000000">
        <w:tblPrEx>
          <w:tblCellMar>
            <w:top w:w="0" w:type="dxa"/>
            <w:bottom w:w="0" w:type="dxa"/>
          </w:tblCellMar>
        </w:tblPrEx>
        <w:trPr>
          <w:cantSplit/>
        </w:trPr>
        <w:tc>
          <w:tcPr>
            <w:tcW w:w="9355" w:type="dxa"/>
            <w:gridSpan w:val="4"/>
            <w:tcBorders>
              <w:top w:val="single" w:sz="4" w:space="0" w:color="auto"/>
              <w:left w:val="nil"/>
              <w:bottom w:val="nil"/>
              <w:right w:val="nil"/>
            </w:tcBorders>
          </w:tcPr>
          <w:p w:rsidR="00000000" w:rsidRDefault="00000000">
            <w:pPr>
              <w:keepNext/>
              <w:spacing w:before="120" w:line="240" w:lineRule="auto"/>
              <w:ind w:left="28" w:right="340"/>
              <w:rPr>
                <w:sz w:val="18"/>
                <w:szCs w:val="22"/>
              </w:rPr>
            </w:pPr>
            <w:r>
              <w:rPr>
                <w:i/>
                <w:iCs/>
                <w:sz w:val="18"/>
                <w:szCs w:val="22"/>
              </w:rPr>
              <w:t>Источник</w:t>
            </w:r>
            <w:r>
              <w:rPr>
                <w:sz w:val="18"/>
                <w:szCs w:val="22"/>
              </w:rPr>
              <w:t>:  МИСО, Управление по координации экономической помощи.</w:t>
            </w:r>
          </w:p>
        </w:tc>
      </w:tr>
      <w:tr w:rsidR="00000000">
        <w:tblPrEx>
          <w:tblCellMar>
            <w:top w:w="0" w:type="dxa"/>
            <w:bottom w:w="0" w:type="dxa"/>
          </w:tblCellMar>
        </w:tblPrEx>
        <w:trPr>
          <w:cantSplit/>
        </w:trPr>
        <w:tc>
          <w:tcPr>
            <w:tcW w:w="9355" w:type="dxa"/>
            <w:gridSpan w:val="4"/>
            <w:tcBorders>
              <w:top w:val="nil"/>
              <w:left w:val="nil"/>
              <w:bottom w:val="nil"/>
              <w:right w:val="nil"/>
            </w:tcBorders>
          </w:tcPr>
          <w:p w:rsidR="00000000" w:rsidRDefault="00000000">
            <w:pPr>
              <w:keepNext/>
              <w:spacing w:before="120" w:line="240" w:lineRule="auto"/>
              <w:ind w:left="28" w:right="340"/>
              <w:rPr>
                <w:sz w:val="18"/>
                <w:szCs w:val="22"/>
              </w:rPr>
            </w:pPr>
            <w:r>
              <w:rPr>
                <w:b/>
                <w:bCs/>
                <w:sz w:val="18"/>
                <w:szCs w:val="22"/>
                <w:vertAlign w:val="superscript"/>
              </w:rPr>
              <w:t>1</w:t>
            </w:r>
            <w:r>
              <w:rPr>
                <w:sz w:val="18"/>
                <w:szCs w:val="22"/>
              </w:rPr>
              <w:tab/>
              <w:t>Предварительные данные.</w:t>
            </w:r>
          </w:p>
        </w:tc>
      </w:tr>
    </w:tbl>
    <w:p w:rsidR="00000000" w:rsidRDefault="00000000">
      <w:pPr>
        <w:spacing w:line="240" w:lineRule="auto"/>
      </w:pPr>
    </w:p>
    <w:p w:rsidR="00000000" w:rsidRDefault="00000000">
      <w:r>
        <w:t>329.</w:t>
      </w:r>
      <w:r>
        <w:tab/>
        <w:t>Закон о социальном обеспечении с поправками и дополнениями, опубликованными в "Федеральном официальном вестнике" от 21 ноября 1996 года и от 20 декабря 2001 года, предусматривает повышение следующих социальных выплат:</w:t>
      </w:r>
    </w:p>
    <w:p w:rsidR="00000000" w:rsidRDefault="00000000">
      <w:pPr>
        <w:ind w:left="1134" w:hanging="1134"/>
      </w:pPr>
      <w:r>
        <w:br w:type="page"/>
      </w:r>
      <w:r>
        <w:tab/>
      </w:r>
      <w:r>
        <w:sym w:font="Symbol" w:char="F0B7"/>
      </w:r>
      <w:r>
        <w:tab/>
        <w:t>увеличение размеров и согласование параметров выплат в соответствии с ныне действующим законом от 30 июня 1997 года, что предусматривает, в частности, корректировку в сторону повышения размеров обеих предусмотренных данным законом пенсионных пособий с целью учета действующего национального показателя потребительских цен.</w:t>
      </w:r>
    </w:p>
    <w:p w:rsidR="00000000" w:rsidRDefault="00000000">
      <w:pPr>
        <w:tabs>
          <w:tab w:val="clear" w:pos="1134"/>
        </w:tabs>
        <w:ind w:left="567"/>
      </w:pPr>
    </w:p>
    <w:p w:rsidR="00000000" w:rsidRDefault="00000000">
      <w:pPr>
        <w:numPr>
          <w:ilvl w:val="0"/>
          <w:numId w:val="30"/>
        </w:numPr>
      </w:pPr>
      <w:r>
        <w:t>увеличение минимальных размеров пенсионных пособий по обоим пенсионным режимам в соответствии с законом 1973 года в интересах наиболее уязвимых групп пенсионеров, включая, в частности, лиц в возрасте старше 70 лет, вдов с детьми до 18 лет или несовершеннолетними детьми, а также сирот, лишившихся матери и отца или не имеющих право на получение пенсии;</w:t>
      </w:r>
    </w:p>
    <w:p w:rsidR="00000000" w:rsidRDefault="00000000">
      <w:pPr>
        <w:tabs>
          <w:tab w:val="clear" w:pos="1134"/>
        </w:tabs>
        <w:ind w:left="567"/>
      </w:pPr>
    </w:p>
    <w:p w:rsidR="00000000" w:rsidRDefault="00000000">
      <w:pPr>
        <w:numPr>
          <w:ilvl w:val="0"/>
          <w:numId w:val="30"/>
        </w:numPr>
      </w:pPr>
      <w:r>
        <w:t>с учетом стоящей перед обществом настоятельной необходимости федеральное правительство приняло на себя реализацию мер, направленных на повышение всех пенсионных пособий по вдовству с 90% до 100% двух минимальных заработных плат.</w:t>
      </w:r>
    </w:p>
    <w:p w:rsidR="00000000" w:rsidRDefault="00000000">
      <w:pPr>
        <w:tabs>
          <w:tab w:val="clear" w:pos="1134"/>
        </w:tabs>
        <w:ind w:left="567"/>
      </w:pPr>
    </w:p>
    <w:p w:rsidR="00000000" w:rsidRDefault="00000000">
      <w:r>
        <w:t>330.</w:t>
      </w:r>
      <w:r>
        <w:tab/>
        <w:t>Что касается вышеупомянутых детских учреждений, то предоставляемое в детских садах обслуживание включает санитарно-гигиенические услуги, питание, медицинские услуги, обучение и организацию досуга.</w:t>
      </w:r>
    </w:p>
    <w:p w:rsidR="00000000" w:rsidRDefault="00000000"/>
    <w:p w:rsidR="00000000" w:rsidRDefault="00000000">
      <w:r>
        <w:t>331.</w:t>
      </w:r>
      <w:r>
        <w:tab/>
        <w:t>Услуги учреждений по уходу за детьми предоставляются как в дневную, так и в ночную смену, что позволяет лицам, работающим в ночную смену, отдавать своих детей на попечение соответствующих учреждений.  Изменения, внесенные в 2001 году в закон о социальном обеспечении, предусматривают для лиц, работающих в ночную смену, возможность более эффективного осуществления права на пользование службами детских учреждений по уходу за детьми.</w:t>
      </w:r>
    </w:p>
    <w:p w:rsidR="00000000" w:rsidRDefault="00000000"/>
    <w:p w:rsidR="00000000" w:rsidRDefault="00000000">
      <w:r>
        <w:t>332.</w:t>
      </w:r>
      <w:r>
        <w:tab/>
        <w:t>Для целей ухода за детьми создаются специальные учреждения, расположенные вблизи от предприятий и мест проживания трудящихся, а также в населенных пунктах, где наличие таких учреждений предписывается законом.</w:t>
      </w:r>
    </w:p>
    <w:p w:rsidR="00000000" w:rsidRDefault="00000000"/>
    <w:p w:rsidR="00000000" w:rsidRDefault="00000000">
      <w:r>
        <w:t>333.</w:t>
      </w:r>
      <w:r>
        <w:tab/>
        <w:t>В период 2000-2003 годов количество детских садов увеличилось и составило 420 единиц, рассчитанных на 78 673 ребенка, что означает рост соответственно на 47% и 76%.</w:t>
      </w:r>
    </w:p>
    <w:p w:rsidR="00000000" w:rsidRDefault="00000000"/>
    <w:p w:rsidR="00000000" w:rsidRDefault="00000000">
      <w:pPr>
        <w:pageBreakBefore/>
        <w:jc w:val="center"/>
        <w:rPr>
          <w:b/>
          <w:bCs/>
        </w:rPr>
      </w:pPr>
      <w:r>
        <w:rPr>
          <w:b/>
          <w:bCs/>
        </w:rPr>
        <w:t>Количество детских учреждений по линии МИСО и число детей,</w:t>
      </w:r>
    </w:p>
    <w:p w:rsidR="00000000" w:rsidRDefault="00000000">
      <w:pPr>
        <w:jc w:val="center"/>
        <w:rPr>
          <w:b/>
          <w:bCs/>
        </w:rPr>
      </w:pPr>
      <w:r>
        <w:rPr>
          <w:b/>
          <w:bCs/>
        </w:rPr>
        <w:t>которых они способны принимать, 2000-2003 годы</w:t>
      </w:r>
    </w:p>
    <w:p w:rsidR="00000000" w:rsidRDefault="00000000">
      <w:pPr>
        <w:jc w:val="center"/>
        <w:rPr>
          <w:b/>
          <w:bCs/>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gridCol w:w="4074"/>
        <w:gridCol w:w="3065"/>
      </w:tblGrid>
      <w:tr w:rsidR="00000000">
        <w:tblPrEx>
          <w:tblCellMar>
            <w:top w:w="0" w:type="dxa"/>
            <w:bottom w:w="0" w:type="dxa"/>
          </w:tblCellMar>
        </w:tblPrEx>
        <w:tc>
          <w:tcPr>
            <w:tcW w:w="2156" w:type="dxa"/>
            <w:vAlign w:val="center"/>
          </w:tcPr>
          <w:p w:rsidR="00000000" w:rsidRDefault="00000000">
            <w:pPr>
              <w:spacing w:before="60"/>
              <w:jc w:val="center"/>
              <w:rPr>
                <w:i/>
                <w:iCs/>
                <w:sz w:val="18"/>
              </w:rPr>
            </w:pPr>
            <w:r>
              <w:rPr>
                <w:i/>
                <w:iCs/>
                <w:sz w:val="18"/>
              </w:rPr>
              <w:t>Год</w:t>
            </w:r>
          </w:p>
        </w:tc>
        <w:tc>
          <w:tcPr>
            <w:tcW w:w="4074" w:type="dxa"/>
            <w:vAlign w:val="center"/>
          </w:tcPr>
          <w:p w:rsidR="00000000" w:rsidRDefault="00000000">
            <w:pPr>
              <w:spacing w:before="60"/>
              <w:jc w:val="center"/>
              <w:rPr>
                <w:i/>
                <w:iCs/>
                <w:sz w:val="18"/>
              </w:rPr>
            </w:pPr>
            <w:r>
              <w:rPr>
                <w:i/>
                <w:iCs/>
                <w:sz w:val="18"/>
              </w:rPr>
              <w:t>Определение</w:t>
            </w:r>
          </w:p>
        </w:tc>
        <w:tc>
          <w:tcPr>
            <w:tcW w:w="3065" w:type="dxa"/>
            <w:vAlign w:val="center"/>
          </w:tcPr>
          <w:p w:rsidR="00000000" w:rsidRDefault="00000000">
            <w:pPr>
              <w:spacing w:before="60"/>
              <w:jc w:val="center"/>
              <w:rPr>
                <w:i/>
                <w:iCs/>
                <w:sz w:val="18"/>
              </w:rPr>
            </w:pPr>
            <w:r>
              <w:rPr>
                <w:i/>
                <w:iCs/>
                <w:sz w:val="18"/>
              </w:rPr>
              <w:t>Количественные данные</w:t>
            </w:r>
          </w:p>
        </w:tc>
      </w:tr>
      <w:tr w:rsidR="00000000">
        <w:tblPrEx>
          <w:tblCellMar>
            <w:top w:w="0" w:type="dxa"/>
            <w:bottom w:w="0" w:type="dxa"/>
          </w:tblCellMar>
        </w:tblPrEx>
        <w:trPr>
          <w:cantSplit/>
        </w:trPr>
        <w:tc>
          <w:tcPr>
            <w:tcW w:w="2156" w:type="dxa"/>
            <w:vMerge w:val="restart"/>
            <w:vAlign w:val="center"/>
          </w:tcPr>
          <w:p w:rsidR="00000000" w:rsidRDefault="00000000">
            <w:pPr>
              <w:spacing w:before="60"/>
              <w:rPr>
                <w:sz w:val="18"/>
              </w:rPr>
            </w:pPr>
            <w:r>
              <w:rPr>
                <w:sz w:val="18"/>
              </w:rPr>
              <w:t>2000</w:t>
            </w:r>
          </w:p>
        </w:tc>
        <w:tc>
          <w:tcPr>
            <w:tcW w:w="4074" w:type="dxa"/>
            <w:vAlign w:val="center"/>
          </w:tcPr>
          <w:p w:rsidR="00000000" w:rsidRDefault="00000000">
            <w:pPr>
              <w:spacing w:before="60"/>
              <w:rPr>
                <w:sz w:val="18"/>
              </w:rPr>
            </w:pPr>
            <w:r>
              <w:rPr>
                <w:sz w:val="18"/>
              </w:rPr>
              <w:t>Детские учреждения</w:t>
            </w:r>
          </w:p>
        </w:tc>
        <w:tc>
          <w:tcPr>
            <w:tcW w:w="3065" w:type="dxa"/>
            <w:vAlign w:val="center"/>
          </w:tcPr>
          <w:p w:rsidR="00000000" w:rsidRDefault="00000000">
            <w:pPr>
              <w:spacing w:before="60"/>
              <w:ind w:right="964"/>
              <w:jc w:val="right"/>
              <w:rPr>
                <w:sz w:val="18"/>
              </w:rPr>
            </w:pPr>
            <w:r>
              <w:rPr>
                <w:sz w:val="18"/>
              </w:rPr>
              <w:t>899</w:t>
            </w:r>
          </w:p>
        </w:tc>
      </w:tr>
      <w:tr w:rsidR="00000000">
        <w:tblPrEx>
          <w:tblCellMar>
            <w:top w:w="0" w:type="dxa"/>
            <w:bottom w:w="0" w:type="dxa"/>
          </w:tblCellMar>
        </w:tblPrEx>
        <w:trPr>
          <w:cantSplit/>
        </w:trPr>
        <w:tc>
          <w:tcPr>
            <w:tcW w:w="2156" w:type="dxa"/>
            <w:vMerge/>
            <w:vAlign w:val="center"/>
          </w:tcPr>
          <w:p w:rsidR="00000000" w:rsidRDefault="00000000">
            <w:pPr>
              <w:spacing w:before="60"/>
              <w:rPr>
                <w:sz w:val="18"/>
              </w:rPr>
            </w:pPr>
          </w:p>
        </w:tc>
        <w:tc>
          <w:tcPr>
            <w:tcW w:w="4074" w:type="dxa"/>
            <w:vAlign w:val="center"/>
          </w:tcPr>
          <w:p w:rsidR="00000000" w:rsidRDefault="00000000">
            <w:pPr>
              <w:spacing w:before="60"/>
              <w:rPr>
                <w:sz w:val="18"/>
              </w:rPr>
            </w:pPr>
            <w:r>
              <w:rPr>
                <w:sz w:val="18"/>
              </w:rPr>
              <w:t>Обеспечиваемая вместимость</w:t>
            </w:r>
          </w:p>
        </w:tc>
        <w:tc>
          <w:tcPr>
            <w:tcW w:w="3065" w:type="dxa"/>
            <w:vAlign w:val="center"/>
          </w:tcPr>
          <w:p w:rsidR="00000000" w:rsidRDefault="00000000">
            <w:pPr>
              <w:spacing w:before="60"/>
              <w:ind w:right="964"/>
              <w:jc w:val="right"/>
              <w:rPr>
                <w:sz w:val="18"/>
              </w:rPr>
            </w:pPr>
            <w:r>
              <w:rPr>
                <w:sz w:val="18"/>
              </w:rPr>
              <w:t>103 299</w:t>
            </w:r>
          </w:p>
        </w:tc>
      </w:tr>
      <w:tr w:rsidR="00000000">
        <w:tblPrEx>
          <w:tblCellMar>
            <w:top w:w="0" w:type="dxa"/>
            <w:bottom w:w="0" w:type="dxa"/>
          </w:tblCellMar>
        </w:tblPrEx>
        <w:trPr>
          <w:cantSplit/>
        </w:trPr>
        <w:tc>
          <w:tcPr>
            <w:tcW w:w="2156" w:type="dxa"/>
            <w:vMerge w:val="restart"/>
            <w:vAlign w:val="center"/>
          </w:tcPr>
          <w:p w:rsidR="00000000" w:rsidRDefault="00000000">
            <w:pPr>
              <w:spacing w:before="60"/>
              <w:rPr>
                <w:sz w:val="18"/>
              </w:rPr>
            </w:pPr>
            <w:r>
              <w:rPr>
                <w:sz w:val="18"/>
              </w:rPr>
              <w:t>2001</w:t>
            </w:r>
          </w:p>
        </w:tc>
        <w:tc>
          <w:tcPr>
            <w:tcW w:w="4074" w:type="dxa"/>
            <w:vAlign w:val="center"/>
          </w:tcPr>
          <w:p w:rsidR="00000000" w:rsidRDefault="00000000">
            <w:pPr>
              <w:spacing w:before="60"/>
              <w:rPr>
                <w:sz w:val="18"/>
              </w:rPr>
            </w:pPr>
            <w:r>
              <w:rPr>
                <w:sz w:val="18"/>
              </w:rPr>
              <w:t>Детские учреждения</w:t>
            </w:r>
          </w:p>
        </w:tc>
        <w:tc>
          <w:tcPr>
            <w:tcW w:w="3065" w:type="dxa"/>
            <w:vAlign w:val="center"/>
          </w:tcPr>
          <w:p w:rsidR="00000000" w:rsidRDefault="00000000">
            <w:pPr>
              <w:spacing w:before="60"/>
              <w:ind w:right="964"/>
              <w:jc w:val="right"/>
              <w:rPr>
                <w:sz w:val="18"/>
              </w:rPr>
            </w:pPr>
            <w:r>
              <w:rPr>
                <w:sz w:val="18"/>
              </w:rPr>
              <w:t>1 175</w:t>
            </w:r>
          </w:p>
        </w:tc>
      </w:tr>
      <w:tr w:rsidR="00000000">
        <w:tblPrEx>
          <w:tblCellMar>
            <w:top w:w="0" w:type="dxa"/>
            <w:bottom w:w="0" w:type="dxa"/>
          </w:tblCellMar>
        </w:tblPrEx>
        <w:trPr>
          <w:cantSplit/>
        </w:trPr>
        <w:tc>
          <w:tcPr>
            <w:tcW w:w="2156" w:type="dxa"/>
            <w:vMerge/>
            <w:vAlign w:val="center"/>
          </w:tcPr>
          <w:p w:rsidR="00000000" w:rsidRDefault="00000000">
            <w:pPr>
              <w:spacing w:before="60"/>
              <w:rPr>
                <w:sz w:val="18"/>
              </w:rPr>
            </w:pPr>
          </w:p>
        </w:tc>
        <w:tc>
          <w:tcPr>
            <w:tcW w:w="4074" w:type="dxa"/>
            <w:vAlign w:val="center"/>
          </w:tcPr>
          <w:p w:rsidR="00000000" w:rsidRDefault="00000000">
            <w:pPr>
              <w:spacing w:before="60"/>
              <w:rPr>
                <w:sz w:val="18"/>
              </w:rPr>
            </w:pPr>
            <w:r>
              <w:rPr>
                <w:sz w:val="18"/>
              </w:rPr>
              <w:t>Обеспечиваемая вместимость</w:t>
            </w:r>
          </w:p>
        </w:tc>
        <w:tc>
          <w:tcPr>
            <w:tcW w:w="3065" w:type="dxa"/>
            <w:vAlign w:val="center"/>
          </w:tcPr>
          <w:p w:rsidR="00000000" w:rsidRDefault="00000000">
            <w:pPr>
              <w:spacing w:before="60"/>
              <w:ind w:right="964"/>
              <w:jc w:val="right"/>
              <w:rPr>
                <w:sz w:val="18"/>
              </w:rPr>
            </w:pPr>
            <w:r>
              <w:rPr>
                <w:sz w:val="18"/>
              </w:rPr>
              <w:t>140 761</w:t>
            </w:r>
          </w:p>
        </w:tc>
      </w:tr>
      <w:tr w:rsidR="00000000">
        <w:tblPrEx>
          <w:tblCellMar>
            <w:top w:w="0" w:type="dxa"/>
            <w:bottom w:w="0" w:type="dxa"/>
          </w:tblCellMar>
        </w:tblPrEx>
        <w:trPr>
          <w:cantSplit/>
        </w:trPr>
        <w:tc>
          <w:tcPr>
            <w:tcW w:w="2156" w:type="dxa"/>
            <w:vMerge w:val="restart"/>
            <w:vAlign w:val="center"/>
          </w:tcPr>
          <w:p w:rsidR="00000000" w:rsidRDefault="00000000">
            <w:pPr>
              <w:spacing w:before="60"/>
              <w:rPr>
                <w:sz w:val="18"/>
              </w:rPr>
            </w:pPr>
            <w:r>
              <w:rPr>
                <w:sz w:val="18"/>
              </w:rPr>
              <w:t>2002</w:t>
            </w:r>
          </w:p>
        </w:tc>
        <w:tc>
          <w:tcPr>
            <w:tcW w:w="4074" w:type="dxa"/>
            <w:vAlign w:val="center"/>
          </w:tcPr>
          <w:p w:rsidR="00000000" w:rsidRDefault="00000000">
            <w:pPr>
              <w:spacing w:before="60"/>
              <w:rPr>
                <w:sz w:val="18"/>
              </w:rPr>
            </w:pPr>
            <w:r>
              <w:rPr>
                <w:sz w:val="18"/>
              </w:rPr>
              <w:t>Детские учреждения</w:t>
            </w:r>
          </w:p>
        </w:tc>
        <w:tc>
          <w:tcPr>
            <w:tcW w:w="3065" w:type="dxa"/>
            <w:vAlign w:val="center"/>
          </w:tcPr>
          <w:p w:rsidR="00000000" w:rsidRDefault="00000000">
            <w:pPr>
              <w:spacing w:before="60"/>
              <w:ind w:right="964"/>
              <w:jc w:val="right"/>
              <w:rPr>
                <w:sz w:val="18"/>
              </w:rPr>
            </w:pPr>
            <w:r>
              <w:rPr>
                <w:sz w:val="18"/>
              </w:rPr>
              <w:t>1 163</w:t>
            </w:r>
          </w:p>
        </w:tc>
      </w:tr>
      <w:tr w:rsidR="00000000">
        <w:tblPrEx>
          <w:tblCellMar>
            <w:top w:w="0" w:type="dxa"/>
            <w:bottom w:w="0" w:type="dxa"/>
          </w:tblCellMar>
        </w:tblPrEx>
        <w:trPr>
          <w:cantSplit/>
        </w:trPr>
        <w:tc>
          <w:tcPr>
            <w:tcW w:w="2156" w:type="dxa"/>
            <w:vMerge/>
            <w:vAlign w:val="center"/>
          </w:tcPr>
          <w:p w:rsidR="00000000" w:rsidRDefault="00000000">
            <w:pPr>
              <w:spacing w:before="60"/>
              <w:rPr>
                <w:sz w:val="18"/>
              </w:rPr>
            </w:pPr>
          </w:p>
        </w:tc>
        <w:tc>
          <w:tcPr>
            <w:tcW w:w="4074" w:type="dxa"/>
            <w:vAlign w:val="center"/>
          </w:tcPr>
          <w:p w:rsidR="00000000" w:rsidRDefault="00000000">
            <w:pPr>
              <w:spacing w:before="60"/>
              <w:rPr>
                <w:sz w:val="18"/>
              </w:rPr>
            </w:pPr>
            <w:r>
              <w:rPr>
                <w:sz w:val="18"/>
              </w:rPr>
              <w:t>Обеспечиваемая вместимость</w:t>
            </w:r>
          </w:p>
        </w:tc>
        <w:tc>
          <w:tcPr>
            <w:tcW w:w="3065" w:type="dxa"/>
            <w:vAlign w:val="center"/>
          </w:tcPr>
          <w:p w:rsidR="00000000" w:rsidRDefault="00000000">
            <w:pPr>
              <w:spacing w:before="60"/>
              <w:ind w:right="964"/>
              <w:jc w:val="right"/>
              <w:rPr>
                <w:sz w:val="18"/>
              </w:rPr>
            </w:pPr>
            <w:r>
              <w:rPr>
                <w:sz w:val="18"/>
              </w:rPr>
              <w:t>140 270</w:t>
            </w:r>
          </w:p>
        </w:tc>
      </w:tr>
      <w:tr w:rsidR="00000000">
        <w:tblPrEx>
          <w:tblCellMar>
            <w:top w:w="0" w:type="dxa"/>
            <w:bottom w:w="0" w:type="dxa"/>
          </w:tblCellMar>
        </w:tblPrEx>
        <w:trPr>
          <w:cantSplit/>
        </w:trPr>
        <w:tc>
          <w:tcPr>
            <w:tcW w:w="2156" w:type="dxa"/>
            <w:vMerge w:val="restart"/>
            <w:vAlign w:val="center"/>
          </w:tcPr>
          <w:p w:rsidR="00000000" w:rsidRDefault="00000000">
            <w:pPr>
              <w:spacing w:before="60"/>
              <w:rPr>
                <w:sz w:val="18"/>
              </w:rPr>
            </w:pPr>
            <w:r>
              <w:rPr>
                <w:sz w:val="18"/>
              </w:rPr>
              <w:t>2003</w:t>
            </w:r>
          </w:p>
        </w:tc>
        <w:tc>
          <w:tcPr>
            <w:tcW w:w="4074" w:type="dxa"/>
            <w:vAlign w:val="center"/>
          </w:tcPr>
          <w:p w:rsidR="00000000" w:rsidRDefault="00000000">
            <w:pPr>
              <w:spacing w:before="60"/>
              <w:rPr>
                <w:sz w:val="18"/>
              </w:rPr>
            </w:pPr>
            <w:r>
              <w:rPr>
                <w:sz w:val="18"/>
              </w:rPr>
              <w:t>Детские учреждения</w:t>
            </w:r>
          </w:p>
        </w:tc>
        <w:tc>
          <w:tcPr>
            <w:tcW w:w="3065" w:type="dxa"/>
            <w:vAlign w:val="center"/>
          </w:tcPr>
          <w:p w:rsidR="00000000" w:rsidRDefault="00000000">
            <w:pPr>
              <w:spacing w:before="60"/>
              <w:ind w:right="964"/>
              <w:jc w:val="right"/>
              <w:rPr>
                <w:sz w:val="18"/>
              </w:rPr>
            </w:pPr>
            <w:r>
              <w:rPr>
                <w:sz w:val="18"/>
              </w:rPr>
              <w:t>1 319</w:t>
            </w:r>
          </w:p>
        </w:tc>
      </w:tr>
      <w:tr w:rsidR="00000000">
        <w:tblPrEx>
          <w:tblCellMar>
            <w:top w:w="0" w:type="dxa"/>
            <w:bottom w:w="0" w:type="dxa"/>
          </w:tblCellMar>
        </w:tblPrEx>
        <w:trPr>
          <w:cantSplit/>
        </w:trPr>
        <w:tc>
          <w:tcPr>
            <w:tcW w:w="2156" w:type="dxa"/>
            <w:vMerge/>
          </w:tcPr>
          <w:p w:rsidR="00000000" w:rsidRDefault="00000000">
            <w:pPr>
              <w:spacing w:before="60"/>
              <w:jc w:val="center"/>
              <w:rPr>
                <w:sz w:val="18"/>
              </w:rPr>
            </w:pPr>
          </w:p>
        </w:tc>
        <w:tc>
          <w:tcPr>
            <w:tcW w:w="4074" w:type="dxa"/>
            <w:vAlign w:val="center"/>
          </w:tcPr>
          <w:p w:rsidR="00000000" w:rsidRDefault="00000000">
            <w:pPr>
              <w:spacing w:before="60"/>
              <w:rPr>
                <w:sz w:val="18"/>
              </w:rPr>
            </w:pPr>
            <w:r>
              <w:rPr>
                <w:sz w:val="18"/>
              </w:rPr>
              <w:t>Обеспечиваемая вместимость</w:t>
            </w:r>
          </w:p>
        </w:tc>
        <w:tc>
          <w:tcPr>
            <w:tcW w:w="3065" w:type="dxa"/>
            <w:vAlign w:val="center"/>
          </w:tcPr>
          <w:p w:rsidR="00000000" w:rsidRDefault="00000000">
            <w:pPr>
              <w:spacing w:before="60"/>
              <w:ind w:right="964"/>
              <w:jc w:val="right"/>
              <w:rPr>
                <w:sz w:val="18"/>
              </w:rPr>
            </w:pPr>
            <w:r>
              <w:rPr>
                <w:sz w:val="18"/>
              </w:rPr>
              <w:t>181 972</w:t>
            </w:r>
          </w:p>
        </w:tc>
      </w:tr>
      <w:tr w:rsidR="00000000">
        <w:tblPrEx>
          <w:tblCellMar>
            <w:top w:w="0" w:type="dxa"/>
            <w:bottom w:w="0" w:type="dxa"/>
          </w:tblCellMar>
        </w:tblPrEx>
        <w:trPr>
          <w:cantSplit/>
        </w:trPr>
        <w:tc>
          <w:tcPr>
            <w:tcW w:w="6230" w:type="dxa"/>
            <w:gridSpan w:val="2"/>
            <w:vMerge w:val="restart"/>
            <w:vAlign w:val="center"/>
          </w:tcPr>
          <w:p w:rsidR="00000000" w:rsidRDefault="00000000">
            <w:pPr>
              <w:spacing w:before="60"/>
              <w:rPr>
                <w:sz w:val="18"/>
              </w:rPr>
            </w:pPr>
            <w:r>
              <w:rPr>
                <w:sz w:val="18"/>
              </w:rPr>
              <w:t>Разница за период 2000-2003 годов</w:t>
            </w:r>
          </w:p>
        </w:tc>
        <w:tc>
          <w:tcPr>
            <w:tcW w:w="3065" w:type="dxa"/>
          </w:tcPr>
          <w:p w:rsidR="00000000" w:rsidRDefault="00000000">
            <w:pPr>
              <w:spacing w:before="60"/>
              <w:ind w:right="964"/>
              <w:jc w:val="right"/>
              <w:rPr>
                <w:sz w:val="18"/>
              </w:rPr>
            </w:pPr>
            <w:r>
              <w:rPr>
                <w:sz w:val="18"/>
              </w:rPr>
              <w:t>420</w:t>
            </w:r>
          </w:p>
        </w:tc>
      </w:tr>
      <w:tr w:rsidR="00000000">
        <w:tblPrEx>
          <w:tblCellMar>
            <w:top w:w="0" w:type="dxa"/>
            <w:bottom w:w="0" w:type="dxa"/>
          </w:tblCellMar>
        </w:tblPrEx>
        <w:trPr>
          <w:cantSplit/>
        </w:trPr>
        <w:tc>
          <w:tcPr>
            <w:tcW w:w="6230" w:type="dxa"/>
            <w:gridSpan w:val="2"/>
            <w:vMerge/>
          </w:tcPr>
          <w:p w:rsidR="00000000" w:rsidRDefault="00000000">
            <w:pPr>
              <w:spacing w:before="60"/>
              <w:jc w:val="center"/>
              <w:rPr>
                <w:sz w:val="18"/>
              </w:rPr>
            </w:pPr>
          </w:p>
        </w:tc>
        <w:tc>
          <w:tcPr>
            <w:tcW w:w="3065" w:type="dxa"/>
          </w:tcPr>
          <w:p w:rsidR="00000000" w:rsidRDefault="00000000">
            <w:pPr>
              <w:spacing w:before="60"/>
              <w:ind w:right="964"/>
              <w:jc w:val="right"/>
              <w:rPr>
                <w:sz w:val="18"/>
              </w:rPr>
            </w:pPr>
            <w:r>
              <w:rPr>
                <w:sz w:val="18"/>
              </w:rPr>
              <w:t>78 673</w:t>
            </w:r>
          </w:p>
        </w:tc>
      </w:tr>
    </w:tbl>
    <w:p w:rsidR="00000000" w:rsidRDefault="00000000">
      <w:pPr>
        <w:spacing w:line="240" w:lineRule="auto"/>
        <w:jc w:val="center"/>
        <w:rPr>
          <w:sz w:val="18"/>
        </w:rPr>
      </w:pPr>
    </w:p>
    <w:p w:rsidR="00000000" w:rsidRDefault="00000000">
      <w:pPr>
        <w:spacing w:line="240" w:lineRule="auto"/>
        <w:rPr>
          <w:sz w:val="18"/>
        </w:rPr>
      </w:pPr>
      <w:r>
        <w:rPr>
          <w:i/>
          <w:iCs/>
          <w:sz w:val="18"/>
        </w:rPr>
        <w:t>Источник</w:t>
      </w:r>
      <w:r>
        <w:rPr>
          <w:sz w:val="18"/>
        </w:rPr>
        <w:t>:  МИСО, Управление детских учреждений, 2004 год.</w:t>
      </w:r>
    </w:p>
    <w:p w:rsidR="00000000" w:rsidRDefault="00000000"/>
    <w:p w:rsidR="00000000" w:rsidRDefault="00000000">
      <w:r>
        <w:t>334.</w:t>
      </w:r>
      <w:r>
        <w:tab/>
        <w:t>Детские учреждения финансируются за счет взносов на детские учреждения и социальных субсидий, которые предоставляются всеми предпринимателями независимо от того, имеют ли их работники право на пользование соответствующим видом услуг.</w:t>
      </w:r>
    </w:p>
    <w:p w:rsidR="00000000" w:rsidRDefault="00000000"/>
    <w:p w:rsidR="00000000" w:rsidRDefault="00000000">
      <w:r>
        <w:t>335.</w:t>
      </w:r>
      <w:r>
        <w:tab/>
        <w:t>Размер взноса, отчисляемого на цели функционирования детских учреждений, составляет 1% базовой заработной платы, с которой отчисляются взносы в Мексиканский институт социального обеспечения.  За счет этих взносов формируется 80% бюджета соответствующих детских учреждений.</w:t>
      </w:r>
    </w:p>
    <w:p w:rsidR="00000000" w:rsidRDefault="00000000"/>
    <w:p w:rsidR="00000000" w:rsidRDefault="00000000">
      <w:r>
        <w:t>336.</w:t>
      </w:r>
      <w:r>
        <w:tab/>
        <w:t>Что касается социальных субсидий, то их размеры могут достигать 20% от общей суммы финансовых средств, идущих на содержание детских садов и выплату соответствующих социальных пособий.</w:t>
      </w:r>
    </w:p>
    <w:p w:rsidR="00000000" w:rsidRDefault="00000000"/>
    <w:p w:rsidR="00000000" w:rsidRDefault="00000000">
      <w:r>
        <w:t>337.</w:t>
      </w:r>
      <w:r>
        <w:tab/>
        <w:t>Следует отметить, что повышенным спросом в рамках системы социальных мероприятий пользуются информационные курсы по оказанию первой медицинской помощи, улучшению качества питания, проблемам сексуального и репродуктивного здоровья подростков, мероприятия в рамках секций по "качиболу" и "тай-чи-чуаню", занятия аэробикой, курсы бальных танцев, семинары по пропаганде здорового образа жизни, курсы по обучению парикмахерскому делу и курсы кройки и шитья.</w:t>
      </w:r>
    </w:p>
    <w:p w:rsidR="00000000" w:rsidRDefault="00000000"/>
    <w:p w:rsidR="00000000" w:rsidRDefault="00000000">
      <w:r>
        <w:br w:type="page"/>
        <w:t>338.</w:t>
      </w:r>
      <w:r>
        <w:tab/>
        <w:t>Кроме того, организуются семинары, на которых рассматриваются вопросы, касающиеся правильного питания, профилактики алкоголизма и наркомании, оздоровительной гимнастики и предупреждения заболеваний и несчастных случаев.  Кроме того, организуются кампании по вакцинации и соблюдению правил личной гигиены.</w:t>
      </w:r>
    </w:p>
    <w:p w:rsidR="00000000" w:rsidRDefault="00000000"/>
    <w:p w:rsidR="00000000" w:rsidRDefault="00000000">
      <w:r>
        <w:t>339.</w:t>
      </w:r>
      <w:r>
        <w:tab/>
        <w:t>В числе пропагандистских и информационных мероприятий следует упомянуть следующее:  неделя социального благосостояния, неделя культуры, неделя спорта и физической культуры, проведение инициатив, посвященных охране здоровья, и организация "оздоровительных перерывов".</w:t>
      </w:r>
    </w:p>
    <w:p w:rsidR="00000000" w:rsidRDefault="00000000"/>
    <w:p w:rsidR="00000000" w:rsidRDefault="00000000">
      <w:r>
        <w:t>340.</w:t>
      </w:r>
      <w:r>
        <w:tab/>
        <w:t>Эти мероприятия охватывают все социальные группы.  В этой связи ниже приводится детальная фактическая информация за последние шесть лет:</w:t>
      </w:r>
    </w:p>
    <w:p w:rsidR="00000000" w:rsidRDefault="00000000"/>
    <w:p w:rsidR="00000000" w:rsidRDefault="00000000">
      <w:pPr>
        <w:jc w:val="center"/>
        <w:rPr>
          <w:b/>
          <w:bCs/>
        </w:rPr>
      </w:pPr>
      <w:r>
        <w:rPr>
          <w:b/>
          <w:bCs/>
        </w:rPr>
        <w:t>Охват системы профилактики здоровья, 1998-2003 годы</w:t>
      </w:r>
    </w:p>
    <w:p w:rsidR="00000000" w:rsidRDefault="00000000">
      <w:pPr>
        <w:jc w:val="center"/>
        <w:rPr>
          <w:b/>
          <w:bCs/>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9"/>
        <w:gridCol w:w="869"/>
        <w:gridCol w:w="870"/>
        <w:gridCol w:w="870"/>
        <w:gridCol w:w="869"/>
        <w:gridCol w:w="870"/>
        <w:gridCol w:w="870"/>
      </w:tblGrid>
      <w:tr w:rsidR="00000000">
        <w:tblPrEx>
          <w:tblCellMar>
            <w:top w:w="0" w:type="dxa"/>
            <w:bottom w:w="0" w:type="dxa"/>
          </w:tblCellMar>
        </w:tblPrEx>
        <w:tc>
          <w:tcPr>
            <w:tcW w:w="4119" w:type="dxa"/>
          </w:tcPr>
          <w:p w:rsidR="00000000" w:rsidRDefault="00000000">
            <w:pPr>
              <w:spacing w:before="60"/>
              <w:jc w:val="center"/>
              <w:rPr>
                <w:i/>
                <w:iCs/>
                <w:sz w:val="18"/>
              </w:rPr>
            </w:pPr>
            <w:r>
              <w:rPr>
                <w:i/>
                <w:iCs/>
                <w:sz w:val="18"/>
              </w:rPr>
              <w:t>Показатели</w:t>
            </w:r>
          </w:p>
        </w:tc>
        <w:tc>
          <w:tcPr>
            <w:tcW w:w="869" w:type="dxa"/>
          </w:tcPr>
          <w:p w:rsidR="00000000" w:rsidRDefault="00000000">
            <w:pPr>
              <w:spacing w:before="60"/>
              <w:jc w:val="center"/>
              <w:rPr>
                <w:i/>
                <w:iCs/>
                <w:sz w:val="18"/>
              </w:rPr>
            </w:pPr>
            <w:r>
              <w:rPr>
                <w:i/>
                <w:iCs/>
                <w:sz w:val="18"/>
              </w:rPr>
              <w:t>1998</w:t>
            </w:r>
          </w:p>
        </w:tc>
        <w:tc>
          <w:tcPr>
            <w:tcW w:w="870" w:type="dxa"/>
          </w:tcPr>
          <w:p w:rsidR="00000000" w:rsidRDefault="00000000">
            <w:pPr>
              <w:spacing w:before="60"/>
              <w:jc w:val="center"/>
              <w:rPr>
                <w:i/>
                <w:iCs/>
                <w:sz w:val="18"/>
              </w:rPr>
            </w:pPr>
            <w:r>
              <w:rPr>
                <w:i/>
                <w:iCs/>
                <w:sz w:val="18"/>
              </w:rPr>
              <w:t>1999</w:t>
            </w:r>
          </w:p>
        </w:tc>
        <w:tc>
          <w:tcPr>
            <w:tcW w:w="870" w:type="dxa"/>
          </w:tcPr>
          <w:p w:rsidR="00000000" w:rsidRDefault="00000000">
            <w:pPr>
              <w:spacing w:before="60"/>
              <w:jc w:val="center"/>
              <w:rPr>
                <w:i/>
                <w:iCs/>
                <w:sz w:val="18"/>
              </w:rPr>
            </w:pPr>
            <w:r>
              <w:rPr>
                <w:i/>
                <w:iCs/>
                <w:sz w:val="18"/>
              </w:rPr>
              <w:t>2000</w:t>
            </w:r>
          </w:p>
        </w:tc>
        <w:tc>
          <w:tcPr>
            <w:tcW w:w="869" w:type="dxa"/>
          </w:tcPr>
          <w:p w:rsidR="00000000" w:rsidRDefault="00000000">
            <w:pPr>
              <w:spacing w:before="60"/>
              <w:jc w:val="center"/>
              <w:rPr>
                <w:i/>
                <w:iCs/>
                <w:sz w:val="18"/>
              </w:rPr>
            </w:pPr>
            <w:r>
              <w:rPr>
                <w:i/>
                <w:iCs/>
                <w:sz w:val="18"/>
              </w:rPr>
              <w:t>2001</w:t>
            </w:r>
          </w:p>
        </w:tc>
        <w:tc>
          <w:tcPr>
            <w:tcW w:w="870" w:type="dxa"/>
          </w:tcPr>
          <w:p w:rsidR="00000000" w:rsidRDefault="00000000">
            <w:pPr>
              <w:spacing w:before="60"/>
              <w:jc w:val="center"/>
              <w:rPr>
                <w:i/>
                <w:iCs/>
                <w:sz w:val="18"/>
              </w:rPr>
            </w:pPr>
            <w:r>
              <w:rPr>
                <w:i/>
                <w:iCs/>
                <w:sz w:val="18"/>
              </w:rPr>
              <w:t>2002</w:t>
            </w:r>
          </w:p>
        </w:tc>
        <w:tc>
          <w:tcPr>
            <w:tcW w:w="870" w:type="dxa"/>
          </w:tcPr>
          <w:p w:rsidR="00000000" w:rsidRDefault="00000000">
            <w:pPr>
              <w:spacing w:before="60"/>
              <w:jc w:val="center"/>
              <w:rPr>
                <w:i/>
                <w:iCs/>
                <w:sz w:val="18"/>
              </w:rPr>
            </w:pPr>
            <w:r>
              <w:rPr>
                <w:i/>
                <w:iCs/>
                <w:sz w:val="18"/>
              </w:rPr>
              <w:t>2003</w:t>
            </w:r>
            <w:r>
              <w:rPr>
                <w:b/>
                <w:bCs/>
                <w:sz w:val="18"/>
                <w:vertAlign w:val="superscript"/>
              </w:rPr>
              <w:t>1</w:t>
            </w:r>
          </w:p>
        </w:tc>
      </w:tr>
      <w:tr w:rsidR="00000000">
        <w:tblPrEx>
          <w:tblCellMar>
            <w:top w:w="0" w:type="dxa"/>
            <w:bottom w:w="0" w:type="dxa"/>
          </w:tblCellMar>
        </w:tblPrEx>
        <w:tc>
          <w:tcPr>
            <w:tcW w:w="4119" w:type="dxa"/>
          </w:tcPr>
          <w:p w:rsidR="00000000" w:rsidRDefault="00000000">
            <w:pPr>
              <w:spacing w:before="60" w:line="240" w:lineRule="auto"/>
              <w:rPr>
                <w:sz w:val="18"/>
              </w:rPr>
            </w:pPr>
            <w:r>
              <w:rPr>
                <w:sz w:val="18"/>
              </w:rPr>
              <w:t>Количество лиц, получающих социальные льготы (тыс. чел.)</w:t>
            </w:r>
          </w:p>
        </w:tc>
        <w:tc>
          <w:tcPr>
            <w:tcW w:w="869" w:type="dxa"/>
            <w:vAlign w:val="bottom"/>
          </w:tcPr>
          <w:p w:rsidR="00000000" w:rsidRDefault="00000000">
            <w:pPr>
              <w:tabs>
                <w:tab w:val="clear" w:pos="567"/>
              </w:tabs>
              <w:spacing w:before="60" w:line="240" w:lineRule="auto"/>
              <w:ind w:right="170"/>
              <w:jc w:val="right"/>
              <w:rPr>
                <w:sz w:val="18"/>
              </w:rPr>
            </w:pPr>
            <w:r>
              <w:rPr>
                <w:sz w:val="18"/>
              </w:rPr>
              <w:t>635,4</w:t>
            </w:r>
          </w:p>
        </w:tc>
        <w:tc>
          <w:tcPr>
            <w:tcW w:w="870" w:type="dxa"/>
            <w:vAlign w:val="bottom"/>
          </w:tcPr>
          <w:p w:rsidR="00000000" w:rsidRDefault="00000000">
            <w:pPr>
              <w:spacing w:before="60" w:line="240" w:lineRule="auto"/>
              <w:ind w:right="170"/>
              <w:jc w:val="right"/>
              <w:rPr>
                <w:sz w:val="18"/>
              </w:rPr>
            </w:pPr>
            <w:r>
              <w:rPr>
                <w:sz w:val="18"/>
              </w:rPr>
              <w:t>662,2</w:t>
            </w:r>
          </w:p>
        </w:tc>
        <w:tc>
          <w:tcPr>
            <w:tcW w:w="870" w:type="dxa"/>
            <w:vAlign w:val="bottom"/>
          </w:tcPr>
          <w:p w:rsidR="00000000" w:rsidRDefault="00000000">
            <w:pPr>
              <w:spacing w:before="60" w:line="240" w:lineRule="auto"/>
              <w:ind w:right="170"/>
              <w:jc w:val="right"/>
              <w:rPr>
                <w:sz w:val="18"/>
              </w:rPr>
            </w:pPr>
            <w:r>
              <w:rPr>
                <w:sz w:val="18"/>
              </w:rPr>
              <w:t>721,1</w:t>
            </w:r>
          </w:p>
        </w:tc>
        <w:tc>
          <w:tcPr>
            <w:tcW w:w="869" w:type="dxa"/>
            <w:vAlign w:val="bottom"/>
          </w:tcPr>
          <w:p w:rsidR="00000000" w:rsidRDefault="00000000">
            <w:pPr>
              <w:spacing w:before="60" w:line="240" w:lineRule="auto"/>
              <w:ind w:right="170"/>
              <w:jc w:val="right"/>
              <w:rPr>
                <w:sz w:val="18"/>
              </w:rPr>
            </w:pPr>
            <w:r>
              <w:rPr>
                <w:sz w:val="18"/>
              </w:rPr>
              <w:t>746,8</w:t>
            </w:r>
          </w:p>
        </w:tc>
        <w:tc>
          <w:tcPr>
            <w:tcW w:w="870" w:type="dxa"/>
            <w:vAlign w:val="bottom"/>
          </w:tcPr>
          <w:p w:rsidR="00000000" w:rsidRDefault="00000000">
            <w:pPr>
              <w:spacing w:before="60" w:line="240" w:lineRule="auto"/>
              <w:ind w:right="170"/>
              <w:jc w:val="right"/>
              <w:rPr>
                <w:sz w:val="18"/>
              </w:rPr>
            </w:pPr>
            <w:r>
              <w:rPr>
                <w:sz w:val="18"/>
              </w:rPr>
              <w:t>610,4</w:t>
            </w:r>
          </w:p>
        </w:tc>
        <w:tc>
          <w:tcPr>
            <w:tcW w:w="870" w:type="dxa"/>
            <w:vAlign w:val="bottom"/>
          </w:tcPr>
          <w:p w:rsidR="00000000" w:rsidRDefault="00000000">
            <w:pPr>
              <w:spacing w:before="60" w:line="240" w:lineRule="auto"/>
              <w:ind w:right="170"/>
              <w:jc w:val="right"/>
              <w:rPr>
                <w:sz w:val="18"/>
              </w:rPr>
            </w:pPr>
            <w:r>
              <w:rPr>
                <w:sz w:val="18"/>
              </w:rPr>
              <w:t>436,1</w:t>
            </w:r>
          </w:p>
        </w:tc>
      </w:tr>
      <w:tr w:rsidR="00000000">
        <w:tblPrEx>
          <w:tblCellMar>
            <w:top w:w="0" w:type="dxa"/>
            <w:bottom w:w="0" w:type="dxa"/>
          </w:tblCellMar>
        </w:tblPrEx>
        <w:tc>
          <w:tcPr>
            <w:tcW w:w="4119" w:type="dxa"/>
          </w:tcPr>
          <w:p w:rsidR="00000000" w:rsidRDefault="00000000">
            <w:pPr>
              <w:spacing w:before="60" w:line="240" w:lineRule="auto"/>
              <w:rPr>
                <w:sz w:val="18"/>
              </w:rPr>
            </w:pPr>
            <w:r>
              <w:rPr>
                <w:sz w:val="18"/>
              </w:rPr>
              <w:t>Количество лиц, прошедших подготовку по вопросам профилактики здоровья (тыс. чел.)</w:t>
            </w:r>
          </w:p>
        </w:tc>
        <w:tc>
          <w:tcPr>
            <w:tcW w:w="869" w:type="dxa"/>
            <w:vAlign w:val="bottom"/>
          </w:tcPr>
          <w:p w:rsidR="00000000" w:rsidRDefault="00000000">
            <w:pPr>
              <w:tabs>
                <w:tab w:val="clear" w:pos="567"/>
              </w:tabs>
              <w:spacing w:before="60" w:line="240" w:lineRule="auto"/>
              <w:ind w:right="170"/>
              <w:jc w:val="right"/>
              <w:rPr>
                <w:sz w:val="18"/>
              </w:rPr>
            </w:pPr>
            <w:r>
              <w:rPr>
                <w:sz w:val="18"/>
              </w:rPr>
              <w:t>246,2</w:t>
            </w:r>
          </w:p>
        </w:tc>
        <w:tc>
          <w:tcPr>
            <w:tcW w:w="870" w:type="dxa"/>
            <w:vAlign w:val="bottom"/>
          </w:tcPr>
          <w:p w:rsidR="00000000" w:rsidRDefault="00000000">
            <w:pPr>
              <w:spacing w:before="60" w:line="240" w:lineRule="auto"/>
              <w:ind w:right="170"/>
              <w:jc w:val="right"/>
              <w:rPr>
                <w:sz w:val="18"/>
              </w:rPr>
            </w:pPr>
            <w:r>
              <w:rPr>
                <w:sz w:val="18"/>
              </w:rPr>
              <w:t>359,7</w:t>
            </w:r>
          </w:p>
        </w:tc>
        <w:tc>
          <w:tcPr>
            <w:tcW w:w="870" w:type="dxa"/>
            <w:vAlign w:val="bottom"/>
          </w:tcPr>
          <w:p w:rsidR="00000000" w:rsidRDefault="00000000">
            <w:pPr>
              <w:spacing w:before="60" w:line="240" w:lineRule="auto"/>
              <w:ind w:right="170"/>
              <w:jc w:val="right"/>
              <w:rPr>
                <w:sz w:val="18"/>
              </w:rPr>
            </w:pPr>
            <w:r>
              <w:rPr>
                <w:sz w:val="18"/>
              </w:rPr>
              <w:t>487,2</w:t>
            </w:r>
          </w:p>
        </w:tc>
        <w:tc>
          <w:tcPr>
            <w:tcW w:w="869" w:type="dxa"/>
            <w:vAlign w:val="bottom"/>
          </w:tcPr>
          <w:p w:rsidR="00000000" w:rsidRDefault="00000000">
            <w:pPr>
              <w:spacing w:before="60" w:line="240" w:lineRule="auto"/>
              <w:ind w:right="170"/>
              <w:jc w:val="right"/>
              <w:rPr>
                <w:sz w:val="18"/>
              </w:rPr>
            </w:pPr>
            <w:r>
              <w:rPr>
                <w:sz w:val="18"/>
              </w:rPr>
              <w:t>511,4</w:t>
            </w:r>
          </w:p>
        </w:tc>
        <w:tc>
          <w:tcPr>
            <w:tcW w:w="870" w:type="dxa"/>
            <w:vAlign w:val="bottom"/>
          </w:tcPr>
          <w:p w:rsidR="00000000" w:rsidRDefault="00000000">
            <w:pPr>
              <w:spacing w:before="60" w:line="240" w:lineRule="auto"/>
              <w:ind w:right="170"/>
              <w:jc w:val="right"/>
              <w:rPr>
                <w:sz w:val="18"/>
              </w:rPr>
            </w:pPr>
            <w:r>
              <w:rPr>
                <w:sz w:val="18"/>
              </w:rPr>
              <w:t>406,4</w:t>
            </w:r>
          </w:p>
        </w:tc>
        <w:tc>
          <w:tcPr>
            <w:tcW w:w="870" w:type="dxa"/>
            <w:vAlign w:val="bottom"/>
          </w:tcPr>
          <w:p w:rsidR="00000000" w:rsidRDefault="00000000">
            <w:pPr>
              <w:spacing w:before="60" w:line="240" w:lineRule="auto"/>
              <w:ind w:right="170"/>
              <w:jc w:val="right"/>
              <w:rPr>
                <w:sz w:val="18"/>
              </w:rPr>
            </w:pPr>
            <w:r>
              <w:rPr>
                <w:sz w:val="18"/>
              </w:rPr>
              <w:t>302,6</w:t>
            </w:r>
          </w:p>
        </w:tc>
      </w:tr>
      <w:tr w:rsidR="00000000">
        <w:tblPrEx>
          <w:tblCellMar>
            <w:top w:w="0" w:type="dxa"/>
            <w:bottom w:w="0" w:type="dxa"/>
          </w:tblCellMar>
        </w:tblPrEx>
        <w:tc>
          <w:tcPr>
            <w:tcW w:w="4119" w:type="dxa"/>
          </w:tcPr>
          <w:p w:rsidR="00000000" w:rsidRDefault="00000000">
            <w:pPr>
              <w:spacing w:before="60" w:line="240" w:lineRule="auto"/>
              <w:rPr>
                <w:sz w:val="18"/>
              </w:rPr>
            </w:pPr>
            <w:r>
              <w:rPr>
                <w:bCs/>
                <w:sz w:val="18"/>
              </w:rPr>
              <w:t>Процент лиц, охваченных информационно-пропагандистской деятельностью в области охраны здоровья</w:t>
            </w:r>
          </w:p>
        </w:tc>
        <w:tc>
          <w:tcPr>
            <w:tcW w:w="869" w:type="dxa"/>
            <w:vAlign w:val="bottom"/>
          </w:tcPr>
          <w:p w:rsidR="00000000" w:rsidRDefault="00000000">
            <w:pPr>
              <w:tabs>
                <w:tab w:val="clear" w:pos="567"/>
              </w:tabs>
              <w:spacing w:before="60" w:line="240" w:lineRule="auto"/>
              <w:ind w:right="170"/>
              <w:jc w:val="right"/>
              <w:rPr>
                <w:bCs/>
                <w:sz w:val="18"/>
              </w:rPr>
            </w:pPr>
            <w:r>
              <w:rPr>
                <w:bCs/>
                <w:sz w:val="18"/>
              </w:rPr>
              <w:t xml:space="preserve">  38,8</w:t>
            </w:r>
          </w:p>
        </w:tc>
        <w:tc>
          <w:tcPr>
            <w:tcW w:w="870" w:type="dxa"/>
            <w:vAlign w:val="bottom"/>
          </w:tcPr>
          <w:p w:rsidR="00000000" w:rsidRDefault="00000000">
            <w:pPr>
              <w:spacing w:before="60" w:line="240" w:lineRule="auto"/>
              <w:ind w:right="170"/>
              <w:jc w:val="right"/>
              <w:rPr>
                <w:bCs/>
                <w:sz w:val="18"/>
              </w:rPr>
            </w:pPr>
            <w:r>
              <w:rPr>
                <w:bCs/>
                <w:sz w:val="18"/>
              </w:rPr>
              <w:t xml:space="preserve">  54,3</w:t>
            </w:r>
          </w:p>
        </w:tc>
        <w:tc>
          <w:tcPr>
            <w:tcW w:w="870" w:type="dxa"/>
            <w:vAlign w:val="bottom"/>
          </w:tcPr>
          <w:p w:rsidR="00000000" w:rsidRDefault="00000000">
            <w:pPr>
              <w:spacing w:before="60" w:line="240" w:lineRule="auto"/>
              <w:ind w:right="170"/>
              <w:jc w:val="right"/>
              <w:rPr>
                <w:bCs/>
                <w:sz w:val="18"/>
              </w:rPr>
            </w:pPr>
            <w:r>
              <w:rPr>
                <w:bCs/>
                <w:sz w:val="18"/>
              </w:rPr>
              <w:t xml:space="preserve">  67,6</w:t>
            </w:r>
          </w:p>
        </w:tc>
        <w:tc>
          <w:tcPr>
            <w:tcW w:w="869" w:type="dxa"/>
            <w:vAlign w:val="bottom"/>
          </w:tcPr>
          <w:p w:rsidR="00000000" w:rsidRDefault="00000000">
            <w:pPr>
              <w:spacing w:before="60" w:line="240" w:lineRule="auto"/>
              <w:ind w:right="170"/>
              <w:jc w:val="right"/>
              <w:rPr>
                <w:bCs/>
                <w:sz w:val="18"/>
              </w:rPr>
            </w:pPr>
            <w:r>
              <w:rPr>
                <w:bCs/>
                <w:sz w:val="18"/>
              </w:rPr>
              <w:t xml:space="preserve">  68,5</w:t>
            </w:r>
          </w:p>
        </w:tc>
        <w:tc>
          <w:tcPr>
            <w:tcW w:w="870" w:type="dxa"/>
            <w:vAlign w:val="bottom"/>
          </w:tcPr>
          <w:p w:rsidR="00000000" w:rsidRDefault="00000000">
            <w:pPr>
              <w:spacing w:before="60" w:line="240" w:lineRule="auto"/>
              <w:ind w:right="170"/>
              <w:jc w:val="right"/>
              <w:rPr>
                <w:bCs/>
                <w:sz w:val="18"/>
              </w:rPr>
            </w:pPr>
            <w:r>
              <w:rPr>
                <w:bCs/>
                <w:sz w:val="18"/>
              </w:rPr>
              <w:t xml:space="preserve">  66,6</w:t>
            </w:r>
          </w:p>
        </w:tc>
        <w:tc>
          <w:tcPr>
            <w:tcW w:w="870" w:type="dxa"/>
            <w:vAlign w:val="bottom"/>
          </w:tcPr>
          <w:p w:rsidR="00000000" w:rsidRDefault="00000000">
            <w:pPr>
              <w:spacing w:before="60" w:line="240" w:lineRule="auto"/>
              <w:ind w:right="170"/>
              <w:jc w:val="right"/>
              <w:rPr>
                <w:bCs/>
                <w:sz w:val="18"/>
              </w:rPr>
            </w:pPr>
            <w:r>
              <w:rPr>
                <w:bCs/>
                <w:sz w:val="18"/>
              </w:rPr>
              <w:t xml:space="preserve">  69,4</w:t>
            </w:r>
          </w:p>
        </w:tc>
      </w:tr>
    </w:tbl>
    <w:p w:rsidR="00000000" w:rsidRDefault="00000000">
      <w:pPr>
        <w:spacing w:line="240" w:lineRule="auto"/>
        <w:rPr>
          <w:sz w:val="18"/>
        </w:rPr>
      </w:pPr>
    </w:p>
    <w:p w:rsidR="00000000" w:rsidRDefault="00000000">
      <w:pPr>
        <w:spacing w:line="240" w:lineRule="auto"/>
        <w:rPr>
          <w:sz w:val="18"/>
        </w:rPr>
      </w:pPr>
      <w:r>
        <w:rPr>
          <w:i/>
          <w:iCs/>
          <w:sz w:val="18"/>
        </w:rPr>
        <w:t>Источник</w:t>
      </w:r>
      <w:r>
        <w:rPr>
          <w:sz w:val="18"/>
        </w:rPr>
        <w:t>:  МИСО, управление по социальным льготам, 2004 год.</w:t>
      </w:r>
    </w:p>
    <w:p w:rsidR="00000000" w:rsidRDefault="00000000">
      <w:pPr>
        <w:spacing w:line="240" w:lineRule="auto"/>
        <w:rPr>
          <w:sz w:val="18"/>
        </w:rPr>
      </w:pPr>
    </w:p>
    <w:p w:rsidR="00000000" w:rsidRDefault="00000000">
      <w:pPr>
        <w:spacing w:line="240" w:lineRule="auto"/>
        <w:rPr>
          <w:sz w:val="18"/>
        </w:rPr>
      </w:pPr>
      <w:r>
        <w:rPr>
          <w:b/>
          <w:bCs/>
          <w:sz w:val="18"/>
          <w:vertAlign w:val="superscript"/>
        </w:rPr>
        <w:t>1</w:t>
      </w:r>
      <w:r>
        <w:rPr>
          <w:sz w:val="18"/>
        </w:rPr>
        <w:tab/>
        <w:t>Предварительные цифры.</w:t>
      </w:r>
    </w:p>
    <w:p w:rsidR="00000000" w:rsidRDefault="00000000"/>
    <w:p w:rsidR="00000000" w:rsidRDefault="00000000">
      <w:r>
        <w:t>341.</w:t>
      </w:r>
      <w:r>
        <w:tab/>
        <w:t>В рамках деятельности по линии социального обеспечения осуществляются мероприятия в интересах подростков, направленные на предупреждение наркомании и алкоголизма и пропаганду здоровой половой и репродуктивной жизни в рамках информационных курсов, семинаров, кампаний и общественных инициатив, включая, в частности, недавнюю программу "Защита интересов подростков", которая реализуется рядом оперативных служб МИСО и предусматривает оказание подросткам консультативной помощи путем организации соответствующих семинаров.</w:t>
      </w:r>
    </w:p>
    <w:p w:rsidR="00000000" w:rsidRDefault="00000000"/>
    <w:p w:rsidR="00000000" w:rsidRDefault="00000000">
      <w:r>
        <w:t>342.</w:t>
      </w:r>
      <w:r>
        <w:tab/>
        <w:t>Кроме того, следует упомянуть о долгосрочной программе по пропаганде здорового полового и репродуктивного образа жизни подростков, которая пользуется широкой популярностью среди этой категории населения, поскольку проводится компетентными работниками, способными пробудить у представителей целевых групп интерес к обсуждаемым вопросам и существенно расширить их знания.</w:t>
      </w:r>
    </w:p>
    <w:p w:rsidR="00000000" w:rsidRDefault="00000000">
      <w:r>
        <w:t>343.</w:t>
      </w:r>
      <w:r>
        <w:tab/>
        <w:t>За период 2001-2003 годов по линии соответствующих мероприятий ежегодно предоставлялась консультативная помощь 1 217 565 подросткам.</w:t>
      </w:r>
    </w:p>
    <w:p w:rsidR="00000000" w:rsidRDefault="00000000"/>
    <w:p w:rsidR="00000000" w:rsidRDefault="00000000">
      <w:r>
        <w:t>344.</w:t>
      </w:r>
      <w:r>
        <w:tab/>
        <w:t>Кроме того, осуществляются социальные мероприятия в интересах пожилых людей, вышедших на пенсию и получающих пенсионное пособие.  Эти мероприятия предусматривают осуществление пропагандистской деятельности, консультирование по вопросам психологической и социальной адаптации и организацию культурных мероприятий в рамках специальных курсов, семинаров, кампаний и инициатив, включая, в частности, организацию курсов бального танца, аэробики, курсов по изготовлению мягких игрушек и декоративному ремеслу, проведение оздоровительных мероприятий и инициатив по улучшению качества питания пожилых людей.</w:t>
      </w:r>
    </w:p>
    <w:p w:rsidR="00000000" w:rsidRDefault="00000000"/>
    <w:p w:rsidR="00000000" w:rsidRDefault="00000000">
      <w:r>
        <w:t>345.</w:t>
      </w:r>
      <w:r>
        <w:tab/>
        <w:t>За период 2001-2003 годов мероприятия в интересах пожилых лиц ежегодно охватывали в общей сложности в среднем 354 778 человек.</w:t>
      </w:r>
    </w:p>
    <w:p w:rsidR="00000000" w:rsidRDefault="00000000"/>
    <w:p w:rsidR="00000000" w:rsidRDefault="00000000">
      <w:r>
        <w:t>346.</w:t>
      </w:r>
      <w:r>
        <w:tab/>
        <w:t xml:space="preserve">Главная цель социального обслуживания инвалидов заключается в создании в обществе условий, обеспечивающих проведение комплекса мероприятий, направленных на профилактику инвалидности и оказание инвалидам из числа любых социальных групп различного вида услуг в рамках следующих ключевых стратегий:  </w:t>
      </w:r>
      <w:r>
        <w:rPr>
          <w:i/>
          <w:iCs/>
        </w:rPr>
        <w:t>институциональная информационно-просветительская деятельность;  пропаганда профилактических мероприятий и интеграция инвалидов в социальную и производительную жизнь общества</w:t>
      </w:r>
      <w:r>
        <w:t>.</w:t>
      </w:r>
    </w:p>
    <w:p w:rsidR="00000000" w:rsidRDefault="00000000"/>
    <w:p w:rsidR="00000000" w:rsidRDefault="00000000">
      <w:r>
        <w:t>347.</w:t>
      </w:r>
      <w:r>
        <w:tab/>
        <w:t xml:space="preserve">К числу мероприятий, осуществляемых по линии </w:t>
      </w:r>
      <w:r>
        <w:rPr>
          <w:i/>
          <w:iCs/>
        </w:rPr>
        <w:t>институциональной информационно-просветительской деятельности</w:t>
      </w:r>
      <w:r>
        <w:t xml:space="preserve">, относятся, в частности, различные форумы, курсы, конференции, семинары, мероприятия рекреативного и вспомогательного характера.  В рамках пропаганды профилактических мероприятий следует отметить, в частности, меры по своевременному выявлению различных видов физических и психических недостатков, проведение информационно-просветительских семинаров и заключение соглашений об обеспечении доступа к соответствующим службам.  В рамках деятельности по </w:t>
      </w:r>
      <w:r>
        <w:rPr>
          <w:i/>
          <w:iCs/>
        </w:rPr>
        <w:t>интеграции инвалидов в социальную и производительную жизнь общества</w:t>
      </w:r>
      <w:r>
        <w:t xml:space="preserve"> следует выделить мероприятия по обеспечению инвалидов протезами и слуховыми аппаратами.</w:t>
      </w:r>
    </w:p>
    <w:p w:rsidR="00000000" w:rsidRDefault="00000000">
      <w:pPr>
        <w:spacing w:line="240" w:lineRule="auto"/>
      </w:pPr>
    </w:p>
    <w:p w:rsidR="00000000" w:rsidRDefault="00000000">
      <w:pPr>
        <w:numPr>
          <w:ilvl w:val="0"/>
          <w:numId w:val="31"/>
        </w:numPr>
        <w:tabs>
          <w:tab w:val="clear" w:pos="567"/>
          <w:tab w:val="clear" w:pos="720"/>
          <w:tab w:val="num" w:pos="927"/>
        </w:tabs>
        <w:ind w:left="1134" w:hanging="573"/>
      </w:pPr>
      <w:r>
        <w:tab/>
        <w:t>В настоящий момент в детских учреждениях МИСО обслуживание 3 894 детей с физическими и психическими недостатками.</w:t>
      </w:r>
    </w:p>
    <w:p w:rsidR="00000000" w:rsidRDefault="00000000">
      <w:pPr>
        <w:tabs>
          <w:tab w:val="clear" w:pos="567"/>
        </w:tabs>
        <w:spacing w:line="240" w:lineRule="auto"/>
        <w:ind w:left="1134" w:hanging="573"/>
      </w:pPr>
    </w:p>
    <w:p w:rsidR="00000000" w:rsidRDefault="00000000">
      <w:pPr>
        <w:numPr>
          <w:ilvl w:val="0"/>
          <w:numId w:val="31"/>
        </w:numPr>
        <w:tabs>
          <w:tab w:val="clear" w:pos="567"/>
          <w:tab w:val="clear" w:pos="720"/>
        </w:tabs>
        <w:ind w:left="1134" w:hanging="573"/>
      </w:pPr>
      <w:r>
        <w:t>В общей сложности было обеспечено протезами, слуховыми аппаратами и другими специальными протезными устройствами 1 858 нуждающихся в них лиц.</w:t>
      </w:r>
    </w:p>
    <w:p w:rsidR="00000000" w:rsidRDefault="00000000">
      <w:r>
        <w:t>348.</w:t>
      </w:r>
      <w:r>
        <w:tab/>
        <w:t>Следует отметить, что 5 августа 2004 года в закон о социальном обеспечении были внесены изменения, которые вступили в силу 12 августа того же года и целью которых является обеспечение сбалансированности государственных субсидий, выделяемых на цели оказания социальной помощи пенсионерам по линии Мексиканского института социального обеспечения.</w:t>
      </w:r>
    </w:p>
    <w:p w:rsidR="00000000" w:rsidRDefault="00000000"/>
    <w:p w:rsidR="00000000" w:rsidRDefault="00000000">
      <w:r>
        <w:t>349.</w:t>
      </w:r>
      <w:r>
        <w:tab/>
        <w:t>Указанные изменения позволяют обеспечить соблюдение прав, которыми пользуются в настоящее время трудящиеся, являющиеся членами МИСО, а также введение в действие ограничений в отношении размеров пенсий будущих членов этого института, а также общего объема средств, предназначающихся для социального обслуживания мексиканцев.  Соответствующие изменения предусматривают также создание фонда содействия выполнению трудовых обязательств юридического или договорного характера, цель которых заключается в том, чтобы в момент выхода на пенсию трудящиеся могли рассчитывать на пенсионные пособия, выплачиваемые им за счет их собственных накоплений.</w:t>
      </w:r>
    </w:p>
    <w:p w:rsidR="00000000" w:rsidRDefault="00000000"/>
    <w:p w:rsidR="00000000" w:rsidRDefault="00000000">
      <w:pPr>
        <w:ind w:left="567" w:hanging="567"/>
      </w:pPr>
      <w:r>
        <w:rPr>
          <w:b/>
          <w:bCs/>
        </w:rPr>
        <w:tab/>
        <w:t>Институт по вопросам социального обеспечения и социального обслуживания государственных служащих</w:t>
      </w:r>
    </w:p>
    <w:p w:rsidR="00000000" w:rsidRDefault="00000000"/>
    <w:p w:rsidR="00000000" w:rsidRDefault="00000000">
      <w:pPr>
        <w:numPr>
          <w:ilvl w:val="0"/>
          <w:numId w:val="32"/>
        </w:numPr>
        <w:tabs>
          <w:tab w:val="clear" w:pos="720"/>
        </w:tabs>
        <w:ind w:left="1134" w:hanging="573"/>
      </w:pPr>
      <w:r>
        <w:t>Профилактическое медицинское обслуживание предусматривает борьбу с заболеваниями путем вакцинации;  борьбу с инфекционными заболеваниями; своевременное выявление хронических заболеваний дегенеративного характера;  пропаганду здорового образа жизни;  планирование семьи;  обслуживание матери и ребенка;  стоматологическое обслуживание, питание, психическое здоровье;  санитарно-гигиеническое обслуживание;  а также ряд других необходимых мероприятий профилактического характера.</w:t>
      </w:r>
    </w:p>
    <w:p w:rsidR="00000000" w:rsidRDefault="00000000">
      <w:pPr>
        <w:ind w:left="1134" w:hanging="573"/>
      </w:pPr>
    </w:p>
    <w:p w:rsidR="00000000" w:rsidRDefault="00000000">
      <w:pPr>
        <w:numPr>
          <w:ilvl w:val="0"/>
          <w:numId w:val="32"/>
        </w:numPr>
        <w:tabs>
          <w:tab w:val="clear" w:pos="720"/>
        </w:tabs>
        <w:ind w:left="1134" w:hanging="573"/>
      </w:pPr>
      <w:r>
        <w:t>Пособие по болезни, беременности и родам.  Трудящиеся и пенсионеры имеют право на получение денежных и материальных пособий, в том числе на цели медицинского обслуживания, касающегося диагностики, стоматологии, хирургии, госпитального обслуживания, фармацевтического обслуживания и реабилитации в течение 52 недель с момента заболевания.  В тех случаях, когда речь идет об амбулаторных больных или пенсионерах, лечение продолжается до момента их выздоровления.</w:t>
      </w:r>
    </w:p>
    <w:p w:rsidR="00000000" w:rsidRDefault="00000000">
      <w:pPr>
        <w:ind w:left="1134" w:hanging="573"/>
      </w:pPr>
    </w:p>
    <w:p w:rsidR="00000000" w:rsidRDefault="00000000">
      <w:pPr>
        <w:ind w:left="1134" w:hanging="573"/>
      </w:pPr>
      <w:r>
        <w:tab/>
      </w:r>
      <w:r>
        <w:tab/>
        <w:t>В случае наступления нетрудоспособности по причине заболевания трудящимся предоставляется отпуск, во время которого ему выплачивается средняя заработная плата в соответствии со статьей 111 федерального закона о государственных служащих.  В том случае, если состояние нетрудоспособности сохраняется по истечении этого периода, трудящимся предоставляется неоплачиваемый 52</w:t>
      </w:r>
      <w:r>
        <w:noBreakHyphen/>
        <w:t>недельный отпуск, в течение которого ИСОГС выплачивает застрахованному лицу денежное пособие в размере 50% от его базовой заработной платы.  Кроме того, право на медицинское обслуживание распространяется на членов семьи застрахованного трудящегося или пенсионера.</w:t>
      </w:r>
    </w:p>
    <w:p w:rsidR="00000000" w:rsidRDefault="00000000">
      <w:pPr>
        <w:ind w:left="1134" w:hanging="573"/>
      </w:pPr>
    </w:p>
    <w:p w:rsidR="00000000" w:rsidRDefault="00000000">
      <w:pPr>
        <w:ind w:left="1134" w:hanging="573"/>
      </w:pPr>
      <w:r>
        <w:tab/>
      </w:r>
      <w:r>
        <w:tab/>
        <w:t>Взносы по страхованию на случай заболевания, беременности и родов и профилактическое медицинское обслуживание формируются следующим образом:  ИСОГС выплачивает 4% суммы пенсионного пособия, которое причитается пенсионеру, а еще 4% суммы той же пенсии отчисляется предприятием или учреждением, в котором работает соответствующее лицо.</w:t>
      </w:r>
    </w:p>
    <w:p w:rsidR="00000000" w:rsidRDefault="00000000">
      <w:pPr>
        <w:ind w:left="1134" w:hanging="573"/>
      </w:pPr>
    </w:p>
    <w:p w:rsidR="00000000" w:rsidRDefault="00000000">
      <w:pPr>
        <w:numPr>
          <w:ilvl w:val="0"/>
          <w:numId w:val="33"/>
        </w:numPr>
        <w:tabs>
          <w:tab w:val="clear" w:pos="720"/>
        </w:tabs>
        <w:ind w:left="1134" w:hanging="573"/>
      </w:pPr>
      <w:r>
        <w:t>Страхование от несчастных случаев на производстве.  К несчастным случаям на производстве относятся травмы и заболевания трудящихся, которые являются следствием или связаны с выполнением ими соответствующей трудовой деятельности, включая, в частности, телесные повреждения и функциональные расстройства здоровья, проявляющиеся непосредственно или по истечении какого-то времени, или смерть в случае или в связи с трудовой деятельностью, включая, в частности, несчастные случаи во время следования из дома на работу или с работы домой, а также заболевания, связанные с трудовой деятельностью.  Весь комплекс соответствующих социальных пособий предоставляется по линии государственных учреждений и структур, порядок функционирования которых определяется Законом о ИСОГС.</w:t>
      </w:r>
    </w:p>
    <w:p w:rsidR="00000000" w:rsidRDefault="00000000">
      <w:pPr>
        <w:ind w:left="567"/>
      </w:pPr>
    </w:p>
    <w:p w:rsidR="00000000" w:rsidRDefault="00000000">
      <w:pPr>
        <w:numPr>
          <w:ilvl w:val="0"/>
          <w:numId w:val="35"/>
        </w:numPr>
        <w:ind w:left="1134"/>
      </w:pPr>
      <w:r>
        <w:t>Пенсии, пенсионные пособия по возрасту и за выслугу лет, пособия по инвалидности, пособия в случае смерти кормильца, пособия в случае увольнения в преклонном возрасте, компенсации общего характера.  ИСОГС обязан предоставлять пенсионные пособия в течение 90 дней с момента подачи ходатайства с соответствующей сопроводительной документацией.  В случае невыполнения указанного требования Институт обязан выплатить в размере 100% пенсионное пособие, которое причиталось соответствующему лицу.</w:t>
      </w:r>
    </w:p>
    <w:p w:rsidR="00000000" w:rsidRDefault="00000000">
      <w:pPr>
        <w:tabs>
          <w:tab w:val="clear" w:pos="567"/>
        </w:tabs>
      </w:pPr>
    </w:p>
    <w:p w:rsidR="00000000" w:rsidRDefault="00000000">
      <w:pPr>
        <w:ind w:left="1134" w:hanging="567"/>
      </w:pPr>
      <w:r>
        <w:tab/>
        <w:t>Трудящиеся, имеющие право на получение пенсии по возрасту или за выслугу лет, а также на пенсионные пособия по инвалидности по причинам, не связанным с осуществлением трудовых функций, получают одно из указанных пособий по выбору соответствующего лица.</w:t>
      </w:r>
    </w:p>
    <w:p w:rsidR="00000000" w:rsidRDefault="00000000">
      <w:pPr>
        <w:ind w:left="567"/>
      </w:pPr>
    </w:p>
    <w:p w:rsidR="00000000" w:rsidRDefault="00000000">
      <w:pPr>
        <w:ind w:left="1134" w:hanging="567"/>
      </w:pPr>
      <w:r>
        <w:tab/>
        <w:t>Максимальная сумма пенсионного пособия, за исключением пособий, выплачиваемых в связи с несчастным случаем на производстве, не может превышать 100% базовой ставки заработной платы.</w:t>
      </w:r>
    </w:p>
    <w:p w:rsidR="00000000" w:rsidRDefault="00000000">
      <w:pPr>
        <w:ind w:left="567"/>
      </w:pPr>
    </w:p>
    <w:p w:rsidR="00000000" w:rsidRDefault="00000000">
      <w:pPr>
        <w:ind w:left="1134" w:hanging="567"/>
      </w:pPr>
      <w:r>
        <w:tab/>
        <w:t>Размеры пенсионных пособий повышаются на ежегодной основе с учетом ежегодного пересмотра национального индекса потребительских цен.</w:t>
      </w:r>
    </w:p>
    <w:p w:rsidR="00000000" w:rsidRDefault="00000000">
      <w:pPr>
        <w:ind w:left="567"/>
      </w:pPr>
    </w:p>
    <w:p w:rsidR="00000000" w:rsidRDefault="00000000">
      <w:pPr>
        <w:ind w:left="1134" w:hanging="567"/>
      </w:pPr>
      <w:r>
        <w:tab/>
        <w:t>В зависимости от размера ежедневного взноса в счет пенсионных выплат пенсионеры имеют право на дополнительную ежегодную выплату наравне с трудящимися, сумма которой исчисляется для последних с учетом отработанных ими за год дней.</w:t>
      </w:r>
    </w:p>
    <w:p w:rsidR="00000000" w:rsidRDefault="00000000">
      <w:pPr>
        <w:ind w:left="567"/>
      </w:pPr>
    </w:p>
    <w:p w:rsidR="00000000" w:rsidRDefault="00000000">
      <w:pPr>
        <w:ind w:left="1134" w:hanging="567"/>
      </w:pPr>
      <w:r>
        <w:tab/>
        <w:t>Право на пенсионные пособия по возрасту имеют трудящиеся с трудовой выслугой от 30 лет и выше и трудящиеся женщины с трудовой выслугой от 28 лет при условии равного периода отчислений взносов в Институт независимо от их возраста.  Что касается пенсионного пособия по возрасту и за выслугу лет, то такое пособие получают трудящиеся, которым исполнилось 55 лет и трудовой стаж которых составляет не менее 15 лет;  при этом продолжительность отчислений в социальные фонды Института должна быть не меньше их трудового стажа.  Размеры соответствующего пенсионного пособия зависят от трудового стажа, который может колебаться в пределах 15</w:t>
      </w:r>
      <w:r>
        <w:noBreakHyphen/>
        <w:t>29 лет, и составляют от 50 до 95% от базовой ставки заработной платы.</w:t>
      </w:r>
    </w:p>
    <w:p w:rsidR="00000000" w:rsidRDefault="00000000">
      <w:pPr>
        <w:ind w:left="567"/>
      </w:pPr>
    </w:p>
    <w:p w:rsidR="00000000" w:rsidRDefault="00000000">
      <w:pPr>
        <w:ind w:left="1134" w:hanging="567"/>
      </w:pPr>
      <w:r>
        <w:rPr>
          <w:lang w:val="en-US"/>
        </w:rPr>
        <w:tab/>
      </w:r>
      <w:r>
        <w:t>Право на получение пенсии по инвалидности имеют трудящиеся, которые утрачивают трудоспособность по причинам физического или психического характера вне зависимости от выполняемой ими трудовой деятельностью при том условии, что они отчисляли соответствующие взносы в Институт на протяжении не менее 15 лет.  Размер соответствующего пенсионного пособия исчисляется так же, как размер пенсионного пособия по возрасту и за выслугу лет.</w:t>
      </w:r>
    </w:p>
    <w:p w:rsidR="00000000" w:rsidRDefault="00000000">
      <w:pPr>
        <w:ind w:left="567"/>
      </w:pPr>
    </w:p>
    <w:p w:rsidR="00000000" w:rsidRDefault="00000000">
      <w:pPr>
        <w:ind w:left="1134" w:hanging="567"/>
      </w:pPr>
      <w:r>
        <w:tab/>
        <w:t xml:space="preserve">Право на получение пенсии в случае смерти имеют сожители (сожительницы), сироты или родители.  Данное пенсионное пособие предоставляется в том случае, если причина смерти трудящегося не связана с его производственными обязанностями вне зависимости от его возраста и при условии предварительного отчисления взносов в Институт в течение не менее 15 лет или в том случае, если на момент смерти возраст трудящегося составлял 60 или более лет и если до этого он в течение 10 лет выплачивал взносы в </w:t>
      </w:r>
    </w:p>
    <w:p w:rsidR="00000000" w:rsidRDefault="00000000">
      <w:pPr>
        <w:ind w:left="1134" w:hanging="567"/>
      </w:pPr>
      <w:r>
        <w:br w:type="page"/>
      </w:r>
      <w:r>
        <w:tab/>
        <w:t xml:space="preserve">соответствующие социальные фонды.  Аналогичная схема применяется к лицам, получающим пенсию по возрасту и по выслуге лет, пособия в случае увольнения в преклонном возрасте или пособия по инвалидности.  </w:t>
      </w:r>
    </w:p>
    <w:p w:rsidR="00000000" w:rsidRDefault="00000000">
      <w:pPr>
        <w:ind w:left="1134" w:hanging="567"/>
      </w:pPr>
    </w:p>
    <w:p w:rsidR="00000000" w:rsidRDefault="00000000">
      <w:pPr>
        <w:ind w:left="1134" w:hanging="567"/>
      </w:pPr>
      <w:r>
        <w:tab/>
        <w:t>Члены семьи умершего трудящегося или умершего пенсионера имеют право на получение пенсионного пособия в размере 100% базового размера его заработной платы.</w:t>
      </w:r>
    </w:p>
    <w:p w:rsidR="00000000" w:rsidRDefault="00000000">
      <w:pPr>
        <w:ind w:left="567"/>
      </w:pPr>
    </w:p>
    <w:p w:rsidR="00000000" w:rsidRDefault="00000000">
      <w:pPr>
        <w:ind w:left="1134" w:hanging="567"/>
      </w:pPr>
      <w:r>
        <w:tab/>
        <w:t>Право на получение пособия в случае увольнения в преклонном возрасте имеют трудящиеся, которые добровольно увольняются с работы или которые теряют возможность заниматься приносящей доход трудовой деятельностью по достижении 60</w:t>
      </w:r>
      <w:r>
        <w:noBreakHyphen/>
        <w:t>летнего возраста при том условии, что до этого они в течение не менее 10 лет выплачивали взносы в фонды Института.  Размеры указанной пенсии составляют от 40 до 50% базовой ставки заработной платы в случае десятилетней выслуги лет и в том случае, если соответствующее лицо относится к возрастной группе от 60 до 65 лет или старше.</w:t>
      </w:r>
    </w:p>
    <w:p w:rsidR="00000000" w:rsidRDefault="00000000">
      <w:pPr>
        <w:ind w:left="567"/>
      </w:pPr>
    </w:p>
    <w:p w:rsidR="00000000" w:rsidRDefault="00000000">
      <w:pPr>
        <w:ind w:left="1134" w:hanging="1134"/>
      </w:pPr>
      <w:r>
        <w:rPr>
          <w:lang w:val="en-US"/>
        </w:rPr>
        <w:tab/>
      </w:r>
      <w:r>
        <w:tab/>
        <w:t>Право на получение компенсации общего характера предоставляется трудящимся, не имеющим права на получение пенсионного пособия по возрасту и за выслугу лет, пособия в случае увольнения в преклонном возрасте или пособия по инвалидности и в случае их окончательного увольнения со службы.  Размер соответствующего пособия составляет общую сумму перечисленных в Институт взносов из расчета свыше 45 дней по последней базовой ставке заработной платы при трудовом стаже от 5 до 9 лет или общую сумму за 90 дней из расчета базовой ставки последней заработной платы в случае трудового стажа от 10 до 14 лет.  Такая компенсация общего характера предоставляется бенефициарам умершего трудящегося в том случае, если он не имел права на получение вышеупомянутых пенсионных выплат.</w:t>
      </w:r>
    </w:p>
    <w:p w:rsidR="00000000" w:rsidRDefault="00000000">
      <w:pPr>
        <w:ind w:left="567"/>
      </w:pPr>
    </w:p>
    <w:p w:rsidR="00000000" w:rsidRDefault="00000000">
      <w:pPr>
        <w:numPr>
          <w:ilvl w:val="0"/>
          <w:numId w:val="34"/>
        </w:numPr>
        <w:ind w:left="1134"/>
      </w:pPr>
      <w:r>
        <w:t>Обслуживание в связи с уходом за детьми.  Обслуживание в связи с уходом за детьми обеспечивается детям от 60 дней до 6 лет, детям работающих матерей и отцов (вдовцам или разведенным трудящимся с родительскими правами) по линии учреждений ИСОГС.  В рамках такой системы обеспечивается гармоничное и всестороннее развитие детей путем оказания услуг в области охраны здоровья, психологического консультирования, социальной работы, питания и воспитания.  Предоставление таких услуг позволяет работающей женщине сочетать выполнение своих производственных и семейных обязанностей.</w:t>
      </w:r>
    </w:p>
    <w:p w:rsidR="00000000" w:rsidRDefault="00000000">
      <w:pPr>
        <w:tabs>
          <w:tab w:val="clear" w:pos="567"/>
        </w:tabs>
      </w:pPr>
    </w:p>
    <w:p w:rsidR="00000000" w:rsidRDefault="00000000">
      <w:pPr>
        <w:numPr>
          <w:ilvl w:val="0"/>
          <w:numId w:val="34"/>
        </w:numPr>
        <w:ind w:left="1134"/>
      </w:pPr>
      <w:r>
        <w:t xml:space="preserve">Комплексное обслуживание пенсионеров и престарелых.  В соответствии с Законом о ИСОГС выходящим на пенсию трудящимся обеспечиваются следующие услуги и пособия:  а)  пенсионные пособия;  </w:t>
      </w:r>
      <w:r>
        <w:rPr>
          <w:lang w:val="en-US"/>
        </w:rPr>
        <w:t>b</w:t>
      </w:r>
      <w:r>
        <w:t xml:space="preserve">)  медицинское обслуживание;  с)  ежегодные дополнительные денежные выплаты;  </w:t>
      </w:r>
      <w:r>
        <w:rPr>
          <w:lang w:val="en-US"/>
        </w:rPr>
        <w:t>d</w:t>
      </w:r>
      <w:r>
        <w:t xml:space="preserve">)  материальные льготы;  е)  продукты питания;  </w:t>
      </w:r>
      <w:r>
        <w:rPr>
          <w:lang w:val="en-US"/>
        </w:rPr>
        <w:t>f</w:t>
      </w:r>
      <w:r>
        <w:t xml:space="preserve">)  социальные и культурные услуги;  </w:t>
      </w:r>
      <w:r>
        <w:rPr>
          <w:lang w:val="en-US"/>
        </w:rPr>
        <w:t>g</w:t>
      </w:r>
      <w:r>
        <w:t xml:space="preserve">)  комплексные социальные услуги;  </w:t>
      </w:r>
      <w:r>
        <w:rPr>
          <w:lang w:val="en-US"/>
        </w:rPr>
        <w:t>h</w:t>
      </w:r>
      <w:r>
        <w:t xml:space="preserve">)  услуги по организации спортивных мероприятий;  </w:t>
      </w:r>
      <w:r>
        <w:rPr>
          <w:lang w:val="en-US"/>
        </w:rPr>
        <w:t>i</w:t>
      </w:r>
      <w:r>
        <w:t xml:space="preserve">)  краткосрочные и среднесрочные кредиты;  </w:t>
      </w:r>
      <w:r>
        <w:rPr>
          <w:lang w:val="en-US"/>
        </w:rPr>
        <w:t>j</w:t>
      </w:r>
      <w:r>
        <w:t xml:space="preserve">)  пособия на ритуальные услуги (из расчета пенсионной ставки за 120 дней);  </w:t>
      </w:r>
      <w:r>
        <w:rPr>
          <w:lang w:val="en-US"/>
        </w:rPr>
        <w:t>k</w:t>
      </w:r>
      <w:r>
        <w:t xml:space="preserve">)  ежегодная доплата с учетом корректировки количества рабочих дней за год (пять-шесть дней);  </w:t>
      </w:r>
      <w:r>
        <w:rPr>
          <w:lang w:val="en-US"/>
        </w:rPr>
        <w:t>l</w:t>
      </w:r>
      <w:r>
        <w:t xml:space="preserve">)  предоставление скидок по линии ТУРИСОГС и  </w:t>
      </w:r>
      <w:r>
        <w:rPr>
          <w:lang w:val="en-US"/>
        </w:rPr>
        <w:t>m</w:t>
      </w:r>
      <w:r>
        <w:t>)  организация творческих мероприятий.</w:t>
      </w:r>
    </w:p>
    <w:p w:rsidR="00000000" w:rsidRDefault="00000000">
      <w:pPr>
        <w:tabs>
          <w:tab w:val="clear" w:pos="567"/>
        </w:tabs>
      </w:pPr>
    </w:p>
    <w:p w:rsidR="00000000" w:rsidRDefault="00000000">
      <w:pPr>
        <w:numPr>
          <w:ilvl w:val="0"/>
          <w:numId w:val="34"/>
        </w:numPr>
        <w:ind w:left="1134"/>
      </w:pPr>
      <w:r>
        <w:t>Аренда или продажа дешевого жилья, находящегося в собственности Института.  В этой связи обеспечивается аренда помещений с возможностью их покупки и предоставления кредита, не превышающего 85% от фиксированной оценочной стоимости, произведенной банковским учреждением, если только заинтересованное лицо не предоставляет Институту дополнительные надежные гарантии.</w:t>
      </w:r>
    </w:p>
    <w:p w:rsidR="00000000" w:rsidRDefault="00000000">
      <w:pPr>
        <w:tabs>
          <w:tab w:val="clear" w:pos="567"/>
        </w:tabs>
      </w:pPr>
    </w:p>
    <w:p w:rsidR="00000000" w:rsidRDefault="00000000">
      <w:pPr>
        <w:numPr>
          <w:ilvl w:val="0"/>
          <w:numId w:val="34"/>
        </w:numPr>
        <w:ind w:left="1134"/>
      </w:pPr>
      <w:r>
        <w:t>Ипотечный кредит и общее финансирование для жилищных целей.  ИСОГС, действуя через собственный жилищный фонд (ФОИСОГС), управляет системой финансирования, которая позволяет трудящимся получать дешевые и достаточные кредиты на цели приобретения, строительства, ремонта, расширения или улучшения жилья или для уплаты паевого взноса, покрытия расходов на оформление документов или контрактов, связанных с указанными операциями.</w:t>
      </w:r>
    </w:p>
    <w:p w:rsidR="00000000" w:rsidRDefault="00000000">
      <w:pPr>
        <w:tabs>
          <w:tab w:val="clear" w:pos="567"/>
        </w:tabs>
      </w:pPr>
    </w:p>
    <w:p w:rsidR="00000000" w:rsidRDefault="00000000">
      <w:pPr>
        <w:numPr>
          <w:ilvl w:val="0"/>
          <w:numId w:val="34"/>
        </w:numPr>
        <w:ind w:left="1134"/>
      </w:pPr>
      <w:r>
        <w:t>Среднесрочные кредиты.  Трудящиеся и пенсионеры, являющиеся членами ИСОГС, могут получать кредиты для целей приобретения товаров длительного пользования, которые продаются в коммерческих центрах и магазинах Института, на сумму в размере 4 702,90  песо (примерно 400 долл. США) и на срок не более 60 месяцев по кредитной годовой ставке в размере 9%.</w:t>
      </w:r>
    </w:p>
    <w:p w:rsidR="00000000" w:rsidRDefault="00000000"/>
    <w:p w:rsidR="00000000" w:rsidRDefault="00000000">
      <w:pPr>
        <w:numPr>
          <w:ilvl w:val="0"/>
          <w:numId w:val="36"/>
        </w:numPr>
        <w:tabs>
          <w:tab w:val="clear" w:pos="720"/>
        </w:tabs>
        <w:ind w:left="1134" w:hanging="567"/>
      </w:pPr>
      <w:r>
        <w:t>Краткосрочные кредиты.  Такие кредиты предоставляются для того, чтобы трудящиеся и пенсионеры могли приобретать товары длительного пользования, которые продаются в коммерческих центрах и магазинах Института.  Кредит предоставляется на срок не более 60 месяцев;  ежегодный процент по кредиту составляет 9%.  Любые другие кредиты предоставляются после того, как будет выплачен вышеуказанный краткосрочный кредит.</w:t>
      </w:r>
    </w:p>
    <w:p w:rsidR="00000000" w:rsidRDefault="00000000">
      <w:pPr>
        <w:numPr>
          <w:ilvl w:val="0"/>
          <w:numId w:val="36"/>
        </w:numPr>
        <w:tabs>
          <w:tab w:val="clear" w:pos="720"/>
        </w:tabs>
        <w:ind w:left="1134" w:hanging="567"/>
      </w:pPr>
      <w:r>
        <w:t>Услуги, направленные на повышение качества жизни государственных служащих и членов их семей.  Деятельность по линии Института позволяет удовлетворять базовые потребности трудящихся и членов их семей путем предоставления услуг, которые способствуют повышению уровня их благосостояния и укреплению покупательной способности их заработной платы и которые оказываются в рамках 389 коммерческих учреждений (264 магазина и 125 аптек), что позволяет обеспечить рациональный и льготный режим потребления, включая, в частности, продажу товаров первой необходимости бытового назначения, а также экономное и сбалансированное питание, предоставление скидок в туристических центрах, оказание ритуальных услуг и т.д.</w:t>
      </w:r>
    </w:p>
    <w:p w:rsidR="00000000" w:rsidRDefault="00000000">
      <w:pPr>
        <w:ind w:left="567"/>
      </w:pPr>
    </w:p>
    <w:p w:rsidR="00000000" w:rsidRDefault="00000000">
      <w:pPr>
        <w:numPr>
          <w:ilvl w:val="0"/>
          <w:numId w:val="36"/>
        </w:numPr>
        <w:tabs>
          <w:tab w:val="clear" w:pos="720"/>
        </w:tabs>
        <w:ind w:left="1134" w:hanging="567"/>
      </w:pPr>
      <w:r>
        <w:t>Туристические услуги.  В этой связи предоставляются консультативно-справочные услуги, резервируются места в гостиницах, решаются вопросы, связанные с транспортом, организуются международные туристические туры и экскурсии.  Посещение зон отдыха и курортов обеспечивается только в составе групп.  Кроме того, предусматривается предоставление кредита на цели туризма с учетом выслуги лет трудящегося, что позволяет ему оплачивать проживание в гостинице, пользоваться наземным, воздушным и морским транспортом, приобретать национальные или международные туристические путевки.</w:t>
      </w:r>
    </w:p>
    <w:p w:rsidR="00000000" w:rsidRDefault="00000000">
      <w:pPr>
        <w:ind w:left="567"/>
      </w:pPr>
    </w:p>
    <w:p w:rsidR="00000000" w:rsidRDefault="00000000">
      <w:pPr>
        <w:numPr>
          <w:ilvl w:val="0"/>
          <w:numId w:val="36"/>
        </w:numPr>
        <w:tabs>
          <w:tab w:val="clear" w:pos="720"/>
        </w:tabs>
        <w:ind w:left="1134" w:hanging="567"/>
      </w:pPr>
      <w:r>
        <w:t>Льготы в области культуры, технического творчества, занятия спортом и организации отдыха.  Мероприятия, осуществляемые в этой связи Институтом, предусматривают оказание услуг в целях обеспечения более здорового образа жизни населения и семей, а также повышение качества их жизни.  Соответствующая деятельность по линии ИСОГС охватывает следующие виды оздоровительных мероприятий:  йога, пеший туризм, легкая и тяжелая атлетика, гимнастика, "тай</w:t>
      </w:r>
      <w:r>
        <w:noBreakHyphen/>
        <w:t>квон-до", каратэ, шахматы, альпинизм, волейбол, плавание, футбол, мини-футбол, баскетбол, качибол, "тай-чи-чуань", домино, аэробика, оздоровительные занятия в спортивных залах, пешие экскурсии, спортивные курсы для лиц с физическими и психическими недостатками, физическое воспитание в детских санаториях и комплекс спортивно-оздоровительных мероприятий.</w:t>
      </w:r>
    </w:p>
    <w:p w:rsidR="00000000" w:rsidRDefault="00000000">
      <w:pPr>
        <w:ind w:left="207"/>
      </w:pPr>
    </w:p>
    <w:p w:rsidR="00000000" w:rsidRDefault="00000000">
      <w:pPr>
        <w:ind w:left="1134" w:hanging="567"/>
      </w:pPr>
      <w:r>
        <w:tab/>
        <w:t xml:space="preserve">Для пенсионеров организуются учебные курсы по столярному ремеслу, кройке и шитью, кустарному производству различных изделий бытового назначения, танцевальные и литературные вечера.  Кроме того, в рамках еженедельных </w:t>
      </w:r>
    </w:p>
    <w:p w:rsidR="00000000" w:rsidRDefault="00000000">
      <w:pPr>
        <w:ind w:left="1134" w:hanging="567"/>
      </w:pPr>
      <w:r>
        <w:br w:type="page"/>
      </w:r>
      <w:r>
        <w:tab/>
        <w:t>дней досуга, культуры и спорта по линии программы КОНВИВЕ обеспечивается бесплатный проезд, проживание в гостинице, питание и организация экскурсий.</w:t>
      </w:r>
    </w:p>
    <w:p w:rsidR="00000000" w:rsidRDefault="00000000">
      <w:pPr>
        <w:ind w:left="1134" w:hanging="567"/>
      </w:pPr>
    </w:p>
    <w:p w:rsidR="00000000" w:rsidRDefault="00000000">
      <w:pPr>
        <w:numPr>
          <w:ilvl w:val="0"/>
          <w:numId w:val="37"/>
        </w:numPr>
        <w:tabs>
          <w:tab w:val="clear" w:pos="720"/>
        </w:tabs>
        <w:ind w:left="1134" w:hanging="567"/>
      </w:pPr>
      <w:r>
        <w:t>Предоставление ритуальных услуг.  В целях оказания материального содействия охватываемым настоящими льготами лицам предлагаются качественные и дешевые ритуальные услуги, включая, в частности, перевозку усопших, бальзамирование, кремацию, захоронение, оплату места на кладбище, погребальных урн, гробов, саркофагов и траурных катафалков.</w:t>
      </w:r>
    </w:p>
    <w:p w:rsidR="00000000" w:rsidRDefault="00000000">
      <w:pPr>
        <w:ind w:left="207"/>
      </w:pPr>
    </w:p>
    <w:p w:rsidR="00000000" w:rsidRDefault="00000000">
      <w:pPr>
        <w:numPr>
          <w:ilvl w:val="0"/>
          <w:numId w:val="37"/>
        </w:numPr>
        <w:tabs>
          <w:tab w:val="clear" w:pos="720"/>
        </w:tabs>
        <w:ind w:left="1134" w:hanging="567"/>
      </w:pPr>
      <w:r>
        <w:t>Система пенсионных накоплений (СПН).  Предприятия и учреждения обязаны вносить в систему пенсионных накоплений ИСОГС соответствующие взносы в форме отчислений в интересах каждого трудящегося.  Цель такой схемы заключается в обеспечении максимально высокой суммы, находящейся на индивидуальном банковском счету трудящегося на момент его выхода на пенсию в соответствии с системой льгот, предусмотренных положениями Закона о ИСОГС.  Соответствующие суммы отчисляются раз в два месяца и составляют 2% базовой заработной платы трудящегося, с которого он вносит взносы в систему социального обеспечения.</w:t>
      </w:r>
    </w:p>
    <w:p w:rsidR="00000000" w:rsidRDefault="00000000"/>
    <w:p w:rsidR="00000000" w:rsidRDefault="00000000">
      <w:r>
        <w:rPr>
          <w:b/>
          <w:bCs/>
        </w:rPr>
        <w:t>Пункт 29</w:t>
      </w:r>
    </w:p>
    <w:p w:rsidR="00000000" w:rsidRDefault="00000000"/>
    <w:p w:rsidR="00000000" w:rsidRDefault="00000000">
      <w:r>
        <w:t>350.</w:t>
      </w:r>
      <w:r>
        <w:tab/>
        <w:t>За период с января по июль 2004 года по линии МИСО и ИСОГС на цели социального обеспечения было выделено 136 320,6 млн. песо, т.е. на 8,6% больше в реальном исчислении по сравнению с тем же периодом предыдущего года.</w:t>
      </w:r>
    </w:p>
    <w:p w:rsidR="00000000" w:rsidRDefault="00000000"/>
    <w:p w:rsidR="00000000" w:rsidRDefault="00000000">
      <w:r>
        <w:t>351.</w:t>
      </w:r>
      <w:r>
        <w:tab/>
        <w:t>76,8% этих средств, или 104 771,6 млн. песо, приходится на МИСО, что в реальном исчислении составляет увеличение на 0,3% по сравнению с тем же периодом 2003 года.</w:t>
      </w:r>
    </w:p>
    <w:p w:rsidR="00000000" w:rsidRDefault="00000000"/>
    <w:p w:rsidR="00000000" w:rsidRDefault="00000000">
      <w:r>
        <w:t>352.</w:t>
      </w:r>
      <w:r>
        <w:tab/>
        <w:t>За период с января по июль 2004 года предусмотренные ИСОГС расходы на социальные нужды составили 31 549 млн. песо, что в реальном исчислении на 1,3% выше по сравнению с тем же периодом предыдущего года.</w:t>
      </w:r>
    </w:p>
    <w:p w:rsidR="00000000" w:rsidRDefault="00000000"/>
    <w:p w:rsidR="00000000" w:rsidRDefault="00000000">
      <w:r>
        <w:t>353.</w:t>
      </w:r>
      <w:r>
        <w:tab/>
        <w:t xml:space="preserve">Из сопоставления цифр по годам явствует, что, если в 2000 году из запланированных на данный год 132 584,9 млн. песо Мексиканский институт социального обеспечения реально израсходовал 104 771,6 млн. песо, то в предыдущем году сумма потраченных этим Институтом денежных средств составила 177 512,5 млн. песо.  Следует также </w:t>
      </w:r>
    </w:p>
    <w:p w:rsidR="00000000" w:rsidRDefault="00000000">
      <w:r>
        <w:br w:type="page"/>
        <w:t>отметить, что если четыре года тому назад расходы ИСОГС составляли 39 626,7 млн. песо, то в 2003 году они составили 58 084,3 млн. песо;  при этом следует отметить, что в текущем году расходы по линии ИСОГС сократились, составив 31 549 млн. песо.</w:t>
      </w:r>
    </w:p>
    <w:p w:rsidR="00000000" w:rsidRDefault="00000000"/>
    <w:p w:rsidR="00000000" w:rsidRDefault="00000000">
      <w:r>
        <w:rPr>
          <w:b/>
          <w:bCs/>
        </w:rPr>
        <w:t>Пункт 30</w:t>
      </w:r>
    </w:p>
    <w:p w:rsidR="00000000" w:rsidRDefault="00000000"/>
    <w:p w:rsidR="00000000" w:rsidRDefault="00000000">
      <w:r>
        <w:t>354.</w:t>
      </w:r>
      <w:r>
        <w:tab/>
        <w:t>Как уже отмечалось выше, на МИСО возлагается обязанность по предоставлению услуг в сфере социального обеспечения, и в этой связи с учетом изменений, внесенных в закон 1997 года о социальном обеспечении, с частными предпринимателями было заключено соглашение, в соответствии с которым они должны учредить Фонд пенсионных накоплений в интересах трудящихся.</w:t>
      </w:r>
    </w:p>
    <w:p w:rsidR="00000000" w:rsidRDefault="00000000"/>
    <w:p w:rsidR="00000000" w:rsidRDefault="00000000">
      <w:r>
        <w:t>355.</w:t>
      </w:r>
      <w:r>
        <w:tab/>
        <w:t>Система пенсионных накоплений предусматривает открытие индивидуального банковского счета, на который перечисляют взносы три стороны - мексиканское правительство, предприниматель и сам трудящийся.</w:t>
      </w:r>
    </w:p>
    <w:p w:rsidR="00000000" w:rsidRDefault="00000000"/>
    <w:p w:rsidR="00000000" w:rsidRDefault="00000000">
      <w:r>
        <w:t>356.</w:t>
      </w:r>
      <w:r>
        <w:tab/>
        <w:t>Соответствующие мероприятия имеют целью содействие росту пенсионных накоплений и гарантированную выплату трудящемуся пенсионного пособия после выхода на пенсию.</w:t>
      </w:r>
    </w:p>
    <w:p w:rsidR="00000000" w:rsidRDefault="00000000"/>
    <w:p w:rsidR="00000000" w:rsidRDefault="00000000">
      <w:pPr>
        <w:rPr>
          <w:b/>
          <w:bCs/>
        </w:rPr>
      </w:pPr>
      <w:r>
        <w:rPr>
          <w:b/>
          <w:bCs/>
        </w:rPr>
        <w:t>Пункт 31</w:t>
      </w:r>
    </w:p>
    <w:p w:rsidR="00000000" w:rsidRDefault="00000000">
      <w:pPr>
        <w:rPr>
          <w:b/>
          <w:bCs/>
        </w:rPr>
      </w:pPr>
    </w:p>
    <w:p w:rsidR="00000000" w:rsidRDefault="00000000">
      <w:r>
        <w:t>357.</w:t>
      </w:r>
      <w:r>
        <w:tab/>
        <w:t>ИСОГС способствует по линии Программы медицинского обслуживания и охраны здоровья доступу женщин из числа коренного населения к комплексным услугам в сфере охраны здоровья в целях снижения смертности путем реализации различных профилактических и терапевтических мероприятий.  Особое внимание в этой связи уделялось осуществлению в штатах Оахака, Чьяпас, Сан-Луис-Потоси, Гуанахуато и Пуэбла программы "Становление молодой семьи", в частности в рамках мероприятий по выявлению рисков для беременных женщин и организации пренатального медицинского обслуживания.  К числу основных целей этой программы относится охрана здоровья женщин.  Программа охватывает женщин в возрасте от 20 до 59 лет и предусматривает их комплексное медицинское обслуживание.  Информационно-просветительская деятельность, предусматривающая распространение буклетов по вопросам охраны здоровья матери, а также общих руководств по охране здоровья, имеет крайне важное значение в контексте понимания их собственной доли ответственности за состояние своего здоровья.</w:t>
      </w:r>
    </w:p>
    <w:p w:rsidR="00000000" w:rsidRDefault="00000000"/>
    <w:p w:rsidR="00000000" w:rsidRDefault="00000000">
      <w:r>
        <w:t>358.</w:t>
      </w:r>
      <w:r>
        <w:tab/>
        <w:t>Все группы трудящихся, занятые на предприятиях формального сектора экономики, пользуются льготами в рамках системы социального обеспечения.</w:t>
      </w:r>
    </w:p>
    <w:p w:rsidR="00000000" w:rsidRDefault="00000000">
      <w:r>
        <w:t>359.</w:t>
      </w:r>
      <w:r>
        <w:tab/>
        <w:t>По линии Мексиканского института социального обеспечения социальными льготами пользуются 40% населения страны.</w:t>
      </w:r>
    </w:p>
    <w:p w:rsidR="00000000" w:rsidRDefault="00000000"/>
    <w:p w:rsidR="00000000" w:rsidRDefault="00000000">
      <w:pPr>
        <w:rPr>
          <w:b/>
          <w:bCs/>
        </w:rPr>
      </w:pPr>
      <w:r>
        <w:rPr>
          <w:b/>
          <w:bCs/>
        </w:rPr>
        <w:t>Пункт 32</w:t>
      </w:r>
    </w:p>
    <w:p w:rsidR="00000000" w:rsidRDefault="00000000">
      <w:pPr>
        <w:rPr>
          <w:b/>
          <w:bCs/>
        </w:rPr>
      </w:pPr>
    </w:p>
    <w:p w:rsidR="00000000" w:rsidRDefault="00000000">
      <w:r>
        <w:t>360.</w:t>
      </w:r>
      <w:r>
        <w:tab/>
        <w:t xml:space="preserve">Следует отметить, что за охватываемый настоящим докладом период в данной области имело место лишь два важных мероприятия, касающихся права на социальное обеспечение:  первое мероприятие касается расширения охвата предоставляемых в случае заболевания медицинских услуг на супруга застрахованного лица (пункт 1 пересмотренной статьи 24 Закона о ИСОГС от 12 мая 2000 года), что указывает на существенное улучшение социального положения трудящейся женщины, поскольку ранее соответствующие медицинские услуги предоставлялись лишь супруге трудящегося;  а вторая мера касается размеров выплачиваемых пенсионных пособий, которые пересматриваются по истечении календарного года в сторону увеличения с учетом изменения национального индекса потребительских цен (до этого размеры пенсионного пособия повышались в случае повышения общей минимальной заработной платы).  Вместе с тем в том случае, если индекс потребительских цен не достигает уровня базовой заработной платы трудящихся, то размеры пенсионных пособий повышаются в том же соотношении, что и минимальная заработная плата.  (Информация об изменениях, внесенных в статью 57, опубликована в "Федеральном официальном вестнике" от 1 июня 2001 года.) </w:t>
      </w:r>
    </w:p>
    <w:p w:rsidR="00000000" w:rsidRDefault="00000000"/>
    <w:p w:rsidR="00000000" w:rsidRDefault="00000000">
      <w:pPr>
        <w:rPr>
          <w:b/>
          <w:bCs/>
        </w:rPr>
      </w:pPr>
      <w:r>
        <w:rPr>
          <w:b/>
          <w:bCs/>
        </w:rPr>
        <w:t>Пункт 33</w:t>
      </w:r>
    </w:p>
    <w:p w:rsidR="00000000" w:rsidRDefault="00000000">
      <w:pPr>
        <w:rPr>
          <w:b/>
          <w:bCs/>
        </w:rPr>
      </w:pPr>
    </w:p>
    <w:p w:rsidR="00000000" w:rsidRDefault="00000000">
      <w:r>
        <w:t>361.</w:t>
      </w:r>
      <w:r>
        <w:tab/>
        <w:t>ИСОГС является членом Международной ассоциации социального обеспечения (МАСО), Межамериканской конференции социального обеспечения (МКСО) и Ибероамериканской ассоциации социального обеспечения (ИОСО) и в этом качестве является бенефициаром программ, исследований, публикаций, электронных данных и научных исследований, которые предлагаются указанными организациями.  Кроме того, ИСОГС заключил 32 соглашения в сфере социального обеспечения с соответствующими учреждениями 15 стран (Германия, Австрия, Коста-Рика, Куба, Эквадор, Испания, Соединенные Штаты Америки, Франция, Гватемала, Гондурас, Никарагуа, Парагвай, Доминиканская Республика, Россия и Швейцария).  В рамках этих соглашений следует особо отметить положения о научно-техническом сотрудничестве в сфере охраны здоровья и медицинского обслуживания.</w:t>
      </w:r>
    </w:p>
    <w:p w:rsidR="00000000" w:rsidRDefault="00000000"/>
    <w:p w:rsidR="00000000" w:rsidRDefault="00000000">
      <w:pPr>
        <w:keepNext/>
        <w:jc w:val="center"/>
        <w:rPr>
          <w:b/>
          <w:bCs/>
        </w:rPr>
      </w:pPr>
      <w:r>
        <w:rPr>
          <w:b/>
          <w:bCs/>
        </w:rPr>
        <w:t>Е.</w:t>
      </w:r>
      <w:r>
        <w:rPr>
          <w:b/>
          <w:bCs/>
        </w:rPr>
        <w:tab/>
        <w:t>Статья 10</w:t>
      </w:r>
    </w:p>
    <w:p w:rsidR="00000000" w:rsidRDefault="00000000">
      <w:pPr>
        <w:keepNext/>
        <w:jc w:val="center"/>
        <w:rPr>
          <w:b/>
          <w:bCs/>
        </w:rPr>
      </w:pPr>
    </w:p>
    <w:p w:rsidR="00000000" w:rsidRDefault="00000000">
      <w:pPr>
        <w:keepNext/>
        <w:rPr>
          <w:b/>
          <w:bCs/>
        </w:rPr>
      </w:pPr>
      <w:r>
        <w:rPr>
          <w:b/>
          <w:bCs/>
        </w:rPr>
        <w:t>Пункт 35 руководящих принципов</w:t>
      </w:r>
    </w:p>
    <w:p w:rsidR="00000000" w:rsidRDefault="00000000">
      <w:pPr>
        <w:keepNext/>
        <w:rPr>
          <w:b/>
          <w:bCs/>
        </w:rPr>
      </w:pPr>
    </w:p>
    <w:p w:rsidR="00000000" w:rsidRDefault="00000000">
      <w:r>
        <w:t>362.</w:t>
      </w:r>
      <w:r>
        <w:tab/>
        <w:t xml:space="preserve">Семья - группа людей, объединяемых отношениями родства - кровного в силу брака или в силу закона, </w:t>
      </w:r>
      <w:r>
        <w:noBreakHyphen/>
        <w:t xml:space="preserve"> вытекающими из рождения, супружества или усыновления и признаваемыми законом, существующая в интересах взаимопомощи между ее членами ради достижения общего блага;  семья представляет собой основную ячейку общества, создаваемую связью между мужчиной и женщиной, которая характеризуется близкими, прочными и основанными на единстве интересов отношениями ее членов, будь то старших или младших, кровных родственников или родственников по закону, которые имеют общие устойчивые нравы, обычаи и ценности.  Семья - основа общества и государства, ибо именно в семье человек появляется на свет и достигает наиболее полного развития своей личности.</w:t>
      </w:r>
    </w:p>
    <w:p w:rsidR="00000000" w:rsidRDefault="00000000"/>
    <w:p w:rsidR="00000000" w:rsidRDefault="00000000">
      <w:pPr>
        <w:keepNext/>
        <w:rPr>
          <w:b/>
          <w:bCs/>
        </w:rPr>
      </w:pPr>
      <w:r>
        <w:rPr>
          <w:b/>
          <w:bCs/>
        </w:rPr>
        <w:t>Пункт 36</w:t>
      </w:r>
    </w:p>
    <w:p w:rsidR="00000000" w:rsidRDefault="00000000">
      <w:pPr>
        <w:keepNext/>
        <w:rPr>
          <w:b/>
          <w:bCs/>
        </w:rPr>
      </w:pPr>
    </w:p>
    <w:p w:rsidR="00000000" w:rsidRDefault="00000000">
      <w:r>
        <w:t>363.</w:t>
      </w:r>
      <w:r>
        <w:tab/>
        <w:t>Возраст совершеннолетия в Мексике - 18 лет.</w:t>
      </w:r>
    </w:p>
    <w:p w:rsidR="00000000" w:rsidRDefault="00000000"/>
    <w:p w:rsidR="00000000" w:rsidRDefault="00000000">
      <w:pPr>
        <w:keepNext/>
        <w:rPr>
          <w:b/>
          <w:bCs/>
        </w:rPr>
      </w:pPr>
      <w:r>
        <w:rPr>
          <w:b/>
          <w:bCs/>
        </w:rPr>
        <w:t>Пункт 37</w:t>
      </w:r>
    </w:p>
    <w:p w:rsidR="00000000" w:rsidRDefault="00000000">
      <w:pPr>
        <w:keepNext/>
        <w:rPr>
          <w:b/>
          <w:bCs/>
        </w:rPr>
      </w:pPr>
    </w:p>
    <w:p w:rsidR="00000000" w:rsidRDefault="00000000">
      <w:r>
        <w:t>364.</w:t>
      </w:r>
      <w:r>
        <w:tab/>
        <w:t>Для вступления в брак необходимо, чтобы оба брачующихся были совершеннолетними.</w:t>
      </w:r>
    </w:p>
    <w:p w:rsidR="00000000" w:rsidRDefault="00000000"/>
    <w:p w:rsidR="00000000" w:rsidRDefault="00000000">
      <w:r>
        <w:t>365.</w:t>
      </w:r>
      <w:r>
        <w:tab/>
        <w:t>Федеральный Гражданский кодекс в своей статье 148 устанавливает, что мужчина может вступать в брак по достижении 16-летнего возраста, а женщина - 14-летнего возраста, при условии предварительного согласия их родителей, необходимость в котором отпадает по достижении совершеннолетия, возраст которого составляет в Мексике 18 лет.</w:t>
      </w:r>
    </w:p>
    <w:p w:rsidR="00000000" w:rsidRDefault="00000000"/>
    <w:p w:rsidR="00000000" w:rsidRDefault="00000000">
      <w:r>
        <w:t>366.</w:t>
      </w:r>
      <w:r>
        <w:tab/>
        <w:t>Следует подчеркнуть, что регулирование гражданских правоотношений носит местный характер, поэтому в каждом субъекте федерации устанавливается свой возраст, с которого несовершеннолетние могут вступать в брак, при неизменном условии разрешения родителей.  Например, в Гражданском кодексе федерального округа оба брачующихся должны иметь возраст 16 лет.</w:t>
      </w:r>
    </w:p>
    <w:p w:rsidR="00000000" w:rsidRDefault="00000000"/>
    <w:p w:rsidR="00000000" w:rsidRDefault="00000000">
      <w:r>
        <w:t>367.</w:t>
      </w:r>
      <w:r>
        <w:tab/>
        <w:t>Бюро ЗАГС предоставляет информацию мужчинам и женщинам, желающим вступить в брак.</w:t>
      </w:r>
    </w:p>
    <w:p w:rsidR="00000000" w:rsidRDefault="00000000"/>
    <w:p w:rsidR="00000000" w:rsidRDefault="00000000">
      <w:r>
        <w:t>368.</w:t>
      </w:r>
      <w:r>
        <w:tab/>
        <w:t>Не имеется дискриминации в том, что касается получения семьями пособий от государственных или негосударственных учреждений.  Признается расширенная семья по восходящей и нисходящей линии.</w:t>
      </w:r>
    </w:p>
    <w:p w:rsidR="00000000" w:rsidRDefault="00000000"/>
    <w:p w:rsidR="00000000" w:rsidRDefault="00000000">
      <w:r>
        <w:t>369.</w:t>
      </w:r>
      <w:r>
        <w:tab/>
        <w:t>Национальная система всестороннего развития семьи (НСВРС) - учреждение, отвечающее за государственную политику оказания социальной помощи, содействующей всестороннему развитию семьи и общества, в координации с государственными и муниципальными органами и государственными и частными учреждениями.  Система ВРС состоит из центрального органа, который координирует деятельность данной области, а также 32 структур в штатах и примерно 1 500 муниципальных организаций в 2 414 имеющихся в стране муниципиях.</w:t>
      </w:r>
    </w:p>
    <w:p w:rsidR="00000000" w:rsidRDefault="00000000"/>
    <w:p w:rsidR="00000000" w:rsidRDefault="00000000">
      <w:r>
        <w:t>370.</w:t>
      </w:r>
      <w:r>
        <w:tab/>
        <w:t>НСВРС осуществляет ряд программ по достижению этой цели, например, программу временной защиты, направленную на предотвращение оставления или жестокого обращения с детьми и подростками, семьи которых находятся в сложном материальном положении из-за отсутствия работы, жилья или семейной поддержки, что не позволяет им должным образом заботиться о детях.  В рамках этой программы дети помещаются в учреждения НСВРС и получают всесторонний уход.  В соответствии с правилами детского учреждения и желаниями родственников предусматривается общение с матерью, отцом или семьей.</w:t>
      </w:r>
    </w:p>
    <w:p w:rsidR="00000000" w:rsidRDefault="00000000"/>
    <w:p w:rsidR="00000000" w:rsidRDefault="00000000">
      <w:r>
        <w:t>371.</w:t>
      </w:r>
      <w:r>
        <w:tab/>
        <w:t>В целях укрепления семейных связей с пожилыми людьми осуществляются программы "Школа для детей", "Геронтологическая помощь на дому", "Уход в дневное время" и "Внешние геронтологические консультации".  Такая социальная деятельность позволяет повысить самоуважение пожилых людей, помогает улучшить их обслуживание в семье и предотвращает отторжение и оставление пожилых.</w:t>
      </w:r>
    </w:p>
    <w:p w:rsidR="00000000" w:rsidRDefault="00000000"/>
    <w:p w:rsidR="00000000" w:rsidRDefault="00000000">
      <w:pPr>
        <w:keepNext/>
        <w:rPr>
          <w:b/>
          <w:bCs/>
        </w:rPr>
      </w:pPr>
      <w:r>
        <w:rPr>
          <w:b/>
          <w:bCs/>
        </w:rPr>
        <w:t xml:space="preserve">Пункт 38 а) </w:t>
      </w:r>
      <w:r>
        <w:rPr>
          <w:b/>
          <w:bCs/>
          <w:lang w:val="en-US"/>
        </w:rPr>
        <w:t>i</w:t>
      </w:r>
      <w:r>
        <w:rPr>
          <w:b/>
          <w:bCs/>
        </w:rPr>
        <w:t>)</w:t>
      </w:r>
    </w:p>
    <w:p w:rsidR="00000000" w:rsidRDefault="00000000">
      <w:pPr>
        <w:keepNext/>
        <w:rPr>
          <w:b/>
          <w:bCs/>
        </w:rPr>
      </w:pPr>
    </w:p>
    <w:p w:rsidR="00000000" w:rsidRDefault="00000000">
      <w:r>
        <w:t>372.</w:t>
      </w:r>
      <w:r>
        <w:tab/>
        <w:t>Институт социального обеспечения служащих работников (ИСОГС) обеспечивает гинекологическую помощь и помощь для кормящих матерей, предоставляя дополнительное питание и наборы предметов для новорожденного работницам, женщинам-пенсионерам, женам работников или пенсионеров или в соответствующих случаях гражданским женам работников или пенсионеров.  Этими льготами также пользуются дочери работников или пенсионеров, если они не замужем, имеют возраст младше 18 лет и состоят на иждивении родителей.</w:t>
      </w:r>
    </w:p>
    <w:p w:rsidR="00000000" w:rsidRDefault="00000000">
      <w:r>
        <w:br w:type="page"/>
        <w:t>373.</w:t>
      </w:r>
      <w:r>
        <w:tab/>
        <w:t xml:space="preserve">Все женщины, имеющие право на получение пособия по линии МИСО, в случае рождения ребенка пользуются защитой и получают помощь в соответствии с положениями главы </w:t>
      </w:r>
      <w:r>
        <w:rPr>
          <w:lang w:val="en-US"/>
        </w:rPr>
        <w:t>IV</w:t>
      </w:r>
      <w:r>
        <w:t>, Сфера действия страховки в случае болезни и рождения ребенка, ныне действующего закона о социальном обеспечении.</w:t>
      </w:r>
    </w:p>
    <w:p w:rsidR="00000000" w:rsidRDefault="00000000"/>
    <w:p w:rsidR="00000000" w:rsidRDefault="00000000">
      <w:pPr>
        <w:keepNext/>
        <w:rPr>
          <w:b/>
          <w:bCs/>
        </w:rPr>
      </w:pPr>
      <w:r>
        <w:rPr>
          <w:b/>
          <w:bCs/>
        </w:rPr>
        <w:t xml:space="preserve">Пункт 38 а) </w:t>
      </w:r>
      <w:r>
        <w:rPr>
          <w:b/>
          <w:bCs/>
          <w:lang w:val="en-US"/>
        </w:rPr>
        <w:t>ii</w:t>
      </w:r>
      <w:r>
        <w:rPr>
          <w:b/>
          <w:bCs/>
        </w:rPr>
        <w:t>)</w:t>
      </w:r>
    </w:p>
    <w:p w:rsidR="00000000" w:rsidRDefault="00000000">
      <w:pPr>
        <w:keepNext/>
        <w:rPr>
          <w:b/>
          <w:bCs/>
        </w:rPr>
      </w:pPr>
    </w:p>
    <w:p w:rsidR="00000000" w:rsidRDefault="00000000">
      <w:r>
        <w:t>374.</w:t>
      </w:r>
      <w:r>
        <w:tab/>
        <w:t xml:space="preserve"> В части </w:t>
      </w:r>
      <w:r>
        <w:rPr>
          <w:lang w:val="en-US"/>
        </w:rPr>
        <w:t>V</w:t>
      </w:r>
      <w:r>
        <w:t xml:space="preserve"> раздела А статьи 123 Конституции предусмотрено, что женщины не должны использоваться на физических работах, требующих больших физических усилий и связанных с опасностью для здоровья.  Кроме того, они в обязательном порядке пользуются отпуском с сохранением полной заработной платы, а также места работы и всех прав, приобретенных ими в силу трудовых отношений.  Кормящие матери имеют право на два специальных перерыва в течение рабочего дня по полчаса каждый для кормления ребенка.</w:t>
      </w:r>
    </w:p>
    <w:p w:rsidR="00000000" w:rsidRDefault="00000000"/>
    <w:p w:rsidR="00000000" w:rsidRDefault="00000000">
      <w:r>
        <w:t>375.</w:t>
      </w:r>
      <w:r>
        <w:tab/>
        <w:t>В соответствии с нормами Конституции федеральный закон о труде в своей статье 170 устанавливает, что беременные женщины не могут привлекаться к работам, требующим больших физических усилий и связанным с опасностью для их здоровья в связи с беременностью.  Они пользуются отпуском продолжительностью шесть недель до и после родов.  Кормящие матери имеют право на два специальных перерыва в течение рабочего дня по полчаса каждый для кормления ребенка.  В статье 166 того же закона предусмотрено, что женщины не могут использоваться на нездоровых или вредных работах, работах в ночную смену на промышленных предприятиях, в учреждениях торговли или услуг после 10 часов вечера, а также привлекаться к сверхурочным работам, когда это создает угрозу для здоровья матери или ребенка, как в период беременности, так и в период кормления, без каких-либо последствий для оплаты труда, льгот и прав.</w:t>
      </w:r>
    </w:p>
    <w:p w:rsidR="00000000" w:rsidRDefault="00000000"/>
    <w:p w:rsidR="00000000" w:rsidRDefault="00000000">
      <w:r>
        <w:t>376.</w:t>
      </w:r>
      <w:r>
        <w:tab/>
        <w:t>ИСОГС предусматривает предоставление работницам отпуска по беременности на период 90 календарных дней, из них 30 дней - для сохранения здоровья матери и плода, а остальные 70 дней - для ухода за новорожденным.</w:t>
      </w:r>
    </w:p>
    <w:p w:rsidR="00000000" w:rsidRDefault="00000000"/>
    <w:p w:rsidR="00000000" w:rsidRDefault="00000000">
      <w:r>
        <w:t>377.</w:t>
      </w:r>
      <w:r>
        <w:tab/>
        <w:t>Что касается ИМСС, то статья 171 закона о социальном страховании гласит:  "В период беременности и родов застрахованная имеет право на денежное пособие в сумме 100% последнего дневного заработка, из которого производились страховые отчисления, которое выплачивается ей в период 42 дней до родов и 42 дней после родов".</w:t>
      </w:r>
    </w:p>
    <w:p w:rsidR="00000000" w:rsidRDefault="00000000"/>
    <w:p w:rsidR="00000000" w:rsidRDefault="00000000">
      <w:pPr>
        <w:rPr>
          <w:b/>
          <w:bCs/>
        </w:rPr>
      </w:pPr>
      <w:r>
        <w:rPr>
          <w:b/>
          <w:bCs/>
        </w:rPr>
        <w:br w:type="page"/>
        <w:t xml:space="preserve">Пункт 38 а) </w:t>
      </w:r>
      <w:r>
        <w:rPr>
          <w:b/>
          <w:bCs/>
          <w:lang w:val="en-US"/>
        </w:rPr>
        <w:t>iii</w:t>
      </w:r>
      <w:r>
        <w:rPr>
          <w:b/>
          <w:bCs/>
        </w:rPr>
        <w:t>)</w:t>
      </w:r>
    </w:p>
    <w:p w:rsidR="00000000" w:rsidRDefault="00000000">
      <w:pPr>
        <w:rPr>
          <w:b/>
          <w:bCs/>
        </w:rPr>
      </w:pPr>
    </w:p>
    <w:p w:rsidR="00000000" w:rsidRDefault="00000000">
      <w:r>
        <w:t>378.</w:t>
      </w:r>
      <w:r>
        <w:tab/>
        <w:t>МИСС выплачивает пособие в связи с беременностью и родами застрахованным работницам, не имеющим возможности работать из-за беременности, вместо заработной платы в сумме 100% последнего дневного заработка, из которого производились страховые отчисления, в период 42 дней до родов и 42 дней после родов (дородовой и послеродовой периоды), когда по медицинским показаниям и в соответствии с положениями закона работница должна отдыхать.  Когда между дородовым периодом и родами имеется промежуток, за эти дни выплачивается 60% дневного заработка, из которого производились отчисления.  Кроме того, предоставляются следующие виды помощи:</w:t>
      </w:r>
    </w:p>
    <w:p w:rsidR="00000000" w:rsidRDefault="00000000"/>
    <w:p w:rsidR="00000000" w:rsidRDefault="00000000">
      <w:pPr>
        <w:numPr>
          <w:ilvl w:val="0"/>
          <w:numId w:val="44"/>
        </w:numPr>
      </w:pPr>
      <w:r>
        <w:t>акушерская помощь;</w:t>
      </w:r>
    </w:p>
    <w:p w:rsidR="00000000" w:rsidRDefault="00000000">
      <w:pPr>
        <w:tabs>
          <w:tab w:val="clear" w:pos="1134"/>
        </w:tabs>
      </w:pPr>
    </w:p>
    <w:p w:rsidR="00000000" w:rsidRDefault="00000000">
      <w:pPr>
        <w:numPr>
          <w:ilvl w:val="0"/>
          <w:numId w:val="44"/>
        </w:numPr>
      </w:pPr>
      <w:r>
        <w:t>помощь в натуральной форме на шестимесячный период кормления;</w:t>
      </w:r>
    </w:p>
    <w:p w:rsidR="00000000" w:rsidRDefault="00000000">
      <w:pPr>
        <w:tabs>
          <w:tab w:val="clear" w:pos="1134"/>
        </w:tabs>
      </w:pPr>
    </w:p>
    <w:p w:rsidR="00000000" w:rsidRDefault="00000000">
      <w:pPr>
        <w:numPr>
          <w:ilvl w:val="0"/>
          <w:numId w:val="44"/>
        </w:numPr>
      </w:pPr>
      <w:r>
        <w:t>набор для новорожденного, стоимость которого определяется экспертным советом МИСО.</w:t>
      </w:r>
    </w:p>
    <w:p w:rsidR="00000000" w:rsidRDefault="00000000">
      <w:pPr>
        <w:tabs>
          <w:tab w:val="clear" w:pos="1134"/>
        </w:tabs>
      </w:pPr>
    </w:p>
    <w:p w:rsidR="00000000" w:rsidRDefault="00000000">
      <w:r>
        <w:t>379.</w:t>
      </w:r>
      <w:r>
        <w:tab/>
        <w:t>Со своей стороны ИСОГС пропагандирует в медицинских учреждениях грудное вскармливание и совместное размещение.  Помощь вскармливанию оказывается в медицинских учреждениях по медицинским показаниям в случаях физической неспособности матери или ее занятости на работе, препятствующей ей кормить ребенка, или в силу отсутствия матери и заключается в предоставлении молочных смесей на период шести месяцев начиная с момента рождения.</w:t>
      </w:r>
    </w:p>
    <w:p w:rsidR="00000000" w:rsidRDefault="00000000"/>
    <w:p w:rsidR="00000000" w:rsidRDefault="00000000">
      <w:r>
        <w:t>380.</w:t>
      </w:r>
      <w:r>
        <w:tab/>
        <w:t>Кроме того, через свои отделения или медицинские учреждения на местах ИСОГС предоставляет набор для новорожденного, в который входят предметы одежды и для ухода за новорожденным.  Оказание медицинской помощи новорожденному производится на основании специально оформленного документа, подтверждающего право на такое обслуживание.</w:t>
      </w:r>
    </w:p>
    <w:p w:rsidR="00000000" w:rsidRDefault="00000000"/>
    <w:p w:rsidR="00000000" w:rsidRDefault="00000000">
      <w:r>
        <w:t>381.</w:t>
      </w:r>
      <w:r>
        <w:tab/>
        <w:t>Кроме того, в целях содействия благу и развитию ребенка созданы учреждения для ухода за детьми в дневное время.</w:t>
      </w:r>
    </w:p>
    <w:p w:rsidR="00000000" w:rsidRDefault="00000000"/>
    <w:p w:rsidR="00000000" w:rsidRDefault="00000000">
      <w:pPr>
        <w:rPr>
          <w:b/>
          <w:bCs/>
        </w:rPr>
      </w:pPr>
      <w:r>
        <w:rPr>
          <w:b/>
          <w:bCs/>
        </w:rPr>
        <w:t xml:space="preserve">Пункт 38 а) </w:t>
      </w:r>
      <w:r>
        <w:rPr>
          <w:b/>
          <w:bCs/>
          <w:lang w:val="en-US"/>
        </w:rPr>
        <w:t>iv</w:t>
      </w:r>
      <w:r>
        <w:rPr>
          <w:b/>
          <w:bCs/>
        </w:rPr>
        <w:t>)</w:t>
      </w:r>
    </w:p>
    <w:p w:rsidR="00000000" w:rsidRDefault="00000000">
      <w:pPr>
        <w:rPr>
          <w:b/>
          <w:bCs/>
        </w:rPr>
      </w:pPr>
    </w:p>
    <w:p w:rsidR="00000000" w:rsidRDefault="00000000">
      <w:r>
        <w:t>382.</w:t>
      </w:r>
      <w:r>
        <w:tab/>
        <w:t>Каких-либо изменений в этих выплатах и льготах, предоставляемых в соответствии с законодательством, не произошло.</w:t>
      </w:r>
    </w:p>
    <w:p w:rsidR="00000000" w:rsidRDefault="00000000">
      <w:pPr>
        <w:rPr>
          <w:b/>
          <w:bCs/>
        </w:rPr>
      </w:pPr>
      <w:r>
        <w:rPr>
          <w:b/>
          <w:bCs/>
        </w:rPr>
        <w:t xml:space="preserve">Пункт 38 </w:t>
      </w:r>
      <w:r>
        <w:rPr>
          <w:b/>
          <w:bCs/>
          <w:lang w:val="en-US"/>
        </w:rPr>
        <w:t>b</w:t>
      </w:r>
      <w:r>
        <w:rPr>
          <w:b/>
          <w:bCs/>
        </w:rPr>
        <w:t>)</w:t>
      </w:r>
    </w:p>
    <w:p w:rsidR="00000000" w:rsidRDefault="00000000"/>
    <w:p w:rsidR="00000000" w:rsidRDefault="00000000">
      <w:r>
        <w:t>383.</w:t>
      </w:r>
      <w:r>
        <w:tab/>
        <w:t xml:space="preserve">ИСОГС и МИСО оказывают помощь соответствующим категориям населения.  Тем не менее при осуществлении секторальных программ в сотрудничестве с неправительственными организациями оказывается медицинская помощь населению, живущему в условиях крайней нищеты, в частности наиболее уязвимым группам, таким, как девочки и беременные и кормящие женщины, при уделении особого внимания санитарному просвещению в целях привития навыков профилактики и ухода за здоровьем со стороны семей и общества, включая аспекты питания, здоровья и гигиены.  Кроме того, поддерживается сотрудничество с медицинскими учреждениями страны и КРС.  </w:t>
      </w:r>
    </w:p>
    <w:p w:rsidR="00000000" w:rsidRDefault="00000000"/>
    <w:p w:rsidR="00000000" w:rsidRDefault="00000000">
      <w:r>
        <w:t>384.</w:t>
      </w:r>
      <w:r>
        <w:tab/>
        <w:t xml:space="preserve">Мексиканский институт социального обеспечения оказывает помощь 9,5% незастрахованного неимущего населения в сельских районах, включая женщин, на следующих основаниях.  </w:t>
      </w:r>
    </w:p>
    <w:p w:rsidR="00000000" w:rsidRDefault="00000000"/>
    <w:p w:rsidR="00000000" w:rsidRDefault="00000000">
      <w:r>
        <w:t>385.</w:t>
      </w:r>
      <w:r>
        <w:tab/>
        <w:t>В четвертом разделе ныне действующего закона о социальном страховании предусматривается следующее:  "Выплаты или услуги, предоставляемые в порядке социальной солидарности, включают в себя социальные услуги здравоохранения, медицинское обслуживание, предоставление лекарств и госпитализацию в порядке и на условиях, предусмотренных в статьях 215-217" названного закона.  Из них следует особо выделить положения статьи 215, в части первой которой предусматривается:  "Институт организует, создает и имеет в своем ведении медицинские учреждения, предназначенные для оказания услуг в порядке социальной солидарности, которые предоставляются исключительно в населенных пунктах, которые в силу уровня развития страны представляют собой очаги глубокой сельской, пригородной и городской маргинализации и которые федеральная исполнительная власть определяет в качестве субъектов социальной солидарности…".</w:t>
      </w:r>
    </w:p>
    <w:p w:rsidR="00000000" w:rsidRDefault="00000000"/>
    <w:p w:rsidR="00000000" w:rsidRDefault="00000000">
      <w:r>
        <w:t>386.</w:t>
      </w:r>
      <w:r>
        <w:tab/>
        <w:t>Кроме того, следует отметить положения пункта а) статьи 216:  "Институт обязан оказывать помощь незастрахованному населению в следующих случаях:   …поддержка программ борьбы с маргинализацией и бедностью, когда того требует федеральная исполнительная власть", - и в этом случае федеральное правительство предоставляет соответствующие субсидии.</w:t>
      </w:r>
    </w:p>
    <w:p w:rsidR="00000000" w:rsidRDefault="00000000"/>
    <w:p w:rsidR="00000000" w:rsidRDefault="00000000">
      <w:pPr>
        <w:rPr>
          <w:b/>
          <w:bCs/>
        </w:rPr>
      </w:pPr>
      <w:r>
        <w:rPr>
          <w:b/>
          <w:bCs/>
        </w:rPr>
        <w:t>Пункт 39 а)</w:t>
      </w:r>
    </w:p>
    <w:p w:rsidR="00000000" w:rsidRDefault="00000000">
      <w:pPr>
        <w:rPr>
          <w:b/>
          <w:bCs/>
        </w:rPr>
      </w:pPr>
    </w:p>
    <w:p w:rsidR="00000000" w:rsidRDefault="00000000">
      <w:r>
        <w:t>387.</w:t>
      </w:r>
      <w:r>
        <w:tab/>
        <w:t xml:space="preserve">Федеральный закон о труде запрещает труд детей моложе 14 лет и регламентирует труд детей старше этого возраста, которые оказывают личные услуги и подчиняются </w:t>
      </w:r>
    </w:p>
    <w:p w:rsidR="00000000" w:rsidRDefault="00000000">
      <w:r>
        <w:br w:type="page"/>
        <w:t>хозяевам.  В своей статье 154 специальный федеральный закон о безопасности и гигиене труда указывает работы с опасными и вредными условиями труда, на которых не могут использоваться несовершеннолетние в возрасте от 14 до 16 лет.</w:t>
      </w:r>
    </w:p>
    <w:p w:rsidR="00000000" w:rsidRDefault="00000000"/>
    <w:p w:rsidR="00000000" w:rsidRDefault="00000000">
      <w:pPr>
        <w:rPr>
          <w:b/>
          <w:bCs/>
        </w:rPr>
      </w:pPr>
      <w:r>
        <w:rPr>
          <w:b/>
          <w:bCs/>
        </w:rPr>
        <w:t xml:space="preserve">Пункт 39 </w:t>
      </w:r>
      <w:r>
        <w:rPr>
          <w:b/>
          <w:bCs/>
          <w:lang w:val="en-US"/>
        </w:rPr>
        <w:t>b</w:t>
      </w:r>
      <w:r>
        <w:rPr>
          <w:b/>
          <w:bCs/>
        </w:rPr>
        <w:t>)</w:t>
      </w:r>
    </w:p>
    <w:p w:rsidR="00000000" w:rsidRDefault="00000000">
      <w:pPr>
        <w:rPr>
          <w:b/>
          <w:bCs/>
        </w:rPr>
      </w:pPr>
    </w:p>
    <w:p w:rsidR="00000000" w:rsidRDefault="00000000">
      <w:r>
        <w:t>388.</w:t>
      </w:r>
      <w:r>
        <w:tab/>
        <w:t>Законодательство страны запрещает детский труд.  Конституция и закон о труде защищают несовершеннолетних в возрасте от 14 до 16 лет, которых запрещается использовать на опасных работах.</w:t>
      </w:r>
    </w:p>
    <w:p w:rsidR="00000000" w:rsidRDefault="00000000"/>
    <w:p w:rsidR="00000000" w:rsidRDefault="00000000">
      <w:r>
        <w:t>389.</w:t>
      </w:r>
      <w:r>
        <w:tab/>
        <w:t>Тем не менее материальное положение семей вынуждает несовершеннолетних выходить на рынок труда.  Национальный институт статистики, географии и информатики (НИСГИ) и министерство труда и социального обеспечения (МТСО) провели национальное обследование по проблемам занятости, которое дало сведения о труде детей в возрасте 12-13 лет и подростков в возрасте 14-17 лет.</w:t>
      </w:r>
    </w:p>
    <w:p w:rsidR="00000000" w:rsidRDefault="00000000"/>
    <w:p w:rsidR="00000000" w:rsidRDefault="00000000">
      <w:r>
        <w:t>390.</w:t>
      </w:r>
      <w:r>
        <w:tab/>
        <w:t xml:space="preserve">Согласно данным обследования, за истекшее десятилетие доля работающих детей в возрасте 12-13 лет демонстрировала понижательную тенденцию.  Если в 1995 году совокупный показатель составлял 17,1%, то в 2003 году он снизился до 8,2%.  По девочкам соответствующие цифры составили 9,9% и 5,3%, а мальчикам - 24,4% и 11,1%.  </w:t>
      </w:r>
    </w:p>
    <w:p w:rsidR="00000000" w:rsidRDefault="00000000"/>
    <w:p w:rsidR="00000000" w:rsidRDefault="00000000">
      <w:pPr>
        <w:rPr>
          <w:b/>
          <w:bCs/>
        </w:rPr>
      </w:pPr>
      <w:r>
        <w:rPr>
          <w:b/>
          <w:bCs/>
        </w:rPr>
        <w:t>Пункт 39 c)</w:t>
      </w:r>
    </w:p>
    <w:p w:rsidR="00000000" w:rsidRDefault="00000000">
      <w:pPr>
        <w:rPr>
          <w:b/>
          <w:bCs/>
        </w:rPr>
      </w:pPr>
    </w:p>
    <w:p w:rsidR="00000000" w:rsidRDefault="00000000">
      <w:r>
        <w:t>391.</w:t>
      </w:r>
      <w:r>
        <w:tab/>
        <w:t xml:space="preserve">Во многих странах, как и в Мексике, детский труд шире распространен на селе.  В вопросах детского труда в сельском хозяйстве помимо низкого уровня оплаты труда и ситуации эксплуатации необходимо учесть феномен миграции внутри страны и за рубеж и риски, неизбежные при контакте с пестицидами и другими веществами, используемыми в сельском хозяйстве.  Хотя в некоторых случаях сельские дети занимаются работой в семейном хозяйстве, обеспечивающем семью средствами к существованию, во многих других случаях они заняты на работе в товарных сельских хозяйствах, действующих в условиях конкуренции.  Значительное большинство из них принадлежат к бедным сельским семьям. </w:t>
      </w:r>
    </w:p>
    <w:p w:rsidR="00000000" w:rsidRDefault="00000000"/>
    <w:p w:rsidR="00000000" w:rsidRDefault="00000000">
      <w:r>
        <w:t>392.</w:t>
      </w:r>
      <w:r>
        <w:tab/>
        <w:t xml:space="preserve">Что касается детского труда по дому, то он характеризуется его очевидной "невидимостью", что касается и многих других видов работы, которой занимаются дети, к тому же здесь присутствуют риски уязвимости, которые усиливаются гендерными различиями.  Домашней работой занимается гораздо больше девочек, чем мальчиков, что </w:t>
      </w:r>
    </w:p>
    <w:p w:rsidR="00000000" w:rsidRDefault="00000000">
      <w:r>
        <w:br w:type="page"/>
        <w:t>представляет собой важный факт в силу того, что такого рода работа обычно гораздо тяжелее, чем работа другого вида, и занимает много времени, а также, что самое важное, отнимает время от образования</w:t>
      </w:r>
      <w:r>
        <w:rPr>
          <w:rStyle w:val="FootnoteReference"/>
        </w:rPr>
        <w:footnoteReference w:id="17"/>
      </w:r>
      <w:r>
        <w:t xml:space="preserve">.  </w:t>
      </w:r>
    </w:p>
    <w:p w:rsidR="00000000" w:rsidRDefault="00000000"/>
    <w:p w:rsidR="00000000" w:rsidRDefault="00000000">
      <w:pPr>
        <w:rPr>
          <w:b/>
          <w:bCs/>
        </w:rPr>
      </w:pPr>
      <w:r>
        <w:rPr>
          <w:b/>
          <w:bCs/>
        </w:rPr>
        <w:t xml:space="preserve">Пункт 39 d) </w:t>
      </w:r>
    </w:p>
    <w:p w:rsidR="00000000" w:rsidRDefault="00000000">
      <w:pPr>
        <w:rPr>
          <w:b/>
          <w:bCs/>
        </w:rPr>
      </w:pPr>
    </w:p>
    <w:p w:rsidR="00000000" w:rsidRDefault="00000000">
      <w:pPr>
        <w:tabs>
          <w:tab w:val="clear" w:pos="567"/>
          <w:tab w:val="left" w:pos="561"/>
        </w:tabs>
      </w:pPr>
      <w:r>
        <w:t>393.</w:t>
      </w:r>
      <w:r>
        <w:tab/>
        <w:t>В Мексике действует ряд законов о защите несовершеннолетних таких, как:</w:t>
      </w:r>
    </w:p>
    <w:p w:rsidR="00000000" w:rsidRDefault="00000000">
      <w:pPr>
        <w:tabs>
          <w:tab w:val="clear" w:pos="567"/>
          <w:tab w:val="left" w:pos="561"/>
        </w:tabs>
      </w:pPr>
    </w:p>
    <w:p w:rsidR="00000000" w:rsidRDefault="00000000">
      <w:pPr>
        <w:numPr>
          <w:ilvl w:val="0"/>
          <w:numId w:val="45"/>
        </w:numPr>
        <w:tabs>
          <w:tab w:val="clear" w:pos="567"/>
          <w:tab w:val="clear" w:pos="720"/>
          <w:tab w:val="left" w:pos="561"/>
        </w:tabs>
        <w:ind w:left="1122" w:hanging="561"/>
      </w:pPr>
      <w:r>
        <w:t>Политическая конституция Мексиканских Соединенных Штатов, статья 18, четвертый абзац:  "Федерация и правительства штатов создают специальные учреждения для перевоспитания несовершеннолетних правонарушителей".</w:t>
      </w:r>
    </w:p>
    <w:p w:rsidR="00000000" w:rsidRDefault="00000000">
      <w:pPr>
        <w:tabs>
          <w:tab w:val="clear" w:pos="567"/>
          <w:tab w:val="left" w:pos="561"/>
        </w:tabs>
        <w:ind w:left="1122" w:hanging="561"/>
      </w:pPr>
    </w:p>
    <w:p w:rsidR="00000000" w:rsidRDefault="00000000">
      <w:pPr>
        <w:numPr>
          <w:ilvl w:val="0"/>
          <w:numId w:val="45"/>
        </w:numPr>
        <w:tabs>
          <w:tab w:val="clear" w:pos="567"/>
          <w:tab w:val="clear" w:pos="720"/>
          <w:tab w:val="left" w:pos="561"/>
        </w:tabs>
        <w:ind w:left="1122" w:hanging="561"/>
      </w:pPr>
      <w:r>
        <w:t>Закон о защите прав детей и подростков, статья 45:  "Что касается подростков, нарушающих уголовный закон, то условия их содержания отличаются от условий содержания взрослых, и в соответствии с этим они помещаются в другие места содержания, чем взрослые.  Для этого для их содержания и перевоспитания создаются специализированные учреждения".  Кроме того, там же указывается следующее:  "Лишенные свободы имеют право постоянно и непрерывно поддерживать контакт со своей семьей, с которой они могут общаться, за исключением случаев, когда этому препятствуют высшие интересы ребенка".</w:t>
      </w:r>
    </w:p>
    <w:p w:rsidR="00000000" w:rsidRDefault="00000000">
      <w:pPr>
        <w:tabs>
          <w:tab w:val="clear" w:pos="567"/>
          <w:tab w:val="left" w:pos="561"/>
        </w:tabs>
        <w:ind w:left="1122" w:hanging="561"/>
      </w:pPr>
    </w:p>
    <w:p w:rsidR="00000000" w:rsidRDefault="00000000">
      <w:pPr>
        <w:numPr>
          <w:ilvl w:val="0"/>
          <w:numId w:val="45"/>
        </w:numPr>
        <w:tabs>
          <w:tab w:val="clear" w:pos="567"/>
          <w:tab w:val="clear" w:pos="720"/>
          <w:tab w:val="left" w:pos="561"/>
        </w:tabs>
        <w:ind w:left="1122" w:hanging="561"/>
      </w:pPr>
      <w:r>
        <w:t>Закон об обращении с несовершеннолетними правонарушителями, раздел 6, "Заключительные положения", глава единственная, устанавливает основные принципы обращения с правонарушителями внутри специальных учреждений и вне их.</w:t>
      </w:r>
    </w:p>
    <w:p w:rsidR="00000000" w:rsidRDefault="00000000">
      <w:pPr>
        <w:tabs>
          <w:tab w:val="clear" w:pos="567"/>
          <w:tab w:val="left" w:pos="561"/>
        </w:tabs>
        <w:ind w:left="1122" w:hanging="561"/>
      </w:pPr>
    </w:p>
    <w:p w:rsidR="00000000" w:rsidRDefault="00000000">
      <w:pPr>
        <w:numPr>
          <w:ilvl w:val="0"/>
          <w:numId w:val="45"/>
        </w:numPr>
        <w:tabs>
          <w:tab w:val="clear" w:pos="567"/>
          <w:tab w:val="clear" w:pos="720"/>
          <w:tab w:val="left" w:pos="561"/>
        </w:tabs>
        <w:ind w:left="1122" w:hanging="561"/>
      </w:pPr>
      <w:r>
        <w:rPr>
          <w:b/>
          <w:bCs/>
        </w:rPr>
        <w:t xml:space="preserve">Положение безнадзорных детей.  </w:t>
      </w:r>
      <w:r>
        <w:t>Для оказания необходимой всесторонней помощи этой группе, Национальная система всестороннего развития семьи в рамках программы защиты и оказания помощи бездомному населению содержит детские дома и приюты для несовершеннолетних (отдельно для девочек и мальчиков).  В частности, им обеспечивается круглогодичное проживание, медицинское обслуживание, психологическая и педагогическая помощь, для них организуются культурные, спортивные и связанные с проведением досуга мероприятия в условиях комплексного проведения социальной и правовой работы.  Кроме того, оказывается помощь и содействие экономического характера, ведется подбор приемных семей и профессиональная ориентация.  Все эти услуги направлены на вовлечение и возвращение детей в их функциональную семейную среду или в приемные семьи (усыновление).  Для этой группы усыновление представляет собой альтернативу, благодаря которой ребенок, оказавшийся без присмотра, может стать членом семьи, способной удовлетворять его потребности, которые не под силу удовлетворять в полной мере детским учреждениям.</w:t>
      </w:r>
    </w:p>
    <w:p w:rsidR="00000000" w:rsidRDefault="00000000">
      <w:pPr>
        <w:tabs>
          <w:tab w:val="clear" w:pos="567"/>
          <w:tab w:val="left" w:pos="561"/>
        </w:tabs>
        <w:ind w:left="201"/>
      </w:pPr>
    </w:p>
    <w:p w:rsidR="00000000" w:rsidRDefault="00000000">
      <w:pPr>
        <w:numPr>
          <w:ilvl w:val="0"/>
          <w:numId w:val="45"/>
        </w:numPr>
        <w:tabs>
          <w:tab w:val="clear" w:pos="567"/>
          <w:tab w:val="clear" w:pos="720"/>
          <w:tab w:val="left" w:pos="561"/>
        </w:tabs>
        <w:ind w:left="1122" w:hanging="561"/>
      </w:pPr>
      <w:r>
        <w:rPr>
          <w:b/>
          <w:bCs/>
        </w:rPr>
        <w:t>Беспризорные дети.</w:t>
      </w:r>
      <w:r>
        <w:t xml:space="preserve">  Системы ВРС штатов и муниципий активизируют деятельность по оказанию помощи беспризорным детям, содействуя предоставлению им базового комплекса медицинской помощи и услуг по проведению досуга, юридической и психологической помощи и получению специальной помощи, а также стипендий для продолжения обучения или получения профессии.</w:t>
      </w:r>
    </w:p>
    <w:p w:rsidR="00000000" w:rsidRDefault="00000000">
      <w:pPr>
        <w:tabs>
          <w:tab w:val="clear" w:pos="567"/>
          <w:tab w:val="left" w:pos="561"/>
        </w:tabs>
      </w:pPr>
    </w:p>
    <w:p w:rsidR="00000000" w:rsidRDefault="00000000">
      <w:pPr>
        <w:numPr>
          <w:ilvl w:val="0"/>
          <w:numId w:val="45"/>
        </w:numPr>
        <w:tabs>
          <w:tab w:val="clear" w:pos="567"/>
          <w:tab w:val="clear" w:pos="720"/>
          <w:tab w:val="left" w:pos="561"/>
        </w:tabs>
        <w:ind w:left="1122" w:hanging="561"/>
      </w:pPr>
      <w:r>
        <w:t>В 2001 году в рамках своей политики интеграции и мобилизации общественности ВРС в координации с основными организациями гражданского общества, занимающимися помощью беспризорным детям и подросткам, была разработана программа профилактики и оказания помощи беспризорным детям и подросткам "с улицы в жизнь".</w:t>
      </w:r>
    </w:p>
    <w:p w:rsidR="00000000" w:rsidRDefault="00000000">
      <w:pPr>
        <w:tabs>
          <w:tab w:val="clear" w:pos="567"/>
          <w:tab w:val="left" w:pos="561"/>
        </w:tabs>
      </w:pPr>
    </w:p>
    <w:p w:rsidR="00000000" w:rsidRDefault="00000000">
      <w:pPr>
        <w:numPr>
          <w:ilvl w:val="0"/>
          <w:numId w:val="45"/>
        </w:numPr>
        <w:tabs>
          <w:tab w:val="clear" w:pos="567"/>
          <w:tab w:val="clear" w:pos="720"/>
          <w:tab w:val="left" w:pos="561"/>
        </w:tabs>
        <w:ind w:left="1122" w:hanging="561"/>
      </w:pPr>
      <w:r>
        <w:t>Программа ставит цель активизации контактов и координации усилий с государственным, частным и социальным секторами, которые занимаются профилактикой беспризорности и оказанием помощи беспризорным детям и их семьям в целях внесения вклада в решение этой проблемы в среднесрочном и долгосрочном плане.</w:t>
      </w:r>
    </w:p>
    <w:p w:rsidR="00000000" w:rsidRDefault="00000000">
      <w:pPr>
        <w:tabs>
          <w:tab w:val="clear" w:pos="567"/>
          <w:tab w:val="left" w:pos="561"/>
        </w:tabs>
      </w:pPr>
    </w:p>
    <w:p w:rsidR="00000000" w:rsidRDefault="00000000">
      <w:pPr>
        <w:numPr>
          <w:ilvl w:val="0"/>
          <w:numId w:val="45"/>
        </w:numPr>
        <w:tabs>
          <w:tab w:val="clear" w:pos="567"/>
          <w:tab w:val="clear" w:pos="720"/>
          <w:tab w:val="left" w:pos="561"/>
        </w:tabs>
        <w:ind w:left="1122" w:hanging="561"/>
      </w:pPr>
      <w:r>
        <w:t xml:space="preserve">В ходе 2002 года НСВРС активизировала и укрепила деятельность в рамках этой программы, которая объединяет институциональные усилия гражданского общества.  В этой связи была оказана помощь 82 организациям гражданского общества, с которыми было подписано 5 протоколов об исследовательской работе, реализовано 46 проектов и 46 схем распределения стипендий для 15 241 ребенка и подростка.  </w:t>
      </w:r>
    </w:p>
    <w:p w:rsidR="00000000" w:rsidRDefault="00000000">
      <w:pPr>
        <w:tabs>
          <w:tab w:val="clear" w:pos="567"/>
          <w:tab w:val="left" w:pos="561"/>
        </w:tabs>
      </w:pPr>
    </w:p>
    <w:p w:rsidR="00000000" w:rsidRDefault="00000000">
      <w:pPr>
        <w:numPr>
          <w:ilvl w:val="0"/>
          <w:numId w:val="45"/>
        </w:numPr>
        <w:tabs>
          <w:tab w:val="clear" w:pos="567"/>
          <w:tab w:val="clear" w:pos="720"/>
          <w:tab w:val="left" w:pos="561"/>
        </w:tabs>
        <w:ind w:left="1122" w:hanging="561"/>
      </w:pPr>
      <w:r>
        <w:t xml:space="preserve">Эта деятельность охватывает следующие области:  профилактика, оказание помощи, отправление правосудия и проведение расследований.  В целях профилактики рассматриваются меры, нацеленные на укрепление семьи, предотвращение алкоголизма и наркомании, предотвращение </w:t>
      </w:r>
    </w:p>
    <w:p w:rsidR="00000000" w:rsidRDefault="00000000">
      <w:pPr>
        <w:tabs>
          <w:tab w:val="clear" w:pos="567"/>
          <w:tab w:val="left" w:pos="561"/>
        </w:tabs>
        <w:ind w:left="1134" w:hanging="933"/>
      </w:pPr>
      <w:r>
        <w:br w:type="page"/>
      </w:r>
      <w:r>
        <w:tab/>
      </w:r>
      <w:r>
        <w:tab/>
        <w:t>преждевременных беременностей и содействие развитию личности детей, начиная с самого раннего возраста, а также предоставление стипендий для обучения и профессиональной подготовки.</w:t>
      </w:r>
    </w:p>
    <w:p w:rsidR="00000000" w:rsidRDefault="00000000">
      <w:pPr>
        <w:tabs>
          <w:tab w:val="clear" w:pos="567"/>
          <w:tab w:val="left" w:pos="561"/>
        </w:tabs>
      </w:pPr>
    </w:p>
    <w:p w:rsidR="00000000" w:rsidRDefault="00000000">
      <w:pPr>
        <w:numPr>
          <w:ilvl w:val="0"/>
          <w:numId w:val="45"/>
        </w:numPr>
        <w:tabs>
          <w:tab w:val="clear" w:pos="567"/>
          <w:tab w:val="clear" w:pos="720"/>
          <w:tab w:val="left" w:pos="561"/>
        </w:tabs>
        <w:ind w:left="1122" w:hanging="561"/>
      </w:pPr>
      <w:r>
        <w:t>В 2002 году такой работой было охвачено 39 954 ребенка и подростка.  В 2003 году работа по осуществлению данной программы была продолжена.</w:t>
      </w:r>
    </w:p>
    <w:p w:rsidR="00000000" w:rsidRDefault="00000000">
      <w:pPr>
        <w:tabs>
          <w:tab w:val="clear" w:pos="567"/>
          <w:tab w:val="left" w:pos="561"/>
        </w:tabs>
      </w:pPr>
    </w:p>
    <w:p w:rsidR="00000000" w:rsidRDefault="00000000">
      <w:pPr>
        <w:rPr>
          <w:b/>
          <w:bCs/>
        </w:rPr>
      </w:pPr>
      <w:r>
        <w:rPr>
          <w:b/>
          <w:bCs/>
        </w:rPr>
        <w:t>Пункт 39 е)</w:t>
      </w:r>
    </w:p>
    <w:p w:rsidR="00000000" w:rsidRDefault="00000000">
      <w:pPr>
        <w:rPr>
          <w:b/>
          <w:bCs/>
        </w:rPr>
      </w:pPr>
    </w:p>
    <w:p w:rsidR="00000000" w:rsidRDefault="00000000">
      <w:r>
        <w:t>394.</w:t>
      </w:r>
      <w:r>
        <w:tab/>
        <w:t>Программа "с улицы в жизнь" ставит цель объединения усилий государства и гражданского общества в проведении работы, которая позволяет оказывать всестороннюю помощь беспризорным детям и подросткам, которые в силу своей уязвимости сталкиваются с различными проблемами, создающими угрозу их здоровью и мешающими им осуществлять свои права.</w:t>
      </w:r>
    </w:p>
    <w:p w:rsidR="00000000" w:rsidRDefault="00000000"/>
    <w:p w:rsidR="00000000" w:rsidRDefault="00000000">
      <w:r>
        <w:t>395.</w:t>
      </w:r>
      <w:r>
        <w:tab/>
        <w:t>Кроме того, создан Национальный комитет по контролю и оценке, а в восьми субъектах федерации, в которых в настоящее время осуществляется эта программа, - комитеты штатов.  Главная цель - создание механизмов межведомственной координации и сотрудничества между государственным, социальным и частным секторами в вопросах социальной помощи в интересах профилактики беспризорности и оказания помощи беспризорным детям и подросткам.</w:t>
      </w:r>
    </w:p>
    <w:p w:rsidR="00000000" w:rsidRDefault="00000000"/>
    <w:p w:rsidR="00000000" w:rsidRDefault="00000000">
      <w:pPr>
        <w:rPr>
          <w:b/>
          <w:bCs/>
        </w:rPr>
      </w:pPr>
      <w:r>
        <w:rPr>
          <w:b/>
          <w:bCs/>
        </w:rPr>
        <w:t xml:space="preserve">Пункт 39 </w:t>
      </w:r>
      <w:r>
        <w:rPr>
          <w:b/>
          <w:bCs/>
          <w:lang w:val="en-US"/>
        </w:rPr>
        <w:t>f</w:t>
      </w:r>
      <w:r>
        <w:rPr>
          <w:b/>
          <w:bCs/>
        </w:rPr>
        <w:t>)</w:t>
      </w:r>
    </w:p>
    <w:p w:rsidR="00000000" w:rsidRDefault="00000000">
      <w:pPr>
        <w:rPr>
          <w:b/>
          <w:bCs/>
        </w:rPr>
      </w:pPr>
    </w:p>
    <w:p w:rsidR="00000000" w:rsidRDefault="00000000">
      <w:r>
        <w:t>396.</w:t>
      </w:r>
      <w:r>
        <w:tab/>
        <w:t>С 1990 года Мексика добилась значительных успехов в предотвращении и постепенной ликвидации детского труда.  Рядом ведомств были проведены исследования, среди которых следует выделить "Обследование работающих детей</w:t>
      </w:r>
      <w:r>
        <w:noBreakHyphen/>
        <w:t>подростков в 100 городах", подготовленное в 1997 году, "Доклад о результатах второго обследования труда детей-подростков в 100 городах в 2002-2003 годах" (оба эти документа были подготовлены в ВРС и ЮНИСЕФ), национальные обследования по проблемам занятости, которые проводятся МТСО в координации с НИСГИ, и национальное обследование сезонных рабочих-мигрантов, проведенное в 1998-1999 годах Национальной программой по вопросам сезонных работников министерства социального развития.</w:t>
      </w:r>
    </w:p>
    <w:p w:rsidR="00000000" w:rsidRDefault="00000000"/>
    <w:p w:rsidR="00000000" w:rsidRDefault="00000000">
      <w:r>
        <w:t>397.</w:t>
      </w:r>
      <w:r>
        <w:tab/>
        <w:t>В 1999 году в ВРС при поддержке ЮНИСЕФ подготовила модуль неформального образования для работающих несовершеннолетних, и в девяти городах страны начато его пробное использование, результаты которого впоследствии пригодятся при внедрении доработанного модуля еще в 31 городе.</w:t>
      </w:r>
    </w:p>
    <w:p w:rsidR="00000000" w:rsidRDefault="00000000"/>
    <w:p w:rsidR="00000000" w:rsidRDefault="00000000">
      <w:r>
        <w:t>398.</w:t>
      </w:r>
      <w:r>
        <w:tab/>
        <w:t>В области регулирования и применения мер юридической защиты МТСО осуществляет ряд программ по предотвращению и ликвидации труда детей младше 14 лет и искоренению наихудших форм труда несовершеннолетних младше 18 лет.  Эти программы также нацелены на предотвращение, контроль и защиту работающих детей в возрасте от 14 до 16 лет, которым закон разрешает заниматься трудовой деятельностью с соблюдением определенных условий и ограничений</w:t>
      </w:r>
      <w:r>
        <w:rPr>
          <w:rStyle w:val="FootnoteReference"/>
        </w:rPr>
        <w:footnoteReference w:id="18"/>
      </w:r>
      <w:r>
        <w:t>.</w:t>
      </w:r>
    </w:p>
    <w:p w:rsidR="00000000" w:rsidRDefault="00000000"/>
    <w:p w:rsidR="00000000" w:rsidRDefault="00000000">
      <w:r>
        <w:t>399.</w:t>
      </w:r>
      <w:r>
        <w:tab/>
        <w:t xml:space="preserve"> В целях контроля за соблюдением условий труда несовершеннолетних работников МТСО провело в период с декабря 2000 года по август 2003 года 20 940 проверочных инспекций, провело беседы по ориентации с 3 344 несовершеннолетними и выдало 2 506 разрешений на работу несовершеннолетним в возрасте от 14 до 16 лет.</w:t>
      </w:r>
    </w:p>
    <w:p w:rsidR="00000000" w:rsidRDefault="00000000"/>
    <w:p w:rsidR="00000000" w:rsidRDefault="00000000">
      <w:r>
        <w:t>400.</w:t>
      </w:r>
      <w:r>
        <w:tab/>
        <w:t xml:space="preserve">В международной области Мексика подписала Конвенцию МОТ № 182 о наихудших формах  детского труда и немедленных мерах по их искоренению, ратифицированную 30 июня 2000 года (вступила в силу 30 июня 2001 года).  </w:t>
      </w:r>
    </w:p>
    <w:p w:rsidR="00000000" w:rsidRDefault="00000000"/>
    <w:p w:rsidR="00000000" w:rsidRDefault="00000000">
      <w:r>
        <w:t>401.</w:t>
      </w:r>
      <w:r>
        <w:tab/>
        <w:t xml:space="preserve">Что касается мер по предотвращению детского труда, то в 2001 году МТСО подготовило шесть </w:t>
      </w:r>
      <w:r>
        <w:rPr>
          <w:i/>
          <w:iCs/>
        </w:rPr>
        <w:t>региональных семинаров о детском труде в Мексике и Конвенции МОТ № 182 о запрещении немедленных мерах по искоренению наихудших форм детского труда</w:t>
      </w:r>
      <w:r>
        <w:t xml:space="preserve"> в координации с Национальной системой всестороннего развития семьи, Детским фондом Организации Объединенных Наций, Международной организацией труда и Мексиканским институтом по делам молодежи, которые были проведены в городах Халапа (штат Веракрус), Гуанахуато (Гуанахуато), Оахака (Оахака), Агуаскальентес (Агуаскальентес), Тихуана (Нижняя Калифорняя) и Салтильо (Коауила).</w:t>
      </w:r>
    </w:p>
    <w:p w:rsidR="00000000" w:rsidRDefault="00000000"/>
    <w:p w:rsidR="00000000" w:rsidRDefault="00000000">
      <w:r>
        <w:t>402.</w:t>
      </w:r>
      <w:r>
        <w:tab/>
        <w:t>В 2003 году помимо кампаний по предотвращению и искоренению детского труда МТСО провело "Первый форум по детскому труду в Мексике:  доклад о результатах осуществления Конвенции МОТ № 182", на котором была представлена информация о положении с детским трудом в Мексике, работе, проводимой правительством, и о полученном опыте.  Кроме того, были представлены предложения о предотвращении, оказании помощи и искоренении детского труда.  На Форуме присутствовали представители государственных ведомств и различных организаций и подразделений МТСО, а также представители организаций работодателей, профсоюзов, университетов, конгресса, международных организаций и организаций гражданского общества.</w:t>
      </w:r>
    </w:p>
    <w:p w:rsidR="00000000" w:rsidRDefault="00000000"/>
    <w:p w:rsidR="00000000" w:rsidRDefault="00000000">
      <w:pPr>
        <w:keepNext/>
        <w:spacing w:line="240" w:lineRule="auto"/>
        <w:jc w:val="center"/>
        <w:rPr>
          <w:b/>
          <w:bCs/>
        </w:rPr>
      </w:pPr>
      <w:r>
        <w:rPr>
          <w:b/>
          <w:bCs/>
          <w:lang w:val="en-US"/>
        </w:rPr>
        <w:t>F</w:t>
      </w:r>
      <w:r>
        <w:rPr>
          <w:b/>
          <w:bCs/>
        </w:rPr>
        <w:t>.</w:t>
      </w:r>
      <w:r>
        <w:rPr>
          <w:b/>
          <w:bCs/>
        </w:rPr>
        <w:tab/>
        <w:t>Статья 11</w:t>
      </w:r>
    </w:p>
    <w:p w:rsidR="00000000" w:rsidRDefault="00000000">
      <w:pPr>
        <w:keepNext/>
        <w:spacing w:line="240" w:lineRule="auto"/>
        <w:jc w:val="center"/>
        <w:rPr>
          <w:b/>
          <w:bCs/>
        </w:rPr>
      </w:pPr>
    </w:p>
    <w:p w:rsidR="00000000" w:rsidRDefault="00000000">
      <w:pPr>
        <w:keepNext/>
        <w:spacing w:line="240" w:lineRule="auto"/>
        <w:rPr>
          <w:b/>
          <w:bCs/>
        </w:rPr>
      </w:pPr>
      <w:r>
        <w:rPr>
          <w:b/>
          <w:bCs/>
        </w:rPr>
        <w:t>Пункт 42 а) руководящих принципов</w:t>
      </w:r>
    </w:p>
    <w:p w:rsidR="00000000" w:rsidRDefault="00000000">
      <w:pPr>
        <w:keepNext/>
        <w:spacing w:line="240" w:lineRule="auto"/>
        <w:rPr>
          <w:b/>
          <w:bCs/>
        </w:rPr>
      </w:pPr>
    </w:p>
    <w:p w:rsidR="00000000" w:rsidRDefault="00000000">
      <w:pPr>
        <w:keepNext/>
      </w:pPr>
      <w:r>
        <w:t>403.</w:t>
      </w:r>
      <w:r>
        <w:tab/>
        <w:t>В последние годы в Мексике было достигнуто заметное повышение уровня благосостояния населения;  наша страна совершает переход от общества молодых к обществу пожилых, что создало проблему медицинского обслуживания и социального обеспечения растущего числа престарелых.  Недостаточно лишь увеличения ожидаемой продолжительности жизни населения:  необходимо также повышать качество жизни всех мексиканцев.</w:t>
      </w:r>
    </w:p>
    <w:p w:rsidR="00000000" w:rsidRDefault="00000000"/>
    <w:p w:rsidR="00000000" w:rsidRDefault="00000000">
      <w:r>
        <w:t>404.</w:t>
      </w:r>
      <w:r>
        <w:tab/>
        <w:t>Для этого в масштабах страны предпринимаются усилия по активизации социального и человеческого развития, что должно дать населению новые возможности получения дополнительных шансов на доступ к большему числу более перспективных вариантов развития и уровней благосостояния.</w:t>
      </w:r>
    </w:p>
    <w:p w:rsidR="00000000" w:rsidRDefault="00000000"/>
    <w:p w:rsidR="00000000" w:rsidRDefault="00000000">
      <w:r>
        <w:t>405.</w:t>
      </w:r>
      <w:r>
        <w:tab/>
        <w:t>Одна из главных проблем, с которыми издавна сталкивается наша страна - нищета, поэтому в качестве одной из главных целей ставится борьба с нею наряду со структурными причинами, порождающими ее.  Один из центральных аспектов стратегий ликвидации бедности - признание того, что в данном случае речь идет о многогранном явлении, природа которого весьма разнообразна, отнюдь не ограничиваясь собственно материальным планом.  Именно по этой причине один только экономический рост не позволит устранить бедность.  Экономический рост должен быть устойчивым и стабильным, а также сопровождаться более справедливым распределением богатств как необходимым условием достижения более высокого уровня жизни.</w:t>
      </w:r>
    </w:p>
    <w:p w:rsidR="00000000" w:rsidRDefault="00000000"/>
    <w:p w:rsidR="00000000" w:rsidRDefault="00000000">
      <w:r>
        <w:t>406.</w:t>
      </w:r>
      <w:r>
        <w:tab/>
        <w:t>В этой связи благоприятны результаты, полученные в масштабах страны, прежде всего в последние несколько лет, среди которых можно выделить следующие:</w:t>
      </w:r>
    </w:p>
    <w:p w:rsidR="00000000" w:rsidRDefault="00000000">
      <w:pPr>
        <w:spacing w:line="216" w:lineRule="auto"/>
      </w:pPr>
    </w:p>
    <w:p w:rsidR="00000000" w:rsidRDefault="00000000">
      <w:pPr>
        <w:ind w:left="1134" w:hanging="1134"/>
      </w:pPr>
      <w:r>
        <w:tab/>
      </w:r>
      <w:r>
        <w:sym w:font="Symbol" w:char="F0B7"/>
      </w:r>
      <w:r>
        <w:tab/>
        <w:t xml:space="preserve">Доля населения, живущего в нищете </w:t>
      </w:r>
      <w:r>
        <w:rPr>
          <w:i/>
          <w:iCs/>
        </w:rPr>
        <w:t>по признаку обеспеченности питанием,</w:t>
      </w:r>
      <w:r>
        <w:t xml:space="preserve"> в масштабах страны снизилась за период 2000</w:t>
      </w:r>
      <w:r>
        <w:noBreakHyphen/>
        <w:t>2002 года с 24,2% до 20,3% населения.</w:t>
      </w:r>
    </w:p>
    <w:p w:rsidR="00000000" w:rsidRDefault="00000000">
      <w:pPr>
        <w:spacing w:line="216" w:lineRule="auto"/>
        <w:ind w:left="1134" w:hanging="1134"/>
      </w:pPr>
    </w:p>
    <w:p w:rsidR="00000000" w:rsidRDefault="00000000">
      <w:pPr>
        <w:ind w:left="1134" w:hanging="1134"/>
      </w:pPr>
      <w:r>
        <w:tab/>
      </w:r>
      <w:r>
        <w:sym w:font="Symbol" w:char="F0B7"/>
      </w:r>
      <w:r>
        <w:tab/>
        <w:t xml:space="preserve">Доля населения, живущего в условиях недостаточного </w:t>
      </w:r>
      <w:r>
        <w:rPr>
          <w:i/>
          <w:iCs/>
        </w:rPr>
        <w:t>развития способностей</w:t>
      </w:r>
      <w:r>
        <w:t>, снизилась за период 2000-2002 года с 31,9% до 26,5%.</w:t>
      </w:r>
    </w:p>
    <w:p w:rsidR="00000000" w:rsidRDefault="00000000">
      <w:pPr>
        <w:spacing w:line="240" w:lineRule="auto"/>
        <w:ind w:left="1134" w:hanging="1134"/>
      </w:pPr>
    </w:p>
    <w:p w:rsidR="00000000" w:rsidRDefault="00000000">
      <w:pPr>
        <w:ind w:left="1134" w:hanging="1134"/>
      </w:pPr>
      <w:r>
        <w:tab/>
      </w:r>
      <w:r>
        <w:sym w:font="Symbol" w:char="F0B7"/>
      </w:r>
      <w:r>
        <w:tab/>
        <w:t xml:space="preserve">Доля населения, живущего в условиях недостаточной </w:t>
      </w:r>
      <w:r>
        <w:rPr>
          <w:i/>
          <w:iCs/>
        </w:rPr>
        <w:t>имущественной обеспеченности,</w:t>
      </w:r>
      <w:r>
        <w:t xml:space="preserve"> снизилась за период 2000-2002 года с 53,7% до 51,7% населения</w:t>
      </w:r>
      <w:r>
        <w:rPr>
          <w:rStyle w:val="FootnoteReference"/>
        </w:rPr>
        <w:footnoteReference w:id="19"/>
      </w:r>
      <w:r>
        <w:t>.</w:t>
      </w:r>
    </w:p>
    <w:p w:rsidR="00000000" w:rsidRDefault="00000000">
      <w:r>
        <w:t>407.</w:t>
      </w:r>
      <w:r>
        <w:tab/>
        <w:t>В свете вышесказанного 3,4 млн. человек перешагнули через порог нищеты по признаку обеспеченности питанием, иными словами, за период 2000-2002 года они оказались в ситуации, в которой они могут покрывать свои потребности в продуктах питания и теперь могут тратить некоторые суммы на образование и здравоохранение.</w:t>
      </w:r>
    </w:p>
    <w:p w:rsidR="00000000" w:rsidRDefault="00000000"/>
    <w:p w:rsidR="00000000" w:rsidRDefault="00000000">
      <w:pPr>
        <w:spacing w:line="240" w:lineRule="auto"/>
        <w:jc w:val="center"/>
        <w:rPr>
          <w:b/>
          <w:bCs/>
          <w:lang w:val="en-US"/>
        </w:rPr>
      </w:pPr>
      <w:r>
        <w:rPr>
          <w:b/>
          <w:bCs/>
        </w:rPr>
        <w:t>Динамика бедности в Мексике в последние годы</w:t>
      </w:r>
    </w:p>
    <w:p w:rsidR="00000000" w:rsidRDefault="00000000">
      <w:pPr>
        <w:spacing w:line="240" w:lineRule="auto"/>
        <w:jc w:val="center"/>
        <w:rPr>
          <w:b/>
          <w:bCs/>
          <w:lang w:val="en-US"/>
        </w:rPr>
      </w:pPr>
    </w:p>
    <w:tbl>
      <w:tblPr>
        <w:tblW w:w="43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43"/>
      </w:tblGrid>
      <w:tr w:rsidR="00000000">
        <w:tblPrEx>
          <w:tblCellMar>
            <w:top w:w="0" w:type="dxa"/>
            <w:bottom w:w="0" w:type="dxa"/>
          </w:tblCellMar>
        </w:tblPrEx>
        <w:trPr>
          <w:jc w:val="center"/>
        </w:trPr>
        <w:tc>
          <w:tcPr>
            <w:tcW w:w="8344" w:type="dxa"/>
          </w:tcPr>
          <w:p w:rsidR="00000000" w:rsidRDefault="00000000">
            <w:pPr>
              <w:keepNext/>
              <w:keepLines/>
              <w:spacing w:after="240"/>
              <w:jc w:val="center"/>
              <w:rPr>
                <w:lang w:val="en-US"/>
              </w:rPr>
            </w:pPr>
            <w:r>
              <w:rPr>
                <w:lang w:val="en-US"/>
              </w:rPr>
              <w:object w:dxaOrig="8040" w:dyaOrig="5909">
                <v:shape id="_x0000_i1034" type="#_x0000_t75" style="width:402pt;height:295.5pt" o:ole="" fillcolor="window">
                  <v:imagedata r:id="rId26" o:title="" grayscale="t"/>
                </v:shape>
                <o:OLEObject Type="Embed" ProgID="MSGraph.Chart.8" ShapeID="_x0000_i1034" DrawAspect="Content" ObjectID="_1394895089" r:id="rId27">
                  <o:FieldCodes>\s</o:FieldCodes>
                </o:OLEObject>
              </w:object>
            </w:r>
          </w:p>
        </w:tc>
      </w:tr>
    </w:tbl>
    <w:p w:rsidR="00000000" w:rsidRDefault="00000000">
      <w:pPr>
        <w:spacing w:line="240" w:lineRule="auto"/>
        <w:jc w:val="center"/>
        <w:rPr>
          <w:b/>
          <w:bCs/>
          <w:lang w:val="en-US"/>
        </w:rPr>
      </w:pPr>
    </w:p>
    <w:p w:rsidR="00000000" w:rsidRDefault="00000000">
      <w:pPr>
        <w:spacing w:line="240" w:lineRule="auto"/>
        <w:rPr>
          <w:sz w:val="18"/>
          <w:szCs w:val="22"/>
        </w:rPr>
      </w:pPr>
      <w:r>
        <w:rPr>
          <w:i/>
          <w:iCs/>
          <w:sz w:val="18"/>
          <w:szCs w:val="22"/>
        </w:rPr>
        <w:t xml:space="preserve">Источник:  </w:t>
      </w:r>
      <w:r>
        <w:rPr>
          <w:sz w:val="18"/>
          <w:szCs w:val="22"/>
        </w:rPr>
        <w:t>МСР, расчеты на основе бюджетных обследований населения за период 1992</w:t>
      </w:r>
      <w:r>
        <w:rPr>
          <w:sz w:val="18"/>
          <w:szCs w:val="22"/>
        </w:rPr>
        <w:noBreakHyphen/>
        <w:t>2002 годов, НИСГИ.</w:t>
      </w:r>
    </w:p>
    <w:p w:rsidR="00000000" w:rsidRDefault="00000000">
      <w:pPr>
        <w:rPr>
          <w:sz w:val="22"/>
          <w:szCs w:val="22"/>
        </w:rPr>
      </w:pPr>
    </w:p>
    <w:p w:rsidR="00000000" w:rsidRDefault="00000000">
      <w:r>
        <w:rPr>
          <w:szCs w:val="22"/>
        </w:rPr>
        <w:t>408.</w:t>
      </w:r>
      <w:r>
        <w:rPr>
          <w:szCs w:val="22"/>
        </w:rPr>
        <w:tab/>
        <w:t>Несмотря на указанное выше снижение бедности, необходимо признать, что с учетом уровня развития и богатства страны эти показатели все еще высоки.  Тем не менее успехи, достигнутые в период 2000-2002 годов, могут толковаться как позитивная тенденция, при сохранении которой будет достигнуто значительное улучшение условий жизни наиболее неимущего населения.</w:t>
      </w:r>
    </w:p>
    <w:p w:rsidR="00000000" w:rsidRDefault="00000000"/>
    <w:p w:rsidR="00000000" w:rsidRDefault="00000000">
      <w:pPr>
        <w:pStyle w:val="BodyText2"/>
        <w:autoSpaceDE w:val="0"/>
        <w:autoSpaceDN w:val="0"/>
        <w:adjustRightInd w:val="0"/>
        <w:spacing w:line="288" w:lineRule="auto"/>
        <w:jc w:val="left"/>
        <w:rPr>
          <w:sz w:val="24"/>
          <w:szCs w:val="22"/>
          <w:lang w:val="ru-RU"/>
        </w:rPr>
      </w:pPr>
      <w:r>
        <w:rPr>
          <w:sz w:val="24"/>
          <w:szCs w:val="22"/>
        </w:rPr>
        <w:t>409.</w:t>
      </w:r>
      <w:r>
        <w:rPr>
          <w:sz w:val="24"/>
          <w:szCs w:val="22"/>
          <w:lang w:val="ru-RU"/>
        </w:rPr>
        <w:tab/>
        <w:t>Помимо успехов, достигнутых в области борьбы с бедностью, наша страна добилась заметного прогресса по комплексу показателей социального развития, что отражает активное стремление правительства Мексики к повышению уровня жизни и благосостояния населения:</w:t>
      </w:r>
    </w:p>
    <w:p w:rsidR="00000000" w:rsidRDefault="00000000">
      <w:pPr>
        <w:pStyle w:val="BodyText2"/>
        <w:autoSpaceDE w:val="0"/>
        <w:autoSpaceDN w:val="0"/>
        <w:adjustRightInd w:val="0"/>
        <w:spacing w:line="288" w:lineRule="auto"/>
        <w:jc w:val="left"/>
        <w:rPr>
          <w:sz w:val="24"/>
          <w:szCs w:val="22"/>
          <w:lang w:val="ru-RU"/>
        </w:rPr>
      </w:pP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r>
        <w:rPr>
          <w:sz w:val="24"/>
          <w:szCs w:val="22"/>
          <w:lang w:val="ru-RU"/>
        </w:rPr>
        <w:tab/>
      </w:r>
      <w:r>
        <w:rPr>
          <w:sz w:val="24"/>
          <w:szCs w:val="22"/>
          <w:lang w:val="ru-RU"/>
        </w:rPr>
        <w:sym w:font="Symbol" w:char="F0B7"/>
      </w:r>
      <w:r>
        <w:rPr>
          <w:sz w:val="24"/>
          <w:szCs w:val="22"/>
          <w:lang w:val="ru-RU"/>
        </w:rPr>
        <w:tab/>
        <w:t>Средняя ожидаемая продолжительность жизни при рождении составляет 74,9 года.</w:t>
      </w: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r>
        <w:rPr>
          <w:sz w:val="24"/>
          <w:szCs w:val="22"/>
          <w:lang w:val="ru-RU"/>
        </w:rPr>
        <w:tab/>
      </w:r>
      <w:r>
        <w:rPr>
          <w:sz w:val="24"/>
          <w:szCs w:val="22"/>
          <w:lang w:val="ru-RU"/>
        </w:rPr>
        <w:sym w:font="Symbol" w:char="F0B7"/>
      </w:r>
      <w:r>
        <w:rPr>
          <w:sz w:val="24"/>
          <w:szCs w:val="22"/>
          <w:lang w:val="ru-RU"/>
        </w:rPr>
        <w:tab/>
        <w:t>Доля неграмотных в стране составляет 8,5%.</w:t>
      </w: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r>
        <w:rPr>
          <w:sz w:val="24"/>
          <w:szCs w:val="22"/>
          <w:lang w:val="ru-RU"/>
        </w:rPr>
        <w:tab/>
      </w:r>
      <w:r>
        <w:rPr>
          <w:sz w:val="24"/>
          <w:szCs w:val="22"/>
          <w:lang w:val="ru-RU"/>
        </w:rPr>
        <w:sym w:font="Symbol" w:char="F0B7"/>
      </w:r>
      <w:r>
        <w:rPr>
          <w:sz w:val="24"/>
          <w:szCs w:val="22"/>
          <w:lang w:val="ru-RU"/>
        </w:rPr>
        <w:tab/>
        <w:t xml:space="preserve">Показатель охвата соответствующей возрастной группы начальным образованием </w:t>
      </w:r>
      <w:r>
        <w:rPr>
          <w:sz w:val="24"/>
          <w:szCs w:val="22"/>
          <w:lang w:val="ru-RU"/>
        </w:rPr>
        <w:noBreakHyphen/>
        <w:t xml:space="preserve"> почти 100%.</w:t>
      </w: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r>
        <w:rPr>
          <w:sz w:val="24"/>
          <w:szCs w:val="22"/>
          <w:lang w:val="ru-RU"/>
        </w:rPr>
        <w:tab/>
      </w:r>
      <w:r>
        <w:rPr>
          <w:sz w:val="24"/>
          <w:szCs w:val="22"/>
          <w:lang w:val="ru-RU"/>
        </w:rPr>
        <w:sym w:font="Symbol" w:char="F0B7"/>
      </w:r>
      <w:r>
        <w:rPr>
          <w:sz w:val="24"/>
          <w:szCs w:val="22"/>
          <w:lang w:val="ru-RU"/>
        </w:rPr>
        <w:tab/>
        <w:t>89,2% населения страны обеспечивается питьевой водой.</w:t>
      </w: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r>
        <w:rPr>
          <w:sz w:val="24"/>
          <w:szCs w:val="22"/>
          <w:lang w:val="ru-RU"/>
        </w:rPr>
        <w:tab/>
      </w:r>
      <w:r>
        <w:rPr>
          <w:sz w:val="24"/>
          <w:szCs w:val="22"/>
          <w:lang w:val="ru-RU"/>
        </w:rPr>
        <w:sym w:font="Symbol" w:char="F0B7"/>
      </w:r>
      <w:r>
        <w:rPr>
          <w:sz w:val="24"/>
          <w:szCs w:val="22"/>
          <w:lang w:val="ru-RU"/>
        </w:rPr>
        <w:tab/>
        <w:t>76,9% населения страны имеют водопровод.</w:t>
      </w: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r>
        <w:rPr>
          <w:sz w:val="24"/>
          <w:szCs w:val="22"/>
          <w:lang w:val="ru-RU"/>
        </w:rPr>
        <w:tab/>
      </w:r>
      <w:r>
        <w:rPr>
          <w:sz w:val="24"/>
          <w:szCs w:val="22"/>
          <w:lang w:val="ru-RU"/>
        </w:rPr>
        <w:sym w:font="Symbol" w:char="F0B7"/>
      </w:r>
      <w:r>
        <w:rPr>
          <w:sz w:val="24"/>
          <w:szCs w:val="22"/>
          <w:lang w:val="ru-RU"/>
        </w:rPr>
        <w:tab/>
        <w:t>С 1990 года ликвидирован полиомиелит, с 1991 года </w:t>
      </w:r>
      <w:r>
        <w:rPr>
          <w:sz w:val="24"/>
          <w:szCs w:val="22"/>
          <w:lang w:val="ru-RU"/>
        </w:rPr>
        <w:noBreakHyphen/>
        <w:t xml:space="preserve"> дифтерия, налажен эпидемиологический контроль над корью, коклюшем и столбняком.</w:t>
      </w: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r>
        <w:rPr>
          <w:sz w:val="24"/>
          <w:szCs w:val="22"/>
          <w:lang w:val="ru-RU"/>
        </w:rPr>
        <w:tab/>
      </w:r>
      <w:r>
        <w:rPr>
          <w:sz w:val="24"/>
          <w:szCs w:val="22"/>
          <w:lang w:val="ru-RU"/>
        </w:rPr>
        <w:sym w:font="Symbol" w:char="F0B7"/>
      </w:r>
      <w:r>
        <w:rPr>
          <w:sz w:val="24"/>
          <w:szCs w:val="22"/>
          <w:lang w:val="ru-RU"/>
        </w:rPr>
        <w:tab/>
        <w:t>В Мексике создана самая широкая в Латинской Америке система вакцинации.</w:t>
      </w:r>
    </w:p>
    <w:p w:rsidR="00000000" w:rsidRDefault="00000000">
      <w:pPr>
        <w:pStyle w:val="BodyText2"/>
        <w:tabs>
          <w:tab w:val="left" w:pos="561"/>
        </w:tabs>
        <w:autoSpaceDE w:val="0"/>
        <w:autoSpaceDN w:val="0"/>
        <w:adjustRightInd w:val="0"/>
        <w:spacing w:line="288" w:lineRule="auto"/>
        <w:ind w:left="1134" w:hanging="1134"/>
        <w:jc w:val="left"/>
        <w:rPr>
          <w:sz w:val="24"/>
          <w:szCs w:val="22"/>
          <w:lang w:val="ru-RU"/>
        </w:rPr>
      </w:pPr>
    </w:p>
    <w:p w:rsidR="00000000" w:rsidRDefault="00000000">
      <w:pPr>
        <w:rPr>
          <w:b/>
          <w:bCs/>
          <w:szCs w:val="22"/>
        </w:rPr>
      </w:pPr>
      <w:r>
        <w:rPr>
          <w:b/>
          <w:bCs/>
        </w:rPr>
        <w:t xml:space="preserve">Пункт 42 </w:t>
      </w:r>
      <w:r>
        <w:rPr>
          <w:b/>
          <w:bCs/>
          <w:szCs w:val="22"/>
          <w:lang w:val="fr-FR"/>
        </w:rPr>
        <w:t>b</w:t>
      </w:r>
      <w:r>
        <w:rPr>
          <w:b/>
          <w:bCs/>
          <w:szCs w:val="22"/>
        </w:rPr>
        <w:t>)</w:t>
      </w:r>
    </w:p>
    <w:p w:rsidR="00000000" w:rsidRDefault="00000000">
      <w:pPr>
        <w:rPr>
          <w:b/>
          <w:bCs/>
          <w:szCs w:val="22"/>
        </w:rPr>
      </w:pPr>
    </w:p>
    <w:p w:rsidR="00000000" w:rsidRDefault="00000000">
      <w:r>
        <w:rPr>
          <w:szCs w:val="22"/>
        </w:rPr>
        <w:t>410.</w:t>
      </w:r>
      <w:r>
        <w:rPr>
          <w:szCs w:val="22"/>
        </w:rPr>
        <w:tab/>
        <w:t>К докладу не относится.</w:t>
      </w:r>
    </w:p>
    <w:p w:rsidR="00000000" w:rsidRDefault="00000000"/>
    <w:p w:rsidR="00000000" w:rsidRDefault="00000000">
      <w:pPr>
        <w:rPr>
          <w:b/>
          <w:bCs/>
          <w:szCs w:val="22"/>
        </w:rPr>
      </w:pPr>
      <w:r>
        <w:rPr>
          <w:b/>
          <w:bCs/>
        </w:rPr>
        <w:t>Пункт 42 с</w:t>
      </w:r>
      <w:r>
        <w:rPr>
          <w:b/>
          <w:bCs/>
          <w:szCs w:val="22"/>
        </w:rPr>
        <w:t>)</w:t>
      </w:r>
    </w:p>
    <w:p w:rsidR="00000000" w:rsidRDefault="00000000">
      <w:pPr>
        <w:rPr>
          <w:b/>
          <w:bCs/>
          <w:szCs w:val="22"/>
        </w:rPr>
      </w:pPr>
    </w:p>
    <w:p w:rsidR="00000000" w:rsidRDefault="00000000">
      <w:pPr>
        <w:rPr>
          <w:szCs w:val="22"/>
        </w:rPr>
      </w:pPr>
      <w:r>
        <w:rPr>
          <w:szCs w:val="22"/>
        </w:rPr>
        <w:t>411.</w:t>
      </w:r>
      <w:r>
        <w:rPr>
          <w:szCs w:val="22"/>
        </w:rPr>
        <w:tab/>
        <w:t>Что касается черты бедности в нашей стране, то необходимо подчеркнуть, что ранее в Мексике не существовало официального определения для фиксации уровня бедности.  В 2001 году министерство социального развития (МСР) созвало группу авторитетных независимых национальных экспертов, составивших Экспертный комитет по измерению бедности в Мексике.</w:t>
      </w:r>
    </w:p>
    <w:p w:rsidR="00000000" w:rsidRDefault="00000000">
      <w:pPr>
        <w:rPr>
          <w:szCs w:val="22"/>
        </w:rPr>
      </w:pPr>
    </w:p>
    <w:p w:rsidR="00000000" w:rsidRDefault="00000000">
      <w:pPr>
        <w:rPr>
          <w:szCs w:val="22"/>
        </w:rPr>
      </w:pPr>
      <w:r>
        <w:rPr>
          <w:szCs w:val="22"/>
        </w:rPr>
        <w:t>412.</w:t>
      </w:r>
      <w:r>
        <w:rPr>
          <w:szCs w:val="22"/>
        </w:rPr>
        <w:tab/>
        <w:t>Комитет предложил использовать национальные бюджетные обследования домохозяйств (НБОД), проведенные Национальным институтом статистики, географии и информатики (НИСГИ), в качестве первичного источника информации для оценки бедности на основе согласованной методики.  Кроме того, Комитет использовал в качестве критерия благосостояния душевые доходы (за вычетом налогов) по данным  обследования.</w:t>
      </w:r>
    </w:p>
    <w:p w:rsidR="00000000" w:rsidRDefault="00000000">
      <w:pPr>
        <w:rPr>
          <w:szCs w:val="22"/>
        </w:rPr>
      </w:pPr>
    </w:p>
    <w:p w:rsidR="00000000" w:rsidRDefault="00000000">
      <w:pPr>
        <w:rPr>
          <w:szCs w:val="22"/>
        </w:rPr>
      </w:pPr>
      <w:r>
        <w:rPr>
          <w:szCs w:val="22"/>
        </w:rPr>
        <w:t>413.</w:t>
      </w:r>
      <w:r>
        <w:rPr>
          <w:szCs w:val="22"/>
        </w:rPr>
        <w:tab/>
        <w:t>МСР использовало методику, предложенную Комитетом, и таким образом, следуя критериям Комитета и используя данные НБОД-2000, были определены три критерия группировки населения по уровню дохода:</w:t>
      </w:r>
    </w:p>
    <w:p w:rsidR="00000000" w:rsidRDefault="00000000">
      <w:pPr>
        <w:ind w:left="1134" w:hanging="1134"/>
        <w:rPr>
          <w:szCs w:val="22"/>
        </w:rPr>
      </w:pPr>
      <w:r>
        <w:rPr>
          <w:szCs w:val="22"/>
        </w:rPr>
        <w:tab/>
        <w:t>1.</w:t>
      </w:r>
      <w:r>
        <w:rPr>
          <w:szCs w:val="22"/>
        </w:rPr>
        <w:tab/>
      </w:r>
      <w:r>
        <w:rPr>
          <w:b/>
          <w:bCs/>
          <w:szCs w:val="22"/>
        </w:rPr>
        <w:t>Черта бедности по обеспеченности питанием:</w:t>
      </w:r>
      <w:r>
        <w:rPr>
          <w:szCs w:val="22"/>
        </w:rPr>
        <w:t xml:space="preserve">  домохозяйства, в которых душевые доходы меньше суммы, считающейся необходимой для покрытия потребностей в продуктах питания.</w:t>
      </w:r>
    </w:p>
    <w:p w:rsidR="00000000" w:rsidRDefault="00000000">
      <w:pPr>
        <w:ind w:left="1134" w:hanging="1134"/>
        <w:rPr>
          <w:szCs w:val="22"/>
        </w:rPr>
      </w:pPr>
    </w:p>
    <w:p w:rsidR="00000000" w:rsidRDefault="00000000">
      <w:pPr>
        <w:ind w:left="1134" w:hanging="1134"/>
        <w:rPr>
          <w:szCs w:val="22"/>
        </w:rPr>
      </w:pPr>
      <w:r>
        <w:rPr>
          <w:szCs w:val="22"/>
        </w:rPr>
        <w:tab/>
        <w:t>2.</w:t>
      </w:r>
      <w:r>
        <w:rPr>
          <w:szCs w:val="22"/>
        </w:rPr>
        <w:tab/>
      </w:r>
      <w:r>
        <w:rPr>
          <w:b/>
          <w:bCs/>
          <w:szCs w:val="22"/>
        </w:rPr>
        <w:t>Черта бедности в аспекте развития личности:</w:t>
      </w:r>
      <w:r>
        <w:rPr>
          <w:szCs w:val="22"/>
        </w:rPr>
        <w:t xml:space="preserve">  домохозяйства, в которых душевые доходы меньше суммы, необходимой для покрытия потребностей в питании (определяемых таким же образом, что и по предыдущей группе) и оплаты расходов на образование и медицинское обслуживание.</w:t>
      </w:r>
    </w:p>
    <w:p w:rsidR="00000000" w:rsidRDefault="00000000">
      <w:pPr>
        <w:ind w:left="1134" w:hanging="1134"/>
        <w:rPr>
          <w:szCs w:val="22"/>
        </w:rPr>
      </w:pPr>
    </w:p>
    <w:p w:rsidR="00000000" w:rsidRDefault="00000000">
      <w:pPr>
        <w:ind w:left="1134" w:hanging="1134"/>
        <w:rPr>
          <w:szCs w:val="22"/>
        </w:rPr>
      </w:pPr>
      <w:r>
        <w:rPr>
          <w:szCs w:val="22"/>
        </w:rPr>
        <w:tab/>
        <w:t>3.</w:t>
      </w:r>
      <w:r>
        <w:rPr>
          <w:szCs w:val="22"/>
        </w:rPr>
        <w:tab/>
      </w:r>
      <w:r>
        <w:rPr>
          <w:b/>
          <w:bCs/>
          <w:szCs w:val="22"/>
        </w:rPr>
        <w:t>Порог бедности по критерию имущественного развития:</w:t>
      </w:r>
      <w:r>
        <w:rPr>
          <w:szCs w:val="22"/>
        </w:rPr>
        <w:t xml:space="preserve">  домохозяйства, в которых душевые доходы меньше суммы, необходимой для покупки продуктов питания и приобретения таких элементарных товаров и услуг, как здравоохранение, образование, одежда, обувь, жилье и общественный транспорт.</w:t>
      </w:r>
    </w:p>
    <w:p w:rsidR="00000000" w:rsidRDefault="00000000">
      <w:pPr>
        <w:ind w:left="1134" w:hanging="1134"/>
        <w:rPr>
          <w:szCs w:val="22"/>
        </w:rPr>
      </w:pPr>
    </w:p>
    <w:p w:rsidR="00000000" w:rsidRDefault="00000000">
      <w:pPr>
        <w:rPr>
          <w:szCs w:val="22"/>
        </w:rPr>
      </w:pPr>
      <w:r>
        <w:rPr>
          <w:szCs w:val="22"/>
        </w:rPr>
        <w:t>414.</w:t>
      </w:r>
      <w:r>
        <w:rPr>
          <w:szCs w:val="22"/>
        </w:rPr>
        <w:tab/>
        <w:t>В таблице ниже представлены три черты бедности, рассчитанные по данным НБОД</w:t>
      </w:r>
      <w:r>
        <w:rPr>
          <w:szCs w:val="22"/>
        </w:rPr>
        <w:noBreakHyphen/>
        <w:t>2000 и новым данным НБОД</w:t>
      </w:r>
      <w:r>
        <w:rPr>
          <w:szCs w:val="22"/>
        </w:rPr>
        <w:noBreakHyphen/>
        <w:t>2002.</w:t>
      </w:r>
    </w:p>
    <w:p w:rsidR="00000000" w:rsidRDefault="00000000">
      <w:pPr>
        <w:rPr>
          <w:szCs w:val="22"/>
        </w:rPr>
      </w:pPr>
    </w:p>
    <w:p w:rsidR="00000000" w:rsidRDefault="00000000">
      <w:pPr>
        <w:jc w:val="center"/>
        <w:rPr>
          <w:b/>
          <w:bCs/>
          <w:szCs w:val="22"/>
        </w:rPr>
      </w:pPr>
      <w:r>
        <w:rPr>
          <w:b/>
          <w:bCs/>
          <w:szCs w:val="22"/>
        </w:rPr>
        <w:t>Черты бедности, 2000 и 2002 годы</w:t>
      </w:r>
    </w:p>
    <w:p w:rsidR="00000000" w:rsidRDefault="0000000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76"/>
        <w:gridCol w:w="2228"/>
        <w:gridCol w:w="1327"/>
        <w:gridCol w:w="1327"/>
        <w:gridCol w:w="1327"/>
        <w:gridCol w:w="1325"/>
      </w:tblGrid>
      <w:tr w:rsidR="00000000">
        <w:tblPrEx>
          <w:tblCellMar>
            <w:top w:w="0" w:type="dxa"/>
            <w:bottom w:w="0" w:type="dxa"/>
          </w:tblCellMar>
        </w:tblPrEx>
        <w:trPr>
          <w:cantSplit/>
        </w:trPr>
        <w:tc>
          <w:tcPr>
            <w:tcW w:w="997" w:type="pct"/>
            <w:vMerge w:val="restart"/>
          </w:tcPr>
          <w:p w:rsidR="00000000" w:rsidRDefault="00000000">
            <w:pPr>
              <w:spacing w:before="60"/>
              <w:jc w:val="center"/>
              <w:rPr>
                <w:i/>
                <w:iCs/>
                <w:sz w:val="22"/>
                <w:szCs w:val="22"/>
              </w:rPr>
            </w:pPr>
            <w:r>
              <w:rPr>
                <w:i/>
                <w:iCs/>
                <w:sz w:val="22"/>
                <w:szCs w:val="22"/>
              </w:rPr>
              <w:t>Вид бедности</w:t>
            </w:r>
          </w:p>
        </w:tc>
        <w:tc>
          <w:tcPr>
            <w:tcW w:w="1184" w:type="pct"/>
            <w:vMerge w:val="restart"/>
          </w:tcPr>
          <w:p w:rsidR="00000000" w:rsidRDefault="00000000">
            <w:pPr>
              <w:spacing w:before="60"/>
              <w:jc w:val="center"/>
              <w:rPr>
                <w:i/>
                <w:iCs/>
                <w:sz w:val="22"/>
                <w:szCs w:val="22"/>
              </w:rPr>
            </w:pPr>
            <w:r>
              <w:rPr>
                <w:i/>
                <w:iCs/>
                <w:sz w:val="22"/>
                <w:szCs w:val="22"/>
              </w:rPr>
              <w:t>Группа населения</w:t>
            </w:r>
          </w:p>
        </w:tc>
        <w:tc>
          <w:tcPr>
            <w:tcW w:w="705" w:type="pct"/>
          </w:tcPr>
          <w:p w:rsidR="00000000" w:rsidRDefault="00000000">
            <w:pPr>
              <w:spacing w:before="60"/>
              <w:jc w:val="center"/>
              <w:rPr>
                <w:i/>
                <w:iCs/>
                <w:sz w:val="22"/>
                <w:szCs w:val="22"/>
              </w:rPr>
            </w:pPr>
            <w:r>
              <w:rPr>
                <w:i/>
                <w:iCs/>
                <w:sz w:val="22"/>
                <w:szCs w:val="22"/>
              </w:rPr>
              <w:t>2000 год</w:t>
            </w:r>
          </w:p>
        </w:tc>
        <w:tc>
          <w:tcPr>
            <w:tcW w:w="705" w:type="pct"/>
          </w:tcPr>
          <w:p w:rsidR="00000000" w:rsidRDefault="00000000">
            <w:pPr>
              <w:spacing w:before="60"/>
              <w:jc w:val="center"/>
              <w:rPr>
                <w:i/>
                <w:iCs/>
                <w:sz w:val="22"/>
                <w:szCs w:val="22"/>
              </w:rPr>
            </w:pPr>
            <w:r>
              <w:rPr>
                <w:i/>
                <w:iCs/>
                <w:sz w:val="22"/>
                <w:szCs w:val="22"/>
              </w:rPr>
              <w:t>2002 год</w:t>
            </w:r>
          </w:p>
        </w:tc>
        <w:tc>
          <w:tcPr>
            <w:tcW w:w="705" w:type="pct"/>
          </w:tcPr>
          <w:p w:rsidR="00000000" w:rsidRDefault="00000000">
            <w:pPr>
              <w:spacing w:before="60"/>
              <w:jc w:val="center"/>
              <w:rPr>
                <w:i/>
                <w:iCs/>
                <w:sz w:val="22"/>
                <w:szCs w:val="22"/>
              </w:rPr>
            </w:pPr>
            <w:r>
              <w:rPr>
                <w:i/>
                <w:iCs/>
                <w:sz w:val="22"/>
                <w:szCs w:val="22"/>
              </w:rPr>
              <w:t>2000 год*</w:t>
            </w:r>
          </w:p>
        </w:tc>
        <w:tc>
          <w:tcPr>
            <w:tcW w:w="704" w:type="pct"/>
          </w:tcPr>
          <w:p w:rsidR="00000000" w:rsidRDefault="00000000">
            <w:pPr>
              <w:spacing w:before="60"/>
              <w:jc w:val="center"/>
              <w:rPr>
                <w:i/>
                <w:iCs/>
                <w:sz w:val="22"/>
                <w:szCs w:val="22"/>
              </w:rPr>
            </w:pPr>
            <w:r>
              <w:rPr>
                <w:i/>
                <w:iCs/>
                <w:sz w:val="22"/>
                <w:szCs w:val="22"/>
              </w:rPr>
              <w:t>2002 год**</w:t>
            </w:r>
          </w:p>
        </w:tc>
      </w:tr>
      <w:tr w:rsidR="00000000">
        <w:tblPrEx>
          <w:tblCellMar>
            <w:top w:w="0" w:type="dxa"/>
            <w:bottom w:w="0" w:type="dxa"/>
          </w:tblCellMar>
        </w:tblPrEx>
        <w:trPr>
          <w:cantSplit/>
        </w:trPr>
        <w:tc>
          <w:tcPr>
            <w:tcW w:w="997" w:type="pct"/>
            <w:vMerge/>
          </w:tcPr>
          <w:p w:rsidR="00000000" w:rsidRDefault="00000000">
            <w:pPr>
              <w:spacing w:before="60"/>
              <w:rPr>
                <w:i/>
                <w:iCs/>
                <w:sz w:val="22"/>
                <w:szCs w:val="22"/>
              </w:rPr>
            </w:pPr>
          </w:p>
        </w:tc>
        <w:tc>
          <w:tcPr>
            <w:tcW w:w="1184" w:type="pct"/>
            <w:vMerge/>
          </w:tcPr>
          <w:p w:rsidR="00000000" w:rsidRDefault="00000000">
            <w:pPr>
              <w:spacing w:before="60"/>
              <w:rPr>
                <w:i/>
                <w:iCs/>
                <w:sz w:val="22"/>
                <w:szCs w:val="22"/>
              </w:rPr>
            </w:pPr>
          </w:p>
        </w:tc>
        <w:tc>
          <w:tcPr>
            <w:tcW w:w="1410" w:type="pct"/>
            <w:gridSpan w:val="2"/>
          </w:tcPr>
          <w:p w:rsidR="00000000" w:rsidRDefault="00000000">
            <w:pPr>
              <w:spacing w:before="60"/>
              <w:jc w:val="center"/>
              <w:rPr>
                <w:i/>
                <w:iCs/>
                <w:sz w:val="22"/>
                <w:szCs w:val="22"/>
              </w:rPr>
            </w:pPr>
            <w:r>
              <w:rPr>
                <w:i/>
                <w:iCs/>
                <w:sz w:val="22"/>
                <w:szCs w:val="22"/>
              </w:rPr>
              <w:t>(в месяц)</w:t>
            </w:r>
          </w:p>
        </w:tc>
        <w:tc>
          <w:tcPr>
            <w:tcW w:w="1409" w:type="pct"/>
            <w:gridSpan w:val="2"/>
          </w:tcPr>
          <w:p w:rsidR="00000000" w:rsidRDefault="00000000">
            <w:pPr>
              <w:spacing w:before="60"/>
              <w:jc w:val="center"/>
              <w:rPr>
                <w:i/>
                <w:iCs/>
                <w:sz w:val="22"/>
                <w:szCs w:val="22"/>
              </w:rPr>
            </w:pPr>
            <w:r>
              <w:rPr>
                <w:i/>
                <w:iCs/>
                <w:sz w:val="22"/>
                <w:szCs w:val="22"/>
              </w:rPr>
              <w:t>(за день)</w:t>
            </w:r>
          </w:p>
        </w:tc>
      </w:tr>
      <w:tr w:rsidR="00000000">
        <w:tblPrEx>
          <w:tblCellMar>
            <w:top w:w="0" w:type="dxa"/>
            <w:bottom w:w="0" w:type="dxa"/>
          </w:tblCellMar>
        </w:tblPrEx>
        <w:trPr>
          <w:cantSplit/>
        </w:trPr>
        <w:tc>
          <w:tcPr>
            <w:tcW w:w="997" w:type="pct"/>
            <w:vMerge w:val="restart"/>
            <w:vAlign w:val="center"/>
          </w:tcPr>
          <w:p w:rsidR="00000000" w:rsidRDefault="00000000">
            <w:pPr>
              <w:spacing w:before="60"/>
              <w:rPr>
                <w:sz w:val="22"/>
                <w:szCs w:val="22"/>
              </w:rPr>
            </w:pPr>
            <w:r>
              <w:rPr>
                <w:sz w:val="22"/>
                <w:szCs w:val="22"/>
              </w:rPr>
              <w:t>Питание</w:t>
            </w:r>
          </w:p>
        </w:tc>
        <w:tc>
          <w:tcPr>
            <w:tcW w:w="1184" w:type="pct"/>
          </w:tcPr>
          <w:p w:rsidR="00000000" w:rsidRDefault="00000000">
            <w:pPr>
              <w:spacing w:before="60"/>
              <w:rPr>
                <w:sz w:val="22"/>
                <w:szCs w:val="22"/>
              </w:rPr>
            </w:pPr>
            <w:r>
              <w:rPr>
                <w:sz w:val="22"/>
                <w:szCs w:val="22"/>
              </w:rPr>
              <w:t>Городское население</w:t>
            </w:r>
          </w:p>
        </w:tc>
        <w:tc>
          <w:tcPr>
            <w:tcW w:w="705" w:type="pct"/>
            <w:vAlign w:val="bottom"/>
          </w:tcPr>
          <w:p w:rsidR="00000000" w:rsidRDefault="00000000">
            <w:pPr>
              <w:tabs>
                <w:tab w:val="clear" w:pos="1134"/>
              </w:tabs>
              <w:spacing w:before="60"/>
              <w:ind w:right="227"/>
              <w:jc w:val="right"/>
              <w:rPr>
                <w:sz w:val="22"/>
                <w:szCs w:val="22"/>
              </w:rPr>
            </w:pPr>
            <w:r>
              <w:rPr>
                <w:sz w:val="22"/>
                <w:szCs w:val="22"/>
                <w:lang w:val="en-US"/>
              </w:rPr>
              <w:t>626</w:t>
            </w:r>
            <w:r>
              <w:rPr>
                <w:sz w:val="22"/>
                <w:szCs w:val="22"/>
              </w:rPr>
              <w:t>,00</w:t>
            </w:r>
          </w:p>
        </w:tc>
        <w:tc>
          <w:tcPr>
            <w:tcW w:w="705" w:type="pct"/>
            <w:vAlign w:val="bottom"/>
          </w:tcPr>
          <w:p w:rsidR="00000000" w:rsidRDefault="00000000">
            <w:pPr>
              <w:tabs>
                <w:tab w:val="clear" w:pos="567"/>
                <w:tab w:val="clear" w:pos="1134"/>
              </w:tabs>
              <w:spacing w:before="60"/>
              <w:ind w:right="227"/>
              <w:jc w:val="right"/>
              <w:rPr>
                <w:sz w:val="22"/>
                <w:szCs w:val="22"/>
                <w:lang w:val="en-US"/>
              </w:rPr>
            </w:pPr>
            <w:r>
              <w:rPr>
                <w:sz w:val="22"/>
                <w:szCs w:val="22"/>
                <w:lang w:val="en-US"/>
              </w:rPr>
              <w:t>672</w:t>
            </w:r>
            <w:r>
              <w:rPr>
                <w:sz w:val="22"/>
                <w:szCs w:val="22"/>
              </w:rPr>
              <w:t>,</w:t>
            </w:r>
            <w:r>
              <w:rPr>
                <w:sz w:val="22"/>
                <w:szCs w:val="22"/>
                <w:lang w:val="en-US"/>
              </w:rPr>
              <w:t>25</w:t>
            </w:r>
          </w:p>
        </w:tc>
        <w:tc>
          <w:tcPr>
            <w:tcW w:w="705" w:type="pct"/>
            <w:vAlign w:val="bottom"/>
          </w:tcPr>
          <w:p w:rsidR="00000000" w:rsidRDefault="00000000">
            <w:pPr>
              <w:tabs>
                <w:tab w:val="clear" w:pos="567"/>
                <w:tab w:val="clear" w:pos="1134"/>
              </w:tabs>
              <w:spacing w:before="60"/>
              <w:ind w:right="398"/>
              <w:jc w:val="right"/>
              <w:rPr>
                <w:sz w:val="22"/>
                <w:szCs w:val="22"/>
                <w:lang w:val="en-US"/>
              </w:rPr>
            </w:pPr>
            <w:r>
              <w:rPr>
                <w:sz w:val="22"/>
                <w:szCs w:val="22"/>
                <w:lang w:val="en-US"/>
              </w:rPr>
              <w:t>20,87</w:t>
            </w:r>
          </w:p>
        </w:tc>
        <w:tc>
          <w:tcPr>
            <w:tcW w:w="704" w:type="pct"/>
            <w:vAlign w:val="bottom"/>
          </w:tcPr>
          <w:p w:rsidR="00000000" w:rsidRDefault="00000000">
            <w:pPr>
              <w:tabs>
                <w:tab w:val="clear" w:pos="567"/>
                <w:tab w:val="clear" w:pos="1134"/>
              </w:tabs>
              <w:spacing w:before="60"/>
              <w:ind w:right="507"/>
              <w:jc w:val="right"/>
              <w:rPr>
                <w:sz w:val="22"/>
                <w:szCs w:val="22"/>
                <w:lang w:val="en-US"/>
              </w:rPr>
            </w:pPr>
            <w:r>
              <w:rPr>
                <w:sz w:val="22"/>
                <w:szCs w:val="22"/>
                <w:lang w:val="en-US"/>
              </w:rPr>
              <w:t>22,41</w:t>
            </w:r>
          </w:p>
        </w:tc>
      </w:tr>
      <w:tr w:rsidR="00000000">
        <w:tblPrEx>
          <w:tblCellMar>
            <w:top w:w="0" w:type="dxa"/>
            <w:bottom w:w="0" w:type="dxa"/>
          </w:tblCellMar>
        </w:tblPrEx>
        <w:trPr>
          <w:cantSplit/>
        </w:trPr>
        <w:tc>
          <w:tcPr>
            <w:tcW w:w="997" w:type="pct"/>
            <w:vMerge/>
          </w:tcPr>
          <w:p w:rsidR="00000000" w:rsidRDefault="00000000">
            <w:pPr>
              <w:spacing w:before="60"/>
              <w:rPr>
                <w:sz w:val="22"/>
                <w:szCs w:val="22"/>
              </w:rPr>
            </w:pPr>
          </w:p>
        </w:tc>
        <w:tc>
          <w:tcPr>
            <w:tcW w:w="1184" w:type="pct"/>
          </w:tcPr>
          <w:p w:rsidR="00000000" w:rsidRDefault="00000000">
            <w:pPr>
              <w:spacing w:before="60"/>
              <w:rPr>
                <w:sz w:val="22"/>
                <w:szCs w:val="22"/>
              </w:rPr>
            </w:pPr>
            <w:r>
              <w:rPr>
                <w:sz w:val="22"/>
                <w:szCs w:val="22"/>
              </w:rPr>
              <w:t>Сельское население</w:t>
            </w:r>
          </w:p>
        </w:tc>
        <w:tc>
          <w:tcPr>
            <w:tcW w:w="705" w:type="pct"/>
            <w:vAlign w:val="bottom"/>
          </w:tcPr>
          <w:p w:rsidR="00000000" w:rsidRDefault="00000000">
            <w:pPr>
              <w:tabs>
                <w:tab w:val="clear" w:pos="1134"/>
              </w:tabs>
              <w:spacing w:before="60"/>
              <w:ind w:right="227"/>
              <w:jc w:val="right"/>
              <w:rPr>
                <w:sz w:val="22"/>
                <w:szCs w:val="22"/>
                <w:lang w:val="en-US"/>
              </w:rPr>
            </w:pPr>
            <w:r>
              <w:rPr>
                <w:sz w:val="22"/>
                <w:szCs w:val="22"/>
                <w:lang w:val="en-US"/>
              </w:rPr>
              <w:t>462,96</w:t>
            </w:r>
          </w:p>
        </w:tc>
        <w:tc>
          <w:tcPr>
            <w:tcW w:w="705" w:type="pct"/>
            <w:vAlign w:val="bottom"/>
          </w:tcPr>
          <w:p w:rsidR="00000000" w:rsidRDefault="00000000">
            <w:pPr>
              <w:tabs>
                <w:tab w:val="clear" w:pos="567"/>
                <w:tab w:val="clear" w:pos="1134"/>
              </w:tabs>
              <w:spacing w:before="60"/>
              <w:ind w:right="227"/>
              <w:jc w:val="right"/>
              <w:rPr>
                <w:sz w:val="22"/>
                <w:szCs w:val="22"/>
                <w:lang w:val="en-US"/>
              </w:rPr>
            </w:pPr>
            <w:r>
              <w:rPr>
                <w:sz w:val="22"/>
                <w:szCs w:val="22"/>
                <w:lang w:val="en-US"/>
              </w:rPr>
              <w:t>494</w:t>
            </w:r>
            <w:r>
              <w:rPr>
                <w:sz w:val="22"/>
                <w:szCs w:val="22"/>
              </w:rPr>
              <w:t>,</w:t>
            </w:r>
            <w:r>
              <w:rPr>
                <w:sz w:val="22"/>
                <w:szCs w:val="22"/>
                <w:lang w:val="en-US"/>
              </w:rPr>
              <w:t>77</w:t>
            </w:r>
          </w:p>
        </w:tc>
        <w:tc>
          <w:tcPr>
            <w:tcW w:w="705" w:type="pct"/>
            <w:vAlign w:val="bottom"/>
          </w:tcPr>
          <w:p w:rsidR="00000000" w:rsidRDefault="00000000">
            <w:pPr>
              <w:tabs>
                <w:tab w:val="clear" w:pos="567"/>
                <w:tab w:val="clear" w:pos="1134"/>
              </w:tabs>
              <w:spacing w:before="60"/>
              <w:ind w:right="398"/>
              <w:jc w:val="right"/>
              <w:rPr>
                <w:sz w:val="22"/>
                <w:szCs w:val="22"/>
                <w:lang w:val="en-US"/>
              </w:rPr>
            </w:pPr>
            <w:r>
              <w:rPr>
                <w:sz w:val="22"/>
                <w:szCs w:val="22"/>
                <w:lang w:val="en-US"/>
              </w:rPr>
              <w:t>15,43</w:t>
            </w:r>
          </w:p>
        </w:tc>
        <w:tc>
          <w:tcPr>
            <w:tcW w:w="704" w:type="pct"/>
            <w:vAlign w:val="bottom"/>
          </w:tcPr>
          <w:p w:rsidR="00000000" w:rsidRDefault="00000000">
            <w:pPr>
              <w:tabs>
                <w:tab w:val="clear" w:pos="567"/>
                <w:tab w:val="clear" w:pos="1134"/>
              </w:tabs>
              <w:spacing w:before="60"/>
              <w:ind w:right="507"/>
              <w:jc w:val="right"/>
              <w:rPr>
                <w:sz w:val="22"/>
                <w:szCs w:val="22"/>
                <w:lang w:val="en-US"/>
              </w:rPr>
            </w:pPr>
            <w:r>
              <w:rPr>
                <w:sz w:val="22"/>
                <w:szCs w:val="22"/>
                <w:lang w:val="en-US"/>
              </w:rPr>
              <w:t>16</w:t>
            </w:r>
            <w:r>
              <w:rPr>
                <w:sz w:val="22"/>
                <w:szCs w:val="22"/>
              </w:rPr>
              <w:t>,</w:t>
            </w:r>
            <w:r>
              <w:rPr>
                <w:sz w:val="22"/>
                <w:szCs w:val="22"/>
                <w:lang w:val="en-US"/>
              </w:rPr>
              <w:t>49</w:t>
            </w:r>
          </w:p>
        </w:tc>
      </w:tr>
      <w:tr w:rsidR="00000000">
        <w:tblPrEx>
          <w:tblCellMar>
            <w:top w:w="0" w:type="dxa"/>
            <w:bottom w:w="0" w:type="dxa"/>
          </w:tblCellMar>
        </w:tblPrEx>
        <w:trPr>
          <w:cantSplit/>
        </w:trPr>
        <w:tc>
          <w:tcPr>
            <w:tcW w:w="997" w:type="pct"/>
            <w:vMerge w:val="restart"/>
            <w:vAlign w:val="center"/>
          </w:tcPr>
          <w:p w:rsidR="00000000" w:rsidRDefault="00000000">
            <w:pPr>
              <w:spacing w:before="60"/>
              <w:rPr>
                <w:sz w:val="22"/>
                <w:szCs w:val="22"/>
              </w:rPr>
            </w:pPr>
            <w:r>
              <w:rPr>
                <w:sz w:val="22"/>
                <w:szCs w:val="22"/>
              </w:rPr>
              <w:t>Развитие личности</w:t>
            </w:r>
          </w:p>
        </w:tc>
        <w:tc>
          <w:tcPr>
            <w:tcW w:w="1184" w:type="pct"/>
          </w:tcPr>
          <w:p w:rsidR="00000000" w:rsidRDefault="00000000">
            <w:pPr>
              <w:spacing w:before="60"/>
              <w:rPr>
                <w:sz w:val="22"/>
                <w:szCs w:val="22"/>
              </w:rPr>
            </w:pPr>
            <w:r>
              <w:rPr>
                <w:sz w:val="22"/>
                <w:szCs w:val="22"/>
              </w:rPr>
              <w:t>Городское население</w:t>
            </w:r>
          </w:p>
        </w:tc>
        <w:tc>
          <w:tcPr>
            <w:tcW w:w="705" w:type="pct"/>
            <w:vAlign w:val="bottom"/>
          </w:tcPr>
          <w:p w:rsidR="00000000" w:rsidRDefault="00000000">
            <w:pPr>
              <w:tabs>
                <w:tab w:val="clear" w:pos="1134"/>
              </w:tabs>
              <w:spacing w:before="60"/>
              <w:ind w:right="227"/>
              <w:jc w:val="right"/>
              <w:rPr>
                <w:sz w:val="22"/>
                <w:szCs w:val="22"/>
                <w:lang w:val="en-US"/>
              </w:rPr>
            </w:pPr>
            <w:r>
              <w:rPr>
                <w:sz w:val="22"/>
                <w:szCs w:val="22"/>
                <w:lang w:val="en-US"/>
              </w:rPr>
              <w:t>768,10</w:t>
            </w:r>
          </w:p>
        </w:tc>
        <w:tc>
          <w:tcPr>
            <w:tcW w:w="705" w:type="pct"/>
            <w:vAlign w:val="bottom"/>
          </w:tcPr>
          <w:p w:rsidR="00000000" w:rsidRDefault="00000000">
            <w:pPr>
              <w:tabs>
                <w:tab w:val="clear" w:pos="567"/>
                <w:tab w:val="clear" w:pos="1134"/>
              </w:tabs>
              <w:spacing w:before="60"/>
              <w:ind w:right="227"/>
              <w:jc w:val="right"/>
              <w:rPr>
                <w:sz w:val="22"/>
                <w:szCs w:val="22"/>
                <w:lang w:val="en-US"/>
              </w:rPr>
            </w:pPr>
            <w:r>
              <w:rPr>
                <w:sz w:val="22"/>
                <w:szCs w:val="22"/>
                <w:lang w:val="en-US"/>
              </w:rPr>
              <w:t>792,29</w:t>
            </w:r>
          </w:p>
        </w:tc>
        <w:tc>
          <w:tcPr>
            <w:tcW w:w="705" w:type="pct"/>
            <w:vAlign w:val="bottom"/>
          </w:tcPr>
          <w:p w:rsidR="00000000" w:rsidRDefault="00000000">
            <w:pPr>
              <w:tabs>
                <w:tab w:val="clear" w:pos="567"/>
                <w:tab w:val="clear" w:pos="1134"/>
              </w:tabs>
              <w:spacing w:before="60"/>
              <w:ind w:right="398"/>
              <w:jc w:val="right"/>
              <w:rPr>
                <w:sz w:val="22"/>
                <w:szCs w:val="22"/>
                <w:lang w:val="en-US"/>
              </w:rPr>
            </w:pPr>
            <w:r>
              <w:rPr>
                <w:sz w:val="22"/>
                <w:szCs w:val="22"/>
                <w:lang w:val="en-US"/>
              </w:rPr>
              <w:t>25,60</w:t>
            </w:r>
          </w:p>
        </w:tc>
        <w:tc>
          <w:tcPr>
            <w:tcW w:w="704" w:type="pct"/>
            <w:vAlign w:val="bottom"/>
          </w:tcPr>
          <w:p w:rsidR="00000000" w:rsidRDefault="00000000">
            <w:pPr>
              <w:tabs>
                <w:tab w:val="clear" w:pos="567"/>
                <w:tab w:val="clear" w:pos="1134"/>
              </w:tabs>
              <w:spacing w:before="60"/>
              <w:ind w:right="507"/>
              <w:jc w:val="right"/>
              <w:rPr>
                <w:sz w:val="22"/>
                <w:szCs w:val="22"/>
                <w:lang w:val="en-US"/>
              </w:rPr>
            </w:pPr>
            <w:r>
              <w:rPr>
                <w:sz w:val="22"/>
                <w:szCs w:val="22"/>
                <w:lang w:val="en-US"/>
              </w:rPr>
              <w:t>26,41</w:t>
            </w:r>
          </w:p>
        </w:tc>
      </w:tr>
      <w:tr w:rsidR="00000000">
        <w:tblPrEx>
          <w:tblCellMar>
            <w:top w:w="0" w:type="dxa"/>
            <w:bottom w:w="0" w:type="dxa"/>
          </w:tblCellMar>
        </w:tblPrEx>
        <w:trPr>
          <w:cantSplit/>
        </w:trPr>
        <w:tc>
          <w:tcPr>
            <w:tcW w:w="997" w:type="pct"/>
            <w:vMerge/>
            <w:vAlign w:val="center"/>
          </w:tcPr>
          <w:p w:rsidR="00000000" w:rsidRDefault="00000000">
            <w:pPr>
              <w:spacing w:before="60"/>
              <w:rPr>
                <w:sz w:val="22"/>
                <w:szCs w:val="22"/>
              </w:rPr>
            </w:pPr>
          </w:p>
        </w:tc>
        <w:tc>
          <w:tcPr>
            <w:tcW w:w="1184" w:type="pct"/>
          </w:tcPr>
          <w:p w:rsidR="00000000" w:rsidRDefault="00000000">
            <w:pPr>
              <w:spacing w:before="60"/>
              <w:rPr>
                <w:sz w:val="22"/>
                <w:szCs w:val="22"/>
              </w:rPr>
            </w:pPr>
            <w:r>
              <w:rPr>
                <w:sz w:val="22"/>
                <w:szCs w:val="22"/>
              </w:rPr>
              <w:t>Сельское население</w:t>
            </w:r>
          </w:p>
        </w:tc>
        <w:tc>
          <w:tcPr>
            <w:tcW w:w="705" w:type="pct"/>
            <w:vAlign w:val="bottom"/>
          </w:tcPr>
          <w:p w:rsidR="00000000" w:rsidRDefault="00000000">
            <w:pPr>
              <w:tabs>
                <w:tab w:val="clear" w:pos="1134"/>
              </w:tabs>
              <w:spacing w:before="60"/>
              <w:ind w:right="227"/>
              <w:jc w:val="right"/>
              <w:rPr>
                <w:sz w:val="22"/>
                <w:szCs w:val="22"/>
                <w:lang w:val="en-US"/>
              </w:rPr>
            </w:pPr>
            <w:r>
              <w:rPr>
                <w:sz w:val="22"/>
                <w:szCs w:val="22"/>
                <w:lang w:val="en-US"/>
              </w:rPr>
              <w:t>548,53</w:t>
            </w:r>
          </w:p>
        </w:tc>
        <w:tc>
          <w:tcPr>
            <w:tcW w:w="705" w:type="pct"/>
            <w:vAlign w:val="bottom"/>
          </w:tcPr>
          <w:p w:rsidR="00000000" w:rsidRDefault="00000000">
            <w:pPr>
              <w:tabs>
                <w:tab w:val="clear" w:pos="567"/>
                <w:tab w:val="clear" w:pos="1134"/>
              </w:tabs>
              <w:spacing w:before="60"/>
              <w:ind w:right="227"/>
              <w:jc w:val="right"/>
              <w:rPr>
                <w:sz w:val="22"/>
                <w:szCs w:val="22"/>
                <w:lang w:val="en-US"/>
              </w:rPr>
            </w:pPr>
            <w:r>
              <w:rPr>
                <w:sz w:val="22"/>
                <w:szCs w:val="22"/>
                <w:lang w:val="en-US"/>
              </w:rPr>
              <w:t>587,57</w:t>
            </w:r>
          </w:p>
        </w:tc>
        <w:tc>
          <w:tcPr>
            <w:tcW w:w="705" w:type="pct"/>
            <w:vAlign w:val="bottom"/>
          </w:tcPr>
          <w:p w:rsidR="00000000" w:rsidRDefault="00000000">
            <w:pPr>
              <w:tabs>
                <w:tab w:val="clear" w:pos="567"/>
                <w:tab w:val="clear" w:pos="1134"/>
              </w:tabs>
              <w:spacing w:before="60"/>
              <w:ind w:right="398"/>
              <w:jc w:val="right"/>
              <w:rPr>
                <w:sz w:val="22"/>
                <w:szCs w:val="22"/>
                <w:lang w:val="en-US"/>
              </w:rPr>
            </w:pPr>
            <w:r>
              <w:rPr>
                <w:sz w:val="22"/>
                <w:szCs w:val="22"/>
                <w:lang w:val="en-US"/>
              </w:rPr>
              <w:t>18,28</w:t>
            </w:r>
          </w:p>
        </w:tc>
        <w:tc>
          <w:tcPr>
            <w:tcW w:w="704" w:type="pct"/>
            <w:vAlign w:val="bottom"/>
          </w:tcPr>
          <w:p w:rsidR="00000000" w:rsidRDefault="00000000">
            <w:pPr>
              <w:tabs>
                <w:tab w:val="clear" w:pos="567"/>
                <w:tab w:val="clear" w:pos="1134"/>
              </w:tabs>
              <w:spacing w:before="60"/>
              <w:ind w:right="507"/>
              <w:jc w:val="right"/>
              <w:rPr>
                <w:sz w:val="22"/>
                <w:szCs w:val="22"/>
                <w:lang w:val="en-US"/>
              </w:rPr>
            </w:pPr>
            <w:r>
              <w:rPr>
                <w:sz w:val="22"/>
                <w:szCs w:val="22"/>
                <w:lang w:val="en-US"/>
              </w:rPr>
              <w:t>19,59</w:t>
            </w:r>
          </w:p>
        </w:tc>
      </w:tr>
      <w:tr w:rsidR="00000000">
        <w:tblPrEx>
          <w:tblCellMar>
            <w:top w:w="0" w:type="dxa"/>
            <w:bottom w:w="0" w:type="dxa"/>
          </w:tblCellMar>
        </w:tblPrEx>
        <w:trPr>
          <w:cantSplit/>
        </w:trPr>
        <w:tc>
          <w:tcPr>
            <w:tcW w:w="997" w:type="pct"/>
            <w:vMerge w:val="restart"/>
            <w:vAlign w:val="center"/>
          </w:tcPr>
          <w:p w:rsidR="00000000" w:rsidRDefault="00000000">
            <w:pPr>
              <w:spacing w:before="60"/>
              <w:rPr>
                <w:sz w:val="22"/>
                <w:szCs w:val="22"/>
              </w:rPr>
            </w:pPr>
            <w:r>
              <w:rPr>
                <w:sz w:val="22"/>
                <w:szCs w:val="22"/>
              </w:rPr>
              <w:t>Имущество</w:t>
            </w:r>
          </w:p>
        </w:tc>
        <w:tc>
          <w:tcPr>
            <w:tcW w:w="1184" w:type="pct"/>
          </w:tcPr>
          <w:p w:rsidR="00000000" w:rsidRDefault="00000000">
            <w:pPr>
              <w:spacing w:before="60"/>
              <w:rPr>
                <w:sz w:val="22"/>
                <w:szCs w:val="22"/>
              </w:rPr>
            </w:pPr>
            <w:r>
              <w:rPr>
                <w:sz w:val="22"/>
                <w:szCs w:val="22"/>
              </w:rPr>
              <w:t>Городское население</w:t>
            </w:r>
          </w:p>
        </w:tc>
        <w:tc>
          <w:tcPr>
            <w:tcW w:w="705" w:type="pct"/>
            <w:vAlign w:val="bottom"/>
          </w:tcPr>
          <w:p w:rsidR="00000000" w:rsidRDefault="00000000">
            <w:pPr>
              <w:tabs>
                <w:tab w:val="clear" w:pos="1134"/>
              </w:tabs>
              <w:spacing w:before="60"/>
              <w:ind w:right="227"/>
              <w:jc w:val="right"/>
              <w:rPr>
                <w:sz w:val="22"/>
                <w:szCs w:val="22"/>
              </w:rPr>
            </w:pPr>
            <w:r>
              <w:rPr>
                <w:sz w:val="22"/>
                <w:szCs w:val="22"/>
              </w:rPr>
              <w:t>1 254,51</w:t>
            </w:r>
          </w:p>
        </w:tc>
        <w:tc>
          <w:tcPr>
            <w:tcW w:w="705" w:type="pct"/>
            <w:vAlign w:val="bottom"/>
          </w:tcPr>
          <w:p w:rsidR="00000000" w:rsidRDefault="00000000">
            <w:pPr>
              <w:tabs>
                <w:tab w:val="clear" w:pos="567"/>
                <w:tab w:val="clear" w:pos="1134"/>
              </w:tabs>
              <w:spacing w:before="60"/>
              <w:ind w:right="227"/>
              <w:jc w:val="right"/>
              <w:rPr>
                <w:sz w:val="22"/>
                <w:szCs w:val="22"/>
              </w:rPr>
            </w:pPr>
            <w:r>
              <w:rPr>
                <w:sz w:val="22"/>
                <w:szCs w:val="22"/>
              </w:rPr>
              <w:t>1 366,85</w:t>
            </w:r>
          </w:p>
        </w:tc>
        <w:tc>
          <w:tcPr>
            <w:tcW w:w="705" w:type="pct"/>
            <w:vAlign w:val="bottom"/>
          </w:tcPr>
          <w:p w:rsidR="00000000" w:rsidRDefault="00000000">
            <w:pPr>
              <w:tabs>
                <w:tab w:val="clear" w:pos="567"/>
                <w:tab w:val="clear" w:pos="1134"/>
              </w:tabs>
              <w:spacing w:before="60"/>
              <w:ind w:right="398"/>
              <w:jc w:val="right"/>
              <w:rPr>
                <w:sz w:val="22"/>
                <w:szCs w:val="22"/>
                <w:lang w:val="en-US"/>
              </w:rPr>
            </w:pPr>
            <w:r>
              <w:rPr>
                <w:sz w:val="22"/>
                <w:szCs w:val="22"/>
                <w:lang w:val="en-US"/>
              </w:rPr>
              <w:t>41,82</w:t>
            </w:r>
          </w:p>
        </w:tc>
        <w:tc>
          <w:tcPr>
            <w:tcW w:w="704" w:type="pct"/>
            <w:vAlign w:val="bottom"/>
          </w:tcPr>
          <w:p w:rsidR="00000000" w:rsidRDefault="00000000">
            <w:pPr>
              <w:tabs>
                <w:tab w:val="clear" w:pos="567"/>
                <w:tab w:val="clear" w:pos="1134"/>
              </w:tabs>
              <w:spacing w:before="60"/>
              <w:ind w:right="507"/>
              <w:jc w:val="right"/>
              <w:rPr>
                <w:sz w:val="22"/>
                <w:szCs w:val="22"/>
              </w:rPr>
            </w:pPr>
            <w:r>
              <w:rPr>
                <w:sz w:val="22"/>
                <w:szCs w:val="22"/>
              </w:rPr>
              <w:t>45,56</w:t>
            </w:r>
          </w:p>
        </w:tc>
      </w:tr>
      <w:tr w:rsidR="00000000">
        <w:tblPrEx>
          <w:tblCellMar>
            <w:top w:w="0" w:type="dxa"/>
            <w:bottom w:w="0" w:type="dxa"/>
          </w:tblCellMar>
        </w:tblPrEx>
        <w:trPr>
          <w:cantSplit/>
        </w:trPr>
        <w:tc>
          <w:tcPr>
            <w:tcW w:w="997" w:type="pct"/>
            <w:vMerge/>
          </w:tcPr>
          <w:p w:rsidR="00000000" w:rsidRDefault="00000000">
            <w:pPr>
              <w:spacing w:before="60"/>
              <w:rPr>
                <w:sz w:val="22"/>
                <w:szCs w:val="22"/>
              </w:rPr>
            </w:pPr>
          </w:p>
        </w:tc>
        <w:tc>
          <w:tcPr>
            <w:tcW w:w="1184" w:type="pct"/>
          </w:tcPr>
          <w:p w:rsidR="00000000" w:rsidRDefault="00000000">
            <w:pPr>
              <w:spacing w:before="60"/>
              <w:rPr>
                <w:sz w:val="22"/>
                <w:szCs w:val="22"/>
              </w:rPr>
            </w:pPr>
            <w:r>
              <w:rPr>
                <w:sz w:val="22"/>
                <w:szCs w:val="22"/>
              </w:rPr>
              <w:t>Сельское население</w:t>
            </w:r>
          </w:p>
        </w:tc>
        <w:tc>
          <w:tcPr>
            <w:tcW w:w="705" w:type="pct"/>
            <w:vAlign w:val="bottom"/>
          </w:tcPr>
          <w:p w:rsidR="00000000" w:rsidRDefault="00000000">
            <w:pPr>
              <w:tabs>
                <w:tab w:val="clear" w:pos="1134"/>
              </w:tabs>
              <w:spacing w:before="60"/>
              <w:ind w:right="227"/>
              <w:jc w:val="right"/>
              <w:rPr>
                <w:sz w:val="22"/>
                <w:szCs w:val="22"/>
              </w:rPr>
            </w:pPr>
            <w:r>
              <w:rPr>
                <w:sz w:val="22"/>
                <w:szCs w:val="22"/>
              </w:rPr>
              <w:t>843,28</w:t>
            </w:r>
          </w:p>
        </w:tc>
        <w:tc>
          <w:tcPr>
            <w:tcW w:w="705" w:type="pct"/>
            <w:vAlign w:val="bottom"/>
          </w:tcPr>
          <w:p w:rsidR="00000000" w:rsidRDefault="00000000">
            <w:pPr>
              <w:tabs>
                <w:tab w:val="clear" w:pos="567"/>
                <w:tab w:val="clear" w:pos="1134"/>
              </w:tabs>
              <w:spacing w:before="60"/>
              <w:ind w:right="227"/>
              <w:jc w:val="right"/>
              <w:rPr>
                <w:sz w:val="22"/>
                <w:szCs w:val="22"/>
              </w:rPr>
            </w:pPr>
            <w:r>
              <w:rPr>
                <w:sz w:val="22"/>
                <w:szCs w:val="22"/>
              </w:rPr>
              <w:t>946,94</w:t>
            </w:r>
          </w:p>
        </w:tc>
        <w:tc>
          <w:tcPr>
            <w:tcW w:w="705" w:type="pct"/>
            <w:vAlign w:val="bottom"/>
          </w:tcPr>
          <w:p w:rsidR="00000000" w:rsidRDefault="00000000">
            <w:pPr>
              <w:tabs>
                <w:tab w:val="clear" w:pos="567"/>
                <w:tab w:val="clear" w:pos="1134"/>
              </w:tabs>
              <w:spacing w:before="60"/>
              <w:ind w:right="398"/>
              <w:jc w:val="right"/>
              <w:rPr>
                <w:sz w:val="22"/>
                <w:szCs w:val="22"/>
                <w:lang w:val="en-US"/>
              </w:rPr>
            </w:pPr>
            <w:r>
              <w:rPr>
                <w:sz w:val="22"/>
                <w:szCs w:val="22"/>
                <w:lang w:val="en-US"/>
              </w:rPr>
              <w:t>28,11</w:t>
            </w:r>
          </w:p>
        </w:tc>
        <w:tc>
          <w:tcPr>
            <w:tcW w:w="704" w:type="pct"/>
            <w:vAlign w:val="bottom"/>
          </w:tcPr>
          <w:p w:rsidR="00000000" w:rsidRDefault="00000000">
            <w:pPr>
              <w:tabs>
                <w:tab w:val="clear" w:pos="567"/>
                <w:tab w:val="clear" w:pos="1134"/>
              </w:tabs>
              <w:spacing w:before="60"/>
              <w:ind w:right="507"/>
              <w:jc w:val="right"/>
              <w:rPr>
                <w:sz w:val="22"/>
                <w:szCs w:val="22"/>
              </w:rPr>
            </w:pPr>
            <w:r>
              <w:rPr>
                <w:sz w:val="22"/>
                <w:szCs w:val="22"/>
              </w:rPr>
              <w:t>31,56</w:t>
            </w:r>
          </w:p>
        </w:tc>
      </w:tr>
    </w:tbl>
    <w:p w:rsidR="00000000" w:rsidRDefault="00000000">
      <w:pPr>
        <w:spacing w:line="240" w:lineRule="auto"/>
        <w:rPr>
          <w:sz w:val="18"/>
          <w:szCs w:val="22"/>
        </w:rPr>
      </w:pPr>
    </w:p>
    <w:p w:rsidR="00000000" w:rsidRDefault="00000000">
      <w:pPr>
        <w:spacing w:line="240" w:lineRule="auto"/>
        <w:rPr>
          <w:sz w:val="18"/>
          <w:szCs w:val="22"/>
        </w:rPr>
      </w:pPr>
      <w:r>
        <w:rPr>
          <w:i/>
          <w:iCs/>
          <w:sz w:val="18"/>
          <w:szCs w:val="22"/>
        </w:rPr>
        <w:t>Источник</w:t>
      </w:r>
      <w:r>
        <w:rPr>
          <w:sz w:val="18"/>
          <w:szCs w:val="22"/>
        </w:rPr>
        <w:t>:  МСР, расчеты по данным МБОД.</w:t>
      </w:r>
    </w:p>
    <w:p w:rsidR="00000000" w:rsidRDefault="00000000">
      <w:pPr>
        <w:spacing w:line="240" w:lineRule="auto"/>
        <w:rPr>
          <w:sz w:val="18"/>
          <w:szCs w:val="22"/>
        </w:rPr>
      </w:pPr>
    </w:p>
    <w:p w:rsidR="00000000" w:rsidRDefault="00000000">
      <w:pPr>
        <w:spacing w:line="240" w:lineRule="auto"/>
        <w:rPr>
          <w:sz w:val="18"/>
          <w:szCs w:val="22"/>
        </w:rPr>
      </w:pPr>
      <w:r>
        <w:rPr>
          <w:sz w:val="18"/>
          <w:szCs w:val="22"/>
        </w:rPr>
        <w:t>*</w:t>
      </w:r>
      <w:r>
        <w:rPr>
          <w:sz w:val="18"/>
          <w:szCs w:val="22"/>
        </w:rPr>
        <w:tab/>
        <w:t>Цены августа 2000 года.</w:t>
      </w:r>
    </w:p>
    <w:p w:rsidR="00000000" w:rsidRDefault="00000000">
      <w:pPr>
        <w:spacing w:line="240" w:lineRule="auto"/>
        <w:rPr>
          <w:sz w:val="18"/>
          <w:szCs w:val="22"/>
        </w:rPr>
      </w:pPr>
    </w:p>
    <w:p w:rsidR="00000000" w:rsidRDefault="00000000">
      <w:pPr>
        <w:spacing w:line="240" w:lineRule="auto"/>
        <w:rPr>
          <w:sz w:val="18"/>
          <w:szCs w:val="22"/>
        </w:rPr>
      </w:pPr>
      <w:r>
        <w:rPr>
          <w:sz w:val="18"/>
          <w:szCs w:val="22"/>
        </w:rPr>
        <w:t>**</w:t>
      </w:r>
      <w:r>
        <w:rPr>
          <w:sz w:val="18"/>
          <w:szCs w:val="22"/>
        </w:rPr>
        <w:tab/>
        <w:t>Цены августа 2002 года.</w:t>
      </w:r>
    </w:p>
    <w:p w:rsidR="00000000" w:rsidRDefault="00000000">
      <w:pPr>
        <w:spacing w:line="240" w:lineRule="auto"/>
        <w:rPr>
          <w:sz w:val="18"/>
          <w:szCs w:val="22"/>
        </w:rPr>
      </w:pPr>
    </w:p>
    <w:p w:rsidR="00000000" w:rsidRDefault="00000000">
      <w:pPr>
        <w:spacing w:line="240" w:lineRule="auto"/>
        <w:rPr>
          <w:sz w:val="18"/>
          <w:szCs w:val="22"/>
        </w:rPr>
      </w:pPr>
    </w:p>
    <w:p w:rsidR="00000000" w:rsidRDefault="00000000">
      <w:pPr>
        <w:rPr>
          <w:szCs w:val="22"/>
        </w:rPr>
      </w:pPr>
      <w:r>
        <w:rPr>
          <w:b/>
          <w:szCs w:val="22"/>
        </w:rPr>
        <w:t xml:space="preserve">Пункт 42 </w:t>
      </w:r>
      <w:r>
        <w:rPr>
          <w:b/>
          <w:szCs w:val="22"/>
          <w:lang w:val="fr-FR"/>
        </w:rPr>
        <w:t>d</w:t>
      </w:r>
      <w:r>
        <w:rPr>
          <w:b/>
          <w:szCs w:val="22"/>
        </w:rPr>
        <w:t>)</w:t>
      </w:r>
    </w:p>
    <w:p w:rsidR="00000000" w:rsidRDefault="00000000">
      <w:pPr>
        <w:rPr>
          <w:szCs w:val="22"/>
        </w:rPr>
      </w:pPr>
    </w:p>
    <w:p w:rsidR="00000000" w:rsidRDefault="00000000">
      <w:pPr>
        <w:rPr>
          <w:szCs w:val="22"/>
        </w:rPr>
      </w:pPr>
      <w:r>
        <w:rPr>
          <w:szCs w:val="22"/>
        </w:rPr>
        <w:t>415.</w:t>
      </w:r>
      <w:r>
        <w:rPr>
          <w:szCs w:val="22"/>
        </w:rPr>
        <w:tab/>
        <w:t>За 75 лет ожидаемая продолжительность жизни в момент рождения в Мексике удвоилась:  если в 1930 году она составляла 36 лет для мужчин и 37 лет для женщин, то в 2004 году соответствующие цифры составили 72 года и 77,6 года.</w:t>
      </w:r>
    </w:p>
    <w:p w:rsidR="00000000" w:rsidRDefault="00000000">
      <w:pPr>
        <w:rPr>
          <w:szCs w:val="22"/>
        </w:rPr>
      </w:pPr>
      <w:r>
        <w:rPr>
          <w:szCs w:val="22"/>
        </w:rPr>
        <w:t>416.</w:t>
      </w:r>
      <w:r>
        <w:rPr>
          <w:szCs w:val="22"/>
        </w:rPr>
        <w:tab/>
        <w:t>Общий показатель смертности в 2003 году составил 4,5 на 1 000 жителей.  Что касается детской смертности, то наблюдается сохранение тенденции ее снижения, составившего в 2000-2003 годах примерно 4% в год.  Сокращается и материнская смертность.  В 2004 году, по оценкам, она уменьшилась по крайней мере на 1% по сравнению с годом ранее.</w:t>
      </w:r>
    </w:p>
    <w:p w:rsidR="00000000" w:rsidRDefault="00000000">
      <w:pPr>
        <w:rPr>
          <w:szCs w:val="22"/>
        </w:rPr>
      </w:pPr>
    </w:p>
    <w:p w:rsidR="00000000" w:rsidRDefault="00000000">
      <w:pPr>
        <w:rPr>
          <w:szCs w:val="22"/>
        </w:rPr>
      </w:pPr>
      <w:r>
        <w:rPr>
          <w:b/>
          <w:szCs w:val="22"/>
        </w:rPr>
        <w:t>Пункт 43 а)</w:t>
      </w:r>
    </w:p>
    <w:p w:rsidR="00000000" w:rsidRDefault="00000000">
      <w:pPr>
        <w:rPr>
          <w:szCs w:val="22"/>
        </w:rPr>
      </w:pPr>
    </w:p>
    <w:p w:rsidR="00000000" w:rsidRDefault="00000000">
      <w:pPr>
        <w:rPr>
          <w:szCs w:val="22"/>
        </w:rPr>
      </w:pPr>
      <w:r>
        <w:rPr>
          <w:szCs w:val="22"/>
        </w:rPr>
        <w:t>417.</w:t>
      </w:r>
      <w:r>
        <w:rPr>
          <w:szCs w:val="22"/>
        </w:rPr>
        <w:tab/>
        <w:t>Федеральное правительство, осуществляя положения статьи 4 Политической конституции, осуществляет ряд программ, обеспечивающих и гарантирующих питание населения, в частности находящегося в уязвимом положении, проводя стратегию "Мы с тобой", которая нацелена на расширение возможностей создания источников дохода, а также обеспечение защиты в любой ситуации, которая может отрицательно сказаться на возможностях или обеспеченности населения.</w:t>
      </w:r>
    </w:p>
    <w:p w:rsidR="00000000" w:rsidRDefault="00000000">
      <w:pPr>
        <w:rPr>
          <w:szCs w:val="22"/>
        </w:rPr>
      </w:pPr>
    </w:p>
    <w:p w:rsidR="00000000" w:rsidRDefault="00000000">
      <w:pPr>
        <w:rPr>
          <w:szCs w:val="22"/>
        </w:rPr>
      </w:pPr>
      <w:r>
        <w:rPr>
          <w:szCs w:val="22"/>
        </w:rPr>
        <w:t>418.</w:t>
      </w:r>
      <w:r>
        <w:rPr>
          <w:szCs w:val="22"/>
        </w:rPr>
        <w:tab/>
        <w:t>В июле 2004 года Всемирный банк представил доклад "Деятельность в Мексике:  оценка условий, тенденций и стратегии правительства".  В докладе подчеркивается, что наша страна добилась значительных успехов в преодолении бедности, свидетельством чего служит снижение крайней нищеты на 16% в период 2000</w:t>
      </w:r>
      <w:r>
        <w:rPr>
          <w:szCs w:val="22"/>
        </w:rPr>
        <w:noBreakHyphen/>
        <w:t>2002 годов, когда, иными словами, 3,1 млн. человек вырвались из крайней нужды.  Кроме того, в 2003 году Экономическая комиссия для Латинской Америки и Карибского бассейна (ЭКЛАК) представила документ "Социальная панорама Латинской Америки в 2002</w:t>
      </w:r>
      <w:r>
        <w:rPr>
          <w:szCs w:val="22"/>
        </w:rPr>
        <w:noBreakHyphen/>
        <w:t xml:space="preserve">2003 годах", в котором содержится информация о динамике показателей бедности в странах региона.  Данные по Мексике демонстрируют ту же тенденцию, что и данные, представленные Всемирным банком, несмотря на разницу в абсолютных показателях, вызванную использованием разных методик оценки.  </w:t>
      </w:r>
    </w:p>
    <w:p w:rsidR="00000000" w:rsidRDefault="00000000">
      <w:pPr>
        <w:rPr>
          <w:szCs w:val="22"/>
        </w:rPr>
      </w:pPr>
    </w:p>
    <w:p w:rsidR="00000000" w:rsidRDefault="00000000">
      <w:r>
        <w:rPr>
          <w:szCs w:val="22"/>
        </w:rPr>
        <w:t>419.</w:t>
      </w:r>
      <w:r>
        <w:rPr>
          <w:szCs w:val="22"/>
        </w:rPr>
        <w:tab/>
        <w:t>Кроме того, в июле 2003 года Программа развития Организации Объединенных Наций (ПРООН) представила свой доклад "О человеческом развитии", в котором указывается, что Мексика достигла индекса человеческого развития в 0,800 по сравнению с индексом 0,791 в 2000 году.  В "Докладе о человеческом развитии 2004 года" отмечается, что ИЧР страны вновь возрос, достигнув 0,802, и по этому показателю Мексика заняла 53-е место среди 177 стран.</w:t>
      </w:r>
    </w:p>
    <w:p w:rsidR="00000000" w:rsidRDefault="00000000"/>
    <w:p w:rsidR="00000000" w:rsidRDefault="00000000">
      <w:pPr>
        <w:rPr>
          <w:szCs w:val="22"/>
        </w:rPr>
      </w:pPr>
      <w:r>
        <w:rPr>
          <w:szCs w:val="22"/>
        </w:rPr>
        <w:t>420.</w:t>
      </w:r>
      <w:r>
        <w:rPr>
          <w:szCs w:val="22"/>
        </w:rPr>
        <w:tab/>
        <w:t>Эти тенденции соответствуют официальным результатам, основанным на национальном обследовании бюджетов домохозяйств 2002 года, в соответствии с которыми, среди прочих показателей, в период 2000</w:t>
      </w:r>
      <w:r>
        <w:rPr>
          <w:szCs w:val="22"/>
        </w:rPr>
        <w:noBreakHyphen/>
        <w:t>2002 годов доля людей, живущих в условиях продовольственной бедности, уменьшилась с 24,2% до 20,3%.</w:t>
      </w:r>
    </w:p>
    <w:p w:rsidR="00000000" w:rsidRDefault="00000000">
      <w:pPr>
        <w:rPr>
          <w:szCs w:val="22"/>
        </w:rPr>
      </w:pPr>
    </w:p>
    <w:p w:rsidR="00000000" w:rsidRDefault="00000000">
      <w:pPr>
        <w:rPr>
          <w:b/>
          <w:bCs/>
          <w:szCs w:val="22"/>
          <w:lang w:val="en-US"/>
        </w:rPr>
      </w:pPr>
      <w:r>
        <w:rPr>
          <w:b/>
          <w:bCs/>
        </w:rPr>
        <w:t>Пункт</w:t>
      </w:r>
      <w:r>
        <w:rPr>
          <w:b/>
          <w:bCs/>
          <w:lang w:val="en-US"/>
        </w:rPr>
        <w:t xml:space="preserve"> 43 </w:t>
      </w:r>
      <w:r>
        <w:rPr>
          <w:b/>
          <w:bCs/>
          <w:szCs w:val="22"/>
          <w:lang w:val="en-US"/>
        </w:rPr>
        <w:t>b) i)</w:t>
      </w:r>
    </w:p>
    <w:p w:rsidR="00000000" w:rsidRDefault="00000000">
      <w:pPr>
        <w:rPr>
          <w:b/>
          <w:bCs/>
          <w:szCs w:val="22"/>
          <w:lang w:val="en-US"/>
        </w:rPr>
      </w:pPr>
    </w:p>
    <w:p w:rsidR="00000000" w:rsidRDefault="00000000">
      <w:r>
        <w:rPr>
          <w:szCs w:val="22"/>
        </w:rPr>
        <w:t>421.</w:t>
      </w:r>
      <w:r>
        <w:rPr>
          <w:szCs w:val="22"/>
        </w:rPr>
        <w:tab/>
        <w:t>На уровне стран и групп населения структура питания зависит от доходов.  По мере роста доходов структура питания меняется достаточно предсказуемым образом.</w:t>
      </w:r>
    </w:p>
    <w:p w:rsidR="00000000" w:rsidRDefault="00000000"/>
    <w:p w:rsidR="00000000" w:rsidRDefault="00000000">
      <w:r>
        <w:rPr>
          <w:szCs w:val="22"/>
        </w:rPr>
        <w:t>422.</w:t>
      </w:r>
      <w:r>
        <w:rPr>
          <w:szCs w:val="22"/>
        </w:rPr>
        <w:tab/>
        <w:t xml:space="preserve">Недостаток доходов </w:t>
      </w:r>
      <w:r>
        <w:rPr>
          <w:szCs w:val="22"/>
        </w:rPr>
        <w:noBreakHyphen/>
        <w:t xml:space="preserve"> одна из важнейших причин, по которым население не может иметь правильную структуру питания.  Как показывают данные обследования бюджетов домохозяйств (НОБД) Национального института статистики, географии и информатики (НИСГИ), в наиболее бедных домохозяйствах суточная норма калорий обеспечивается всего лишь несколькими продуктами питания.</w:t>
      </w:r>
    </w:p>
    <w:p w:rsidR="00000000" w:rsidRDefault="00000000"/>
    <w:p w:rsidR="00000000" w:rsidRDefault="00000000">
      <w:r>
        <w:rPr>
          <w:szCs w:val="22"/>
        </w:rPr>
        <w:t>423.</w:t>
      </w:r>
      <w:r>
        <w:rPr>
          <w:szCs w:val="22"/>
        </w:rPr>
        <w:tab/>
        <w:t>Как показывает эта информация, в силу размера доли совокупного располагаемого дохода, приходящаяся на домохозяйства подвижного дециля (население, живущее в крайне стесненном положении, поскольку его совокупные располагаемые доходы колеблются вблизи стоимости базовой продовольственной корзины, достаточной для удовлетворения минимальных потребностей в питании) в городских и сельских районах, в наибольшей степени не удовлетворены их потребности в питании, образовании, проведении досуга и жилье:  домохозяйства, образующие подвижный дециль в сельских районах, расходуют примерно 45% всего своего располагаемого дохода на питание в семье и за ее пределами (по сравнению с 40,8% среди семей городского подвижного дециля).</w:t>
      </w:r>
    </w:p>
    <w:p w:rsidR="00000000" w:rsidRDefault="00000000"/>
    <w:p w:rsidR="00000000" w:rsidRDefault="00000000">
      <w:r>
        <w:rPr>
          <w:szCs w:val="22"/>
        </w:rPr>
        <w:t>424.</w:t>
      </w:r>
      <w:r>
        <w:rPr>
          <w:szCs w:val="22"/>
        </w:rPr>
        <w:tab/>
        <w:t xml:space="preserve">Кроме того, в случае, когда проанализированная группа населения состоит из домохозяйств, бедных по имущественному критерию </w:t>
      </w:r>
      <w:r>
        <w:rPr>
          <w:szCs w:val="22"/>
        </w:rPr>
        <w:noBreakHyphen/>
        <w:t xml:space="preserve"> которые располагают финансовыми ресурсами для удовлетворения базовых потребностей в питании, но не в других товарах и услугах, считающихся необходимыми, </w:t>
      </w:r>
      <w:r>
        <w:rPr>
          <w:szCs w:val="22"/>
        </w:rPr>
        <w:noBreakHyphen/>
        <w:t xml:space="preserve"> свыше 40% всего располагаемого дохода (41,7%) также уходит на питание членов группы, а остальная часть других средств расходуется на образование, жилье и т.п.</w:t>
      </w:r>
    </w:p>
    <w:p w:rsidR="00000000" w:rsidRDefault="00000000"/>
    <w:p w:rsidR="00000000" w:rsidRDefault="00000000">
      <w:r>
        <w:rPr>
          <w:szCs w:val="22"/>
        </w:rPr>
        <w:t>425.</w:t>
      </w:r>
      <w:r>
        <w:rPr>
          <w:szCs w:val="22"/>
        </w:rPr>
        <w:tab/>
        <w:t xml:space="preserve">Другой показатель, проанализированный в ходе обследования, </w:t>
      </w:r>
      <w:r>
        <w:rPr>
          <w:szCs w:val="22"/>
        </w:rPr>
        <w:noBreakHyphen/>
        <w:t xml:space="preserve"> тип расходов домохозяйств, денежные и неденежные расходы;  такое деление обусловлено важностью денежных доходов или хотя бы другого вида источников средств для воспроизводства семейных групп и удовлетворения элементарных потребностей.</w:t>
      </w:r>
    </w:p>
    <w:p w:rsidR="00000000" w:rsidRDefault="00000000"/>
    <w:p w:rsidR="00000000" w:rsidRDefault="00000000">
      <w:r>
        <w:rPr>
          <w:szCs w:val="22"/>
        </w:rPr>
        <w:t>426.</w:t>
      </w:r>
      <w:r>
        <w:rPr>
          <w:szCs w:val="22"/>
        </w:rPr>
        <w:tab/>
        <w:t>В этой связи важно отметить, что как в домохозяйствах, относимых к бедным по критерию обеспеченности продуктами питания, так и в домохозяйствах, относимых к бедным по имущественному критерию, важно определять удельный вес в общих располагаемых расходах неденежных расходов на продукты питания и медицинское обслуживание.  В случае домохозяйств, бедных по критерию обеспеченности питанием, неденежные расходы на питание представляют почти 23% всей суммы расходов этой группы;  из них 8% представляют собой подарки, полученные домохозяйством.  Иными словами, между домохозяйствами, чьи совокупные располагаемые доходы недостаточны для покупки товаров, включаемых в рекомендуемую основную продовольственную корзину, значительная часть реально потребляемых продуктов питания безвозмездно предоставляется лицами, не относящимися к семейной группе.</w:t>
      </w:r>
    </w:p>
    <w:p w:rsidR="00000000" w:rsidRDefault="00000000"/>
    <w:p w:rsidR="00000000" w:rsidRDefault="00000000">
      <w:r>
        <w:rPr>
          <w:szCs w:val="22"/>
        </w:rPr>
        <w:t>427.</w:t>
      </w:r>
      <w:r>
        <w:rPr>
          <w:szCs w:val="22"/>
        </w:rPr>
        <w:tab/>
        <w:t xml:space="preserve">Что касается структуры расходов домохозяйств, относимых к бедным по имущественному критерию, то можно констатировать, что несколько больше 80% средств, расходуемых ими на продукты питания, потребляемых внутри домохозяйства и за его пределами, представляют собой денежные средства, а несколько меньше пятой части </w:t>
      </w:r>
      <w:r>
        <w:rPr>
          <w:szCs w:val="22"/>
        </w:rPr>
        <w:noBreakHyphen/>
        <w:t xml:space="preserve"> неденежные средства.  В этой категории также выделяется безвозмездная помощь, хотя ее удельный вес меньше, чем в случае домохозяйств, бедных по критерию обеспеченности питанием.</w:t>
      </w:r>
    </w:p>
    <w:p w:rsidR="00000000" w:rsidRDefault="00000000"/>
    <w:p w:rsidR="00000000" w:rsidRDefault="00000000">
      <w:pPr>
        <w:rPr>
          <w:szCs w:val="22"/>
        </w:rPr>
      </w:pPr>
      <w:r>
        <w:rPr>
          <w:szCs w:val="22"/>
        </w:rPr>
        <w:t>428.</w:t>
      </w:r>
      <w:r>
        <w:rPr>
          <w:szCs w:val="22"/>
        </w:rPr>
        <w:tab/>
        <w:t>Домохозяйства, относящиеся к подвижному децилю, демонстрируют некоторые различия в распределении их располагаемого дохода по отношению к совокупному доходу домохозяйств и доходу домохозяйств в городских и сельских районах.  Хотя во всех случаях удельный вес расходов на питание, образование и проведение досуга достаточно велик, их доля варьируется в зависимости от группы населения;  так, в подвижном дециле на продукты питания расходуется несколько более 40% всех располагаемых доходов, почти на 15 процентных пунктов больше средней доли расходов этой категории по всем домохозяйствам страны.  Иными словами, на питание, образование и проведение досуга среди домохозяйств, составляющих подвижный дециль, приходится несколько больше половины всех их располагаемых средств (51,6%).</w:t>
      </w:r>
    </w:p>
    <w:p w:rsidR="00000000" w:rsidRDefault="00000000">
      <w:pPr>
        <w:rPr>
          <w:szCs w:val="22"/>
        </w:rPr>
      </w:pPr>
    </w:p>
    <w:p w:rsidR="00000000" w:rsidRDefault="00000000">
      <w:pPr>
        <w:rPr>
          <w:b/>
          <w:bCs/>
          <w:szCs w:val="22"/>
        </w:rPr>
      </w:pPr>
      <w:r>
        <w:rPr>
          <w:b/>
          <w:bCs/>
        </w:rPr>
        <w:t xml:space="preserve">Пункт 43 </w:t>
      </w:r>
      <w:r>
        <w:rPr>
          <w:b/>
          <w:bCs/>
          <w:szCs w:val="22"/>
          <w:lang w:val="fr-FR"/>
        </w:rPr>
        <w:t>b</w:t>
      </w:r>
      <w:r>
        <w:rPr>
          <w:b/>
          <w:bCs/>
          <w:szCs w:val="22"/>
        </w:rPr>
        <w:t xml:space="preserve">) </w:t>
      </w:r>
      <w:r>
        <w:rPr>
          <w:b/>
          <w:bCs/>
          <w:szCs w:val="22"/>
          <w:lang w:val="en-US"/>
        </w:rPr>
        <w:t>ii</w:t>
      </w:r>
      <w:r>
        <w:rPr>
          <w:b/>
          <w:bCs/>
          <w:szCs w:val="22"/>
        </w:rPr>
        <w:t>)</w:t>
      </w:r>
    </w:p>
    <w:p w:rsidR="00000000" w:rsidRDefault="00000000">
      <w:pPr>
        <w:rPr>
          <w:b/>
          <w:bCs/>
          <w:szCs w:val="22"/>
        </w:rPr>
      </w:pPr>
    </w:p>
    <w:p w:rsidR="00000000" w:rsidRDefault="00000000">
      <w:r>
        <w:rPr>
          <w:szCs w:val="22"/>
        </w:rPr>
        <w:t>429.</w:t>
      </w:r>
      <w:r>
        <w:rPr>
          <w:szCs w:val="22"/>
        </w:rPr>
        <w:tab/>
        <w:t>Нищета приобретает особые черты в свете сохраняющегося неравенства между, например, мужчинами и женщинами;  то, что значительная часть замужних женщин находится в подчиненном положении по отношению к главе семьи приводит к тому, что их хозяйственная самостоятельность и их возможности принятия решений оказываются ограниченными.</w:t>
      </w:r>
    </w:p>
    <w:p w:rsidR="00000000" w:rsidRDefault="00000000"/>
    <w:p w:rsidR="00000000" w:rsidRDefault="00000000">
      <w:pPr>
        <w:rPr>
          <w:szCs w:val="22"/>
        </w:rPr>
      </w:pPr>
      <w:r>
        <w:rPr>
          <w:szCs w:val="22"/>
        </w:rPr>
        <w:t>430.</w:t>
      </w:r>
      <w:r>
        <w:rPr>
          <w:szCs w:val="22"/>
        </w:rPr>
        <w:tab/>
        <w:t>В последние годы участие женщин в хозяйственной, политической и общественной жизни возросло.  Несмотря на это, все еще сохраняются ситуации неравенства и проявления систематической дискриминации женщин.</w:t>
      </w:r>
    </w:p>
    <w:p w:rsidR="00000000" w:rsidRDefault="00000000">
      <w:pPr>
        <w:rPr>
          <w:szCs w:val="22"/>
        </w:rPr>
      </w:pPr>
    </w:p>
    <w:p w:rsidR="00000000" w:rsidRDefault="00000000">
      <w:pPr>
        <w:rPr>
          <w:b/>
          <w:bCs/>
        </w:rPr>
      </w:pPr>
      <w:r>
        <w:rPr>
          <w:b/>
          <w:bCs/>
        </w:rPr>
        <w:br w:type="page"/>
        <w:t xml:space="preserve">Пункт 43 b) iii) </w:t>
      </w:r>
    </w:p>
    <w:p w:rsidR="00000000" w:rsidRDefault="00000000">
      <w:pPr>
        <w:rPr>
          <w:b/>
          <w:bCs/>
        </w:rPr>
      </w:pPr>
    </w:p>
    <w:p w:rsidR="00000000" w:rsidRDefault="00000000">
      <w:r>
        <w:t>431.</w:t>
      </w:r>
      <w:r>
        <w:tab/>
        <w:t>Стремясь к тому, чтобы население располагало необходимым минимумом возможностей для полноценного доступа к получению образования, услуг здравоохранения и полноценного питания, федеральное правительство осуществляет ряд программ, среди которых выделяется "Программа возможностей", представляющая собой один из главных инструментов правительства по преодолению крайней нищеты как на селе, так и в городе.</w:t>
      </w:r>
    </w:p>
    <w:p w:rsidR="00000000" w:rsidRDefault="00000000"/>
    <w:p w:rsidR="00000000" w:rsidRDefault="00000000">
      <w:r>
        <w:t>432.</w:t>
      </w:r>
      <w:r>
        <w:tab/>
        <w:t>Кроме того, НСВРС осуществляет комплексную стратегию социальной продовольственной помощи, включающую национальный проект оказания продовольственной помощи и удовлетворения конкретных потребностей каждого субъекта федерации.  Развертывание такой работы способствует оптимизации программ обеспечения питания, оказывая непосредственное содействие уязвимым группам населения.</w:t>
      </w:r>
    </w:p>
    <w:p w:rsidR="00000000" w:rsidRDefault="00000000"/>
    <w:p w:rsidR="00000000" w:rsidRDefault="00000000">
      <w:pPr>
        <w:rPr>
          <w:b/>
          <w:bCs/>
        </w:rPr>
      </w:pPr>
      <w:r>
        <w:rPr>
          <w:b/>
          <w:bCs/>
        </w:rPr>
        <w:t>Пункт 43 с)</w:t>
      </w:r>
    </w:p>
    <w:p w:rsidR="00000000" w:rsidRDefault="00000000">
      <w:pPr>
        <w:rPr>
          <w:b/>
          <w:bCs/>
        </w:rPr>
      </w:pPr>
    </w:p>
    <w:p w:rsidR="00000000" w:rsidRDefault="00000000">
      <w:r>
        <w:t>433.</w:t>
      </w:r>
      <w:r>
        <w:tab/>
        <w:t>За охватываемый докладом период не имелось каких-либо изменений в политике, законодательстве и практике страны, которые бы негативно затрагивали доступ наиболее бедных групп или регионов к продуктам питания.</w:t>
      </w:r>
    </w:p>
    <w:p w:rsidR="00000000" w:rsidRDefault="00000000"/>
    <w:p w:rsidR="00000000" w:rsidRDefault="00000000">
      <w:pPr>
        <w:rPr>
          <w:b/>
          <w:bCs/>
        </w:rPr>
      </w:pPr>
      <w:r>
        <w:rPr>
          <w:b/>
          <w:bCs/>
        </w:rPr>
        <w:t xml:space="preserve">Пункт 43 d) </w:t>
      </w:r>
    </w:p>
    <w:p w:rsidR="00000000" w:rsidRDefault="00000000">
      <w:pPr>
        <w:rPr>
          <w:b/>
          <w:bCs/>
        </w:rPr>
      </w:pPr>
    </w:p>
    <w:p w:rsidR="00000000" w:rsidRDefault="00000000">
      <w:r>
        <w:t>434.</w:t>
      </w:r>
      <w:r>
        <w:tab/>
        <w:t xml:space="preserve">В 2003 году национальная система ВРС реализовала комплексную стратегию социальной продовольственной помощи, которая представляет собой национальный проект оказания продовольственной помощи и удовлетворения конкретных потребностей каждого субъекта федерации.  Она состоит из четырех программ:  школьное питание, помощь детям младше пяти лет, подвергающимся риску, помощь бездомным семьям и продовольственная помощь для уязвимых.  </w:t>
      </w:r>
    </w:p>
    <w:p w:rsidR="00000000" w:rsidRDefault="00000000"/>
    <w:p w:rsidR="00000000" w:rsidRDefault="00000000">
      <w:r>
        <w:t>435.</w:t>
      </w:r>
      <w:r>
        <w:tab/>
        <w:t xml:space="preserve">С середины 2003 года начато практическое осуществление этой стратегии, для чего потребовалось обучение специалистов и оказание консультативной помощи системам ВРС штатов и муниципальным системам, внутренняя реорганизация, перераспределение продовольственных ресурсов в каждом штате Республики и более четкое установление приоритетов программ, что обеспечивает получение помощи уязвимым населением.  </w:t>
      </w:r>
    </w:p>
    <w:p w:rsidR="00000000" w:rsidRDefault="00000000"/>
    <w:p w:rsidR="00000000" w:rsidRDefault="00000000">
      <w:r>
        <w:br w:type="page"/>
        <w:t>436.</w:t>
      </w:r>
      <w:r>
        <w:tab/>
        <w:t>Проведенная работа способствует оптимизации продовольственных программ, оказывая непосредственную помощь уязвимому населению, повысив адресность, обеспечив тот же охват в муниципиях с низкой и самой низкой маргинализацией, устанавливая приоритет целевых групп с высокой и самой высокой маргинализацией, а также зон коренного населения и позволив улучшить рацион питания и охват новых программ.</w:t>
      </w:r>
    </w:p>
    <w:p w:rsidR="00000000" w:rsidRDefault="00000000"/>
    <w:p w:rsidR="00000000" w:rsidRDefault="00000000">
      <w:pPr>
        <w:rPr>
          <w:b/>
          <w:bCs/>
        </w:rPr>
      </w:pPr>
      <w:r>
        <w:rPr>
          <w:b/>
          <w:bCs/>
        </w:rPr>
        <w:t>Пункт 43 е)</w:t>
      </w:r>
    </w:p>
    <w:p w:rsidR="00000000" w:rsidRDefault="00000000">
      <w:pPr>
        <w:rPr>
          <w:b/>
          <w:bCs/>
        </w:rPr>
      </w:pPr>
    </w:p>
    <w:p w:rsidR="00000000" w:rsidRDefault="00000000">
      <w:r>
        <w:t>437.</w:t>
      </w:r>
      <w:r>
        <w:tab/>
        <w:t xml:space="preserve">Среди стратегий, осуществляемых правительством Мексики в целях обеспечения распределения и снабжения основными продуктами как вклада в реализацию права на питание, следует выделить программу сельского снабжения, в рамках которой сельскому населению районов с высокой и самой высокой маргинализацией предлагаются основные и дополнительные товары по умеренным ценам на условиях удобства, доступности, достаточности, качества и высокой питательной ценности.  </w:t>
      </w:r>
    </w:p>
    <w:p w:rsidR="00000000" w:rsidRDefault="00000000"/>
    <w:p w:rsidR="00000000" w:rsidRDefault="00000000">
      <w:r>
        <w:t>438.</w:t>
      </w:r>
      <w:r>
        <w:tab/>
        <w:t>В рамках программы также ставится цель предоставления дополнительных услуг, нужных сельскому населению, находящемуся в ситуации бедности по критерию обеспеченности питанием, на основе привлечения соответствующих компаний.</w:t>
      </w:r>
    </w:p>
    <w:p w:rsidR="00000000" w:rsidRDefault="00000000"/>
    <w:p w:rsidR="00000000" w:rsidRDefault="00000000">
      <w:r>
        <w:t>439.</w:t>
      </w:r>
      <w:r>
        <w:tab/>
        <w:t xml:space="preserve">В настоящее время программа сельского снабжения располагает примерно 22 000 кооперативных магазинов, которыми пользуются 29 млн. мексиканцев, живущих в бедности;  товары, реализуемые в этих магазинах, отбираются на основе изучения спроса и с учетом требований полноценного питания.  Товары отпускаются по льготным ценам, благодаря чему потребителям удается экономить примерно 5,5%.  </w:t>
      </w:r>
    </w:p>
    <w:p w:rsidR="00000000" w:rsidRDefault="00000000"/>
    <w:p w:rsidR="00000000" w:rsidRDefault="00000000">
      <w:r>
        <w:t>440.</w:t>
      </w:r>
      <w:r>
        <w:tab/>
        <w:t>Кроме того, в Мексике осуществляется социальная программа снабжения молоком, порученная предприятию "Ликонса", цель которой </w:t>
      </w:r>
      <w:r>
        <w:noBreakHyphen/>
        <w:t xml:space="preserve"> снабжение жителей районов городской, пригородной и сельской бедноты в стране молоком высокого качества с добавками железа, цинка, фолиевой кислоты, витаминов В2, В12, А, С и </w:t>
      </w:r>
      <w:r>
        <w:rPr>
          <w:lang w:val="en-US"/>
        </w:rPr>
        <w:t>D</w:t>
      </w:r>
      <w:r>
        <w:t xml:space="preserve"> по ценам ниже рыночных.  </w:t>
      </w:r>
    </w:p>
    <w:p w:rsidR="00000000" w:rsidRDefault="00000000"/>
    <w:p w:rsidR="00000000" w:rsidRDefault="00000000">
      <w:r>
        <w:t>441.</w:t>
      </w:r>
      <w:r>
        <w:tab/>
        <w:t xml:space="preserve">Социальная программа снабжения молоком осуществляется по двум направлениям: по первому направлению, имеющему практическую нацеленность, семьям с детьми младше 12 лет, живущим в условиях бедности, в льготном порядке предоставляется молоко высокого питательного качества по ценам ниже рыночных, что способствует улучшению питания, необходимого для формирования и развития человеческого капитала;  второе направление, предусматривающее оказание помощи группам, которым могло бы быть полезно потребление молока, предусматривает предоставление пожилым людям старше 60 лет, больным или инвалидам старше 12 лет и беременным нуждающимся женщинам льготной помощи в виде снабжения молоком высокого качества по субсидируемым ценам.  </w:t>
      </w:r>
    </w:p>
    <w:p w:rsidR="00000000" w:rsidRDefault="00000000"/>
    <w:p w:rsidR="00000000" w:rsidRDefault="00000000">
      <w:pPr>
        <w:rPr>
          <w:b/>
          <w:bCs/>
        </w:rPr>
      </w:pPr>
      <w:r>
        <w:rPr>
          <w:b/>
          <w:bCs/>
        </w:rPr>
        <w:t xml:space="preserve">Пункт 43 f) </w:t>
      </w:r>
    </w:p>
    <w:p w:rsidR="00000000" w:rsidRDefault="00000000">
      <w:pPr>
        <w:rPr>
          <w:b/>
          <w:bCs/>
        </w:rPr>
      </w:pPr>
    </w:p>
    <w:p w:rsidR="00000000" w:rsidRDefault="00000000">
      <w:r>
        <w:t>442.</w:t>
      </w:r>
      <w:r>
        <w:tab/>
        <w:t xml:space="preserve">В целях распространения знаний о пользе правильного питания и максимального использования ценности и качеств продуктов питания, которые позволяют вести активную и здоровую жизнь, правительство Мексики осуществляет комплекс программ пропаганды здорового питания среди получающих помощь семей.  </w:t>
      </w:r>
    </w:p>
    <w:p w:rsidR="00000000" w:rsidRDefault="00000000"/>
    <w:p w:rsidR="00000000" w:rsidRDefault="00000000">
      <w:r>
        <w:t>443.</w:t>
      </w:r>
      <w:r>
        <w:tab/>
        <w:t>Программа человеческого развития "Возможности" имеет своей общей целью оказание содействия семьям, которые живут в условиях крайней нищеты, в целях развития способностей их членов, как и создания новых путей достижения ими более высокого уровня благосостояния на основе предоставления дополнительных возможностей образования, охраны здоровья и питания.  В ее рамках с семьями проводятся беседы по вопросам здравоохранения, питания и гигиены в целях пропаганды внимания к своему здоровью.</w:t>
      </w:r>
    </w:p>
    <w:p w:rsidR="00000000" w:rsidRDefault="00000000"/>
    <w:p w:rsidR="00000000" w:rsidRDefault="00000000">
      <w:r>
        <w:t>444.</w:t>
      </w:r>
      <w:r>
        <w:tab/>
        <w:t>Программа "Возможности" укрепляет ответственность и активное участие родителей и всех членов семьи в вопросах образования, здравоохранения и питания.  Равным образом признается, что хорошее питание населения составляет основу его развития и реализации возможностей обучения.</w:t>
      </w:r>
    </w:p>
    <w:p w:rsidR="00000000" w:rsidRDefault="00000000"/>
    <w:p w:rsidR="00000000" w:rsidRDefault="00000000">
      <w:r>
        <w:t>445.</w:t>
      </w:r>
      <w:r>
        <w:tab/>
        <w:t xml:space="preserve">Кроме того, в рамках помощи в обеспечении питания семей дополнительное питание предоставляется всем детям в возрасте от четырех месяцев до двух лет и всем недоедающим детям в возрасте от двух до пяти лет, а также всем беременным женщинам и кормящим матерям.  </w:t>
      </w:r>
    </w:p>
    <w:p w:rsidR="00000000" w:rsidRDefault="00000000"/>
    <w:p w:rsidR="00000000" w:rsidRDefault="00000000">
      <w:r>
        <w:t>446.</w:t>
      </w:r>
      <w:r>
        <w:tab/>
        <w:t>Кроме того, в стране осуществляется программа продовольственной помощи, среди целей которой - оказание помощи семьям на основе пропаганды здорового питания.  В</w:t>
      </w:r>
      <w:r>
        <w:rPr>
          <w:lang w:val="en-US"/>
        </w:rPr>
        <w:t> </w:t>
      </w:r>
      <w:r>
        <w:t>рамках программы организуются учебные занятия по вопросам питания, гигиены и доброкачественности, которые ведутся и координируются работниками-специалистами.</w:t>
      </w:r>
    </w:p>
    <w:p w:rsidR="00000000" w:rsidRDefault="00000000"/>
    <w:p w:rsidR="00000000" w:rsidRDefault="00000000">
      <w:r>
        <w:t>447.</w:t>
      </w:r>
      <w:r>
        <w:tab/>
        <w:t>В рамках этой программы член семьи, получающий помощь, и другие желающие члены семьи должны посетить занятия по вопросам питания и гигиены и здоровья, чтобы выполнить свои встречные обязательства по программе.</w:t>
      </w:r>
    </w:p>
    <w:p w:rsidR="00000000" w:rsidRDefault="00000000"/>
    <w:p w:rsidR="00000000" w:rsidRDefault="00000000">
      <w:r>
        <w:t>448.</w:t>
      </w:r>
      <w:r>
        <w:tab/>
        <w:t>Программа имеет своей главной целью улучшение условий и рациона питания домохозяйств, живущих в бедности в маргинальных сельских населенных пунктах, которым не оказывается помощи по линии других продовольственных программ федерального правительства.  Она нацелена на синергизм и взаимодополняемость усилий других программ социального развития.</w:t>
      </w:r>
    </w:p>
    <w:p w:rsidR="00000000" w:rsidRDefault="00000000"/>
    <w:p w:rsidR="00000000" w:rsidRDefault="00000000">
      <w:pPr>
        <w:rPr>
          <w:b/>
          <w:bCs/>
        </w:rPr>
      </w:pPr>
      <w:r>
        <w:rPr>
          <w:b/>
          <w:bCs/>
        </w:rPr>
        <w:t xml:space="preserve">Пункт 43 </w:t>
      </w:r>
      <w:r>
        <w:rPr>
          <w:b/>
          <w:bCs/>
          <w:lang w:val="en-US"/>
        </w:rPr>
        <w:t>g</w:t>
      </w:r>
      <w:r>
        <w:rPr>
          <w:b/>
          <w:bCs/>
        </w:rPr>
        <w:t>)</w:t>
      </w:r>
    </w:p>
    <w:p w:rsidR="00000000" w:rsidRDefault="00000000">
      <w:pPr>
        <w:rPr>
          <w:b/>
          <w:bCs/>
        </w:rPr>
      </w:pPr>
    </w:p>
    <w:p w:rsidR="00000000" w:rsidRDefault="00000000">
      <w:r>
        <w:t>449.</w:t>
      </w:r>
      <w:r>
        <w:tab/>
        <w:t>Министерству аграрной реформы (МАР) поручено осуществление статьи 27 Конституции, которая предусматривает регулирование землевладения и создание новых сельских населенных пунктов как основы развития мексиканского села, при предоставлении юридических гарантий владения земельной собственностью ради развития экономически эффективной производственной деятельности, позволяющей повысить доходы населения, а также и возможности надлежащего питания всего населения.</w:t>
      </w:r>
    </w:p>
    <w:p w:rsidR="00000000" w:rsidRDefault="00000000"/>
    <w:p w:rsidR="00000000" w:rsidRDefault="00000000">
      <w:r>
        <w:t>450.</w:t>
      </w:r>
      <w:r>
        <w:tab/>
        <w:t>Усилия по достижению этих целей строятся на следующих программах и законах:</w:t>
      </w:r>
    </w:p>
    <w:p w:rsidR="00000000" w:rsidRDefault="00000000"/>
    <w:p w:rsidR="00000000" w:rsidRDefault="00000000">
      <w:pPr>
        <w:numPr>
          <w:ilvl w:val="0"/>
          <w:numId w:val="46"/>
        </w:numPr>
        <w:tabs>
          <w:tab w:val="clear" w:pos="1289"/>
        </w:tabs>
        <w:ind w:left="1134" w:hanging="567"/>
      </w:pPr>
      <w:r>
        <w:rPr>
          <w:b/>
          <w:bCs/>
        </w:rPr>
        <w:t>Национальный план развития на период 2001-2006 годов</w:t>
      </w:r>
      <w:r>
        <w:t>,</w:t>
      </w:r>
      <w:r>
        <w:rPr>
          <w:b/>
          <w:bCs/>
        </w:rPr>
        <w:t xml:space="preserve"> </w:t>
      </w:r>
      <w:r>
        <w:t>опубликованный в "Диарио офисиаль де ла федерасьон" от 30 мая 2001 года.</w:t>
      </w:r>
    </w:p>
    <w:p w:rsidR="00000000" w:rsidRDefault="00000000">
      <w:pPr>
        <w:ind w:left="1134" w:hanging="567"/>
      </w:pPr>
    </w:p>
    <w:p w:rsidR="00000000" w:rsidRDefault="00000000">
      <w:pPr>
        <w:numPr>
          <w:ilvl w:val="0"/>
          <w:numId w:val="46"/>
        </w:numPr>
        <w:tabs>
          <w:tab w:val="clear" w:pos="1289"/>
        </w:tabs>
        <w:ind w:left="1134" w:hanging="567"/>
      </w:pPr>
      <w:r>
        <w:rPr>
          <w:b/>
          <w:bCs/>
        </w:rPr>
        <w:t>Закон об устойчивом сельском развитии</w:t>
      </w:r>
      <w:r>
        <w:t>,</w:t>
      </w:r>
      <w:r>
        <w:rPr>
          <w:b/>
          <w:bCs/>
        </w:rPr>
        <w:t xml:space="preserve"> </w:t>
      </w:r>
      <w:r>
        <w:t>опубликованный в "Диарио офисиаль де ла федерасьон" от 7 декабря 2001 года.</w:t>
      </w:r>
    </w:p>
    <w:p w:rsidR="00000000" w:rsidRDefault="00000000">
      <w:pPr>
        <w:ind w:left="1134" w:hanging="567"/>
      </w:pPr>
    </w:p>
    <w:p w:rsidR="00000000" w:rsidRDefault="00000000">
      <w:pPr>
        <w:numPr>
          <w:ilvl w:val="0"/>
          <w:numId w:val="46"/>
        </w:numPr>
        <w:tabs>
          <w:tab w:val="clear" w:pos="1289"/>
        </w:tabs>
        <w:ind w:left="1134" w:hanging="567"/>
      </w:pPr>
      <w:r>
        <w:rPr>
          <w:b/>
          <w:bCs/>
        </w:rPr>
        <w:t>Программа аграрного сектора на период 2001-2006 годов</w:t>
      </w:r>
      <w:r>
        <w:t>, опубликованная в "Диарио офисиаль де ла федерасьон" от 4 февраля 2002 года;  следует подчеркнуть, что в число ее направлений входит поддержка организаций аграриев в целях осуществления производственных проектов, имеющих своей главной целью поддержку организации как средства формирования активных субъектов, способных преодолеть маргинализацию и превратиться в аграриев, возглавляющих процесс сельского развития.</w:t>
      </w:r>
    </w:p>
    <w:p w:rsidR="00000000" w:rsidRDefault="00000000">
      <w:pPr>
        <w:tabs>
          <w:tab w:val="clear" w:pos="1134"/>
        </w:tabs>
        <w:ind w:left="569"/>
      </w:pPr>
    </w:p>
    <w:p w:rsidR="00000000" w:rsidRDefault="00000000">
      <w:pPr>
        <w:numPr>
          <w:ilvl w:val="0"/>
          <w:numId w:val="46"/>
        </w:numPr>
        <w:tabs>
          <w:tab w:val="clear" w:pos="1289"/>
        </w:tabs>
        <w:ind w:left="1134" w:hanging="567"/>
      </w:pPr>
      <w:r>
        <w:rPr>
          <w:b/>
          <w:bCs/>
        </w:rPr>
        <w:t>Национальное соглашение по сельским вопросам</w:t>
      </w:r>
      <w:r>
        <w:t xml:space="preserve">, опубликованное в "Диарио офисиаль де ла федерасьон" от 28 апреля 2003 года, признает в качестве основы суверенитет и продовольственную безопасность.  В нем намечены правовые реформы, итогом которых должен стать федеральный закон о сельскохозяйственном планировании и продовольственном суверенитете и продовольственной безопасности, который должен предусматривать средства составления планов, программ и бюджетов, охватывающих период нескольких лет, в целях обеспечения гарантий прав собственности на основе концепции продовольственного суверенитета и продовольственной безопасности.  Эти реформы нацелены на утверждение права на питание, признание принципа паритета между городом и селом и его выражение в конституционных реформах, вторичном законодательстве, государственной политике, институтах, программах и действиях.  Этот закон должен задавать четкие параметры закладываемых в бюджеты расходов при конкретных показателях в областях сельского, лесного и рыбного хозяйства по крайней мере в следующих аспектах:  а)  производственные и социальные структурные вложения в отстающих штатах и регионах,  </w:t>
      </w:r>
      <w:r>
        <w:rPr>
          <w:lang w:val="en-US"/>
        </w:rPr>
        <w:t>b</w:t>
      </w:r>
      <w:r>
        <w:t xml:space="preserve">)  системы целевых доходов от производства продуктов, считающихся базовыми и стратегическими в законе об устойчивом сельском развитии при региональной дифференциации,  и  </w:t>
      </w:r>
      <w:r>
        <w:rPr>
          <w:lang w:val="en-US"/>
        </w:rPr>
        <w:t>c</w:t>
      </w:r>
      <w:r>
        <w:t>)  стратегические проекты.</w:t>
      </w:r>
    </w:p>
    <w:p w:rsidR="00000000" w:rsidRDefault="00000000">
      <w:pPr>
        <w:ind w:left="207"/>
      </w:pPr>
    </w:p>
    <w:p w:rsidR="00000000" w:rsidRDefault="00000000">
      <w:pPr>
        <w:numPr>
          <w:ilvl w:val="0"/>
          <w:numId w:val="46"/>
        </w:numPr>
        <w:tabs>
          <w:tab w:val="clear" w:pos="1289"/>
        </w:tabs>
        <w:ind w:left="1134" w:hanging="567"/>
      </w:pPr>
      <w:r>
        <w:rPr>
          <w:b/>
          <w:bCs/>
        </w:rPr>
        <w:t>Бюджет расходов Федерации на 2004 финансовый год</w:t>
      </w:r>
      <w:r>
        <w:t xml:space="preserve">, опубликованный в "Диарио офисиаль де ла федерасьон" от 31 декабря 2003 года. </w:t>
      </w:r>
    </w:p>
    <w:p w:rsidR="00000000" w:rsidRDefault="00000000">
      <w:pPr>
        <w:tabs>
          <w:tab w:val="clear" w:pos="1134"/>
        </w:tabs>
        <w:ind w:left="569"/>
      </w:pPr>
    </w:p>
    <w:p w:rsidR="00000000" w:rsidRDefault="00000000">
      <w:pPr>
        <w:tabs>
          <w:tab w:val="clear" w:pos="567"/>
          <w:tab w:val="clear" w:pos="1134"/>
          <w:tab w:val="left" w:pos="561"/>
        </w:tabs>
      </w:pPr>
      <w:r>
        <w:t>451.</w:t>
      </w:r>
      <w:r>
        <w:tab/>
        <w:t>Кроме того, применяются ныне действующие законы в этой области.</w:t>
      </w:r>
    </w:p>
    <w:p w:rsidR="00000000" w:rsidRDefault="00000000">
      <w:pPr>
        <w:tabs>
          <w:tab w:val="clear" w:pos="567"/>
          <w:tab w:val="clear" w:pos="1134"/>
          <w:tab w:val="left" w:pos="561"/>
        </w:tabs>
      </w:pPr>
    </w:p>
    <w:p w:rsidR="00000000" w:rsidRDefault="00000000">
      <w:pPr>
        <w:tabs>
          <w:tab w:val="clear" w:pos="567"/>
          <w:tab w:val="clear" w:pos="1134"/>
          <w:tab w:val="left" w:pos="561"/>
        </w:tabs>
      </w:pPr>
      <w:r>
        <w:t>452.</w:t>
      </w:r>
      <w:r>
        <w:tab/>
        <w:t xml:space="preserve"> С момента обнародования аграрного закона, опубликованного в "Диарио офисиаль де ла федерасьон" от 14 февраля 1992 года, деятельность по урегулированию землевладения ведется в рамках законодательства страны, регламентируя в свою очередь программы, принимаемые в целях развития мексиканского села.</w:t>
      </w:r>
    </w:p>
    <w:p w:rsidR="00000000" w:rsidRDefault="00000000">
      <w:pPr>
        <w:tabs>
          <w:tab w:val="clear" w:pos="567"/>
          <w:tab w:val="clear" w:pos="1134"/>
          <w:tab w:val="left" w:pos="561"/>
        </w:tabs>
      </w:pPr>
    </w:p>
    <w:p w:rsidR="00000000" w:rsidRDefault="00000000">
      <w:pPr>
        <w:tabs>
          <w:tab w:val="clear" w:pos="567"/>
          <w:tab w:val="clear" w:pos="1134"/>
          <w:tab w:val="left" w:pos="561"/>
        </w:tabs>
      </w:pPr>
      <w:r>
        <w:t>453.</w:t>
      </w:r>
      <w:r>
        <w:tab/>
        <w:t>В соответствии с положениями закона об устойчивом сельском развитии Национальное соглашение по сельским вопросам, продовольственный суверенитет и безопасность считаются главной основой.  В этой связи ставится та цель, чтобы село, сельское общество, сельские хозяйства крестьян и коренных жителей и их материальная обеспеченность были национальным приоритетом и представляли собой необходимые элементы настоящего и будущего нации в целях обеспечения продовольственного суверенитета и продовольственной безопасности страны, ее развития и успехов в долгосрочной перспективе, а также ее самоопределения в вопросах производства, снабжения и доступа к продуктам питания для всего населения на основе в первую очередь отечественного производства и постоянного и достаточного снабжения продуктами питания всего населения.</w:t>
      </w:r>
    </w:p>
    <w:p w:rsidR="00000000" w:rsidRDefault="00000000">
      <w:pPr>
        <w:tabs>
          <w:tab w:val="clear" w:pos="567"/>
          <w:tab w:val="clear" w:pos="1134"/>
          <w:tab w:val="left" w:pos="561"/>
        </w:tabs>
      </w:pPr>
    </w:p>
    <w:p w:rsidR="00000000" w:rsidRDefault="00000000">
      <w:pPr>
        <w:tabs>
          <w:tab w:val="clear" w:pos="567"/>
          <w:tab w:val="clear" w:pos="1134"/>
          <w:tab w:val="left" w:pos="561"/>
        </w:tabs>
      </w:pPr>
      <w:r>
        <w:t>454.</w:t>
      </w:r>
      <w:r>
        <w:tab/>
        <w:t>С дополнительной информацией о целях, достигнутых в рамках программы оформления общинных прав и прав на личные наделы (ПРОСЕДЕ, программа министерства аграрной реформы, предусматривающая упорядочение землевладения сельских обществ) с 1993 года по март 2004 года, докладе о работе за период 2001</w:t>
      </w:r>
      <w:r>
        <w:noBreakHyphen/>
        <w:t xml:space="preserve">2003 годов, использовании бюджетных средств, процедурах, целях и задачах административных подразделений, первоначальном графике задач и программных показателей и о полномочиях министерства можно ознакомиться на странице в Интернете:  </w:t>
      </w:r>
      <w:hyperlink r:id="rId28" w:history="1">
        <w:r>
          <w:rPr>
            <w:rStyle w:val="Hyperlink"/>
            <w:u w:val="none"/>
            <w:lang w:val="en-US"/>
          </w:rPr>
          <w:t>www</w:t>
        </w:r>
        <w:r>
          <w:rPr>
            <w:rStyle w:val="Hyperlink"/>
            <w:u w:val="none"/>
          </w:rPr>
          <w:t>.</w:t>
        </w:r>
        <w:r>
          <w:rPr>
            <w:rStyle w:val="Hyperlink"/>
            <w:u w:val="none"/>
            <w:lang w:val="en-US"/>
          </w:rPr>
          <w:t>sra</w:t>
        </w:r>
        <w:r>
          <w:rPr>
            <w:rStyle w:val="Hyperlink"/>
            <w:u w:val="none"/>
          </w:rPr>
          <w:t>.</w:t>
        </w:r>
        <w:r>
          <w:rPr>
            <w:rStyle w:val="Hyperlink"/>
            <w:u w:val="none"/>
            <w:lang w:val="en-US"/>
          </w:rPr>
          <w:t>gob</w:t>
        </w:r>
        <w:r>
          <w:rPr>
            <w:rStyle w:val="Hyperlink"/>
            <w:u w:val="none"/>
          </w:rPr>
          <w:t>.</w:t>
        </w:r>
        <w:r>
          <w:rPr>
            <w:rStyle w:val="Hyperlink"/>
            <w:u w:val="none"/>
            <w:lang w:val="en-US"/>
          </w:rPr>
          <w:t>mx</w:t>
        </w:r>
      </w:hyperlink>
      <w:r>
        <w:t>.</w:t>
      </w:r>
    </w:p>
    <w:p w:rsidR="00000000" w:rsidRDefault="00000000">
      <w:pPr>
        <w:tabs>
          <w:tab w:val="clear" w:pos="567"/>
          <w:tab w:val="clear" w:pos="1134"/>
          <w:tab w:val="left" w:pos="561"/>
        </w:tabs>
      </w:pPr>
    </w:p>
    <w:p w:rsidR="00000000" w:rsidRDefault="00000000">
      <w:pPr>
        <w:tabs>
          <w:tab w:val="clear" w:pos="567"/>
          <w:tab w:val="clear" w:pos="1134"/>
          <w:tab w:val="left" w:pos="561"/>
        </w:tabs>
      </w:pPr>
      <w:r>
        <w:t>455.</w:t>
      </w:r>
      <w:r>
        <w:tab/>
        <w:t>Государственные организации.  В рамках государственных организаций руководитель внутреннего контрольного органа отвечает за контроль за соблюдением обязательств, целей и задач министерства и оказывает необходимое содействие в надлежащем осуществлении функций.  Он занимается планированием, руководством и проведением всевозможных проверок, расследований, инспекций или посещений.</w:t>
      </w:r>
    </w:p>
    <w:p w:rsidR="00000000" w:rsidRDefault="00000000">
      <w:pPr>
        <w:tabs>
          <w:tab w:val="clear" w:pos="567"/>
          <w:tab w:val="clear" w:pos="1134"/>
          <w:tab w:val="left" w:pos="561"/>
        </w:tabs>
      </w:pPr>
    </w:p>
    <w:p w:rsidR="00000000" w:rsidRDefault="00000000">
      <w:pPr>
        <w:rPr>
          <w:b/>
          <w:bCs/>
        </w:rPr>
      </w:pPr>
      <w:r>
        <w:rPr>
          <w:b/>
          <w:bCs/>
        </w:rPr>
        <w:t>Пункт 44 а)</w:t>
      </w:r>
      <w:r>
        <w:rPr>
          <w:rStyle w:val="FootnoteReference"/>
        </w:rPr>
        <w:footnoteReference w:id="20"/>
      </w:r>
    </w:p>
    <w:p w:rsidR="00000000" w:rsidRDefault="00000000"/>
    <w:p w:rsidR="00000000" w:rsidRDefault="00000000">
      <w:r>
        <w:t>456.</w:t>
      </w:r>
      <w:r>
        <w:tab/>
        <w:t>По данным жилищных органов Федерации, штатов и муниципий, на декабрь 2003 года было выдано в общей сложности 627 694 кредита, из них 72,2% </w:t>
      </w:r>
      <w:r>
        <w:noBreakHyphen/>
        <w:t xml:space="preserve"> на приобретение жилья, а 27,8% - на ремонт и другие цели.  Общая сумма кредитов составила 118 828 млн. песо.</w:t>
      </w:r>
    </w:p>
    <w:p w:rsidR="00000000" w:rsidRDefault="00000000"/>
    <w:p w:rsidR="00000000" w:rsidRDefault="00000000">
      <w:r>
        <w:t>457.</w:t>
      </w:r>
      <w:r>
        <w:tab/>
        <w:t>В таблице ниже показаны потребности в жилье по каждому субъекту Федерации.</w:t>
      </w:r>
    </w:p>
    <w:p w:rsidR="00000000" w:rsidRDefault="00000000"/>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81"/>
        <w:gridCol w:w="1943"/>
        <w:gridCol w:w="1943"/>
        <w:gridCol w:w="1944"/>
      </w:tblGrid>
      <w:tr w:rsidR="00000000">
        <w:tblPrEx>
          <w:tblCellMar>
            <w:top w:w="0" w:type="dxa"/>
            <w:bottom w:w="0" w:type="dxa"/>
          </w:tblCellMar>
        </w:tblPrEx>
        <w:trPr>
          <w:cantSplit/>
          <w:tblHeader/>
        </w:trPr>
        <w:tc>
          <w:tcPr>
            <w:tcW w:w="9411" w:type="dxa"/>
            <w:gridSpan w:val="4"/>
            <w:tcBorders>
              <w:top w:val="nil"/>
              <w:left w:val="nil"/>
              <w:right w:val="nil"/>
            </w:tcBorders>
            <w:vAlign w:val="center"/>
          </w:tcPr>
          <w:p w:rsidR="00000000" w:rsidRDefault="00000000">
            <w:pPr>
              <w:spacing w:before="80" w:line="240" w:lineRule="auto"/>
              <w:jc w:val="center"/>
              <w:rPr>
                <w:b/>
                <w:bCs/>
              </w:rPr>
            </w:pPr>
            <w:r>
              <w:rPr>
                <w:b/>
                <w:bCs/>
              </w:rPr>
              <w:t>Потребности в жилье с разбивкой по субъектам Федерации</w:t>
            </w:r>
          </w:p>
          <w:p w:rsidR="00000000" w:rsidRDefault="00000000">
            <w:pPr>
              <w:spacing w:before="80" w:line="240" w:lineRule="auto"/>
              <w:jc w:val="center"/>
              <w:rPr>
                <w:b/>
                <w:bCs/>
                <w:sz w:val="18"/>
              </w:rPr>
            </w:pPr>
          </w:p>
        </w:tc>
      </w:tr>
      <w:tr w:rsidR="00000000">
        <w:tblPrEx>
          <w:tblCellMar>
            <w:top w:w="0" w:type="dxa"/>
            <w:bottom w:w="0" w:type="dxa"/>
          </w:tblCellMar>
        </w:tblPrEx>
        <w:trPr>
          <w:cantSplit/>
          <w:tblHeader/>
        </w:trPr>
        <w:tc>
          <w:tcPr>
            <w:tcW w:w="3581" w:type="dxa"/>
            <w:vMerge w:val="restart"/>
            <w:vAlign w:val="center"/>
          </w:tcPr>
          <w:p w:rsidR="00000000" w:rsidRDefault="00000000">
            <w:pPr>
              <w:spacing w:before="80" w:line="240" w:lineRule="auto"/>
              <w:jc w:val="center"/>
              <w:rPr>
                <w:i/>
                <w:iCs/>
                <w:sz w:val="18"/>
              </w:rPr>
            </w:pPr>
          </w:p>
        </w:tc>
        <w:tc>
          <w:tcPr>
            <w:tcW w:w="5830" w:type="dxa"/>
            <w:gridSpan w:val="3"/>
            <w:vAlign w:val="center"/>
          </w:tcPr>
          <w:p w:rsidR="00000000" w:rsidRDefault="00000000">
            <w:pPr>
              <w:spacing w:before="80" w:line="240" w:lineRule="auto"/>
              <w:jc w:val="center"/>
              <w:rPr>
                <w:i/>
                <w:iCs/>
                <w:sz w:val="18"/>
              </w:rPr>
            </w:pPr>
            <w:r>
              <w:rPr>
                <w:i/>
                <w:iCs/>
                <w:sz w:val="18"/>
              </w:rPr>
              <w:t>2004 год</w:t>
            </w:r>
          </w:p>
        </w:tc>
      </w:tr>
      <w:tr w:rsidR="00000000">
        <w:tblPrEx>
          <w:tblCellMar>
            <w:top w:w="0" w:type="dxa"/>
            <w:bottom w:w="0" w:type="dxa"/>
          </w:tblCellMar>
        </w:tblPrEx>
        <w:trPr>
          <w:cantSplit/>
          <w:tblHeader/>
        </w:trPr>
        <w:tc>
          <w:tcPr>
            <w:tcW w:w="3581" w:type="dxa"/>
            <w:vMerge/>
            <w:vAlign w:val="center"/>
          </w:tcPr>
          <w:p w:rsidR="00000000" w:rsidRDefault="00000000">
            <w:pPr>
              <w:spacing w:before="80" w:line="240" w:lineRule="auto"/>
              <w:jc w:val="center"/>
              <w:rPr>
                <w:i/>
                <w:iCs/>
                <w:sz w:val="18"/>
              </w:rPr>
            </w:pPr>
          </w:p>
        </w:tc>
        <w:tc>
          <w:tcPr>
            <w:tcW w:w="1943" w:type="dxa"/>
            <w:vAlign w:val="center"/>
          </w:tcPr>
          <w:p w:rsidR="00000000" w:rsidRDefault="00000000">
            <w:pPr>
              <w:spacing w:before="80" w:line="240" w:lineRule="auto"/>
              <w:jc w:val="center"/>
              <w:rPr>
                <w:i/>
                <w:iCs/>
                <w:sz w:val="18"/>
              </w:rPr>
            </w:pPr>
            <w:r>
              <w:rPr>
                <w:i/>
                <w:iCs/>
                <w:color w:val="000000"/>
                <w:sz w:val="18"/>
                <w:szCs w:val="14"/>
              </w:rPr>
              <w:t>Новое жилье</w:t>
            </w:r>
          </w:p>
        </w:tc>
        <w:tc>
          <w:tcPr>
            <w:tcW w:w="1943" w:type="dxa"/>
            <w:vAlign w:val="center"/>
          </w:tcPr>
          <w:p w:rsidR="00000000" w:rsidRDefault="00000000">
            <w:pPr>
              <w:spacing w:before="80" w:line="240" w:lineRule="auto"/>
              <w:jc w:val="center"/>
              <w:rPr>
                <w:i/>
                <w:iCs/>
                <w:sz w:val="18"/>
              </w:rPr>
            </w:pPr>
            <w:r>
              <w:rPr>
                <w:i/>
                <w:iCs/>
                <w:color w:val="000000"/>
                <w:sz w:val="18"/>
                <w:szCs w:val="14"/>
              </w:rPr>
              <w:t>Ремонт жилья</w:t>
            </w:r>
          </w:p>
        </w:tc>
        <w:tc>
          <w:tcPr>
            <w:tcW w:w="1944" w:type="dxa"/>
            <w:vAlign w:val="center"/>
          </w:tcPr>
          <w:p w:rsidR="00000000" w:rsidRDefault="00000000">
            <w:pPr>
              <w:spacing w:before="80" w:line="240" w:lineRule="auto"/>
              <w:jc w:val="center"/>
              <w:rPr>
                <w:i/>
                <w:iCs/>
                <w:sz w:val="18"/>
              </w:rPr>
            </w:pPr>
            <w:r>
              <w:rPr>
                <w:i/>
                <w:iCs/>
                <w:sz w:val="18"/>
              </w:rPr>
              <w:t>Итого</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color w:val="000000"/>
                <w:sz w:val="18"/>
                <w:szCs w:val="14"/>
              </w:rPr>
              <w:t>Вся страна</w:t>
            </w:r>
          </w:p>
        </w:tc>
        <w:tc>
          <w:tcPr>
            <w:tcW w:w="1943" w:type="dxa"/>
          </w:tcPr>
          <w:p w:rsidR="00000000" w:rsidRDefault="00000000">
            <w:pPr>
              <w:tabs>
                <w:tab w:val="decimal" w:pos="1370"/>
              </w:tabs>
              <w:spacing w:before="80" w:line="240" w:lineRule="auto"/>
              <w:ind w:right="365"/>
              <w:jc w:val="right"/>
              <w:rPr>
                <w:sz w:val="18"/>
              </w:rPr>
            </w:pPr>
            <w:r>
              <w:rPr>
                <w:sz w:val="18"/>
              </w:rPr>
              <w:t>707 273</w:t>
            </w:r>
          </w:p>
        </w:tc>
        <w:tc>
          <w:tcPr>
            <w:tcW w:w="1943" w:type="dxa"/>
          </w:tcPr>
          <w:p w:rsidR="00000000" w:rsidRDefault="00000000">
            <w:pPr>
              <w:tabs>
                <w:tab w:val="decimal" w:pos="1370"/>
              </w:tabs>
              <w:spacing w:before="80" w:line="240" w:lineRule="auto"/>
              <w:ind w:right="365"/>
              <w:jc w:val="right"/>
              <w:rPr>
                <w:sz w:val="18"/>
              </w:rPr>
            </w:pPr>
            <w:r>
              <w:rPr>
                <w:sz w:val="18"/>
              </w:rPr>
              <w:t>380 941</w:t>
            </w:r>
          </w:p>
        </w:tc>
        <w:tc>
          <w:tcPr>
            <w:tcW w:w="1944" w:type="dxa"/>
          </w:tcPr>
          <w:p w:rsidR="00000000" w:rsidRDefault="00000000">
            <w:pPr>
              <w:tabs>
                <w:tab w:val="decimal" w:pos="1407"/>
              </w:tabs>
              <w:spacing w:before="80" w:line="240" w:lineRule="auto"/>
              <w:ind w:right="365"/>
              <w:jc w:val="right"/>
              <w:rPr>
                <w:sz w:val="18"/>
              </w:rPr>
            </w:pPr>
            <w:r>
              <w:rPr>
                <w:sz w:val="18"/>
              </w:rPr>
              <w:t>1 088 214</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Агуаскальентес</w:t>
            </w:r>
          </w:p>
        </w:tc>
        <w:tc>
          <w:tcPr>
            <w:tcW w:w="1943" w:type="dxa"/>
          </w:tcPr>
          <w:p w:rsidR="00000000" w:rsidRDefault="00000000">
            <w:pPr>
              <w:tabs>
                <w:tab w:val="decimal" w:pos="1370"/>
              </w:tabs>
              <w:spacing w:before="80" w:line="240" w:lineRule="auto"/>
              <w:ind w:right="365"/>
              <w:jc w:val="right"/>
              <w:rPr>
                <w:sz w:val="18"/>
              </w:rPr>
            </w:pPr>
            <w:r>
              <w:rPr>
                <w:sz w:val="18"/>
              </w:rPr>
              <w:t>8 387</w:t>
            </w:r>
          </w:p>
        </w:tc>
        <w:tc>
          <w:tcPr>
            <w:tcW w:w="1943" w:type="dxa"/>
          </w:tcPr>
          <w:p w:rsidR="00000000" w:rsidRDefault="00000000">
            <w:pPr>
              <w:tabs>
                <w:tab w:val="decimal" w:pos="1370"/>
              </w:tabs>
              <w:spacing w:before="80" w:line="240" w:lineRule="auto"/>
              <w:ind w:right="365"/>
              <w:jc w:val="right"/>
              <w:rPr>
                <w:sz w:val="18"/>
              </w:rPr>
            </w:pPr>
            <w:r>
              <w:rPr>
                <w:sz w:val="18"/>
              </w:rPr>
              <w:t>3 324</w:t>
            </w:r>
          </w:p>
        </w:tc>
        <w:tc>
          <w:tcPr>
            <w:tcW w:w="1944" w:type="dxa"/>
          </w:tcPr>
          <w:p w:rsidR="00000000" w:rsidRDefault="00000000">
            <w:pPr>
              <w:tabs>
                <w:tab w:val="decimal" w:pos="1407"/>
              </w:tabs>
              <w:spacing w:before="80" w:line="240" w:lineRule="auto"/>
              <w:ind w:right="365"/>
              <w:jc w:val="right"/>
              <w:rPr>
                <w:sz w:val="18"/>
              </w:rPr>
            </w:pPr>
            <w:r>
              <w:rPr>
                <w:sz w:val="18"/>
              </w:rPr>
              <w:t>11 711</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Нижняя Калифорния</w:t>
            </w:r>
          </w:p>
        </w:tc>
        <w:tc>
          <w:tcPr>
            <w:tcW w:w="1943" w:type="dxa"/>
          </w:tcPr>
          <w:p w:rsidR="00000000" w:rsidRDefault="00000000">
            <w:pPr>
              <w:tabs>
                <w:tab w:val="decimal" w:pos="1370"/>
              </w:tabs>
              <w:spacing w:before="80" w:line="240" w:lineRule="auto"/>
              <w:ind w:right="365"/>
              <w:jc w:val="right"/>
              <w:rPr>
                <w:sz w:val="18"/>
              </w:rPr>
            </w:pPr>
            <w:r>
              <w:rPr>
                <w:sz w:val="18"/>
              </w:rPr>
              <w:t>48 021</w:t>
            </w:r>
          </w:p>
        </w:tc>
        <w:tc>
          <w:tcPr>
            <w:tcW w:w="1943" w:type="dxa"/>
          </w:tcPr>
          <w:p w:rsidR="00000000" w:rsidRDefault="00000000">
            <w:pPr>
              <w:tabs>
                <w:tab w:val="decimal" w:pos="1370"/>
              </w:tabs>
              <w:spacing w:before="80" w:line="240" w:lineRule="auto"/>
              <w:ind w:right="365"/>
              <w:jc w:val="right"/>
              <w:rPr>
                <w:sz w:val="18"/>
              </w:rPr>
            </w:pPr>
            <w:r>
              <w:rPr>
                <w:sz w:val="18"/>
              </w:rPr>
              <w:t>10 245</w:t>
            </w:r>
          </w:p>
        </w:tc>
        <w:tc>
          <w:tcPr>
            <w:tcW w:w="1944" w:type="dxa"/>
          </w:tcPr>
          <w:p w:rsidR="00000000" w:rsidRDefault="00000000">
            <w:pPr>
              <w:tabs>
                <w:tab w:val="decimal" w:pos="1407"/>
              </w:tabs>
              <w:spacing w:before="80" w:line="240" w:lineRule="auto"/>
              <w:ind w:right="365"/>
              <w:jc w:val="right"/>
              <w:rPr>
                <w:sz w:val="18"/>
              </w:rPr>
            </w:pPr>
            <w:r>
              <w:rPr>
                <w:sz w:val="18"/>
              </w:rPr>
              <w:t>58 266</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Южная Нижняя Калифорния</w:t>
            </w:r>
          </w:p>
        </w:tc>
        <w:tc>
          <w:tcPr>
            <w:tcW w:w="1943" w:type="dxa"/>
          </w:tcPr>
          <w:p w:rsidR="00000000" w:rsidRDefault="00000000">
            <w:pPr>
              <w:tabs>
                <w:tab w:val="decimal" w:pos="1370"/>
              </w:tabs>
              <w:spacing w:before="80" w:line="240" w:lineRule="auto"/>
              <w:ind w:right="365"/>
              <w:jc w:val="right"/>
              <w:rPr>
                <w:sz w:val="18"/>
              </w:rPr>
            </w:pPr>
            <w:r>
              <w:rPr>
                <w:sz w:val="18"/>
              </w:rPr>
              <w:t>6 874</w:t>
            </w:r>
          </w:p>
        </w:tc>
        <w:tc>
          <w:tcPr>
            <w:tcW w:w="1943" w:type="dxa"/>
          </w:tcPr>
          <w:p w:rsidR="00000000" w:rsidRDefault="00000000">
            <w:pPr>
              <w:tabs>
                <w:tab w:val="decimal" w:pos="1370"/>
              </w:tabs>
              <w:spacing w:before="80" w:line="240" w:lineRule="auto"/>
              <w:ind w:right="365"/>
              <w:jc w:val="right"/>
              <w:rPr>
                <w:sz w:val="18"/>
              </w:rPr>
            </w:pPr>
            <w:r>
              <w:rPr>
                <w:sz w:val="18"/>
              </w:rPr>
              <w:t>1 556</w:t>
            </w:r>
          </w:p>
        </w:tc>
        <w:tc>
          <w:tcPr>
            <w:tcW w:w="1944" w:type="dxa"/>
          </w:tcPr>
          <w:p w:rsidR="00000000" w:rsidRDefault="00000000">
            <w:pPr>
              <w:tabs>
                <w:tab w:val="decimal" w:pos="1407"/>
              </w:tabs>
              <w:spacing w:before="80" w:line="240" w:lineRule="auto"/>
              <w:ind w:right="365"/>
              <w:jc w:val="right"/>
              <w:rPr>
                <w:sz w:val="18"/>
              </w:rPr>
            </w:pPr>
            <w:r>
              <w:rPr>
                <w:sz w:val="18"/>
              </w:rPr>
              <w:t>8 430</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Кампече</w:t>
            </w:r>
          </w:p>
        </w:tc>
        <w:tc>
          <w:tcPr>
            <w:tcW w:w="1943" w:type="dxa"/>
          </w:tcPr>
          <w:p w:rsidR="00000000" w:rsidRDefault="00000000">
            <w:pPr>
              <w:tabs>
                <w:tab w:val="decimal" w:pos="1370"/>
              </w:tabs>
              <w:spacing w:before="80" w:line="240" w:lineRule="auto"/>
              <w:ind w:right="365"/>
              <w:jc w:val="right"/>
              <w:rPr>
                <w:sz w:val="18"/>
              </w:rPr>
            </w:pPr>
            <w:r>
              <w:rPr>
                <w:sz w:val="18"/>
              </w:rPr>
              <w:t>7 879</w:t>
            </w:r>
          </w:p>
        </w:tc>
        <w:tc>
          <w:tcPr>
            <w:tcW w:w="1943" w:type="dxa"/>
          </w:tcPr>
          <w:p w:rsidR="00000000" w:rsidRDefault="00000000">
            <w:pPr>
              <w:tabs>
                <w:tab w:val="decimal" w:pos="1370"/>
              </w:tabs>
              <w:spacing w:before="80" w:line="240" w:lineRule="auto"/>
              <w:ind w:right="365"/>
              <w:jc w:val="right"/>
              <w:rPr>
                <w:sz w:val="18"/>
              </w:rPr>
            </w:pPr>
            <w:r>
              <w:rPr>
                <w:sz w:val="18"/>
              </w:rPr>
              <w:t>2 852</w:t>
            </w:r>
          </w:p>
        </w:tc>
        <w:tc>
          <w:tcPr>
            <w:tcW w:w="1944" w:type="dxa"/>
          </w:tcPr>
          <w:p w:rsidR="00000000" w:rsidRDefault="00000000">
            <w:pPr>
              <w:tabs>
                <w:tab w:val="decimal" w:pos="1407"/>
              </w:tabs>
              <w:spacing w:before="80" w:line="240" w:lineRule="auto"/>
              <w:ind w:right="365"/>
              <w:jc w:val="right"/>
              <w:rPr>
                <w:sz w:val="18"/>
              </w:rPr>
            </w:pPr>
            <w:r>
              <w:rPr>
                <w:sz w:val="18"/>
              </w:rPr>
              <w:t>10 731</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Коауила-де-Сарагоса</w:t>
            </w:r>
          </w:p>
        </w:tc>
        <w:tc>
          <w:tcPr>
            <w:tcW w:w="1943" w:type="dxa"/>
          </w:tcPr>
          <w:p w:rsidR="00000000" w:rsidRDefault="00000000">
            <w:pPr>
              <w:tabs>
                <w:tab w:val="decimal" w:pos="1370"/>
              </w:tabs>
              <w:spacing w:before="80" w:line="240" w:lineRule="auto"/>
              <w:ind w:right="365"/>
              <w:jc w:val="right"/>
              <w:rPr>
                <w:sz w:val="18"/>
              </w:rPr>
            </w:pPr>
            <w:r>
              <w:rPr>
                <w:sz w:val="18"/>
              </w:rPr>
              <w:t>14 820</w:t>
            </w:r>
          </w:p>
        </w:tc>
        <w:tc>
          <w:tcPr>
            <w:tcW w:w="1943" w:type="dxa"/>
          </w:tcPr>
          <w:p w:rsidR="00000000" w:rsidRDefault="00000000">
            <w:pPr>
              <w:tabs>
                <w:tab w:val="decimal" w:pos="1370"/>
              </w:tabs>
              <w:spacing w:before="80" w:line="240" w:lineRule="auto"/>
              <w:ind w:right="365"/>
              <w:jc w:val="right"/>
              <w:rPr>
                <w:sz w:val="18"/>
              </w:rPr>
            </w:pPr>
            <w:r>
              <w:rPr>
                <w:sz w:val="18"/>
              </w:rPr>
              <w:t>9 518</w:t>
            </w:r>
          </w:p>
        </w:tc>
        <w:tc>
          <w:tcPr>
            <w:tcW w:w="1944" w:type="dxa"/>
          </w:tcPr>
          <w:p w:rsidR="00000000" w:rsidRDefault="00000000">
            <w:pPr>
              <w:tabs>
                <w:tab w:val="decimal" w:pos="1407"/>
              </w:tabs>
              <w:spacing w:before="80" w:line="240" w:lineRule="auto"/>
              <w:ind w:right="365"/>
              <w:jc w:val="right"/>
              <w:rPr>
                <w:sz w:val="18"/>
              </w:rPr>
            </w:pPr>
            <w:r>
              <w:rPr>
                <w:sz w:val="18"/>
              </w:rPr>
              <w:t>24 338</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Колима</w:t>
            </w:r>
          </w:p>
        </w:tc>
        <w:tc>
          <w:tcPr>
            <w:tcW w:w="1943" w:type="dxa"/>
          </w:tcPr>
          <w:p w:rsidR="00000000" w:rsidRDefault="00000000">
            <w:pPr>
              <w:tabs>
                <w:tab w:val="decimal" w:pos="1370"/>
              </w:tabs>
              <w:spacing w:before="80" w:line="240" w:lineRule="auto"/>
              <w:ind w:right="365"/>
              <w:jc w:val="right"/>
              <w:rPr>
                <w:sz w:val="18"/>
              </w:rPr>
            </w:pPr>
            <w:r>
              <w:rPr>
                <w:sz w:val="18"/>
              </w:rPr>
              <w:t>3 393</w:t>
            </w:r>
          </w:p>
        </w:tc>
        <w:tc>
          <w:tcPr>
            <w:tcW w:w="1943" w:type="dxa"/>
          </w:tcPr>
          <w:p w:rsidR="00000000" w:rsidRDefault="00000000">
            <w:pPr>
              <w:tabs>
                <w:tab w:val="decimal" w:pos="1370"/>
              </w:tabs>
              <w:spacing w:before="80" w:line="240" w:lineRule="auto"/>
              <w:ind w:right="365"/>
              <w:jc w:val="right"/>
              <w:rPr>
                <w:sz w:val="18"/>
              </w:rPr>
            </w:pPr>
            <w:r>
              <w:rPr>
                <w:sz w:val="18"/>
              </w:rPr>
              <w:t>1 814</w:t>
            </w:r>
          </w:p>
        </w:tc>
        <w:tc>
          <w:tcPr>
            <w:tcW w:w="1944" w:type="dxa"/>
          </w:tcPr>
          <w:p w:rsidR="00000000" w:rsidRDefault="00000000">
            <w:pPr>
              <w:tabs>
                <w:tab w:val="decimal" w:pos="1407"/>
              </w:tabs>
              <w:spacing w:before="80" w:line="240" w:lineRule="auto"/>
              <w:ind w:right="365"/>
              <w:jc w:val="right"/>
              <w:rPr>
                <w:sz w:val="18"/>
              </w:rPr>
            </w:pPr>
            <w:r>
              <w:rPr>
                <w:sz w:val="18"/>
              </w:rPr>
              <w:t>5 207</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Чьяпас</w:t>
            </w:r>
          </w:p>
        </w:tc>
        <w:tc>
          <w:tcPr>
            <w:tcW w:w="1943" w:type="dxa"/>
          </w:tcPr>
          <w:p w:rsidR="00000000" w:rsidRDefault="00000000">
            <w:pPr>
              <w:tabs>
                <w:tab w:val="decimal" w:pos="1370"/>
              </w:tabs>
              <w:spacing w:before="80" w:line="240" w:lineRule="auto"/>
              <w:ind w:right="365"/>
              <w:jc w:val="right"/>
              <w:rPr>
                <w:sz w:val="18"/>
              </w:rPr>
            </w:pPr>
            <w:r>
              <w:rPr>
                <w:sz w:val="18"/>
              </w:rPr>
              <w:t>34 612</w:t>
            </w:r>
          </w:p>
        </w:tc>
        <w:tc>
          <w:tcPr>
            <w:tcW w:w="1943" w:type="dxa"/>
          </w:tcPr>
          <w:p w:rsidR="00000000" w:rsidRDefault="00000000">
            <w:pPr>
              <w:tabs>
                <w:tab w:val="decimal" w:pos="1370"/>
              </w:tabs>
              <w:spacing w:before="80" w:line="240" w:lineRule="auto"/>
              <w:ind w:right="365"/>
              <w:jc w:val="right"/>
              <w:rPr>
                <w:sz w:val="18"/>
              </w:rPr>
            </w:pPr>
            <w:r>
              <w:rPr>
                <w:sz w:val="18"/>
              </w:rPr>
              <w:t>15 445</w:t>
            </w:r>
          </w:p>
        </w:tc>
        <w:tc>
          <w:tcPr>
            <w:tcW w:w="1944" w:type="dxa"/>
          </w:tcPr>
          <w:p w:rsidR="00000000" w:rsidRDefault="00000000">
            <w:pPr>
              <w:tabs>
                <w:tab w:val="decimal" w:pos="1407"/>
              </w:tabs>
              <w:spacing w:before="80" w:line="240" w:lineRule="auto"/>
              <w:ind w:right="365"/>
              <w:jc w:val="right"/>
              <w:rPr>
                <w:sz w:val="18"/>
              </w:rPr>
            </w:pPr>
            <w:r>
              <w:rPr>
                <w:sz w:val="18"/>
              </w:rPr>
              <w:t>50 057</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Чиуауа</w:t>
            </w:r>
          </w:p>
        </w:tc>
        <w:tc>
          <w:tcPr>
            <w:tcW w:w="1943" w:type="dxa"/>
          </w:tcPr>
          <w:p w:rsidR="00000000" w:rsidRDefault="00000000">
            <w:pPr>
              <w:tabs>
                <w:tab w:val="decimal" w:pos="1370"/>
              </w:tabs>
              <w:spacing w:before="80" w:line="240" w:lineRule="auto"/>
              <w:ind w:right="365"/>
              <w:jc w:val="right"/>
              <w:rPr>
                <w:sz w:val="18"/>
              </w:rPr>
            </w:pPr>
            <w:r>
              <w:rPr>
                <w:sz w:val="18"/>
              </w:rPr>
              <w:t>31 040</w:t>
            </w:r>
          </w:p>
        </w:tc>
        <w:tc>
          <w:tcPr>
            <w:tcW w:w="1943" w:type="dxa"/>
          </w:tcPr>
          <w:p w:rsidR="00000000" w:rsidRDefault="00000000">
            <w:pPr>
              <w:tabs>
                <w:tab w:val="decimal" w:pos="1370"/>
              </w:tabs>
              <w:spacing w:before="80" w:line="240" w:lineRule="auto"/>
              <w:ind w:right="365"/>
              <w:jc w:val="right"/>
              <w:rPr>
                <w:sz w:val="18"/>
                <w:lang w:val="en-US"/>
              </w:rPr>
            </w:pPr>
            <w:r>
              <w:rPr>
                <w:sz w:val="18"/>
                <w:lang w:val="en-US"/>
              </w:rPr>
              <w:t>14 226</w:t>
            </w:r>
          </w:p>
        </w:tc>
        <w:tc>
          <w:tcPr>
            <w:tcW w:w="1944" w:type="dxa"/>
          </w:tcPr>
          <w:p w:rsidR="00000000" w:rsidRDefault="00000000">
            <w:pPr>
              <w:tabs>
                <w:tab w:val="decimal" w:pos="1407"/>
              </w:tabs>
              <w:spacing w:before="80" w:line="240" w:lineRule="auto"/>
              <w:ind w:right="365"/>
              <w:jc w:val="right"/>
              <w:rPr>
                <w:sz w:val="18"/>
                <w:lang w:val="en-US"/>
              </w:rPr>
            </w:pPr>
            <w:r>
              <w:rPr>
                <w:sz w:val="18"/>
                <w:lang w:val="en-US"/>
              </w:rPr>
              <w:t>45 266</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Федеральный округ</w:t>
            </w:r>
          </w:p>
        </w:tc>
        <w:tc>
          <w:tcPr>
            <w:tcW w:w="1943" w:type="dxa"/>
          </w:tcPr>
          <w:p w:rsidR="00000000" w:rsidRDefault="00000000">
            <w:pPr>
              <w:tabs>
                <w:tab w:val="decimal" w:pos="1370"/>
              </w:tabs>
              <w:spacing w:before="80" w:line="240" w:lineRule="auto"/>
              <w:ind w:right="365"/>
              <w:jc w:val="right"/>
              <w:rPr>
                <w:sz w:val="18"/>
                <w:lang w:val="en-US"/>
              </w:rPr>
            </w:pPr>
            <w:r>
              <w:rPr>
                <w:sz w:val="18"/>
                <w:lang w:val="en-US"/>
              </w:rPr>
              <w:t>37 179</w:t>
            </w:r>
          </w:p>
        </w:tc>
        <w:tc>
          <w:tcPr>
            <w:tcW w:w="1943" w:type="dxa"/>
          </w:tcPr>
          <w:p w:rsidR="00000000" w:rsidRDefault="00000000">
            <w:pPr>
              <w:tabs>
                <w:tab w:val="decimal" w:pos="1370"/>
              </w:tabs>
              <w:spacing w:before="80" w:line="240" w:lineRule="auto"/>
              <w:ind w:right="365"/>
              <w:jc w:val="right"/>
              <w:rPr>
                <w:sz w:val="18"/>
                <w:lang w:val="en-US"/>
              </w:rPr>
            </w:pPr>
            <w:r>
              <w:rPr>
                <w:sz w:val="18"/>
                <w:lang w:val="en-US"/>
              </w:rPr>
              <w:t>45 040</w:t>
            </w:r>
          </w:p>
        </w:tc>
        <w:tc>
          <w:tcPr>
            <w:tcW w:w="1944" w:type="dxa"/>
          </w:tcPr>
          <w:p w:rsidR="00000000" w:rsidRDefault="00000000">
            <w:pPr>
              <w:tabs>
                <w:tab w:val="decimal" w:pos="1407"/>
              </w:tabs>
              <w:spacing w:before="80" w:line="240" w:lineRule="auto"/>
              <w:ind w:right="365"/>
              <w:jc w:val="right"/>
              <w:rPr>
                <w:sz w:val="18"/>
                <w:lang w:val="en-US"/>
              </w:rPr>
            </w:pPr>
            <w:r>
              <w:rPr>
                <w:sz w:val="18"/>
                <w:lang w:val="en-US"/>
              </w:rPr>
              <w:t>82 219</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Дуранго</w:t>
            </w:r>
          </w:p>
        </w:tc>
        <w:tc>
          <w:tcPr>
            <w:tcW w:w="1943" w:type="dxa"/>
          </w:tcPr>
          <w:p w:rsidR="00000000" w:rsidRDefault="00000000">
            <w:pPr>
              <w:tabs>
                <w:tab w:val="decimal" w:pos="1370"/>
              </w:tabs>
              <w:spacing w:before="80" w:line="240" w:lineRule="auto"/>
              <w:ind w:right="365"/>
              <w:jc w:val="right"/>
              <w:rPr>
                <w:sz w:val="18"/>
                <w:lang w:val="en-US"/>
              </w:rPr>
            </w:pPr>
            <w:r>
              <w:rPr>
                <w:sz w:val="18"/>
                <w:lang w:val="en-US"/>
              </w:rPr>
              <w:t>824</w:t>
            </w:r>
          </w:p>
        </w:tc>
        <w:tc>
          <w:tcPr>
            <w:tcW w:w="1943" w:type="dxa"/>
          </w:tcPr>
          <w:p w:rsidR="00000000" w:rsidRDefault="00000000">
            <w:pPr>
              <w:tabs>
                <w:tab w:val="decimal" w:pos="1370"/>
              </w:tabs>
              <w:spacing w:before="80" w:line="240" w:lineRule="auto"/>
              <w:ind w:right="365"/>
              <w:jc w:val="right"/>
              <w:rPr>
                <w:sz w:val="18"/>
              </w:rPr>
            </w:pPr>
            <w:r>
              <w:rPr>
                <w:sz w:val="18"/>
              </w:rPr>
              <w:t>2 578</w:t>
            </w:r>
          </w:p>
        </w:tc>
        <w:tc>
          <w:tcPr>
            <w:tcW w:w="1944" w:type="dxa"/>
          </w:tcPr>
          <w:p w:rsidR="00000000" w:rsidRDefault="00000000">
            <w:pPr>
              <w:tabs>
                <w:tab w:val="decimal" w:pos="1407"/>
              </w:tabs>
              <w:spacing w:before="80" w:line="240" w:lineRule="auto"/>
              <w:ind w:right="365"/>
              <w:jc w:val="right"/>
              <w:rPr>
                <w:sz w:val="18"/>
              </w:rPr>
            </w:pPr>
            <w:r>
              <w:rPr>
                <w:sz w:val="18"/>
              </w:rPr>
              <w:t>3 402</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Гуанахуато</w:t>
            </w:r>
          </w:p>
        </w:tc>
        <w:tc>
          <w:tcPr>
            <w:tcW w:w="1943" w:type="dxa"/>
          </w:tcPr>
          <w:p w:rsidR="00000000" w:rsidRDefault="00000000">
            <w:pPr>
              <w:tabs>
                <w:tab w:val="decimal" w:pos="1370"/>
              </w:tabs>
              <w:spacing w:before="80" w:line="240" w:lineRule="auto"/>
              <w:ind w:right="365"/>
              <w:jc w:val="right"/>
              <w:rPr>
                <w:sz w:val="18"/>
              </w:rPr>
            </w:pPr>
            <w:r>
              <w:rPr>
                <w:sz w:val="18"/>
              </w:rPr>
              <w:t>21 681</w:t>
            </w:r>
          </w:p>
        </w:tc>
        <w:tc>
          <w:tcPr>
            <w:tcW w:w="1943" w:type="dxa"/>
          </w:tcPr>
          <w:p w:rsidR="00000000" w:rsidRDefault="00000000">
            <w:pPr>
              <w:tabs>
                <w:tab w:val="decimal" w:pos="1370"/>
              </w:tabs>
              <w:spacing w:before="80" w:line="240" w:lineRule="auto"/>
              <w:ind w:right="365"/>
              <w:jc w:val="right"/>
              <w:rPr>
                <w:sz w:val="18"/>
              </w:rPr>
            </w:pPr>
            <w:r>
              <w:rPr>
                <w:sz w:val="18"/>
              </w:rPr>
              <w:t>16 596</w:t>
            </w:r>
          </w:p>
        </w:tc>
        <w:tc>
          <w:tcPr>
            <w:tcW w:w="1944" w:type="dxa"/>
          </w:tcPr>
          <w:p w:rsidR="00000000" w:rsidRDefault="00000000">
            <w:pPr>
              <w:tabs>
                <w:tab w:val="decimal" w:pos="1407"/>
              </w:tabs>
              <w:spacing w:before="80" w:line="240" w:lineRule="auto"/>
              <w:ind w:right="365"/>
              <w:jc w:val="right"/>
              <w:rPr>
                <w:sz w:val="18"/>
              </w:rPr>
            </w:pPr>
            <w:r>
              <w:rPr>
                <w:sz w:val="18"/>
              </w:rPr>
              <w:t>38 277</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Герреро</w:t>
            </w:r>
          </w:p>
        </w:tc>
        <w:tc>
          <w:tcPr>
            <w:tcW w:w="1943" w:type="dxa"/>
          </w:tcPr>
          <w:p w:rsidR="00000000" w:rsidRDefault="00000000">
            <w:pPr>
              <w:tabs>
                <w:tab w:val="decimal" w:pos="1370"/>
              </w:tabs>
              <w:spacing w:before="80" w:line="240" w:lineRule="auto"/>
              <w:ind w:right="365"/>
              <w:jc w:val="right"/>
              <w:rPr>
                <w:sz w:val="18"/>
              </w:rPr>
            </w:pPr>
            <w:r>
              <w:rPr>
                <w:sz w:val="18"/>
              </w:rPr>
              <w:t>5 099</w:t>
            </w:r>
          </w:p>
        </w:tc>
        <w:tc>
          <w:tcPr>
            <w:tcW w:w="1943" w:type="dxa"/>
          </w:tcPr>
          <w:p w:rsidR="00000000" w:rsidRDefault="00000000">
            <w:pPr>
              <w:tabs>
                <w:tab w:val="decimal" w:pos="1370"/>
              </w:tabs>
              <w:spacing w:before="80" w:line="240" w:lineRule="auto"/>
              <w:ind w:right="365"/>
              <w:jc w:val="right"/>
              <w:rPr>
                <w:sz w:val="18"/>
              </w:rPr>
            </w:pPr>
            <w:r>
              <w:rPr>
                <w:sz w:val="18"/>
              </w:rPr>
              <w:t>8 257</w:t>
            </w:r>
          </w:p>
        </w:tc>
        <w:tc>
          <w:tcPr>
            <w:tcW w:w="1944" w:type="dxa"/>
          </w:tcPr>
          <w:p w:rsidR="00000000" w:rsidRDefault="00000000">
            <w:pPr>
              <w:tabs>
                <w:tab w:val="decimal" w:pos="1407"/>
              </w:tabs>
              <w:spacing w:before="80" w:line="240" w:lineRule="auto"/>
              <w:ind w:right="365"/>
              <w:jc w:val="right"/>
              <w:rPr>
                <w:sz w:val="18"/>
              </w:rPr>
            </w:pPr>
            <w:r>
              <w:rPr>
                <w:sz w:val="18"/>
              </w:rPr>
              <w:t>13 356</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Идальго</w:t>
            </w:r>
          </w:p>
        </w:tc>
        <w:tc>
          <w:tcPr>
            <w:tcW w:w="1943" w:type="dxa"/>
          </w:tcPr>
          <w:p w:rsidR="00000000" w:rsidRDefault="00000000">
            <w:pPr>
              <w:tabs>
                <w:tab w:val="decimal" w:pos="1370"/>
              </w:tabs>
              <w:spacing w:before="80" w:line="240" w:lineRule="auto"/>
              <w:ind w:right="365"/>
              <w:jc w:val="right"/>
              <w:rPr>
                <w:sz w:val="18"/>
              </w:rPr>
            </w:pPr>
            <w:r>
              <w:rPr>
                <w:sz w:val="18"/>
              </w:rPr>
              <w:t>11 753</w:t>
            </w:r>
          </w:p>
        </w:tc>
        <w:tc>
          <w:tcPr>
            <w:tcW w:w="1943" w:type="dxa"/>
          </w:tcPr>
          <w:p w:rsidR="00000000" w:rsidRDefault="00000000">
            <w:pPr>
              <w:tabs>
                <w:tab w:val="decimal" w:pos="1370"/>
              </w:tabs>
              <w:spacing w:before="80" w:line="240" w:lineRule="auto"/>
              <w:ind w:right="365"/>
              <w:jc w:val="right"/>
              <w:rPr>
                <w:sz w:val="18"/>
              </w:rPr>
            </w:pPr>
            <w:r>
              <w:rPr>
                <w:sz w:val="18"/>
              </w:rPr>
              <w:t>8 821</w:t>
            </w:r>
          </w:p>
        </w:tc>
        <w:tc>
          <w:tcPr>
            <w:tcW w:w="1944" w:type="dxa"/>
          </w:tcPr>
          <w:p w:rsidR="00000000" w:rsidRDefault="00000000">
            <w:pPr>
              <w:tabs>
                <w:tab w:val="decimal" w:pos="1407"/>
              </w:tabs>
              <w:spacing w:before="80" w:line="240" w:lineRule="auto"/>
              <w:ind w:right="365"/>
              <w:jc w:val="right"/>
              <w:rPr>
                <w:sz w:val="18"/>
              </w:rPr>
            </w:pPr>
            <w:r>
              <w:rPr>
                <w:sz w:val="18"/>
              </w:rPr>
              <w:t>20 574</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Халиско</w:t>
            </w:r>
          </w:p>
        </w:tc>
        <w:tc>
          <w:tcPr>
            <w:tcW w:w="1943" w:type="dxa"/>
          </w:tcPr>
          <w:p w:rsidR="00000000" w:rsidRDefault="00000000">
            <w:pPr>
              <w:tabs>
                <w:tab w:val="decimal" w:pos="1370"/>
              </w:tabs>
              <w:spacing w:before="80" w:line="240" w:lineRule="auto"/>
              <w:ind w:right="365"/>
              <w:jc w:val="right"/>
              <w:rPr>
                <w:sz w:val="18"/>
              </w:rPr>
            </w:pPr>
            <w:r>
              <w:rPr>
                <w:sz w:val="18"/>
              </w:rPr>
              <w:t>46 723</w:t>
            </w:r>
          </w:p>
        </w:tc>
        <w:tc>
          <w:tcPr>
            <w:tcW w:w="1943" w:type="dxa"/>
          </w:tcPr>
          <w:p w:rsidR="00000000" w:rsidRDefault="00000000">
            <w:pPr>
              <w:tabs>
                <w:tab w:val="decimal" w:pos="1370"/>
              </w:tabs>
              <w:spacing w:before="80" w:line="240" w:lineRule="auto"/>
              <w:ind w:right="365"/>
              <w:jc w:val="right"/>
              <w:rPr>
                <w:sz w:val="18"/>
              </w:rPr>
            </w:pPr>
            <w:r>
              <w:rPr>
                <w:sz w:val="18"/>
              </w:rPr>
              <w:t>25 585</w:t>
            </w:r>
          </w:p>
        </w:tc>
        <w:tc>
          <w:tcPr>
            <w:tcW w:w="1944" w:type="dxa"/>
          </w:tcPr>
          <w:p w:rsidR="00000000" w:rsidRDefault="00000000">
            <w:pPr>
              <w:tabs>
                <w:tab w:val="decimal" w:pos="1407"/>
              </w:tabs>
              <w:spacing w:before="80" w:line="240" w:lineRule="auto"/>
              <w:ind w:right="365"/>
              <w:jc w:val="right"/>
              <w:rPr>
                <w:sz w:val="18"/>
              </w:rPr>
            </w:pPr>
            <w:r>
              <w:rPr>
                <w:sz w:val="18"/>
              </w:rPr>
              <w:t>72 308</w:t>
            </w:r>
          </w:p>
        </w:tc>
      </w:tr>
      <w:tr w:rsidR="00000000">
        <w:tblPrEx>
          <w:tblCellMar>
            <w:top w:w="0" w:type="dxa"/>
            <w:bottom w:w="0" w:type="dxa"/>
          </w:tblCellMar>
        </w:tblPrEx>
        <w:trPr>
          <w:cantSplit/>
        </w:trPr>
        <w:tc>
          <w:tcPr>
            <w:tcW w:w="3581" w:type="dxa"/>
          </w:tcPr>
          <w:p w:rsidR="00000000" w:rsidRDefault="00000000">
            <w:pPr>
              <w:spacing w:before="80" w:line="240" w:lineRule="auto"/>
              <w:rPr>
                <w:sz w:val="18"/>
              </w:rPr>
            </w:pPr>
            <w:r>
              <w:rPr>
                <w:sz w:val="18"/>
              </w:rPr>
              <w:t>Мехико</w:t>
            </w:r>
          </w:p>
        </w:tc>
        <w:tc>
          <w:tcPr>
            <w:tcW w:w="1943" w:type="dxa"/>
          </w:tcPr>
          <w:p w:rsidR="00000000" w:rsidRDefault="00000000">
            <w:pPr>
              <w:tabs>
                <w:tab w:val="decimal" w:pos="1370"/>
              </w:tabs>
              <w:spacing w:before="80" w:line="240" w:lineRule="auto"/>
              <w:ind w:right="365"/>
              <w:jc w:val="right"/>
              <w:rPr>
                <w:sz w:val="18"/>
              </w:rPr>
            </w:pPr>
            <w:r>
              <w:rPr>
                <w:sz w:val="18"/>
              </w:rPr>
              <w:t>148 777</w:t>
            </w:r>
          </w:p>
        </w:tc>
        <w:tc>
          <w:tcPr>
            <w:tcW w:w="1943" w:type="dxa"/>
          </w:tcPr>
          <w:p w:rsidR="00000000" w:rsidRDefault="00000000">
            <w:pPr>
              <w:tabs>
                <w:tab w:val="decimal" w:pos="1370"/>
              </w:tabs>
              <w:spacing w:before="80" w:line="240" w:lineRule="auto"/>
              <w:ind w:right="365"/>
              <w:jc w:val="right"/>
              <w:rPr>
                <w:sz w:val="18"/>
              </w:rPr>
            </w:pPr>
            <w:r>
              <w:rPr>
                <w:sz w:val="18"/>
              </w:rPr>
              <w:t>46 193</w:t>
            </w:r>
          </w:p>
        </w:tc>
        <w:tc>
          <w:tcPr>
            <w:tcW w:w="1944" w:type="dxa"/>
          </w:tcPr>
          <w:p w:rsidR="00000000" w:rsidRDefault="00000000">
            <w:pPr>
              <w:tabs>
                <w:tab w:val="decimal" w:pos="1407"/>
              </w:tabs>
              <w:spacing w:before="80" w:line="240" w:lineRule="auto"/>
              <w:ind w:right="365"/>
              <w:jc w:val="right"/>
              <w:rPr>
                <w:sz w:val="18"/>
              </w:rPr>
            </w:pPr>
            <w:r>
              <w:rPr>
                <w:sz w:val="18"/>
              </w:rPr>
              <w:t>194 970</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Мичоакан-де-Окампо</w:t>
            </w:r>
          </w:p>
        </w:tc>
        <w:tc>
          <w:tcPr>
            <w:tcW w:w="1943" w:type="dxa"/>
          </w:tcPr>
          <w:p w:rsidR="00000000" w:rsidRDefault="00000000">
            <w:pPr>
              <w:tabs>
                <w:tab w:val="decimal" w:pos="1370"/>
              </w:tabs>
              <w:spacing w:before="80" w:line="240" w:lineRule="auto"/>
              <w:ind w:right="365"/>
              <w:jc w:val="right"/>
              <w:rPr>
                <w:sz w:val="18"/>
              </w:rPr>
            </w:pPr>
            <w:r>
              <w:rPr>
                <w:sz w:val="18"/>
              </w:rPr>
              <w:t>2 650</w:t>
            </w:r>
          </w:p>
        </w:tc>
        <w:tc>
          <w:tcPr>
            <w:tcW w:w="1943" w:type="dxa"/>
          </w:tcPr>
          <w:p w:rsidR="00000000" w:rsidRDefault="00000000">
            <w:pPr>
              <w:tabs>
                <w:tab w:val="decimal" w:pos="1370"/>
              </w:tabs>
              <w:spacing w:before="80" w:line="240" w:lineRule="auto"/>
              <w:ind w:right="365"/>
              <w:jc w:val="right"/>
              <w:rPr>
                <w:sz w:val="18"/>
              </w:rPr>
            </w:pPr>
            <w:r>
              <w:rPr>
                <w:sz w:val="18"/>
              </w:rPr>
              <w:t>6 301</w:t>
            </w:r>
          </w:p>
        </w:tc>
        <w:tc>
          <w:tcPr>
            <w:tcW w:w="1944" w:type="dxa"/>
          </w:tcPr>
          <w:p w:rsidR="00000000" w:rsidRDefault="00000000">
            <w:pPr>
              <w:tabs>
                <w:tab w:val="decimal" w:pos="1407"/>
              </w:tabs>
              <w:spacing w:before="80" w:line="240" w:lineRule="auto"/>
              <w:ind w:right="365"/>
              <w:jc w:val="right"/>
              <w:rPr>
                <w:sz w:val="18"/>
              </w:rPr>
            </w:pPr>
            <w:r>
              <w:rPr>
                <w:sz w:val="18"/>
              </w:rPr>
              <w:t>8 951</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Морелос</w:t>
            </w:r>
          </w:p>
        </w:tc>
        <w:tc>
          <w:tcPr>
            <w:tcW w:w="1943" w:type="dxa"/>
          </w:tcPr>
          <w:p w:rsidR="00000000" w:rsidRDefault="00000000">
            <w:pPr>
              <w:tabs>
                <w:tab w:val="decimal" w:pos="1370"/>
              </w:tabs>
              <w:spacing w:before="80" w:line="240" w:lineRule="auto"/>
              <w:ind w:right="365"/>
              <w:jc w:val="right"/>
              <w:rPr>
                <w:sz w:val="18"/>
              </w:rPr>
            </w:pPr>
            <w:r>
              <w:rPr>
                <w:sz w:val="18"/>
              </w:rPr>
              <w:t>13 211</w:t>
            </w:r>
          </w:p>
        </w:tc>
        <w:tc>
          <w:tcPr>
            <w:tcW w:w="1943" w:type="dxa"/>
          </w:tcPr>
          <w:p w:rsidR="00000000" w:rsidRDefault="00000000">
            <w:pPr>
              <w:tabs>
                <w:tab w:val="decimal" w:pos="1370"/>
              </w:tabs>
              <w:spacing w:before="80" w:line="240" w:lineRule="auto"/>
              <w:ind w:right="365"/>
              <w:jc w:val="right"/>
              <w:rPr>
                <w:sz w:val="18"/>
              </w:rPr>
            </w:pPr>
            <w:r>
              <w:rPr>
                <w:sz w:val="18"/>
              </w:rPr>
              <w:t>6 248</w:t>
            </w:r>
          </w:p>
        </w:tc>
        <w:tc>
          <w:tcPr>
            <w:tcW w:w="1944" w:type="dxa"/>
          </w:tcPr>
          <w:p w:rsidR="00000000" w:rsidRDefault="00000000">
            <w:pPr>
              <w:tabs>
                <w:tab w:val="decimal" w:pos="1407"/>
              </w:tabs>
              <w:spacing w:before="80" w:line="240" w:lineRule="auto"/>
              <w:ind w:right="365"/>
              <w:jc w:val="right"/>
              <w:rPr>
                <w:sz w:val="18"/>
              </w:rPr>
            </w:pPr>
            <w:r>
              <w:rPr>
                <w:sz w:val="18"/>
              </w:rPr>
              <w:t>19 459</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Наярит</w:t>
            </w:r>
          </w:p>
        </w:tc>
        <w:tc>
          <w:tcPr>
            <w:tcW w:w="1943" w:type="dxa"/>
          </w:tcPr>
          <w:p w:rsidR="00000000" w:rsidRDefault="00000000">
            <w:pPr>
              <w:tabs>
                <w:tab w:val="decimal" w:pos="1370"/>
              </w:tabs>
              <w:spacing w:before="80" w:line="240" w:lineRule="auto"/>
              <w:ind w:right="365"/>
              <w:jc w:val="right"/>
              <w:rPr>
                <w:sz w:val="18"/>
              </w:rPr>
            </w:pPr>
            <w:r>
              <w:rPr>
                <w:sz w:val="18"/>
              </w:rPr>
              <w:t>2 788</w:t>
            </w:r>
          </w:p>
        </w:tc>
        <w:tc>
          <w:tcPr>
            <w:tcW w:w="1943" w:type="dxa"/>
          </w:tcPr>
          <w:p w:rsidR="00000000" w:rsidRDefault="00000000">
            <w:pPr>
              <w:tabs>
                <w:tab w:val="decimal" w:pos="1370"/>
              </w:tabs>
              <w:spacing w:before="80" w:line="240" w:lineRule="auto"/>
              <w:ind w:right="365"/>
              <w:jc w:val="right"/>
              <w:rPr>
                <w:sz w:val="18"/>
              </w:rPr>
            </w:pPr>
            <w:r>
              <w:rPr>
                <w:sz w:val="18"/>
              </w:rPr>
              <w:t>3 607</w:t>
            </w:r>
          </w:p>
        </w:tc>
        <w:tc>
          <w:tcPr>
            <w:tcW w:w="1944" w:type="dxa"/>
          </w:tcPr>
          <w:p w:rsidR="00000000" w:rsidRDefault="00000000">
            <w:pPr>
              <w:tabs>
                <w:tab w:val="decimal" w:pos="1407"/>
              </w:tabs>
              <w:spacing w:before="80" w:line="240" w:lineRule="auto"/>
              <w:ind w:right="365"/>
              <w:jc w:val="right"/>
              <w:rPr>
                <w:sz w:val="18"/>
              </w:rPr>
            </w:pPr>
            <w:r>
              <w:rPr>
                <w:sz w:val="18"/>
              </w:rPr>
              <w:t>6 395</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Нуэво-Леон</w:t>
            </w:r>
          </w:p>
        </w:tc>
        <w:tc>
          <w:tcPr>
            <w:tcW w:w="1943" w:type="dxa"/>
          </w:tcPr>
          <w:p w:rsidR="00000000" w:rsidRDefault="00000000">
            <w:pPr>
              <w:tabs>
                <w:tab w:val="decimal" w:pos="1370"/>
              </w:tabs>
              <w:spacing w:before="80" w:line="240" w:lineRule="auto"/>
              <w:ind w:right="365"/>
              <w:jc w:val="right"/>
              <w:rPr>
                <w:sz w:val="18"/>
              </w:rPr>
            </w:pPr>
            <w:r>
              <w:rPr>
                <w:sz w:val="18"/>
              </w:rPr>
              <w:t>30 752</w:t>
            </w:r>
          </w:p>
        </w:tc>
        <w:tc>
          <w:tcPr>
            <w:tcW w:w="1943" w:type="dxa"/>
          </w:tcPr>
          <w:p w:rsidR="00000000" w:rsidRDefault="00000000">
            <w:pPr>
              <w:tabs>
                <w:tab w:val="decimal" w:pos="1370"/>
              </w:tabs>
              <w:spacing w:before="80" w:line="240" w:lineRule="auto"/>
              <w:ind w:right="365"/>
              <w:jc w:val="right"/>
              <w:rPr>
                <w:sz w:val="18"/>
              </w:rPr>
            </w:pPr>
            <w:r>
              <w:rPr>
                <w:sz w:val="18"/>
              </w:rPr>
              <w:t>15 873</w:t>
            </w:r>
          </w:p>
        </w:tc>
        <w:tc>
          <w:tcPr>
            <w:tcW w:w="1944" w:type="dxa"/>
          </w:tcPr>
          <w:p w:rsidR="00000000" w:rsidRDefault="00000000">
            <w:pPr>
              <w:tabs>
                <w:tab w:val="decimal" w:pos="1407"/>
              </w:tabs>
              <w:spacing w:before="80" w:line="240" w:lineRule="auto"/>
              <w:ind w:right="365"/>
              <w:jc w:val="right"/>
              <w:rPr>
                <w:sz w:val="18"/>
              </w:rPr>
            </w:pPr>
            <w:r>
              <w:rPr>
                <w:sz w:val="18"/>
              </w:rPr>
              <w:t>46 625</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Оахака</w:t>
            </w:r>
          </w:p>
        </w:tc>
        <w:tc>
          <w:tcPr>
            <w:tcW w:w="1943" w:type="dxa"/>
          </w:tcPr>
          <w:p w:rsidR="00000000" w:rsidRDefault="00000000">
            <w:pPr>
              <w:tabs>
                <w:tab w:val="decimal" w:pos="1407"/>
              </w:tabs>
              <w:spacing w:before="80" w:line="240" w:lineRule="auto"/>
              <w:ind w:right="365"/>
              <w:jc w:val="right"/>
              <w:rPr>
                <w:sz w:val="18"/>
              </w:rPr>
            </w:pPr>
            <w:r>
              <w:rPr>
                <w:sz w:val="18"/>
              </w:rPr>
              <w:t>14 864</w:t>
            </w:r>
          </w:p>
        </w:tc>
        <w:tc>
          <w:tcPr>
            <w:tcW w:w="1943" w:type="dxa"/>
          </w:tcPr>
          <w:p w:rsidR="00000000" w:rsidRDefault="00000000">
            <w:pPr>
              <w:tabs>
                <w:tab w:val="decimal" w:pos="1407"/>
              </w:tabs>
              <w:spacing w:before="80" w:line="240" w:lineRule="auto"/>
              <w:ind w:right="365"/>
              <w:jc w:val="right"/>
              <w:rPr>
                <w:sz w:val="18"/>
              </w:rPr>
            </w:pPr>
            <w:r>
              <w:rPr>
                <w:sz w:val="18"/>
              </w:rPr>
              <w:t>13 883</w:t>
            </w:r>
          </w:p>
        </w:tc>
        <w:tc>
          <w:tcPr>
            <w:tcW w:w="1944" w:type="dxa"/>
          </w:tcPr>
          <w:p w:rsidR="00000000" w:rsidRDefault="00000000">
            <w:pPr>
              <w:tabs>
                <w:tab w:val="decimal" w:pos="1407"/>
              </w:tabs>
              <w:spacing w:before="80" w:line="240" w:lineRule="auto"/>
              <w:ind w:right="365"/>
              <w:jc w:val="right"/>
              <w:rPr>
                <w:sz w:val="18"/>
              </w:rPr>
            </w:pPr>
            <w:r>
              <w:rPr>
                <w:sz w:val="18"/>
              </w:rPr>
              <w:t>28 747</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Пуэбла</w:t>
            </w:r>
          </w:p>
        </w:tc>
        <w:tc>
          <w:tcPr>
            <w:tcW w:w="1943" w:type="dxa"/>
          </w:tcPr>
          <w:p w:rsidR="00000000" w:rsidRDefault="00000000">
            <w:pPr>
              <w:tabs>
                <w:tab w:val="decimal" w:pos="1407"/>
              </w:tabs>
              <w:spacing w:before="80" w:line="240" w:lineRule="auto"/>
              <w:ind w:right="365"/>
              <w:jc w:val="right"/>
              <w:rPr>
                <w:sz w:val="18"/>
              </w:rPr>
            </w:pPr>
            <w:r>
              <w:rPr>
                <w:sz w:val="18"/>
              </w:rPr>
              <w:t>35 063</w:t>
            </w:r>
          </w:p>
        </w:tc>
        <w:tc>
          <w:tcPr>
            <w:tcW w:w="1943" w:type="dxa"/>
          </w:tcPr>
          <w:p w:rsidR="00000000" w:rsidRDefault="00000000">
            <w:pPr>
              <w:tabs>
                <w:tab w:val="decimal" w:pos="1407"/>
              </w:tabs>
              <w:spacing w:before="80" w:line="240" w:lineRule="auto"/>
              <w:ind w:right="365"/>
              <w:jc w:val="right"/>
              <w:rPr>
                <w:sz w:val="18"/>
              </w:rPr>
            </w:pPr>
            <w:r>
              <w:rPr>
                <w:sz w:val="18"/>
              </w:rPr>
              <w:t>19 926</w:t>
            </w:r>
          </w:p>
        </w:tc>
        <w:tc>
          <w:tcPr>
            <w:tcW w:w="1944" w:type="dxa"/>
          </w:tcPr>
          <w:p w:rsidR="00000000" w:rsidRDefault="00000000">
            <w:pPr>
              <w:tabs>
                <w:tab w:val="decimal" w:pos="1407"/>
              </w:tabs>
              <w:spacing w:before="80" w:line="240" w:lineRule="auto"/>
              <w:ind w:right="365"/>
              <w:jc w:val="right"/>
              <w:rPr>
                <w:sz w:val="18"/>
              </w:rPr>
            </w:pPr>
            <w:r>
              <w:rPr>
                <w:sz w:val="18"/>
              </w:rPr>
              <w:t>54 989</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Керетаро-де-Артеага</w:t>
            </w:r>
          </w:p>
        </w:tc>
        <w:tc>
          <w:tcPr>
            <w:tcW w:w="1943" w:type="dxa"/>
          </w:tcPr>
          <w:p w:rsidR="00000000" w:rsidRDefault="00000000">
            <w:pPr>
              <w:tabs>
                <w:tab w:val="decimal" w:pos="1407"/>
              </w:tabs>
              <w:spacing w:before="80" w:line="240" w:lineRule="auto"/>
              <w:ind w:right="365"/>
              <w:jc w:val="right"/>
              <w:rPr>
                <w:sz w:val="18"/>
              </w:rPr>
            </w:pPr>
            <w:r>
              <w:rPr>
                <w:sz w:val="18"/>
              </w:rPr>
              <w:t>12 375</w:t>
            </w:r>
          </w:p>
        </w:tc>
        <w:tc>
          <w:tcPr>
            <w:tcW w:w="1943" w:type="dxa"/>
          </w:tcPr>
          <w:p w:rsidR="00000000" w:rsidRDefault="00000000">
            <w:pPr>
              <w:tabs>
                <w:tab w:val="decimal" w:pos="1407"/>
              </w:tabs>
              <w:spacing w:before="80" w:line="240" w:lineRule="auto"/>
              <w:ind w:right="365"/>
              <w:jc w:val="right"/>
              <w:rPr>
                <w:sz w:val="18"/>
              </w:rPr>
            </w:pPr>
            <w:r>
              <w:rPr>
                <w:sz w:val="18"/>
              </w:rPr>
              <w:t>5 028</w:t>
            </w:r>
          </w:p>
        </w:tc>
        <w:tc>
          <w:tcPr>
            <w:tcW w:w="1944" w:type="dxa"/>
          </w:tcPr>
          <w:p w:rsidR="00000000" w:rsidRDefault="00000000">
            <w:pPr>
              <w:tabs>
                <w:tab w:val="decimal" w:pos="1407"/>
              </w:tabs>
              <w:spacing w:before="80" w:line="240" w:lineRule="auto"/>
              <w:ind w:right="365"/>
              <w:jc w:val="right"/>
              <w:rPr>
                <w:sz w:val="18"/>
              </w:rPr>
            </w:pPr>
            <w:r>
              <w:rPr>
                <w:sz w:val="18"/>
              </w:rPr>
              <w:t>17 403</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Кинтана Роо</w:t>
            </w:r>
          </w:p>
        </w:tc>
        <w:tc>
          <w:tcPr>
            <w:tcW w:w="1943" w:type="dxa"/>
          </w:tcPr>
          <w:p w:rsidR="00000000" w:rsidRDefault="00000000">
            <w:pPr>
              <w:tabs>
                <w:tab w:val="decimal" w:pos="1407"/>
              </w:tabs>
              <w:spacing w:before="80" w:line="240" w:lineRule="auto"/>
              <w:ind w:right="365"/>
              <w:jc w:val="right"/>
              <w:rPr>
                <w:sz w:val="18"/>
              </w:rPr>
            </w:pPr>
            <w:r>
              <w:rPr>
                <w:sz w:val="18"/>
              </w:rPr>
              <w:t>19 953</w:t>
            </w:r>
          </w:p>
        </w:tc>
        <w:tc>
          <w:tcPr>
            <w:tcW w:w="1943" w:type="dxa"/>
          </w:tcPr>
          <w:p w:rsidR="00000000" w:rsidRDefault="00000000">
            <w:pPr>
              <w:tabs>
                <w:tab w:val="decimal" w:pos="1407"/>
              </w:tabs>
              <w:spacing w:before="80" w:line="240" w:lineRule="auto"/>
              <w:ind w:right="365"/>
              <w:jc w:val="right"/>
              <w:rPr>
                <w:sz w:val="18"/>
              </w:rPr>
            </w:pPr>
            <w:r>
              <w:rPr>
                <w:sz w:val="18"/>
              </w:rPr>
              <w:t>3 007</w:t>
            </w:r>
          </w:p>
        </w:tc>
        <w:tc>
          <w:tcPr>
            <w:tcW w:w="1944" w:type="dxa"/>
          </w:tcPr>
          <w:p w:rsidR="00000000" w:rsidRDefault="00000000">
            <w:pPr>
              <w:tabs>
                <w:tab w:val="decimal" w:pos="1407"/>
              </w:tabs>
              <w:spacing w:before="80" w:line="240" w:lineRule="auto"/>
              <w:ind w:right="365"/>
              <w:jc w:val="right"/>
              <w:rPr>
                <w:sz w:val="18"/>
              </w:rPr>
            </w:pPr>
            <w:r>
              <w:rPr>
                <w:sz w:val="18"/>
              </w:rPr>
              <w:t>22 960</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Сан-Луис-Потоси</w:t>
            </w:r>
          </w:p>
        </w:tc>
        <w:tc>
          <w:tcPr>
            <w:tcW w:w="1943" w:type="dxa"/>
          </w:tcPr>
          <w:p w:rsidR="00000000" w:rsidRDefault="00000000">
            <w:pPr>
              <w:tabs>
                <w:tab w:val="decimal" w:pos="1407"/>
              </w:tabs>
              <w:spacing w:before="80" w:line="240" w:lineRule="auto"/>
              <w:ind w:right="365"/>
              <w:jc w:val="right"/>
              <w:rPr>
                <w:sz w:val="18"/>
              </w:rPr>
            </w:pPr>
            <w:r>
              <w:rPr>
                <w:sz w:val="18"/>
              </w:rPr>
              <w:t>11 177</w:t>
            </w:r>
          </w:p>
        </w:tc>
        <w:tc>
          <w:tcPr>
            <w:tcW w:w="1943" w:type="dxa"/>
          </w:tcPr>
          <w:p w:rsidR="00000000" w:rsidRDefault="00000000">
            <w:pPr>
              <w:tabs>
                <w:tab w:val="decimal" w:pos="1407"/>
              </w:tabs>
              <w:spacing w:before="80" w:line="240" w:lineRule="auto"/>
              <w:ind w:right="365"/>
              <w:jc w:val="right"/>
              <w:rPr>
                <w:sz w:val="18"/>
              </w:rPr>
            </w:pPr>
            <w:r>
              <w:rPr>
                <w:sz w:val="18"/>
              </w:rPr>
              <w:t>9 068</w:t>
            </w:r>
          </w:p>
        </w:tc>
        <w:tc>
          <w:tcPr>
            <w:tcW w:w="1944" w:type="dxa"/>
          </w:tcPr>
          <w:p w:rsidR="00000000" w:rsidRDefault="00000000">
            <w:pPr>
              <w:tabs>
                <w:tab w:val="decimal" w:pos="1407"/>
              </w:tabs>
              <w:spacing w:before="80" w:line="240" w:lineRule="auto"/>
              <w:ind w:right="365"/>
              <w:jc w:val="right"/>
              <w:rPr>
                <w:sz w:val="18"/>
              </w:rPr>
            </w:pPr>
            <w:r>
              <w:rPr>
                <w:sz w:val="18"/>
              </w:rPr>
              <w:t>20 245</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Синалоа</w:t>
            </w:r>
          </w:p>
        </w:tc>
        <w:tc>
          <w:tcPr>
            <w:tcW w:w="1943" w:type="dxa"/>
          </w:tcPr>
          <w:p w:rsidR="00000000" w:rsidRDefault="00000000">
            <w:pPr>
              <w:tabs>
                <w:tab w:val="decimal" w:pos="1407"/>
              </w:tabs>
              <w:spacing w:before="80" w:line="240" w:lineRule="auto"/>
              <w:ind w:right="365"/>
              <w:jc w:val="right"/>
              <w:rPr>
                <w:sz w:val="18"/>
              </w:rPr>
            </w:pPr>
            <w:r>
              <w:rPr>
                <w:sz w:val="18"/>
              </w:rPr>
              <w:t>10 919</w:t>
            </w:r>
          </w:p>
        </w:tc>
        <w:tc>
          <w:tcPr>
            <w:tcW w:w="1943" w:type="dxa"/>
          </w:tcPr>
          <w:p w:rsidR="00000000" w:rsidRDefault="00000000">
            <w:pPr>
              <w:tabs>
                <w:tab w:val="decimal" w:pos="1407"/>
              </w:tabs>
              <w:spacing w:before="80" w:line="240" w:lineRule="auto"/>
              <w:ind w:right="365"/>
              <w:jc w:val="right"/>
              <w:rPr>
                <w:sz w:val="18"/>
              </w:rPr>
            </w:pPr>
            <w:r>
              <w:rPr>
                <w:sz w:val="18"/>
              </w:rPr>
              <w:t>9 964</w:t>
            </w:r>
          </w:p>
        </w:tc>
        <w:tc>
          <w:tcPr>
            <w:tcW w:w="1944" w:type="dxa"/>
          </w:tcPr>
          <w:p w:rsidR="00000000" w:rsidRDefault="00000000">
            <w:pPr>
              <w:tabs>
                <w:tab w:val="decimal" w:pos="1407"/>
              </w:tabs>
              <w:spacing w:before="80" w:line="240" w:lineRule="auto"/>
              <w:ind w:right="365"/>
              <w:jc w:val="right"/>
              <w:rPr>
                <w:sz w:val="18"/>
              </w:rPr>
            </w:pPr>
            <w:r>
              <w:rPr>
                <w:sz w:val="18"/>
              </w:rPr>
              <w:t>20 883</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Сонора</w:t>
            </w:r>
          </w:p>
        </w:tc>
        <w:tc>
          <w:tcPr>
            <w:tcW w:w="1943" w:type="dxa"/>
          </w:tcPr>
          <w:p w:rsidR="00000000" w:rsidRDefault="00000000">
            <w:pPr>
              <w:tabs>
                <w:tab w:val="decimal" w:pos="1407"/>
              </w:tabs>
              <w:spacing w:before="80" w:line="240" w:lineRule="auto"/>
              <w:ind w:right="365"/>
              <w:jc w:val="right"/>
              <w:rPr>
                <w:sz w:val="18"/>
              </w:rPr>
            </w:pPr>
            <w:r>
              <w:rPr>
                <w:sz w:val="18"/>
              </w:rPr>
              <w:t>18 753</w:t>
            </w:r>
          </w:p>
        </w:tc>
        <w:tc>
          <w:tcPr>
            <w:tcW w:w="1943" w:type="dxa"/>
          </w:tcPr>
          <w:p w:rsidR="00000000" w:rsidRDefault="00000000">
            <w:pPr>
              <w:tabs>
                <w:tab w:val="decimal" w:pos="1407"/>
              </w:tabs>
              <w:spacing w:before="80" w:line="240" w:lineRule="auto"/>
              <w:ind w:right="365"/>
              <w:jc w:val="right"/>
              <w:rPr>
                <w:sz w:val="18"/>
              </w:rPr>
            </w:pPr>
            <w:r>
              <w:rPr>
                <w:sz w:val="18"/>
              </w:rPr>
              <w:t>9 867</w:t>
            </w:r>
          </w:p>
        </w:tc>
        <w:tc>
          <w:tcPr>
            <w:tcW w:w="1944" w:type="dxa"/>
          </w:tcPr>
          <w:p w:rsidR="00000000" w:rsidRDefault="00000000">
            <w:pPr>
              <w:tabs>
                <w:tab w:val="decimal" w:pos="1407"/>
              </w:tabs>
              <w:spacing w:before="80" w:line="240" w:lineRule="auto"/>
              <w:ind w:right="365"/>
              <w:jc w:val="right"/>
              <w:rPr>
                <w:sz w:val="18"/>
              </w:rPr>
            </w:pPr>
            <w:r>
              <w:rPr>
                <w:sz w:val="18"/>
              </w:rPr>
              <w:t>28 620</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Табаско</w:t>
            </w:r>
          </w:p>
        </w:tc>
        <w:tc>
          <w:tcPr>
            <w:tcW w:w="1943" w:type="dxa"/>
          </w:tcPr>
          <w:p w:rsidR="00000000" w:rsidRDefault="00000000">
            <w:pPr>
              <w:tabs>
                <w:tab w:val="decimal" w:pos="1407"/>
              </w:tabs>
              <w:spacing w:before="80" w:line="240" w:lineRule="auto"/>
              <w:ind w:right="365"/>
              <w:jc w:val="right"/>
              <w:rPr>
                <w:sz w:val="18"/>
              </w:rPr>
            </w:pPr>
            <w:r>
              <w:rPr>
                <w:sz w:val="18"/>
              </w:rPr>
              <w:t>14 667</w:t>
            </w:r>
          </w:p>
        </w:tc>
        <w:tc>
          <w:tcPr>
            <w:tcW w:w="1943" w:type="dxa"/>
          </w:tcPr>
          <w:p w:rsidR="00000000" w:rsidRDefault="00000000">
            <w:pPr>
              <w:tabs>
                <w:tab w:val="decimal" w:pos="1407"/>
              </w:tabs>
              <w:spacing w:before="80" w:line="240" w:lineRule="auto"/>
              <w:ind w:right="365"/>
              <w:jc w:val="right"/>
              <w:rPr>
                <w:sz w:val="18"/>
              </w:rPr>
            </w:pPr>
            <w:r>
              <w:rPr>
                <w:sz w:val="18"/>
              </w:rPr>
              <w:t>7 485</w:t>
            </w:r>
          </w:p>
        </w:tc>
        <w:tc>
          <w:tcPr>
            <w:tcW w:w="1944" w:type="dxa"/>
          </w:tcPr>
          <w:p w:rsidR="00000000" w:rsidRDefault="00000000">
            <w:pPr>
              <w:tabs>
                <w:tab w:val="decimal" w:pos="1407"/>
              </w:tabs>
              <w:spacing w:before="80" w:line="240" w:lineRule="auto"/>
              <w:ind w:right="365"/>
              <w:jc w:val="right"/>
              <w:rPr>
                <w:sz w:val="18"/>
              </w:rPr>
            </w:pPr>
            <w:r>
              <w:rPr>
                <w:sz w:val="18"/>
              </w:rPr>
              <w:t>22 152</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Тамаулипас</w:t>
            </w:r>
          </w:p>
        </w:tc>
        <w:tc>
          <w:tcPr>
            <w:tcW w:w="1943" w:type="dxa"/>
          </w:tcPr>
          <w:p w:rsidR="00000000" w:rsidRDefault="00000000">
            <w:pPr>
              <w:tabs>
                <w:tab w:val="decimal" w:pos="1407"/>
              </w:tabs>
              <w:spacing w:before="80" w:line="240" w:lineRule="auto"/>
              <w:ind w:right="365"/>
              <w:jc w:val="right"/>
              <w:rPr>
                <w:sz w:val="18"/>
              </w:rPr>
            </w:pPr>
            <w:r>
              <w:rPr>
                <w:sz w:val="18"/>
              </w:rPr>
              <w:t>23 253</w:t>
            </w:r>
          </w:p>
        </w:tc>
        <w:tc>
          <w:tcPr>
            <w:tcW w:w="1943" w:type="dxa"/>
          </w:tcPr>
          <w:p w:rsidR="00000000" w:rsidRDefault="00000000">
            <w:pPr>
              <w:tabs>
                <w:tab w:val="decimal" w:pos="1407"/>
              </w:tabs>
              <w:spacing w:before="80" w:line="240" w:lineRule="auto"/>
              <w:ind w:right="365"/>
              <w:jc w:val="right"/>
              <w:rPr>
                <w:sz w:val="18"/>
              </w:rPr>
            </w:pPr>
            <w:r>
              <w:rPr>
                <w:sz w:val="18"/>
              </w:rPr>
              <w:t>12 881</w:t>
            </w:r>
          </w:p>
        </w:tc>
        <w:tc>
          <w:tcPr>
            <w:tcW w:w="1944" w:type="dxa"/>
          </w:tcPr>
          <w:p w:rsidR="00000000" w:rsidRDefault="00000000">
            <w:pPr>
              <w:tabs>
                <w:tab w:val="decimal" w:pos="1407"/>
              </w:tabs>
              <w:spacing w:before="80" w:line="240" w:lineRule="auto"/>
              <w:ind w:right="365"/>
              <w:jc w:val="right"/>
              <w:rPr>
                <w:sz w:val="18"/>
              </w:rPr>
            </w:pPr>
            <w:r>
              <w:rPr>
                <w:sz w:val="18"/>
              </w:rPr>
              <w:t>36 134</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Тласкала</w:t>
            </w:r>
          </w:p>
        </w:tc>
        <w:tc>
          <w:tcPr>
            <w:tcW w:w="1943" w:type="dxa"/>
          </w:tcPr>
          <w:p w:rsidR="00000000" w:rsidRDefault="00000000">
            <w:pPr>
              <w:tabs>
                <w:tab w:val="decimal" w:pos="1407"/>
              </w:tabs>
              <w:spacing w:before="80" w:line="240" w:lineRule="auto"/>
              <w:ind w:right="365"/>
              <w:jc w:val="right"/>
              <w:rPr>
                <w:sz w:val="18"/>
              </w:rPr>
            </w:pPr>
            <w:r>
              <w:rPr>
                <w:sz w:val="18"/>
              </w:rPr>
              <w:t>8 411</w:t>
            </w:r>
          </w:p>
        </w:tc>
        <w:tc>
          <w:tcPr>
            <w:tcW w:w="1943" w:type="dxa"/>
          </w:tcPr>
          <w:p w:rsidR="00000000" w:rsidRDefault="00000000">
            <w:pPr>
              <w:tabs>
                <w:tab w:val="decimal" w:pos="1407"/>
              </w:tabs>
              <w:spacing w:before="80" w:line="240" w:lineRule="auto"/>
              <w:ind w:right="365"/>
              <w:jc w:val="right"/>
              <w:rPr>
                <w:sz w:val="18"/>
              </w:rPr>
            </w:pPr>
            <w:r>
              <w:rPr>
                <w:sz w:val="18"/>
              </w:rPr>
              <w:t>3 777</w:t>
            </w:r>
          </w:p>
        </w:tc>
        <w:tc>
          <w:tcPr>
            <w:tcW w:w="1944" w:type="dxa"/>
          </w:tcPr>
          <w:p w:rsidR="00000000" w:rsidRDefault="00000000">
            <w:pPr>
              <w:tabs>
                <w:tab w:val="decimal" w:pos="1407"/>
              </w:tabs>
              <w:spacing w:before="80" w:line="240" w:lineRule="auto"/>
              <w:ind w:right="365"/>
              <w:jc w:val="right"/>
              <w:rPr>
                <w:sz w:val="18"/>
              </w:rPr>
            </w:pPr>
            <w:r>
              <w:rPr>
                <w:sz w:val="18"/>
              </w:rPr>
              <w:t>12 188</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Веракрус-Льяве</w:t>
            </w:r>
          </w:p>
        </w:tc>
        <w:tc>
          <w:tcPr>
            <w:tcW w:w="1943" w:type="dxa"/>
          </w:tcPr>
          <w:p w:rsidR="00000000" w:rsidRDefault="00000000">
            <w:pPr>
              <w:tabs>
                <w:tab w:val="decimal" w:pos="1407"/>
              </w:tabs>
              <w:spacing w:before="80" w:line="240" w:lineRule="auto"/>
              <w:ind w:right="365"/>
              <w:jc w:val="right"/>
              <w:rPr>
                <w:sz w:val="18"/>
              </w:rPr>
            </w:pPr>
            <w:r>
              <w:rPr>
                <w:sz w:val="18"/>
              </w:rPr>
              <w:t>49 336</w:t>
            </w:r>
          </w:p>
        </w:tc>
        <w:tc>
          <w:tcPr>
            <w:tcW w:w="1943" w:type="dxa"/>
          </w:tcPr>
          <w:p w:rsidR="00000000" w:rsidRDefault="00000000">
            <w:pPr>
              <w:tabs>
                <w:tab w:val="decimal" w:pos="1407"/>
              </w:tabs>
              <w:spacing w:before="80" w:line="240" w:lineRule="auto"/>
              <w:ind w:right="365"/>
              <w:jc w:val="right"/>
              <w:rPr>
                <w:sz w:val="18"/>
              </w:rPr>
            </w:pPr>
            <w:r>
              <w:rPr>
                <w:sz w:val="18"/>
              </w:rPr>
              <w:t>32 823</w:t>
            </w:r>
          </w:p>
        </w:tc>
        <w:tc>
          <w:tcPr>
            <w:tcW w:w="1944" w:type="dxa"/>
          </w:tcPr>
          <w:p w:rsidR="00000000" w:rsidRDefault="00000000">
            <w:pPr>
              <w:tabs>
                <w:tab w:val="decimal" w:pos="1407"/>
              </w:tabs>
              <w:spacing w:before="80" w:line="240" w:lineRule="auto"/>
              <w:ind w:right="365"/>
              <w:jc w:val="right"/>
              <w:rPr>
                <w:sz w:val="18"/>
              </w:rPr>
            </w:pPr>
            <w:r>
              <w:rPr>
                <w:sz w:val="18"/>
              </w:rPr>
              <w:t>82 159</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Юкатан</w:t>
            </w:r>
          </w:p>
        </w:tc>
        <w:tc>
          <w:tcPr>
            <w:tcW w:w="1943" w:type="dxa"/>
          </w:tcPr>
          <w:p w:rsidR="00000000" w:rsidRDefault="00000000">
            <w:pPr>
              <w:tabs>
                <w:tab w:val="decimal" w:pos="1407"/>
              </w:tabs>
              <w:spacing w:before="80" w:line="240" w:lineRule="auto"/>
              <w:ind w:right="365"/>
              <w:jc w:val="right"/>
              <w:rPr>
                <w:sz w:val="18"/>
              </w:rPr>
            </w:pPr>
            <w:r>
              <w:rPr>
                <w:sz w:val="18"/>
              </w:rPr>
              <w:t>11 489</w:t>
            </w:r>
          </w:p>
        </w:tc>
        <w:tc>
          <w:tcPr>
            <w:tcW w:w="1943" w:type="dxa"/>
          </w:tcPr>
          <w:p w:rsidR="00000000" w:rsidRDefault="00000000">
            <w:pPr>
              <w:tabs>
                <w:tab w:val="decimal" w:pos="1407"/>
              </w:tabs>
              <w:spacing w:before="80" w:line="240" w:lineRule="auto"/>
              <w:ind w:right="365"/>
              <w:jc w:val="right"/>
              <w:rPr>
                <w:sz w:val="18"/>
              </w:rPr>
            </w:pPr>
            <w:r>
              <w:rPr>
                <w:sz w:val="18"/>
              </w:rPr>
              <w:t>7 106</w:t>
            </w:r>
          </w:p>
        </w:tc>
        <w:tc>
          <w:tcPr>
            <w:tcW w:w="1944" w:type="dxa"/>
          </w:tcPr>
          <w:p w:rsidR="00000000" w:rsidRDefault="00000000">
            <w:pPr>
              <w:tabs>
                <w:tab w:val="decimal" w:pos="1407"/>
              </w:tabs>
              <w:spacing w:before="80" w:line="240" w:lineRule="auto"/>
              <w:ind w:right="365"/>
              <w:jc w:val="right"/>
              <w:rPr>
                <w:sz w:val="18"/>
              </w:rPr>
            </w:pPr>
            <w:r>
              <w:rPr>
                <w:sz w:val="18"/>
              </w:rPr>
              <w:t>18 595</w:t>
            </w:r>
          </w:p>
        </w:tc>
      </w:tr>
      <w:tr w:rsidR="00000000">
        <w:tblPrEx>
          <w:tblCellMar>
            <w:top w:w="0" w:type="dxa"/>
            <w:bottom w:w="0" w:type="dxa"/>
          </w:tblCellMar>
        </w:tblPrEx>
        <w:trPr>
          <w:cantSplit/>
        </w:trPr>
        <w:tc>
          <w:tcPr>
            <w:tcW w:w="3581" w:type="dxa"/>
          </w:tcPr>
          <w:p w:rsidR="00000000" w:rsidRDefault="00000000">
            <w:pPr>
              <w:spacing w:before="80" w:line="240" w:lineRule="auto"/>
              <w:rPr>
                <w:bCs/>
                <w:sz w:val="18"/>
              </w:rPr>
            </w:pPr>
            <w:r>
              <w:rPr>
                <w:bCs/>
                <w:sz w:val="18"/>
              </w:rPr>
              <w:t>Сакатекас</w:t>
            </w:r>
          </w:p>
        </w:tc>
        <w:tc>
          <w:tcPr>
            <w:tcW w:w="1943" w:type="dxa"/>
          </w:tcPr>
          <w:p w:rsidR="00000000" w:rsidRDefault="00000000">
            <w:pPr>
              <w:tabs>
                <w:tab w:val="decimal" w:pos="1407"/>
              </w:tabs>
              <w:spacing w:before="80" w:line="240" w:lineRule="auto"/>
              <w:ind w:right="365"/>
              <w:jc w:val="right"/>
              <w:rPr>
                <w:sz w:val="18"/>
              </w:rPr>
            </w:pPr>
            <w:r>
              <w:rPr>
                <w:sz w:val="18"/>
              </w:rPr>
              <w:t>550</w:t>
            </w:r>
          </w:p>
        </w:tc>
        <w:tc>
          <w:tcPr>
            <w:tcW w:w="1943" w:type="dxa"/>
          </w:tcPr>
          <w:p w:rsidR="00000000" w:rsidRDefault="00000000">
            <w:pPr>
              <w:tabs>
                <w:tab w:val="decimal" w:pos="1407"/>
              </w:tabs>
              <w:spacing w:before="80" w:line="240" w:lineRule="auto"/>
              <w:ind w:right="365"/>
              <w:jc w:val="right"/>
              <w:rPr>
                <w:sz w:val="18"/>
              </w:rPr>
            </w:pPr>
            <w:r>
              <w:rPr>
                <w:sz w:val="18"/>
              </w:rPr>
              <w:t>2 047</w:t>
            </w:r>
          </w:p>
        </w:tc>
        <w:tc>
          <w:tcPr>
            <w:tcW w:w="1944" w:type="dxa"/>
          </w:tcPr>
          <w:p w:rsidR="00000000" w:rsidRDefault="00000000">
            <w:pPr>
              <w:tabs>
                <w:tab w:val="decimal" w:pos="1407"/>
              </w:tabs>
              <w:spacing w:before="80" w:line="240" w:lineRule="auto"/>
              <w:ind w:right="365"/>
              <w:jc w:val="right"/>
              <w:rPr>
                <w:sz w:val="18"/>
              </w:rPr>
            </w:pPr>
            <w:r>
              <w:rPr>
                <w:sz w:val="18"/>
              </w:rPr>
              <w:t>2 597</w:t>
            </w:r>
          </w:p>
        </w:tc>
      </w:tr>
    </w:tbl>
    <w:p w:rsidR="00000000" w:rsidRDefault="00000000">
      <w:pPr>
        <w:spacing w:line="216" w:lineRule="auto"/>
      </w:pPr>
    </w:p>
    <w:p w:rsidR="00000000" w:rsidRDefault="00000000">
      <w:pPr>
        <w:spacing w:line="240" w:lineRule="auto"/>
        <w:rPr>
          <w:sz w:val="18"/>
        </w:rPr>
      </w:pPr>
      <w:r>
        <w:rPr>
          <w:i/>
          <w:iCs/>
          <w:sz w:val="18"/>
        </w:rPr>
        <w:t xml:space="preserve">Источник:  </w:t>
      </w:r>
      <w:r>
        <w:rPr>
          <w:bCs/>
          <w:sz w:val="18"/>
        </w:rPr>
        <w:t>Национальная комиссия по развитию жилищного строительства.</w:t>
      </w:r>
    </w:p>
    <w:p w:rsidR="00000000" w:rsidRDefault="00000000"/>
    <w:p w:rsidR="00000000" w:rsidRDefault="00000000">
      <w:pPr>
        <w:rPr>
          <w:b/>
          <w:bCs/>
        </w:rPr>
      </w:pPr>
      <w:r>
        <w:rPr>
          <w:b/>
          <w:bCs/>
        </w:rPr>
        <w:t>Пункт 44</w:t>
      </w:r>
      <w:r>
        <w:rPr>
          <w:b/>
          <w:bCs/>
          <w:lang w:val="en-US"/>
        </w:rPr>
        <w:t> b</w:t>
      </w:r>
      <w:r>
        <w:rPr>
          <w:b/>
          <w:bCs/>
        </w:rPr>
        <w:t xml:space="preserve">) </w:t>
      </w:r>
      <w:r>
        <w:rPr>
          <w:b/>
          <w:bCs/>
          <w:lang w:val="en-US"/>
        </w:rPr>
        <w:t>i</w:t>
      </w:r>
      <w:r>
        <w:rPr>
          <w:b/>
          <w:bCs/>
        </w:rPr>
        <w:t xml:space="preserve">) </w:t>
      </w:r>
    </w:p>
    <w:p w:rsidR="00000000" w:rsidRDefault="00000000">
      <w:pPr>
        <w:rPr>
          <w:b/>
          <w:bCs/>
        </w:rPr>
      </w:pPr>
    </w:p>
    <w:p w:rsidR="00000000" w:rsidRDefault="00000000">
      <w:r>
        <w:t>458.</w:t>
      </w:r>
      <w:r>
        <w:tab/>
        <w:t>По данным за 2000 год потребности в жилье составляли 4 000 291 единицу:  1 811 000 новых жилищ и 2 480 000 жилищ, нуждающихся в ремонте, реконструкции или расширении.</w:t>
      </w:r>
    </w:p>
    <w:p w:rsidR="00000000" w:rsidRDefault="00000000">
      <w:pPr>
        <w:spacing w:line="240" w:lineRule="auto"/>
      </w:pPr>
    </w:p>
    <w:p w:rsidR="00000000" w:rsidRDefault="00000000">
      <w:pPr>
        <w:spacing w:line="240" w:lineRule="auto"/>
        <w:rPr>
          <w:b/>
          <w:bCs/>
        </w:rPr>
      </w:pPr>
      <w:r>
        <w:rPr>
          <w:b/>
          <w:bCs/>
        </w:rPr>
        <w:t>Пункт 44 </w:t>
      </w:r>
      <w:r>
        <w:rPr>
          <w:b/>
          <w:bCs/>
          <w:lang w:val="en-US"/>
        </w:rPr>
        <w:t>b</w:t>
      </w:r>
      <w:r>
        <w:rPr>
          <w:b/>
          <w:bCs/>
        </w:rPr>
        <w:t xml:space="preserve">) ii) </w:t>
      </w:r>
    </w:p>
    <w:p w:rsidR="00000000" w:rsidRDefault="00000000">
      <w:pPr>
        <w:spacing w:line="240" w:lineRule="auto"/>
        <w:rPr>
          <w:b/>
          <w:bCs/>
        </w:rPr>
      </w:pPr>
    </w:p>
    <w:p w:rsidR="00000000" w:rsidRDefault="00000000">
      <w:r>
        <w:t>459.</w:t>
      </w:r>
      <w:r>
        <w:tab/>
        <w:t>Что касается обеспеченности основными услугами, то данные о жилом фонде показывают его значительное улучшение за последние 20 лет.  В 1980 году только 71% жилищ имели питьевую воду, 51% </w:t>
      </w:r>
      <w:r>
        <w:noBreakHyphen/>
        <w:t xml:space="preserve"> канализацию, а 75% </w:t>
      </w:r>
      <w:r>
        <w:noBreakHyphen/>
        <w:t xml:space="preserve"> электричество.  В 2000 году в результате расширения этих основных услуг 89% жилищ имели питьевую воду, 78% </w:t>
      </w:r>
      <w:r>
        <w:noBreakHyphen/>
        <w:t xml:space="preserve"> канализацию, а 95% </w:t>
      </w:r>
      <w:r>
        <w:noBreakHyphen/>
        <w:t xml:space="preserve"> электричество.</w:t>
      </w:r>
    </w:p>
    <w:p w:rsidR="00000000" w:rsidRDefault="00000000"/>
    <w:p w:rsidR="00000000" w:rsidRDefault="00000000">
      <w:pPr>
        <w:rPr>
          <w:lang w:val="en-US"/>
        </w:rPr>
      </w:pPr>
      <w:r>
        <w:br w:type="page"/>
        <w:t>460.</w:t>
      </w:r>
      <w:r>
        <w:tab/>
        <w:t>Тем не менее в этом секторе еще имеются проблемы в том, что касается выделения ресурсов для строительства жилья в масштабах всей страны, в частности, в силу неполного оборудования канализаций, несмотря на то, что доля частных домов, не оборудованных канализацией, за последние 20 лет сократилась наполовину </w:t>
      </w:r>
      <w:r>
        <w:noBreakHyphen/>
        <w:t xml:space="preserve"> с 42,8% в 1980 году до 20,9% в 2000 году.  Кроме того, доля жилищ, не оборудованных водопроводом, за тот же период сократилась с 28,4% до 10%;  еще больше сократилось число домов, не имеющих электричества </w:t>
      </w:r>
      <w:r>
        <w:noBreakHyphen/>
        <w:t xml:space="preserve"> с 21,8% до 4,5%.</w:t>
      </w:r>
    </w:p>
    <w:p w:rsidR="00000000" w:rsidRDefault="00000000">
      <w:pPr>
        <w:rPr>
          <w:lang w:val="en-US"/>
        </w:rPr>
      </w:pPr>
    </w:p>
    <w:p w:rsidR="00000000" w:rsidRDefault="00000000">
      <w:r>
        <w:t>461.</w:t>
      </w:r>
      <w:r>
        <w:tab/>
        <w:t>Улучшение жилищного фонда не было единообразным и равномерным в масштабах всей страны, в которой сохраняются большие различия между регионами и населенными пунктами.  Более заметным оно было в центральном регионе, а менее заметным </w:t>
      </w:r>
      <w:r>
        <w:noBreakHyphen/>
        <w:t xml:space="preserve"> на юго-востоке.  В то же время негородские населенные пункты (с населением менее 5 000 человек) демонстрируют относительное отставание по сравнению со средним по стране показателем.</w:t>
      </w:r>
    </w:p>
    <w:p w:rsidR="00000000" w:rsidRDefault="00000000"/>
    <w:p w:rsidR="00000000" w:rsidRDefault="00000000">
      <w:pPr>
        <w:rPr>
          <w:b/>
          <w:bCs/>
        </w:rPr>
      </w:pPr>
      <w:r>
        <w:rPr>
          <w:b/>
          <w:bCs/>
        </w:rPr>
        <w:t>Пункт 44 </w:t>
      </w:r>
      <w:r>
        <w:rPr>
          <w:b/>
          <w:bCs/>
          <w:lang w:val="en-US"/>
        </w:rPr>
        <w:t>b</w:t>
      </w:r>
      <w:r>
        <w:rPr>
          <w:b/>
          <w:bCs/>
        </w:rPr>
        <w:t>) iii)</w:t>
      </w:r>
    </w:p>
    <w:p w:rsidR="00000000" w:rsidRDefault="00000000">
      <w:pPr>
        <w:rPr>
          <w:b/>
          <w:bCs/>
        </w:rPr>
      </w:pPr>
    </w:p>
    <w:p w:rsidR="00000000" w:rsidRDefault="00000000">
      <w:r>
        <w:t>462.</w:t>
      </w:r>
      <w:r>
        <w:tab/>
        <w:t>Предложение жилья во многом определяется предложением земли под застройку жильем.  С этим по</w:t>
      </w:r>
      <w:r>
        <w:noBreakHyphen/>
        <w:t>прежнему связано одно из главных препятствий для развития жилищного строительства, когда недостаток предложения жилья по доступным ценам становится непосредственной причиной самозахвата земель.  Это в свою очередь вызывает неконтролируемый рост городов, часто в опасных или экологически уязвимых районах, застройка и инженерное оборудование которых связаны с высокими расходами, а зачастую и с непоправимым экологическим ущербом.</w:t>
      </w:r>
    </w:p>
    <w:p w:rsidR="00000000" w:rsidRDefault="00000000"/>
    <w:p w:rsidR="00000000" w:rsidRDefault="00000000">
      <w:pPr>
        <w:rPr>
          <w:b/>
          <w:bCs/>
        </w:rPr>
      </w:pPr>
      <w:r>
        <w:rPr>
          <w:b/>
          <w:bCs/>
        </w:rPr>
        <w:t>Пункт 44 b) iv)</w:t>
      </w:r>
    </w:p>
    <w:p w:rsidR="00000000" w:rsidRDefault="00000000">
      <w:pPr>
        <w:rPr>
          <w:b/>
          <w:bCs/>
        </w:rPr>
      </w:pPr>
    </w:p>
    <w:p w:rsidR="00000000" w:rsidRDefault="00000000">
      <w:r>
        <w:t>463.</w:t>
      </w:r>
      <w:r>
        <w:tab/>
        <w:t>Важнейшая статья затрат на строительство жилья - участок под застройку с необходимой инфраструктурой и системами.  Однако в городах имеется та проблема, что предложение участков недостаточно и не покрывает спроса.  В значительной мере развитие городов идет за счет занятия общинных земель, а в меньшей степени - земель в частной собственности и земельной собственности государства или местных органов власти и управления, хотя они во многих случаях не подходят для городской застройки в силу физико-географических причин.</w:t>
      </w:r>
    </w:p>
    <w:p w:rsidR="00000000" w:rsidRDefault="00000000"/>
    <w:p w:rsidR="00000000" w:rsidRDefault="00000000">
      <w:r>
        <w:t>464.</w:t>
      </w:r>
      <w:r>
        <w:tab/>
        <w:t>Кроме того, значительная часть операций на рынке недвижимости страны ведется в обход ныне действующих правовых норм в ущерб в первую очередь наименее обеспеченному населению.</w:t>
      </w:r>
    </w:p>
    <w:p w:rsidR="00000000" w:rsidRDefault="00000000"/>
    <w:p w:rsidR="00000000" w:rsidRDefault="00000000">
      <w:r>
        <w:t>465.</w:t>
      </w:r>
      <w:r>
        <w:tab/>
        <w:t>Два главных фактора высокой стоимости городской земли - скупка участков и спекуляция недвижимостью.  Кроме того, сельские общины по</w:t>
      </w:r>
      <w:r>
        <w:noBreakHyphen/>
        <w:t>прежнему остаются главным источником земель для роста городов;  не удалось наладить механизм предложения участков под застройку, который сделал бы возможным долгосрочное упорядоченное и правомерное пополнение земельного фонда городов.</w:t>
      </w:r>
    </w:p>
    <w:p w:rsidR="00000000" w:rsidRDefault="00000000"/>
    <w:p w:rsidR="00000000" w:rsidRDefault="00000000">
      <w:pPr>
        <w:rPr>
          <w:b/>
          <w:bCs/>
        </w:rPr>
      </w:pPr>
      <w:r>
        <w:rPr>
          <w:b/>
          <w:bCs/>
        </w:rPr>
        <w:t>Пункт 44 b) v)</w:t>
      </w:r>
    </w:p>
    <w:p w:rsidR="00000000" w:rsidRDefault="00000000">
      <w:pPr>
        <w:rPr>
          <w:b/>
          <w:bCs/>
        </w:rPr>
      </w:pPr>
    </w:p>
    <w:p w:rsidR="00000000" w:rsidRDefault="00000000">
      <w:r>
        <w:t>466.</w:t>
      </w:r>
      <w:r>
        <w:tab/>
        <w:t>Несмотря на то, что в стране идет активный процесс профессиональной мобильности и подвижности окладов, почти 70% занятых по</w:t>
      </w:r>
      <w:r>
        <w:noBreakHyphen/>
        <w:t>прежнему имеют заработок менее трех минимальных размеров оплаты труда (23 152 506 человек) и по</w:t>
      </w:r>
      <w:r>
        <w:noBreakHyphen/>
        <w:t>прежнему не получают доходов, необходимых для покупки жилья за счет собственных средств или банковского кредита, поскольку они, как правило, не считаются надежными заемщиками по закладной.  Эта же группа, на которую приходится 68,6% занятых, представляет собой, согласно статистике, и группу населения с самым высоким спросом на жилье.</w:t>
      </w:r>
    </w:p>
    <w:p w:rsidR="00000000" w:rsidRDefault="00000000"/>
    <w:p w:rsidR="00000000" w:rsidRDefault="00000000">
      <w:pPr>
        <w:rPr>
          <w:b/>
          <w:bCs/>
        </w:rPr>
      </w:pPr>
      <w:r>
        <w:rPr>
          <w:b/>
          <w:bCs/>
        </w:rPr>
        <w:t>Пункт 44 b) vi)</w:t>
      </w:r>
    </w:p>
    <w:p w:rsidR="00000000" w:rsidRDefault="00000000">
      <w:pPr>
        <w:rPr>
          <w:b/>
          <w:bCs/>
        </w:rPr>
      </w:pPr>
    </w:p>
    <w:p w:rsidR="00000000" w:rsidRDefault="00000000">
      <w:r>
        <w:t>467.</w:t>
      </w:r>
      <w:r>
        <w:tab/>
        <w:t>В программе "Хабитат" могут участвовать районы городской бедноты, в максимальной степени удовлетворяющие следующим условиям:  наименьшие показатели обеспеченности питьевой водой, канализацией, электричеством, уличным освещением и твердым покрытием дорог;  наибольшая плотность населения численностью не менее 500 домохозяйств;  высокая уязвимость и риск по отношению к угрозам природного характера;  участие в предыдущие годы в каких-либо мероприятиях по линии программы "Хабитат";  приближенность к сетям муниципальной инфраструктуры и т.п.</w:t>
      </w:r>
    </w:p>
    <w:p w:rsidR="00000000" w:rsidRDefault="00000000"/>
    <w:p w:rsidR="00000000" w:rsidRDefault="00000000">
      <w:r>
        <w:t>468.</w:t>
      </w:r>
      <w:r>
        <w:tab/>
        <w:t>Следует подчеркнуть, что государственные жилищные органы предоставляют кредиты в соответствии со своими правилами деятельности, используя различные схемы или показатели.</w:t>
      </w:r>
    </w:p>
    <w:p w:rsidR="00000000" w:rsidRDefault="00000000"/>
    <w:p w:rsidR="00000000" w:rsidRDefault="00000000">
      <w:pPr>
        <w:rPr>
          <w:b/>
          <w:bCs/>
        </w:rPr>
      </w:pPr>
      <w:r>
        <w:rPr>
          <w:b/>
          <w:bCs/>
        </w:rPr>
        <w:t>Пункт 44 b) vii)</w:t>
      </w:r>
    </w:p>
    <w:p w:rsidR="00000000" w:rsidRDefault="00000000">
      <w:pPr>
        <w:rPr>
          <w:b/>
          <w:bCs/>
        </w:rPr>
      </w:pPr>
    </w:p>
    <w:p w:rsidR="00000000" w:rsidRDefault="00000000">
      <w:r>
        <w:t>469.</w:t>
      </w:r>
      <w:r>
        <w:tab/>
        <w:t xml:space="preserve">Из приблизительно 21,9 млн. жилищ, имеющихся в настоящее время, 85,3% </w:t>
      </w:r>
      <w:r>
        <w:rPr>
          <w:lang w:val="en-US"/>
        </w:rPr>
        <w:t>-</w:t>
      </w:r>
      <w:r>
        <w:t xml:space="preserve"> отдельные дома, 5,8% - многоквартирные дома, остальные - смежные дома, квартиры на верхнем этаже, нежилые помещения, передвижные жилища и т.п.  Отмечается тенденция роста размера жилищ, определяемого по числу комнат, не считая кухню.  Двадцать лет назад только 30% жилищ имели три и более комнат, а в 2000 году к этой группе относилось уже 52% жилого фонда.</w:t>
      </w:r>
    </w:p>
    <w:p w:rsidR="00000000" w:rsidRDefault="00000000"/>
    <w:p w:rsidR="00000000" w:rsidRDefault="00000000">
      <w:pPr>
        <w:rPr>
          <w:b/>
          <w:bCs/>
        </w:rPr>
      </w:pPr>
      <w:r>
        <w:rPr>
          <w:b/>
          <w:bCs/>
        </w:rPr>
        <w:t>Пункт 44 с)</w:t>
      </w:r>
    </w:p>
    <w:p w:rsidR="00000000" w:rsidRDefault="00000000">
      <w:pPr>
        <w:rPr>
          <w:b/>
          <w:bCs/>
        </w:rPr>
      </w:pPr>
    </w:p>
    <w:p w:rsidR="00000000" w:rsidRDefault="00000000">
      <w:r>
        <w:t>470.</w:t>
      </w:r>
      <w:r>
        <w:tab/>
        <w:t>Среди наиболее важных правовых актов, которые связаны с жилищной проблематикой в нашей стране, можно выделить в порядке их важности следующие.</w:t>
      </w:r>
    </w:p>
    <w:p w:rsidR="00000000" w:rsidRDefault="00000000"/>
    <w:p w:rsidR="00000000" w:rsidRDefault="00000000">
      <w:pPr>
        <w:tabs>
          <w:tab w:val="clear" w:pos="1134"/>
        </w:tabs>
      </w:pPr>
      <w:r>
        <w:rPr>
          <w:b/>
          <w:bCs/>
        </w:rPr>
        <w:tab/>
        <w:t>Федеральное законодательство</w:t>
      </w:r>
    </w:p>
    <w:p w:rsidR="00000000" w:rsidRDefault="00000000">
      <w:pPr>
        <w:tabs>
          <w:tab w:val="clear" w:pos="1134"/>
        </w:tabs>
      </w:pPr>
    </w:p>
    <w:p w:rsidR="00000000" w:rsidRDefault="00000000">
      <w:r>
        <w:t>471.</w:t>
      </w:r>
      <w:r>
        <w:tab/>
        <w:t>Среди правовых актов, принятых на уровне Федерации, штатов и муниципий, можно выделить в порядке их важности следующие ныне действующие в нашей стране нормативные акты жилищной тематики.</w:t>
      </w:r>
    </w:p>
    <w:p w:rsidR="00000000" w:rsidRDefault="00000000"/>
    <w:p w:rsidR="00000000" w:rsidRDefault="00000000">
      <w:pPr>
        <w:tabs>
          <w:tab w:val="clear" w:pos="1134"/>
        </w:tabs>
      </w:pPr>
      <w:r>
        <w:rPr>
          <w:b/>
          <w:bCs/>
        </w:rPr>
        <w:tab/>
        <w:t>Федеральное законодательство</w:t>
      </w:r>
    </w:p>
    <w:p w:rsidR="00000000" w:rsidRDefault="00000000">
      <w:pPr>
        <w:tabs>
          <w:tab w:val="clear" w:pos="1134"/>
        </w:tabs>
      </w:pPr>
    </w:p>
    <w:p w:rsidR="00000000" w:rsidRDefault="00000000">
      <w:r>
        <w:t>472.</w:t>
      </w:r>
      <w:r>
        <w:tab/>
        <w:t>Политическая конституция Мексиканских Соединенных Штатов в своей статье 4 устанавливает, что "каждая семья имеет право на достойное и подобающее жилище".</w:t>
      </w:r>
    </w:p>
    <w:p w:rsidR="00000000" w:rsidRDefault="00000000"/>
    <w:p w:rsidR="00000000" w:rsidRDefault="00000000">
      <w:pPr>
        <w:tabs>
          <w:tab w:val="clear" w:pos="1134"/>
          <w:tab w:val="clear" w:pos="1701"/>
        </w:tabs>
        <w:ind w:left="567"/>
      </w:pPr>
      <w:r>
        <w:t>Федеральный закон о жилье.  Следует сказать, что этот закон является специальным законом, регламентирующим порядок осуществления статьи 4 Конституции, детализирующим направления и механизмы национальной жилищной политики.</w:t>
      </w:r>
    </w:p>
    <w:p w:rsidR="00000000" w:rsidRDefault="00000000">
      <w:pPr>
        <w:tabs>
          <w:tab w:val="clear" w:pos="1134"/>
          <w:tab w:val="clear" w:pos="1701"/>
        </w:tabs>
        <w:ind w:left="567"/>
      </w:pPr>
    </w:p>
    <w:p w:rsidR="00000000" w:rsidRDefault="00000000">
      <w:pPr>
        <w:tabs>
          <w:tab w:val="clear" w:pos="1134"/>
          <w:tab w:val="clear" w:pos="1701"/>
        </w:tabs>
        <w:ind w:left="567"/>
      </w:pPr>
      <w:r>
        <w:t>Закон о планировании.</w:t>
      </w:r>
    </w:p>
    <w:p w:rsidR="00000000" w:rsidRDefault="00000000">
      <w:pPr>
        <w:tabs>
          <w:tab w:val="clear" w:pos="1134"/>
          <w:tab w:val="clear" w:pos="1701"/>
        </w:tabs>
        <w:ind w:left="567"/>
      </w:pPr>
    </w:p>
    <w:p w:rsidR="00000000" w:rsidRDefault="00000000">
      <w:pPr>
        <w:tabs>
          <w:tab w:val="clear" w:pos="1134"/>
          <w:tab w:val="clear" w:pos="1701"/>
        </w:tabs>
        <w:ind w:left="567"/>
      </w:pPr>
      <w:r>
        <w:t>Общий закон о населенных пунктах.</w:t>
      </w:r>
    </w:p>
    <w:p w:rsidR="00000000" w:rsidRDefault="00000000">
      <w:pPr>
        <w:tabs>
          <w:tab w:val="clear" w:pos="1134"/>
          <w:tab w:val="clear" w:pos="1701"/>
        </w:tabs>
        <w:ind w:left="567"/>
      </w:pPr>
    </w:p>
    <w:p w:rsidR="00000000" w:rsidRDefault="00000000">
      <w:pPr>
        <w:tabs>
          <w:tab w:val="clear" w:pos="1134"/>
          <w:tab w:val="clear" w:pos="1701"/>
        </w:tabs>
        <w:ind w:left="567"/>
      </w:pPr>
      <w:r>
        <w:t>Общий закон об экологическом равновесии и защите окружающей среды.</w:t>
      </w:r>
    </w:p>
    <w:p w:rsidR="00000000" w:rsidRDefault="00000000">
      <w:pPr>
        <w:tabs>
          <w:tab w:val="clear" w:pos="1134"/>
          <w:tab w:val="clear" w:pos="1701"/>
        </w:tabs>
        <w:ind w:left="567"/>
      </w:pPr>
    </w:p>
    <w:p w:rsidR="00000000" w:rsidRDefault="00000000">
      <w:pPr>
        <w:tabs>
          <w:tab w:val="clear" w:pos="1134"/>
          <w:tab w:val="clear" w:pos="1701"/>
        </w:tabs>
        <w:ind w:left="567"/>
      </w:pPr>
      <w:r>
        <w:t>Общий закон о социальном развитии.</w:t>
      </w:r>
    </w:p>
    <w:p w:rsidR="00000000" w:rsidRDefault="00000000">
      <w:pPr>
        <w:tabs>
          <w:tab w:val="clear" w:pos="1134"/>
          <w:tab w:val="clear" w:pos="1701"/>
        </w:tabs>
        <w:ind w:left="567"/>
      </w:pPr>
    </w:p>
    <w:p w:rsidR="00000000" w:rsidRDefault="00000000">
      <w:pPr>
        <w:tabs>
          <w:tab w:val="clear" w:pos="567"/>
          <w:tab w:val="clear" w:pos="1134"/>
          <w:tab w:val="left" w:pos="561"/>
        </w:tabs>
      </w:pPr>
      <w:r>
        <w:rPr>
          <w:b/>
          <w:bCs/>
        </w:rPr>
        <w:t>Законодательство штатов</w:t>
      </w:r>
    </w:p>
    <w:p w:rsidR="00000000" w:rsidRDefault="00000000">
      <w:pPr>
        <w:tabs>
          <w:tab w:val="clear" w:pos="567"/>
          <w:tab w:val="clear" w:pos="1134"/>
          <w:tab w:val="left" w:pos="561"/>
        </w:tabs>
      </w:pPr>
    </w:p>
    <w:p w:rsidR="00000000" w:rsidRDefault="00000000">
      <w:pPr>
        <w:tabs>
          <w:tab w:val="clear" w:pos="1134"/>
          <w:tab w:val="clear" w:pos="1701"/>
        </w:tabs>
        <w:ind w:left="567"/>
      </w:pPr>
      <w:r>
        <w:t>Законы штатов о планировании.</w:t>
      </w:r>
    </w:p>
    <w:p w:rsidR="00000000" w:rsidRDefault="00000000">
      <w:pPr>
        <w:tabs>
          <w:tab w:val="clear" w:pos="567"/>
          <w:tab w:val="clear" w:pos="1701"/>
          <w:tab w:val="left" w:pos="561"/>
        </w:tabs>
      </w:pPr>
    </w:p>
    <w:p w:rsidR="00000000" w:rsidRDefault="00000000">
      <w:pPr>
        <w:tabs>
          <w:tab w:val="clear" w:pos="1134"/>
          <w:tab w:val="clear" w:pos="1701"/>
        </w:tabs>
        <w:ind w:left="567"/>
      </w:pPr>
      <w:r>
        <w:t>Законы штатов о жилье или аналогичные законы.</w:t>
      </w:r>
    </w:p>
    <w:p w:rsidR="00000000" w:rsidRDefault="00000000">
      <w:pPr>
        <w:tabs>
          <w:tab w:val="clear" w:pos="567"/>
          <w:tab w:val="clear" w:pos="1701"/>
          <w:tab w:val="left" w:pos="561"/>
        </w:tabs>
      </w:pPr>
    </w:p>
    <w:p w:rsidR="00000000" w:rsidRDefault="00000000">
      <w:pPr>
        <w:tabs>
          <w:tab w:val="clear" w:pos="1134"/>
          <w:tab w:val="clear" w:pos="1701"/>
        </w:tabs>
        <w:ind w:left="567"/>
      </w:pPr>
      <w:r>
        <w:t>Законы штатов о населенных пунктах или их эквиваленты.</w:t>
      </w:r>
    </w:p>
    <w:p w:rsidR="00000000" w:rsidRDefault="00000000">
      <w:pPr>
        <w:tabs>
          <w:tab w:val="clear" w:pos="567"/>
          <w:tab w:val="clear" w:pos="1701"/>
          <w:tab w:val="left" w:pos="561"/>
        </w:tabs>
      </w:pPr>
    </w:p>
    <w:p w:rsidR="00000000" w:rsidRDefault="00000000">
      <w:pPr>
        <w:tabs>
          <w:tab w:val="clear" w:pos="1134"/>
          <w:tab w:val="clear" w:pos="1701"/>
        </w:tabs>
        <w:ind w:left="567"/>
      </w:pPr>
      <w:r>
        <w:t>Законы штатов о районировании или их эквиваленты.</w:t>
      </w:r>
    </w:p>
    <w:p w:rsidR="00000000" w:rsidRDefault="00000000">
      <w:pPr>
        <w:tabs>
          <w:tab w:val="clear" w:pos="567"/>
          <w:tab w:val="clear" w:pos="1701"/>
          <w:tab w:val="left" w:pos="561"/>
        </w:tabs>
      </w:pPr>
    </w:p>
    <w:p w:rsidR="00000000" w:rsidRDefault="00000000">
      <w:pPr>
        <w:tabs>
          <w:tab w:val="clear" w:pos="1134"/>
          <w:tab w:val="clear" w:pos="1701"/>
        </w:tabs>
        <w:ind w:left="567"/>
      </w:pPr>
      <w:r>
        <w:t>Законы штатов о доходах.</w:t>
      </w:r>
    </w:p>
    <w:p w:rsidR="00000000" w:rsidRDefault="00000000">
      <w:pPr>
        <w:tabs>
          <w:tab w:val="clear" w:pos="1134"/>
          <w:tab w:val="clear" w:pos="1701"/>
        </w:tabs>
        <w:spacing w:line="264" w:lineRule="auto"/>
        <w:ind w:left="567"/>
      </w:pPr>
      <w:r>
        <w:t>Законы штатов об имуществе.</w:t>
      </w:r>
    </w:p>
    <w:p w:rsidR="00000000" w:rsidRDefault="00000000">
      <w:pPr>
        <w:tabs>
          <w:tab w:val="clear" w:pos="567"/>
          <w:tab w:val="clear" w:pos="1701"/>
          <w:tab w:val="left" w:pos="561"/>
        </w:tabs>
        <w:spacing w:line="264" w:lineRule="auto"/>
      </w:pPr>
    </w:p>
    <w:p w:rsidR="00000000" w:rsidRDefault="00000000">
      <w:pPr>
        <w:tabs>
          <w:tab w:val="clear" w:pos="1134"/>
          <w:tab w:val="clear" w:pos="1701"/>
        </w:tabs>
        <w:spacing w:line="264" w:lineRule="auto"/>
        <w:ind w:left="567"/>
      </w:pPr>
      <w:r>
        <w:t>Гражданский кодекс штатов.</w:t>
      </w:r>
    </w:p>
    <w:p w:rsidR="00000000" w:rsidRDefault="00000000">
      <w:pPr>
        <w:tabs>
          <w:tab w:val="clear" w:pos="1134"/>
          <w:tab w:val="clear" w:pos="1701"/>
        </w:tabs>
        <w:spacing w:line="264" w:lineRule="auto"/>
        <w:ind w:left="567"/>
      </w:pPr>
    </w:p>
    <w:p w:rsidR="00000000" w:rsidRDefault="00000000">
      <w:pPr>
        <w:tabs>
          <w:tab w:val="clear" w:pos="1134"/>
          <w:tab w:val="clear" w:pos="1701"/>
        </w:tabs>
        <w:spacing w:line="264" w:lineRule="auto"/>
        <w:ind w:left="567"/>
      </w:pPr>
      <w:r>
        <w:t>Гражданский процессуальный кодекс штатов.</w:t>
      </w:r>
    </w:p>
    <w:p w:rsidR="00000000" w:rsidRDefault="00000000">
      <w:pPr>
        <w:tabs>
          <w:tab w:val="clear" w:pos="1134"/>
          <w:tab w:val="clear" w:pos="1701"/>
        </w:tabs>
        <w:spacing w:line="264" w:lineRule="auto"/>
        <w:ind w:left="567"/>
      </w:pPr>
    </w:p>
    <w:p w:rsidR="00000000" w:rsidRDefault="00000000">
      <w:pPr>
        <w:tabs>
          <w:tab w:val="clear" w:pos="1134"/>
          <w:tab w:val="clear" w:pos="1701"/>
        </w:tabs>
        <w:spacing w:line="264" w:lineRule="auto"/>
        <w:ind w:left="567"/>
      </w:pPr>
      <w:r>
        <w:t>Закон о товариществах собственников жилья.</w:t>
      </w:r>
    </w:p>
    <w:p w:rsidR="00000000" w:rsidRDefault="00000000">
      <w:pPr>
        <w:tabs>
          <w:tab w:val="clear" w:pos="1134"/>
          <w:tab w:val="clear" w:pos="1701"/>
        </w:tabs>
        <w:spacing w:line="264" w:lineRule="auto"/>
        <w:ind w:left="567"/>
      </w:pPr>
    </w:p>
    <w:p w:rsidR="00000000" w:rsidRDefault="00000000">
      <w:pPr>
        <w:tabs>
          <w:tab w:val="clear" w:pos="1134"/>
          <w:tab w:val="clear" w:pos="1701"/>
        </w:tabs>
        <w:spacing w:line="264" w:lineRule="auto"/>
        <w:ind w:left="567"/>
      </w:pPr>
      <w:r>
        <w:t>Законы штатов о кадастре.</w:t>
      </w:r>
    </w:p>
    <w:p w:rsidR="00000000" w:rsidRDefault="00000000">
      <w:pPr>
        <w:tabs>
          <w:tab w:val="clear" w:pos="1134"/>
          <w:tab w:val="clear" w:pos="1701"/>
        </w:tabs>
        <w:spacing w:line="264" w:lineRule="auto"/>
        <w:ind w:left="567"/>
      </w:pPr>
    </w:p>
    <w:p w:rsidR="00000000" w:rsidRDefault="00000000">
      <w:pPr>
        <w:tabs>
          <w:tab w:val="clear" w:pos="1134"/>
          <w:tab w:val="clear" w:pos="1701"/>
        </w:tabs>
        <w:spacing w:line="264" w:lineRule="auto"/>
        <w:ind w:left="567"/>
      </w:pPr>
      <w:r>
        <w:t>Законы штатов о нотариате.</w:t>
      </w:r>
    </w:p>
    <w:p w:rsidR="00000000" w:rsidRDefault="00000000">
      <w:pPr>
        <w:tabs>
          <w:tab w:val="clear" w:pos="1134"/>
          <w:tab w:val="clear" w:pos="1701"/>
        </w:tabs>
        <w:spacing w:line="264" w:lineRule="auto"/>
        <w:ind w:left="567"/>
      </w:pPr>
    </w:p>
    <w:p w:rsidR="00000000" w:rsidRDefault="00000000">
      <w:pPr>
        <w:tabs>
          <w:tab w:val="clear" w:pos="1134"/>
          <w:tab w:val="clear" w:pos="1701"/>
        </w:tabs>
        <w:spacing w:line="264" w:lineRule="auto"/>
        <w:ind w:left="567"/>
      </w:pPr>
      <w:r>
        <w:t>Законы штатов о питьевой воде и водопроводе или их эквиваленты.</w:t>
      </w:r>
    </w:p>
    <w:p w:rsidR="00000000" w:rsidRDefault="00000000">
      <w:pPr>
        <w:tabs>
          <w:tab w:val="clear" w:pos="567"/>
          <w:tab w:val="clear" w:pos="1701"/>
          <w:tab w:val="left" w:pos="561"/>
        </w:tabs>
      </w:pPr>
    </w:p>
    <w:p w:rsidR="00000000" w:rsidRDefault="00000000">
      <w:pPr>
        <w:tabs>
          <w:tab w:val="clear" w:pos="567"/>
          <w:tab w:val="clear" w:pos="1701"/>
          <w:tab w:val="left" w:pos="561"/>
        </w:tabs>
      </w:pPr>
      <w:r>
        <w:rPr>
          <w:b/>
          <w:bCs/>
        </w:rPr>
        <w:t>Законодательство муниципий</w:t>
      </w:r>
    </w:p>
    <w:p w:rsidR="00000000" w:rsidRDefault="00000000">
      <w:pPr>
        <w:tabs>
          <w:tab w:val="clear" w:pos="567"/>
          <w:tab w:val="clear" w:pos="1701"/>
          <w:tab w:val="left" w:pos="561"/>
        </w:tabs>
      </w:pPr>
    </w:p>
    <w:p w:rsidR="00000000" w:rsidRDefault="00000000">
      <w:pPr>
        <w:tabs>
          <w:tab w:val="clear" w:pos="1134"/>
          <w:tab w:val="clear" w:pos="1701"/>
        </w:tabs>
        <w:spacing w:line="264" w:lineRule="auto"/>
        <w:ind w:left="567"/>
      </w:pPr>
      <w:r>
        <w:t>Муниципальные законы об имуществе.</w:t>
      </w:r>
    </w:p>
    <w:p w:rsidR="00000000" w:rsidRDefault="00000000">
      <w:pPr>
        <w:tabs>
          <w:tab w:val="clear" w:pos="567"/>
          <w:tab w:val="clear" w:pos="1701"/>
          <w:tab w:val="left" w:pos="561"/>
        </w:tabs>
        <w:spacing w:line="264" w:lineRule="auto"/>
        <w:ind w:left="666"/>
      </w:pPr>
    </w:p>
    <w:p w:rsidR="00000000" w:rsidRDefault="00000000">
      <w:pPr>
        <w:tabs>
          <w:tab w:val="clear" w:pos="1134"/>
          <w:tab w:val="clear" w:pos="1701"/>
        </w:tabs>
        <w:spacing w:line="264" w:lineRule="auto"/>
        <w:ind w:left="567"/>
      </w:pPr>
      <w:r>
        <w:t>Муниципальные законы о доходах.</w:t>
      </w:r>
    </w:p>
    <w:p w:rsidR="00000000" w:rsidRDefault="00000000">
      <w:pPr>
        <w:tabs>
          <w:tab w:val="clear" w:pos="567"/>
          <w:tab w:val="clear" w:pos="1701"/>
          <w:tab w:val="left" w:pos="561"/>
        </w:tabs>
        <w:spacing w:line="264" w:lineRule="auto"/>
        <w:ind w:left="666"/>
      </w:pPr>
    </w:p>
    <w:p w:rsidR="00000000" w:rsidRDefault="00000000">
      <w:pPr>
        <w:tabs>
          <w:tab w:val="clear" w:pos="1134"/>
          <w:tab w:val="clear" w:pos="1701"/>
        </w:tabs>
        <w:spacing w:line="264" w:lineRule="auto"/>
        <w:ind w:left="567"/>
      </w:pPr>
      <w:r>
        <w:t>Органический закон о муниципальном управлении.</w:t>
      </w:r>
    </w:p>
    <w:p w:rsidR="00000000" w:rsidRDefault="00000000">
      <w:pPr>
        <w:tabs>
          <w:tab w:val="clear" w:pos="567"/>
          <w:tab w:val="clear" w:pos="1701"/>
          <w:tab w:val="left" w:pos="561"/>
        </w:tabs>
        <w:spacing w:line="264" w:lineRule="auto"/>
        <w:ind w:left="666"/>
      </w:pPr>
    </w:p>
    <w:p w:rsidR="00000000" w:rsidRDefault="00000000">
      <w:pPr>
        <w:tabs>
          <w:tab w:val="clear" w:pos="1134"/>
          <w:tab w:val="clear" w:pos="1701"/>
        </w:tabs>
        <w:spacing w:line="264" w:lineRule="auto"/>
        <w:ind w:left="567"/>
      </w:pPr>
      <w:r>
        <w:t>Строительные нормы и правила.</w:t>
      </w:r>
    </w:p>
    <w:p w:rsidR="00000000" w:rsidRDefault="00000000">
      <w:pPr>
        <w:tabs>
          <w:tab w:val="clear" w:pos="567"/>
          <w:tab w:val="clear" w:pos="1701"/>
          <w:tab w:val="left" w:pos="561"/>
        </w:tabs>
        <w:ind w:left="666"/>
      </w:pPr>
    </w:p>
    <w:p w:rsidR="00000000" w:rsidRDefault="00000000">
      <w:pPr>
        <w:tabs>
          <w:tab w:val="clear" w:pos="567"/>
          <w:tab w:val="left" w:pos="561"/>
        </w:tabs>
      </w:pPr>
      <w:r>
        <w:t>473.</w:t>
      </w:r>
      <w:r>
        <w:tab/>
        <w:t>В соответствии с положениями статьи 4 Политической конституции Мексиканских Соединенных Штатов право на жилье не допускает дискриминации:  "Каждая семья имеет право на достойное и подобающее жилище".</w:t>
      </w:r>
    </w:p>
    <w:p w:rsidR="00000000" w:rsidRDefault="00000000">
      <w:pPr>
        <w:tabs>
          <w:tab w:val="clear" w:pos="567"/>
          <w:tab w:val="left" w:pos="561"/>
        </w:tabs>
      </w:pPr>
    </w:p>
    <w:p w:rsidR="00000000" w:rsidRDefault="00000000">
      <w:pPr>
        <w:tabs>
          <w:tab w:val="clear" w:pos="567"/>
          <w:tab w:val="left" w:pos="561"/>
        </w:tabs>
      </w:pPr>
      <w:r>
        <w:t>474.</w:t>
      </w:r>
      <w:r>
        <w:tab/>
        <w:t>Ни одна из национальных жилищных организаций не включает в свои положения или правила предоставления кредитов, никаких положений, которые ущемляют право на жилище.</w:t>
      </w:r>
    </w:p>
    <w:p w:rsidR="00000000" w:rsidRDefault="00000000">
      <w:pPr>
        <w:tabs>
          <w:tab w:val="clear" w:pos="567"/>
          <w:tab w:val="left" w:pos="561"/>
        </w:tabs>
      </w:pPr>
    </w:p>
    <w:p w:rsidR="00000000" w:rsidRDefault="00000000">
      <w:pPr>
        <w:tabs>
          <w:tab w:val="clear" w:pos="567"/>
          <w:tab w:val="left" w:pos="561"/>
        </w:tabs>
      </w:pPr>
      <w:r>
        <w:t>475.</w:t>
      </w:r>
      <w:r>
        <w:tab/>
        <w:t>Следует подчеркнуть, что в силу той же конституционной нормы никакой закон не может препятствовать осуществлению права на жилище.</w:t>
      </w:r>
    </w:p>
    <w:p w:rsidR="00000000" w:rsidRDefault="00000000">
      <w:pPr>
        <w:tabs>
          <w:tab w:val="clear" w:pos="567"/>
          <w:tab w:val="left" w:pos="561"/>
        </w:tabs>
      </w:pPr>
    </w:p>
    <w:p w:rsidR="00000000" w:rsidRDefault="00000000">
      <w:pPr>
        <w:tabs>
          <w:tab w:val="clear" w:pos="567"/>
          <w:tab w:val="left" w:pos="561"/>
        </w:tabs>
        <w:rPr>
          <w:b/>
          <w:bCs/>
          <w:lang w:val="en-US"/>
        </w:rPr>
      </w:pPr>
      <w:r>
        <w:rPr>
          <w:b/>
          <w:bCs/>
        </w:rPr>
        <w:t>Пункт</w:t>
      </w:r>
      <w:r>
        <w:rPr>
          <w:b/>
          <w:bCs/>
          <w:lang w:val="en-US"/>
        </w:rPr>
        <w:t xml:space="preserve"> 44 d) i)</w:t>
      </w:r>
    </w:p>
    <w:p w:rsidR="00000000" w:rsidRDefault="00000000">
      <w:pPr>
        <w:tabs>
          <w:tab w:val="clear" w:pos="567"/>
          <w:tab w:val="left" w:pos="561"/>
        </w:tabs>
        <w:rPr>
          <w:b/>
          <w:bCs/>
          <w:lang w:val="en-US"/>
        </w:rPr>
      </w:pPr>
    </w:p>
    <w:p w:rsidR="00000000" w:rsidRDefault="00000000">
      <w:pPr>
        <w:tabs>
          <w:tab w:val="clear" w:pos="567"/>
          <w:tab w:val="left" w:pos="561"/>
        </w:tabs>
      </w:pPr>
      <w:r>
        <w:t>476.</w:t>
      </w:r>
      <w:r>
        <w:tab/>
        <w:t>Начиная с 2003 года правительство Мексики осуществляет программу "Хабитат", порученную министерству социального развития, которая нацелена на решение проблем бедности и городского развития на основе реализации комплекса мер, сочетающих,</w:t>
      </w:r>
    </w:p>
    <w:p w:rsidR="00000000" w:rsidRDefault="00000000">
      <w:pPr>
        <w:tabs>
          <w:tab w:val="clear" w:pos="567"/>
          <w:tab w:val="left" w:pos="561"/>
        </w:tabs>
      </w:pPr>
      <w:r>
        <w:br w:type="page"/>
        <w:t>в частности, совершенствование базовой инфраструктуры, инженерное оборудование районов городской бедноты и предотвращение стихийных бедствий при передаче социальных услуг и функций по общинному развитию в этих областях.</w:t>
      </w:r>
    </w:p>
    <w:p w:rsidR="00000000" w:rsidRDefault="00000000">
      <w:pPr>
        <w:tabs>
          <w:tab w:val="clear" w:pos="567"/>
          <w:tab w:val="left" w:pos="561"/>
        </w:tabs>
      </w:pPr>
    </w:p>
    <w:p w:rsidR="00000000" w:rsidRDefault="00000000">
      <w:pPr>
        <w:tabs>
          <w:tab w:val="clear" w:pos="567"/>
          <w:tab w:val="left" w:pos="561"/>
        </w:tabs>
      </w:pPr>
      <w:r>
        <w:t>477.</w:t>
      </w:r>
      <w:r>
        <w:tab/>
        <w:t>Ставится цель подкрепить федеральные субсидии вкладом на уровне штатов, муниципий и в соответствующих случаях самих получателей помощи и/или организаций гражданского общества для обеспечения развития городов и вовлечения районов городской бедноты в жизнь города на основе совместного планирования.  В рамках этой программы местные органы власти должны выделить параллельные ресурсы, свои или, в зависимости от случая, предоставленные государством или муниципией.</w:t>
      </w:r>
    </w:p>
    <w:p w:rsidR="00000000" w:rsidRDefault="00000000">
      <w:pPr>
        <w:tabs>
          <w:tab w:val="clear" w:pos="567"/>
          <w:tab w:val="left" w:pos="561"/>
        </w:tabs>
      </w:pPr>
    </w:p>
    <w:p w:rsidR="00000000" w:rsidRDefault="00000000">
      <w:pPr>
        <w:tabs>
          <w:tab w:val="clear" w:pos="567"/>
          <w:tab w:val="left" w:pos="561"/>
        </w:tabs>
      </w:pPr>
      <w:r>
        <w:t>478.</w:t>
      </w:r>
      <w:r>
        <w:tab/>
        <w:t>Программа "Хабитат" также устанавливает органы и механизмы координации с другими программами самого министерства социального развития, компетентных местных органов или других подразделений или структур федерального правительства в целях обеспечения взаимодополняемости действий.</w:t>
      </w:r>
    </w:p>
    <w:p w:rsidR="00000000" w:rsidRDefault="00000000"/>
    <w:p w:rsidR="00000000" w:rsidRDefault="00000000">
      <w:pPr>
        <w:rPr>
          <w:b/>
          <w:bCs/>
        </w:rPr>
      </w:pPr>
      <w:r>
        <w:rPr>
          <w:b/>
          <w:bCs/>
        </w:rPr>
        <w:t xml:space="preserve">Пункт 44 </w:t>
      </w:r>
      <w:r>
        <w:rPr>
          <w:b/>
          <w:bCs/>
          <w:lang w:val="en-US"/>
        </w:rPr>
        <w:t>d</w:t>
      </w:r>
      <w:r>
        <w:rPr>
          <w:b/>
          <w:bCs/>
        </w:rPr>
        <w:t xml:space="preserve">) </w:t>
      </w:r>
      <w:r>
        <w:rPr>
          <w:b/>
          <w:bCs/>
          <w:lang w:val="en-US"/>
        </w:rPr>
        <w:t>ii</w:t>
      </w:r>
      <w:r>
        <w:rPr>
          <w:b/>
          <w:bCs/>
        </w:rPr>
        <w:t>)</w:t>
      </w:r>
    </w:p>
    <w:p w:rsidR="00000000" w:rsidRDefault="00000000">
      <w:pPr>
        <w:rPr>
          <w:b/>
          <w:bCs/>
        </w:rPr>
      </w:pPr>
    </w:p>
    <w:p w:rsidR="00000000" w:rsidRDefault="00000000">
      <w:r>
        <w:t>479.</w:t>
      </w:r>
      <w:r>
        <w:tab/>
        <w:t>На федеральном уровне министерство социального развития осуществляет программу "Хабитат", цель которой заключается в оказании помощи неимущему населению городских районов на основе совместного осуществления социальных программ и программ городского развития.</w:t>
      </w:r>
    </w:p>
    <w:p w:rsidR="00000000" w:rsidRDefault="00000000"/>
    <w:p w:rsidR="00000000" w:rsidRDefault="00000000">
      <w:r>
        <w:t>480.</w:t>
      </w:r>
      <w:r>
        <w:tab/>
        <w:t>"Хабитат" сочетает работу по совершенствованию инфраструктуры, инженерному оборудованию маргинальных городских районов и предотвращению стихийных бедствий с передачей услуг и функций социального развития.  Как и в случае социального жилья и городского развития, она нацелена на активизацию усилий по городскому планированию и районированию.</w:t>
      </w:r>
    </w:p>
    <w:p w:rsidR="00000000" w:rsidRDefault="00000000"/>
    <w:p w:rsidR="00000000" w:rsidRDefault="00000000">
      <w:pPr>
        <w:rPr>
          <w:b/>
          <w:bCs/>
        </w:rPr>
      </w:pPr>
      <w:r>
        <w:rPr>
          <w:b/>
          <w:bCs/>
        </w:rPr>
        <w:t xml:space="preserve">Пункт 44 </w:t>
      </w:r>
      <w:r>
        <w:rPr>
          <w:b/>
          <w:bCs/>
          <w:lang w:val="en-US"/>
        </w:rPr>
        <w:t>d</w:t>
      </w:r>
      <w:r>
        <w:rPr>
          <w:b/>
          <w:bCs/>
        </w:rPr>
        <w:t xml:space="preserve">) </w:t>
      </w:r>
      <w:r>
        <w:rPr>
          <w:b/>
          <w:bCs/>
          <w:lang w:val="en-US"/>
        </w:rPr>
        <w:t>iii</w:t>
      </w:r>
      <w:r>
        <w:rPr>
          <w:b/>
          <w:bCs/>
        </w:rPr>
        <w:t>)</w:t>
      </w:r>
    </w:p>
    <w:p w:rsidR="00000000" w:rsidRDefault="00000000">
      <w:pPr>
        <w:rPr>
          <w:b/>
          <w:bCs/>
        </w:rPr>
      </w:pPr>
    </w:p>
    <w:p w:rsidR="00000000" w:rsidRDefault="00000000">
      <w:r>
        <w:t>481.</w:t>
      </w:r>
      <w:r>
        <w:tab/>
        <w:t>Программа "Хабитат" вносит вклад в преодоление городской бедности, улучшение условий жизни населения и превращение городов и их кварталов в благоустроенные, безопасные и пригодные для обитания пространства.  Для этого ведется работа по снижению уязвимости населенных пунктов для угроз природного характера на основе предотвращения стихийных бедствий и оздоровления окружающей среды и по оказанию помощи штатам и муниципиям в приобретении земель и создании резерва земель для содействия городскому развитию, а также предоставления семьям возможности строительства недорогостоящего жилья.</w:t>
      </w:r>
    </w:p>
    <w:p w:rsidR="00000000" w:rsidRDefault="00000000">
      <w:pPr>
        <w:rPr>
          <w:b/>
          <w:bCs/>
        </w:rPr>
      </w:pPr>
      <w:r>
        <w:rPr>
          <w:b/>
          <w:bCs/>
        </w:rPr>
        <w:t xml:space="preserve">Пункт 44 </w:t>
      </w:r>
      <w:r>
        <w:rPr>
          <w:b/>
          <w:bCs/>
          <w:lang w:val="en-US"/>
        </w:rPr>
        <w:t>d</w:t>
      </w:r>
      <w:r>
        <w:rPr>
          <w:b/>
          <w:bCs/>
        </w:rPr>
        <w:t xml:space="preserve">) </w:t>
      </w:r>
      <w:r>
        <w:rPr>
          <w:b/>
          <w:bCs/>
          <w:lang w:val="en-US"/>
        </w:rPr>
        <w:t>iv</w:t>
      </w:r>
      <w:r>
        <w:rPr>
          <w:b/>
          <w:bCs/>
        </w:rPr>
        <w:t>)</w:t>
      </w:r>
    </w:p>
    <w:p w:rsidR="00000000" w:rsidRDefault="00000000">
      <w:pPr>
        <w:rPr>
          <w:b/>
          <w:bCs/>
        </w:rPr>
      </w:pPr>
    </w:p>
    <w:p w:rsidR="00000000" w:rsidRDefault="00000000">
      <w:r>
        <w:t>482.</w:t>
      </w:r>
      <w:r>
        <w:tab/>
        <w:t>Федеральное правительство в лице министерства социального развития координирует деятельность Национального фонда народного жилья (НФНЖ) и Национальной комиссии по развитию жилищного строительства (НКРЖС), а также другие программы.</w:t>
      </w:r>
    </w:p>
    <w:p w:rsidR="00000000" w:rsidRDefault="00000000"/>
    <w:p w:rsidR="00000000" w:rsidRDefault="00000000">
      <w:r>
        <w:t>483.</w:t>
      </w:r>
      <w:r>
        <w:tab/>
        <w:t>В 2003 году в структуре НФНЖ был создан Национальный фонд экономической поддержки жилищного строительства как специальное подразделение, осуществляющее управление, контроль и оценку федеральных программ, в которых используются субсидии на цели строительства, реконструкции и приобретения жилья для семей с низкими доходами.  В 2003 финансовом году было предоставлено 32 182 субсидии для сельского жилья.  Первоначальный показатель по этой программе на 2004 год составляет 50 928 субсидий для этой группы населения, на цели покупки нового или ремонта уже имеющегося жилья.</w:t>
      </w:r>
    </w:p>
    <w:p w:rsidR="00000000" w:rsidRDefault="00000000"/>
    <w:p w:rsidR="00000000" w:rsidRDefault="00000000">
      <w:r>
        <w:t>484.</w:t>
      </w:r>
      <w:r>
        <w:tab/>
        <w:t xml:space="preserve">На 2004 финансовый год ресурсы, выделенные по этой программе предоставления жилищных субсидий, составили 1 867 млн. песо, из них 1 607 млн. песо выделены для программы "Твой дом" и 260 млн. песо </w:t>
      </w:r>
      <w:r>
        <w:noBreakHyphen/>
        <w:t xml:space="preserve"> программы "Сельское жилье".  Кроме того, утверждено выделение НФНЖ за счет своих ресурсов 822,3 млн. песо по программе кредита "Готовое жилье".</w:t>
      </w:r>
    </w:p>
    <w:p w:rsidR="00000000" w:rsidRDefault="00000000"/>
    <w:p w:rsidR="00000000" w:rsidRDefault="00000000">
      <w:pPr>
        <w:rPr>
          <w:b/>
          <w:bCs/>
        </w:rPr>
      </w:pPr>
      <w:r>
        <w:rPr>
          <w:b/>
          <w:bCs/>
        </w:rPr>
        <w:t xml:space="preserve">Пункт 44 </w:t>
      </w:r>
      <w:r>
        <w:rPr>
          <w:b/>
          <w:bCs/>
          <w:lang w:val="en-US"/>
        </w:rPr>
        <w:t>d</w:t>
      </w:r>
      <w:r>
        <w:rPr>
          <w:b/>
          <w:bCs/>
        </w:rPr>
        <w:t xml:space="preserve">) </w:t>
      </w:r>
      <w:r>
        <w:rPr>
          <w:b/>
          <w:bCs/>
          <w:lang w:val="en-US"/>
        </w:rPr>
        <w:t>v</w:t>
      </w:r>
      <w:r>
        <w:rPr>
          <w:b/>
          <w:bCs/>
        </w:rPr>
        <w:t>)</w:t>
      </w:r>
    </w:p>
    <w:p w:rsidR="00000000" w:rsidRDefault="00000000">
      <w:pPr>
        <w:rPr>
          <w:b/>
          <w:bCs/>
        </w:rPr>
      </w:pPr>
    </w:p>
    <w:p w:rsidR="00000000" w:rsidRDefault="00000000">
      <w:r>
        <w:t>485.</w:t>
      </w:r>
      <w:r>
        <w:tab/>
        <w:t>Мексика поддерживает технические и финансовые связи.  Укрепление горизонтального сотрудничества содействует ознакомлению с опытом других.</w:t>
      </w:r>
    </w:p>
    <w:p w:rsidR="00000000" w:rsidRDefault="00000000"/>
    <w:p w:rsidR="00000000" w:rsidRDefault="00000000">
      <w:r>
        <w:t>486.</w:t>
      </w:r>
      <w:r>
        <w:tab/>
        <w:t>Целевой контингент составляют домохозяйства, живущие в условиях бедности по критерию имущественной обеспеченности, в отдельных городах и/или городских районах.  В рамках этого контингента особое внимание уделяется группам, находящимся в неблагоприятном или уязвимом положении, таким, как лица с альтернативными способностями, престарелые и лица, проживающие в постройках или в районах высокого риска.</w:t>
      </w:r>
    </w:p>
    <w:p w:rsidR="00000000" w:rsidRDefault="00000000"/>
    <w:p w:rsidR="00000000" w:rsidRDefault="00000000">
      <w:r>
        <w:t>487.</w:t>
      </w:r>
      <w:r>
        <w:tab/>
        <w:t>В каждом из специально отобранных городов при условии наличия бюджетных ресурсов могут быть выделены и выбраны один или несколько районов особого внимания, в которых могут быть осуществлены эти программы.</w:t>
      </w:r>
    </w:p>
    <w:p w:rsidR="00000000" w:rsidRDefault="00000000"/>
    <w:p w:rsidR="00000000" w:rsidRDefault="00000000">
      <w:pPr>
        <w:rPr>
          <w:b/>
          <w:bCs/>
        </w:rPr>
      </w:pPr>
      <w:r>
        <w:rPr>
          <w:b/>
          <w:bCs/>
        </w:rPr>
        <w:br w:type="page"/>
        <w:t xml:space="preserve">Пункт 44 </w:t>
      </w:r>
      <w:r>
        <w:rPr>
          <w:b/>
          <w:bCs/>
          <w:lang w:val="en-US"/>
        </w:rPr>
        <w:t>d</w:t>
      </w:r>
      <w:r>
        <w:rPr>
          <w:b/>
          <w:bCs/>
        </w:rPr>
        <w:t xml:space="preserve">) </w:t>
      </w:r>
      <w:r>
        <w:rPr>
          <w:b/>
          <w:bCs/>
          <w:lang w:val="en-US"/>
        </w:rPr>
        <w:t>vi</w:t>
      </w:r>
      <w:r>
        <w:rPr>
          <w:b/>
          <w:bCs/>
        </w:rPr>
        <w:t>)</w:t>
      </w:r>
    </w:p>
    <w:p w:rsidR="00000000" w:rsidRDefault="00000000">
      <w:pPr>
        <w:rPr>
          <w:b/>
          <w:bCs/>
        </w:rPr>
      </w:pPr>
    </w:p>
    <w:p w:rsidR="00000000" w:rsidRDefault="00000000">
      <w:r>
        <w:t>488.</w:t>
      </w:r>
      <w:r>
        <w:tab/>
        <w:t>Программа "Хабитат", уже упоминавшаяся выше, предусматривает в качестве одного из своих направлений работы "городское планирование и учреждения по развитию населенных пунктов";  по этому направлению оказывается помощь в совершенствовании инструментов планирования и городского управления, а также в формировании центров гражданского общества, призванных сообщать импульс инициативам и практике местного развития в целях улучшения городской среды и постепенного решения задачи строительства благоустроенных, безопасных, устойчивых, открытых для всех и конкурентоспособных городов.</w:t>
      </w:r>
    </w:p>
    <w:p w:rsidR="00000000" w:rsidRDefault="00000000"/>
    <w:p w:rsidR="00000000" w:rsidRDefault="00000000">
      <w:pPr>
        <w:rPr>
          <w:b/>
          <w:bCs/>
        </w:rPr>
      </w:pPr>
      <w:r>
        <w:rPr>
          <w:b/>
          <w:bCs/>
        </w:rPr>
        <w:t xml:space="preserve">Пункт 44 </w:t>
      </w:r>
      <w:r>
        <w:rPr>
          <w:b/>
          <w:bCs/>
          <w:lang w:val="en-US"/>
        </w:rPr>
        <w:t>d</w:t>
      </w:r>
      <w:r>
        <w:rPr>
          <w:b/>
          <w:bCs/>
        </w:rPr>
        <w:t xml:space="preserve">) </w:t>
      </w:r>
      <w:r>
        <w:rPr>
          <w:b/>
          <w:bCs/>
          <w:lang w:val="en-US"/>
        </w:rPr>
        <w:t>vii</w:t>
      </w:r>
      <w:r>
        <w:rPr>
          <w:b/>
          <w:bCs/>
        </w:rPr>
        <w:t>)</w:t>
      </w:r>
    </w:p>
    <w:p w:rsidR="00000000" w:rsidRDefault="00000000">
      <w:pPr>
        <w:rPr>
          <w:b/>
          <w:bCs/>
        </w:rPr>
      </w:pPr>
    </w:p>
    <w:p w:rsidR="00000000" w:rsidRDefault="00000000">
      <w:r>
        <w:t>489.</w:t>
      </w:r>
      <w:r>
        <w:tab/>
        <w:t>Программа "Хабитат" предоставляет неимущему населению возможности вырваться из бедности, для чего ведется такая работа, как улучшение условий жизни в кварталах и городских районах сосредоточения бедноты при участии общин, содействие практике планирования и городского управления и местного развития в целях интеграции различных форм объединения усилий государства, частного сектора и общества и укрепления идентичности, чувства причастности и самоуважения населения на основе действий, нацеленных на ограждение и сохранение исторических центров.</w:t>
      </w:r>
    </w:p>
    <w:p w:rsidR="00000000" w:rsidRDefault="00000000"/>
    <w:p w:rsidR="00000000" w:rsidRDefault="00000000">
      <w:pPr>
        <w:rPr>
          <w:b/>
          <w:bCs/>
        </w:rPr>
      </w:pPr>
      <w:r>
        <w:rPr>
          <w:b/>
          <w:bCs/>
        </w:rPr>
        <w:t xml:space="preserve">Пункт 44 </w:t>
      </w:r>
      <w:r>
        <w:rPr>
          <w:b/>
          <w:bCs/>
          <w:lang w:val="en-US"/>
        </w:rPr>
        <w:t>e</w:t>
      </w:r>
      <w:r>
        <w:rPr>
          <w:b/>
          <w:bCs/>
        </w:rPr>
        <w:t>)</w:t>
      </w:r>
    </w:p>
    <w:p w:rsidR="00000000" w:rsidRDefault="00000000">
      <w:pPr>
        <w:rPr>
          <w:b/>
          <w:bCs/>
        </w:rPr>
      </w:pPr>
    </w:p>
    <w:p w:rsidR="00000000" w:rsidRDefault="00000000">
      <w:r>
        <w:t>490.</w:t>
      </w:r>
      <w:r>
        <w:tab/>
        <w:t>В рассматриваемый в докладе период не отмечалось изменений в политике, законодательстве и практике страны, затрагивающих негативным образом право на достаточное жилище.</w:t>
      </w:r>
    </w:p>
    <w:p w:rsidR="00000000" w:rsidRDefault="00000000"/>
    <w:p w:rsidR="00000000" w:rsidRDefault="00000000">
      <w:pPr>
        <w:rPr>
          <w:b/>
          <w:bCs/>
        </w:rPr>
      </w:pPr>
      <w:r>
        <w:rPr>
          <w:b/>
          <w:bCs/>
        </w:rPr>
        <w:t>Пункт 45</w:t>
      </w:r>
    </w:p>
    <w:p w:rsidR="00000000" w:rsidRDefault="00000000">
      <w:pPr>
        <w:rPr>
          <w:b/>
          <w:bCs/>
        </w:rPr>
      </w:pPr>
    </w:p>
    <w:p w:rsidR="00000000" w:rsidRDefault="00000000">
      <w:r>
        <w:t>491.</w:t>
      </w:r>
      <w:r>
        <w:tab/>
        <w:t>Ответ на данный вопрос содержится во всем тексте этого документа.</w:t>
      </w:r>
    </w:p>
    <w:p w:rsidR="00000000" w:rsidRDefault="00000000"/>
    <w:p w:rsidR="00000000" w:rsidRDefault="00000000">
      <w:pPr>
        <w:rPr>
          <w:b/>
          <w:bCs/>
        </w:rPr>
      </w:pPr>
      <w:r>
        <w:rPr>
          <w:b/>
          <w:bCs/>
        </w:rPr>
        <w:t>Пункт 46</w:t>
      </w:r>
    </w:p>
    <w:p w:rsidR="00000000" w:rsidRDefault="00000000">
      <w:pPr>
        <w:rPr>
          <w:b/>
          <w:bCs/>
        </w:rPr>
      </w:pPr>
    </w:p>
    <w:p w:rsidR="00000000" w:rsidRDefault="00000000">
      <w:r>
        <w:t>492.</w:t>
      </w:r>
      <w:r>
        <w:tab/>
        <w:t>Правительство Мексики предпринимает большие усилия по реализации программ, гарантирующих населению право, закрепленное в статье 11, на основе национальных ресурсов.  Международное сотрудничество играет дополнительный характер, в частности в том, что качается ознакомления с различным опытом.</w:t>
      </w:r>
    </w:p>
    <w:p w:rsidR="00000000" w:rsidRDefault="00000000"/>
    <w:p w:rsidR="00000000" w:rsidRDefault="00000000">
      <w:pPr>
        <w:jc w:val="center"/>
        <w:rPr>
          <w:b/>
          <w:bCs/>
        </w:rPr>
      </w:pPr>
      <w:r>
        <w:rPr>
          <w:b/>
          <w:bCs/>
          <w:lang w:val="en-US"/>
        </w:rPr>
        <w:br w:type="page"/>
        <w:t>G</w:t>
      </w:r>
      <w:r>
        <w:rPr>
          <w:b/>
          <w:bCs/>
        </w:rPr>
        <w:t>.</w:t>
      </w:r>
      <w:r>
        <w:rPr>
          <w:b/>
          <w:bCs/>
        </w:rPr>
        <w:tab/>
        <w:t>Статья 12</w:t>
      </w:r>
    </w:p>
    <w:p w:rsidR="00000000" w:rsidRDefault="00000000">
      <w:pPr>
        <w:jc w:val="center"/>
        <w:rPr>
          <w:b/>
          <w:bCs/>
        </w:rPr>
      </w:pPr>
    </w:p>
    <w:p w:rsidR="00000000" w:rsidRDefault="00000000">
      <w:pPr>
        <w:rPr>
          <w:b/>
          <w:bCs/>
        </w:rPr>
      </w:pPr>
      <w:r>
        <w:rPr>
          <w:b/>
          <w:bCs/>
        </w:rPr>
        <w:t>Пункт 47 руководящих принципов</w:t>
      </w:r>
    </w:p>
    <w:p w:rsidR="00000000" w:rsidRDefault="00000000">
      <w:pPr>
        <w:rPr>
          <w:b/>
          <w:bCs/>
        </w:rPr>
      </w:pPr>
    </w:p>
    <w:p w:rsidR="00000000" w:rsidRDefault="00000000">
      <w:r>
        <w:t>493.</w:t>
      </w:r>
      <w:r>
        <w:tab/>
        <w:t>Национальный план развития (НПР) в своем разделе "Социальное и человеческое развитие" ставит задачу повышения уровня жизни и возможностей населения на основе усиления равноправия и равенства возможностей, увеличения связности общества и наращивания общественного капитала, а также расширения возможностей правительства по принятию ответных мер, давая толчок секторальным, специальным, институциональным и региональным программам и поощряя взаимодействие между штатами, регионами и Федерацией.  НПР намечает три основных приоритета:  повышение равноправия и равенства возможностей граждан и развитие их способностей.</w:t>
      </w:r>
    </w:p>
    <w:p w:rsidR="00000000" w:rsidRDefault="00000000"/>
    <w:p w:rsidR="00000000" w:rsidRDefault="00000000">
      <w:r>
        <w:t>494.</w:t>
      </w:r>
      <w:r>
        <w:tab/>
        <w:t>В увязке с НПР Национальная программа здравоохранения на период 2001</w:t>
      </w:r>
      <w:r>
        <w:noBreakHyphen/>
        <w:t>2006 годов исходит из той посылки, что экономическое развитие, социальное благосостояние, политическая стабильность и национальная безопасность зависят от здоровья населения страны, и ставит четыре основные задачи:</w:t>
      </w:r>
    </w:p>
    <w:p w:rsidR="00000000" w:rsidRDefault="00000000"/>
    <w:p w:rsidR="00000000" w:rsidRDefault="00000000">
      <w:pPr>
        <w:numPr>
          <w:ilvl w:val="0"/>
          <w:numId w:val="50"/>
        </w:numPr>
      </w:pPr>
      <w:r>
        <w:t>Здоровье населения - одна из целей развития и неотъемлемое условие достижения реального равенства возможностей.</w:t>
      </w:r>
    </w:p>
    <w:p w:rsidR="00000000" w:rsidRDefault="00000000">
      <w:pPr>
        <w:tabs>
          <w:tab w:val="clear" w:pos="1134"/>
        </w:tabs>
      </w:pPr>
    </w:p>
    <w:p w:rsidR="00000000" w:rsidRDefault="00000000">
      <w:pPr>
        <w:numPr>
          <w:ilvl w:val="0"/>
          <w:numId w:val="50"/>
        </w:numPr>
      </w:pPr>
      <w:r>
        <w:t>Здоровье, как и образование, - это центральный элемент человеческого капитала, который представляет собой наиболее важный капитал людей и стран.  Повышать уровень здоровья и обеспечивать образование - значит расширять возможности индивида и общества по обеспечению себя и увеличению своих средств к существованию.</w:t>
      </w:r>
    </w:p>
    <w:p w:rsidR="00000000" w:rsidRDefault="00000000">
      <w:pPr>
        <w:tabs>
          <w:tab w:val="clear" w:pos="1134"/>
        </w:tabs>
      </w:pPr>
    </w:p>
    <w:p w:rsidR="00000000" w:rsidRDefault="00000000">
      <w:pPr>
        <w:numPr>
          <w:ilvl w:val="0"/>
          <w:numId w:val="50"/>
        </w:numPr>
      </w:pPr>
      <w:r>
        <w:t>В силу той ценности, которое оно имеет само по себе, и его стратегического значения необходимо перестать рассматривать здравоохранение лишь как конкретный сектор государственного управления и начать считать его еще и социальной целью, которой могут и должны добиваться все сектора;  таким образом, необходимо дополнить политику здравоохранения политикой, ведущей к улучшению здоровья.</w:t>
      </w:r>
    </w:p>
    <w:p w:rsidR="00000000" w:rsidRDefault="00000000">
      <w:pPr>
        <w:tabs>
          <w:tab w:val="clear" w:pos="1134"/>
        </w:tabs>
      </w:pPr>
    </w:p>
    <w:p w:rsidR="00000000" w:rsidRDefault="00000000">
      <w:pPr>
        <w:numPr>
          <w:ilvl w:val="0"/>
          <w:numId w:val="50"/>
        </w:numPr>
      </w:pPr>
      <w:r>
        <w:t>Охрана здоровья - общая ценность практически для всех обществ, всех идеологических систем и всех политических режимов.  Поэтому хорошее здоровье - это ценность, которая способна укрепить ткань нашего общества.</w:t>
      </w:r>
    </w:p>
    <w:p w:rsidR="00000000" w:rsidRDefault="00000000">
      <w:pPr>
        <w:tabs>
          <w:tab w:val="clear" w:pos="1134"/>
        </w:tabs>
      </w:pPr>
    </w:p>
    <w:p w:rsidR="00000000" w:rsidRDefault="00000000">
      <w:r>
        <w:t>495.</w:t>
      </w:r>
      <w:r>
        <w:tab/>
        <w:t>Национальная программа здравоохранения на 2001-2006 годы (НПЗ) была разработана для того, чтобы решить проблемы, с которыми сталкивается мексиканская система здравоохранения:  равноправие, качество и финансовая обеспеченность.  В ней намечены конкретные направления действий, связанные с пятью основными целями:  1)  улучшение условий охраны здоровья мексиканцев, 2)  уменьшение неравенства в сфере здравоохранения, 3)  повышение возможностей государственных и частных медицинских учреждений по принятию ответных мер, 4)  достижение справедливости в финансировании в области здравоохранения и 5)  укрепление системы здравоохранения, прежде всего государственных учреждений.</w:t>
      </w:r>
    </w:p>
    <w:p w:rsidR="00000000" w:rsidRDefault="00000000"/>
    <w:p w:rsidR="00000000" w:rsidRDefault="00000000">
      <w:r>
        <w:t>496.</w:t>
      </w:r>
      <w:r>
        <w:tab/>
        <w:t>Эти цели конкретизируются в следующих десяти стратегиях:</w:t>
      </w:r>
    </w:p>
    <w:p w:rsidR="00000000" w:rsidRDefault="00000000"/>
    <w:p w:rsidR="00000000" w:rsidRDefault="00000000">
      <w:pPr>
        <w:numPr>
          <w:ilvl w:val="0"/>
          <w:numId w:val="51"/>
        </w:numPr>
      </w:pPr>
      <w:r>
        <w:t>связь здравоохранения с социально-экономическим развитием;</w:t>
      </w:r>
    </w:p>
    <w:p w:rsidR="00000000" w:rsidRDefault="00000000"/>
    <w:p w:rsidR="00000000" w:rsidRDefault="00000000">
      <w:pPr>
        <w:numPr>
          <w:ilvl w:val="0"/>
          <w:numId w:val="51"/>
        </w:numPr>
      </w:pPr>
      <w:r>
        <w:t>уменьшение отставания в сфере здравоохранения, затрагивающего неимущих;</w:t>
      </w:r>
    </w:p>
    <w:p w:rsidR="00000000" w:rsidRDefault="00000000"/>
    <w:p w:rsidR="00000000" w:rsidRDefault="00000000">
      <w:pPr>
        <w:numPr>
          <w:ilvl w:val="0"/>
          <w:numId w:val="51"/>
        </w:numPr>
      </w:pPr>
      <w:r>
        <w:t>решение возникающих проблем на основе установления конкретных приоритетов;</w:t>
      </w:r>
    </w:p>
    <w:p w:rsidR="00000000" w:rsidRDefault="00000000"/>
    <w:p w:rsidR="00000000" w:rsidRDefault="00000000">
      <w:pPr>
        <w:numPr>
          <w:ilvl w:val="0"/>
          <w:numId w:val="51"/>
        </w:numPr>
      </w:pPr>
      <w:r>
        <w:t>развертывание кампании повышения качества обслуживания;</w:t>
      </w:r>
    </w:p>
    <w:p w:rsidR="00000000" w:rsidRDefault="00000000"/>
    <w:p w:rsidR="00000000" w:rsidRDefault="00000000">
      <w:pPr>
        <w:numPr>
          <w:ilvl w:val="0"/>
          <w:numId w:val="51"/>
        </w:numPr>
      </w:pPr>
      <w:r>
        <w:t>распространение финансовой защиты в сфере здравоохранения на все население;</w:t>
      </w:r>
    </w:p>
    <w:p w:rsidR="00000000" w:rsidRDefault="00000000"/>
    <w:p w:rsidR="00000000" w:rsidRDefault="00000000">
      <w:pPr>
        <w:numPr>
          <w:ilvl w:val="0"/>
          <w:numId w:val="51"/>
        </w:numPr>
      </w:pPr>
      <w:r>
        <w:t>формирование в сфере здравоохранения конструктивного федерализма;</w:t>
      </w:r>
    </w:p>
    <w:p w:rsidR="00000000" w:rsidRDefault="00000000"/>
    <w:p w:rsidR="00000000" w:rsidRDefault="00000000">
      <w:pPr>
        <w:numPr>
          <w:ilvl w:val="0"/>
          <w:numId w:val="51"/>
        </w:numPr>
      </w:pPr>
      <w:r>
        <w:t>укрепление руководящей роли министерства здравоохранения;</w:t>
      </w:r>
    </w:p>
    <w:p w:rsidR="00000000" w:rsidRDefault="00000000"/>
    <w:p w:rsidR="00000000" w:rsidRDefault="00000000">
      <w:pPr>
        <w:numPr>
          <w:ilvl w:val="0"/>
          <w:numId w:val="51"/>
        </w:numPr>
      </w:pPr>
      <w:r>
        <w:t>усиление модели комплексного обслуживания в сфере здравоохранения;</w:t>
      </w:r>
    </w:p>
    <w:p w:rsidR="00000000" w:rsidRDefault="00000000"/>
    <w:p w:rsidR="00000000" w:rsidRDefault="00000000">
      <w:pPr>
        <w:numPr>
          <w:ilvl w:val="0"/>
          <w:numId w:val="51"/>
        </w:numPr>
      </w:pPr>
      <w:r>
        <w:t>активизация участия общества;</w:t>
      </w:r>
    </w:p>
    <w:p w:rsidR="00000000" w:rsidRDefault="00000000">
      <w:pPr>
        <w:tabs>
          <w:tab w:val="clear" w:pos="1134"/>
        </w:tabs>
      </w:pPr>
    </w:p>
    <w:p w:rsidR="00000000" w:rsidRDefault="00000000">
      <w:pPr>
        <w:numPr>
          <w:ilvl w:val="0"/>
          <w:numId w:val="51"/>
        </w:numPr>
      </w:pPr>
      <w:r>
        <w:t>содействие развитию людских ресурсов, исследований и инфраструктуры здравоохранения.</w:t>
      </w:r>
    </w:p>
    <w:p w:rsidR="00000000" w:rsidRDefault="00000000"/>
    <w:p w:rsidR="00000000" w:rsidRDefault="00000000">
      <w:r>
        <w:t>497.</w:t>
      </w:r>
      <w:r>
        <w:tab/>
        <w:t>В сфере психического здоровья НПЗ предусматривают приоритет проблем психического здоровья, а также ставит задачу борьбы с табакокурением, алкоголизмом и наркоманией.  О масштабах проблемы психических заболеваний можно судить по тому, что по крайней мере четверть жителей страны в какой-либо период жизни страдали тем или иным психическим расстройством:  у 4 млн. взрослых наблюдается депрессия, полмиллиона человек страдают от шизофрении, 1 млн. человек - от эпилепсии, а от слабоумия страдают 10% населения в возрасте старше 65 лет.  В случае сохранения тенденции роста таких заболеваний, в следующие 10 лет лечение психических заболеваний станет в Мексике одним из главных направлений деятельности системы здравоохранения.</w:t>
      </w:r>
    </w:p>
    <w:p w:rsidR="00000000" w:rsidRDefault="00000000"/>
    <w:p w:rsidR="00000000" w:rsidRDefault="00000000">
      <w:r>
        <w:t>498.</w:t>
      </w:r>
      <w:r>
        <w:tab/>
        <w:t>Среди 15 главных причин смертности от поддающихся лечению болезней (СПЛБ) в нашей стране 6 связаны с психическими и невротическими заболеваниями и алкоголизмом и наркоманией:  убийства и насилия, дорожно-транспортные происшествия, сердечно-сосудистые заболевания, цирроз печени, слабоумие, алкоголизм и депрессивные расстройства;  на них приходится примерно 18% всех СПЛБ.</w:t>
      </w:r>
    </w:p>
    <w:p w:rsidR="00000000" w:rsidRDefault="00000000"/>
    <w:p w:rsidR="00000000" w:rsidRDefault="00000000">
      <w:r>
        <w:t>499.</w:t>
      </w:r>
      <w:r>
        <w:tab/>
        <w:t>Следует отметить, что Всемирная организация здравоохранения (ВОЗ) считает психическое здоровье составной частью общего определения "здоровье", которое формулируется следующим образом:  "состояние полного физического, психологического и социального благополучия, а не только отсутствие болезней".  Правительство Мексики признает, что психосоциальному элементу не отводится в деятельности медицинских учреждений такого же внимания, что и другим составляющим, но тем не менее постепенно государство принимает меры по преодолению такого положения дел.</w:t>
      </w:r>
    </w:p>
    <w:p w:rsidR="00000000" w:rsidRDefault="00000000"/>
    <w:p w:rsidR="00000000" w:rsidRDefault="00000000">
      <w:r>
        <w:t>500.</w:t>
      </w:r>
      <w:r>
        <w:tab/>
        <w:t>Генеральная Ассамблея Организации Объединенных Наций, а также некоторые ее учреждения (ВОЗ, ЮНЕСКО, ЮНИСЕФ и МОТ) и Организация американских государств (ОАГ) обращают внимание государств-членов на необходимость активизации деятельности в области психического здоровья и изменения господствующих представлений, которые ныне сводятся в большей части к уходу за нетрудоспособными психиатрическими больными в специальных учреждениях, вместо чего необходимо развивать и улучшать оказание первичной психиатрической помощи, а также содействовать более широкой причастности и контакту общества как на индивидуальном уровне, так и на организованном уровне групп и ассоциаций.</w:t>
      </w:r>
    </w:p>
    <w:p w:rsidR="00000000" w:rsidRDefault="00000000"/>
    <w:p w:rsidR="00000000" w:rsidRDefault="00000000">
      <w:r>
        <w:t>501.</w:t>
      </w:r>
      <w:r>
        <w:tab/>
        <w:t>Повышение уровня жизни в большинстве стран сопровождается заметным улучшением показателей здравоохранения.  Тем не менее, отмечается, что в странах с растущей экономикой, таких, как Мексика, заболевания, сохранение которых является результатом отставания, сосуществуют с заболеваниями, присущими процессу ускоренной урбанизации, такими, как хронические дегенеративные заболевания, связанные с невротическими и психиатрическими патологиями, многие из которых обусловлены эпидемиологическими сдвигами последних лет.</w:t>
      </w:r>
    </w:p>
    <w:p w:rsidR="00000000" w:rsidRDefault="00000000"/>
    <w:p w:rsidR="00000000" w:rsidRDefault="00000000">
      <w:r>
        <w:t>502.</w:t>
      </w:r>
      <w:r>
        <w:tab/>
        <w:t>Национальная политика решения проблем психического здоровья предусматривает задействование потенциала не только медицинских учреждений, но образовательного и трудового сектора, сектора развития и социальной интеграции, равно как и общества в целом на уровнях Федерации, штатов и муниципий.  В НПЗ определены направления действий по поддержке здорового развития общин, чтобы их население имело условия для своего развития, а также направления действий по расширению охвата медицинским обслуживанием на основе вложений в информационные технологии, которые позволят охватить им самые отдаленные места.</w:t>
      </w:r>
    </w:p>
    <w:p w:rsidR="00000000" w:rsidRDefault="00000000"/>
    <w:p w:rsidR="00000000" w:rsidRDefault="00000000">
      <w:r>
        <w:t>503.</w:t>
      </w:r>
      <w:r>
        <w:tab/>
        <w:t>Одновременно с этим ставится задача усиления процесса федерализации и децентрализации в целях достижения более справедливого распределения имеющихся ресурсов и создания на этой основе комплексной системы медицинского обслуживания.</w:t>
      </w:r>
    </w:p>
    <w:p w:rsidR="00000000" w:rsidRDefault="00000000"/>
    <w:p w:rsidR="00000000" w:rsidRDefault="00000000">
      <w:r>
        <w:t>504.</w:t>
      </w:r>
      <w:r>
        <w:tab/>
        <w:t xml:space="preserve">Работа, намеченная в программе действий в области психического здоровья на период 2001-2006 годов, позволит оказать помощь в этот период 15 млн. мексиканцев, страдающих от тех или иных психических заболеваний, и их семьям.  С дополнительной информацией о программе психиатрической помощи можно ознакомиться на электронной странице министерства здравоохранения </w:t>
      </w:r>
      <w:hyperlink r:id="rId29" w:history="1">
        <w:r>
          <w:rPr>
            <w:lang w:val="en-US"/>
          </w:rPr>
          <w:t>http</w:t>
        </w:r>
        <w:r>
          <w:t>://</w:t>
        </w:r>
        <w:r>
          <w:rPr>
            <w:lang w:val="en-US"/>
          </w:rPr>
          <w:t>www</w:t>
        </w:r>
        <w:r>
          <w:t>.</w:t>
        </w:r>
        <w:r>
          <w:rPr>
            <w:lang w:val="en-US"/>
          </w:rPr>
          <w:t>salud</w:t>
        </w:r>
        <w:r>
          <w:t>.</w:t>
        </w:r>
        <w:r>
          <w:rPr>
            <w:lang w:val="en-US"/>
          </w:rPr>
          <w:t>gob</w:t>
        </w:r>
        <w:r>
          <w:t>.</w:t>
        </w:r>
        <w:r>
          <w:rPr>
            <w:lang w:val="en-US"/>
          </w:rPr>
          <w:t>mx</w:t>
        </w:r>
      </w:hyperlink>
      <w:r>
        <w:t>.</w:t>
      </w:r>
    </w:p>
    <w:p w:rsidR="00000000" w:rsidRDefault="00000000"/>
    <w:p w:rsidR="00000000" w:rsidRDefault="00000000">
      <w:pPr>
        <w:rPr>
          <w:b/>
          <w:bCs/>
        </w:rPr>
      </w:pPr>
      <w:r>
        <w:rPr>
          <w:b/>
          <w:bCs/>
        </w:rPr>
        <w:t>Пункт 48</w:t>
      </w:r>
    </w:p>
    <w:p w:rsidR="00000000" w:rsidRDefault="00000000">
      <w:pPr>
        <w:rPr>
          <w:b/>
          <w:bCs/>
        </w:rPr>
      </w:pPr>
    </w:p>
    <w:p w:rsidR="00000000" w:rsidRDefault="00000000">
      <w:r>
        <w:t>505.</w:t>
      </w:r>
      <w:r>
        <w:tab/>
        <w:t>В четвертом абзаце статьи 4 Политической конституции Мексиканских Соединенных Штатов устанавливается "право каждого человека на охрану здоровья".  Закон определяет основы и порядок пользования медицинским обслуживанием и устанавливает параллельные функции Федерации и субъектов Федерации в области здравоохранения в целом, руководствуясь положениями раздела </w:t>
      </w:r>
      <w:r>
        <w:rPr>
          <w:lang w:val="en-US"/>
        </w:rPr>
        <w:t>XVI</w:t>
      </w:r>
      <w:r>
        <w:t xml:space="preserve"> статьи 73 Конституции:</w:t>
      </w:r>
    </w:p>
    <w:p w:rsidR="00000000" w:rsidRDefault="00000000">
      <w:pPr>
        <w:ind w:left="1134" w:hanging="1134"/>
      </w:pPr>
    </w:p>
    <w:p w:rsidR="00000000" w:rsidRDefault="00000000">
      <w:pPr>
        <w:ind w:left="1134" w:hanging="1134"/>
      </w:pPr>
      <w:r>
        <w:tab/>
      </w:r>
      <w:r>
        <w:sym w:font="Symbol" w:char="F0B7"/>
      </w:r>
      <w:r>
        <w:tab/>
        <w:t>В национальном плане развития на период 2001-2006 годов поставлен ряд целей, достижение которых позволит ускорить процесс обеспечения каждому мексиканцу доступа к качественному обслуживанию при достойном обращении и без ущерба для материальной обеспеченности.</w:t>
      </w:r>
    </w:p>
    <w:p w:rsidR="00000000" w:rsidRDefault="00000000">
      <w:pPr>
        <w:ind w:left="1134" w:hanging="1134"/>
      </w:pPr>
    </w:p>
    <w:p w:rsidR="00000000" w:rsidRDefault="00000000">
      <w:pPr>
        <w:ind w:left="1134" w:hanging="1134"/>
      </w:pPr>
      <w:r>
        <w:tab/>
      </w:r>
      <w:r>
        <w:sym w:font="Symbol" w:char="F0B7"/>
      </w:r>
      <w:r>
        <w:tab/>
        <w:t>Направления развития системы здравоохранения четко определены в национальной программе здравоохранения на 2001-2006 годы, принятой по итогам всенародного обсуждения, активное участие в котором приняли все группы общества, от которых поступило 23 000 предложений.</w:t>
      </w:r>
    </w:p>
    <w:p w:rsidR="00000000" w:rsidRDefault="00000000"/>
    <w:p w:rsidR="00000000" w:rsidRDefault="00000000">
      <w:pPr>
        <w:ind w:left="1134" w:hanging="1134"/>
      </w:pPr>
      <w:r>
        <w:tab/>
      </w:r>
      <w:r>
        <w:sym w:font="Symbol" w:char="F0B7"/>
      </w:r>
      <w:r>
        <w:tab/>
        <w:t>Национальная программа здравоохранения на 2001-2006 годы предусматривает создание всеобщей, равноправной, солидарной, плюралистической, эффективной, качественной, предвидящей потребности, децентрализованной, основанной на участии и связанной с развитием системы здравоохранения.  Ее главная задача - обеспечить к 2025 году каждому мексиканцу доступ к медицинскому обслуживанию при уделении первоочередного внимания наиболее уязвимым группам и обеспечении тесной связи системы здравоохранения с другими родственными секторами, такими, как социальное развитие, образование, экология, безопасность, а также при солидарном и открытом для всех участии общества в целом.</w:t>
      </w:r>
    </w:p>
    <w:p w:rsidR="00000000" w:rsidRDefault="00000000"/>
    <w:p w:rsidR="00000000" w:rsidRDefault="00000000">
      <w:pPr>
        <w:ind w:left="1134" w:hanging="1134"/>
      </w:pPr>
      <w:r>
        <w:tab/>
      </w:r>
      <w:r>
        <w:sym w:font="Symbol" w:char="F0B7"/>
      </w:r>
      <w:r>
        <w:tab/>
        <w:t xml:space="preserve">Для укрепления национальной системы здравоохранения необходимо признать успехи последних десятилетий и при этом признать отставания, которые сохраняются в стране, и вновь возникающие проблемы, вызванные не только трансформацией страны, но и изменениями международного плана.  </w:t>
      </w:r>
    </w:p>
    <w:p w:rsidR="00000000" w:rsidRDefault="00000000">
      <w:pPr>
        <w:ind w:left="1134" w:hanging="1134"/>
      </w:pPr>
    </w:p>
    <w:p w:rsidR="00000000" w:rsidRDefault="00000000">
      <w:pPr>
        <w:ind w:left="1134" w:hanging="1134"/>
      </w:pPr>
      <w:r>
        <w:tab/>
      </w:r>
      <w:r>
        <w:sym w:font="Symbol" w:char="F0B7"/>
      </w:r>
      <w:r>
        <w:tab/>
        <w:t>Для этого в программе ставится три главных задачи, решение которых должно дать ответ на этот вызов.  Их решение должно способствовать изменению облика страны и улучшению условий охраны здоровья мексиканцев в целях преодоления проявлений неравенства в сфере здравоохранения и обеспечения равного обращения при недопущении чрезмерных расходов для населения и укреплении государственных учреждений здравоохранения.  Эти задачи:  равноправие, качество и финансовая защита.</w:t>
      </w:r>
    </w:p>
    <w:p w:rsidR="00000000" w:rsidRDefault="00000000"/>
    <w:p w:rsidR="00000000" w:rsidRDefault="00000000">
      <w:r>
        <w:t>506.</w:t>
      </w:r>
      <w:r>
        <w:tab/>
        <w:t>Для содействия в решении этих задач министерство здравоохранения осуществляет ряд мер, нацеленных на развитие здравоохранения и связанных с широким спектром формальной и неформальной деятельности внутри- и межсекторального характера.  Для развития этих программ осуществляется ряд стратегий, призванных способствовать достижению следующих целей:</w:t>
      </w:r>
    </w:p>
    <w:p w:rsidR="00000000" w:rsidRDefault="00000000"/>
    <w:p w:rsidR="00000000" w:rsidRDefault="00000000">
      <w:r>
        <w:tab/>
      </w:r>
      <w:r>
        <w:sym w:font="Symbol" w:char="F0B7"/>
      </w:r>
      <w:r>
        <w:tab/>
        <w:t>санитарное просвещение;</w:t>
      </w:r>
    </w:p>
    <w:p w:rsidR="00000000" w:rsidRDefault="00000000"/>
    <w:p w:rsidR="00000000" w:rsidRDefault="00000000">
      <w:r>
        <w:tab/>
      </w:r>
      <w:r>
        <w:sym w:font="Symbol" w:char="F0B7"/>
      </w:r>
      <w:r>
        <w:tab/>
        <w:t>участие общества;</w:t>
      </w:r>
    </w:p>
    <w:p w:rsidR="00000000" w:rsidRDefault="00000000"/>
    <w:p w:rsidR="00000000" w:rsidRDefault="00000000">
      <w:r>
        <w:tab/>
      </w:r>
      <w:r>
        <w:sym w:font="Symbol" w:char="F0B7"/>
      </w:r>
      <w:r>
        <w:tab/>
        <w:t>информационно-пропагандистская работа;</w:t>
      </w:r>
    </w:p>
    <w:p w:rsidR="00000000" w:rsidRDefault="00000000"/>
    <w:p w:rsidR="00000000" w:rsidRDefault="00000000">
      <w:r>
        <w:tab/>
      </w:r>
      <w:r>
        <w:sym w:font="Symbol" w:char="F0B7"/>
      </w:r>
      <w:r>
        <w:tab/>
        <w:t>подготовка кадров.</w:t>
      </w:r>
    </w:p>
    <w:p w:rsidR="00000000" w:rsidRDefault="00000000"/>
    <w:p w:rsidR="00000000" w:rsidRDefault="00000000">
      <w:r>
        <w:t>507.</w:t>
      </w:r>
      <w:r>
        <w:tab/>
        <w:t>В настоящее время министерством здравоохранения реализуются две следующие программы действий:</w:t>
      </w:r>
    </w:p>
    <w:p w:rsidR="00000000" w:rsidRDefault="00000000"/>
    <w:p w:rsidR="00000000" w:rsidRDefault="00000000">
      <w:pPr>
        <w:ind w:left="1134" w:hanging="1134"/>
      </w:pPr>
      <w:r>
        <w:tab/>
      </w:r>
      <w:r>
        <w:sym w:font="Symbol" w:char="F0B7"/>
      </w:r>
      <w:r>
        <w:tab/>
        <w:t>Программа здоровых населенных пунктов, объединяющая разработку и реализацию государственной политики, которая должна быть увязана с нормативными актами, касающимися уважения прав некурильщиков, сохранения окружающей среды, безопасности по отношению к профессиональным рискам, функциональности пространств для лиц с инвалидностями и т.п.</w:t>
      </w:r>
    </w:p>
    <w:p w:rsidR="00000000" w:rsidRDefault="00000000"/>
    <w:p w:rsidR="00000000" w:rsidRDefault="00000000">
      <w:pPr>
        <w:ind w:left="1134" w:hanging="1134"/>
      </w:pPr>
      <w:r>
        <w:tab/>
      </w:r>
      <w:r>
        <w:sym w:font="Symbol" w:char="F0B7"/>
      </w:r>
      <w:r>
        <w:tab/>
        <w:t>Межсекторальная программа санитарного просвещения, осуществляющаяся на основе соглашений между министерством просвещения и министерством здравоохранения.  В соответствии с ней в школьную программу должны быть включены занятия, которые способствуют привитию здорового образа жизни и предостерегают от поведения, связанного с высоким риском, например табакокурения, употребления алкогольных напитков, злоупотребления веществами, вызывающими зависимость, и небезопасных сексуальных связей.  Кроме того, должна быть предоставлена информация о биологических, физических и химических рисках окружающей и производственной среды и способах их сведения к минимуму.  Кроме того, поставлена задача устранения отставания в сфере здравоохранения на основе первоочередного осуществления мероприятий по охране здоровья, связанных с распространением инфекционных, поддающихся иммунопрофилактике и связанных с сексуальным и репродуктивным процессом заболеваний.  Главная задача - повышение уровня здоровья школьников при уделении особого внимания группам коренного населения, сельских жителей и городских жителей с низкими доходами в рамках целостной стратегии обеспечения качественного образования на основе межсекторальной координации и при поддержке других государственных, частных и основанных на гражданском участии организаций.</w:t>
      </w:r>
    </w:p>
    <w:p w:rsidR="00000000" w:rsidRDefault="00000000"/>
    <w:p w:rsidR="00000000" w:rsidRDefault="00000000">
      <w:r>
        <w:t>508.</w:t>
      </w:r>
      <w:r>
        <w:tab/>
        <w:t xml:space="preserve">Кроме того, осуществляется программа "Профилактика и охрана здоровья на протяжении всей жизни", которая охватывает комплекс медицинских услуг, получаемых каждым гражданином в учреждениях министерства здравоохранения, вне зависимости от причин обращения за консультацией, что представляет собой вклад в предотвращение будущих проблем со здоровьем, при строгом соблюдении ныне действующего законодательства и подзаконных актов.  Таким образом, вносится вклад в улучшение условий здравоохранения мексиканцев, как и в устранение неравенства в сфере </w:t>
      </w:r>
    </w:p>
    <w:p w:rsidR="00000000" w:rsidRDefault="00000000">
      <w:r>
        <w:br w:type="page"/>
        <w:t>здравоохранения.  Кроме того, оказывается содействие уходу населением за своим здоровьем, поскольку комплекс таких мероприятий включает в себя деятельность по информированию и поощрению здорового образа жизни.</w:t>
      </w:r>
    </w:p>
    <w:p w:rsidR="00000000" w:rsidRDefault="00000000"/>
    <w:p w:rsidR="00000000" w:rsidRDefault="00000000">
      <w:r>
        <w:t>509.</w:t>
      </w:r>
      <w:r>
        <w:tab/>
        <w:t>Система национальных карт здоровья представляет собой комплекс мер по профилактике и охране здоровья, нацеленный на укрепление среди населения привычек, отношений, подхода и практики защиты и ограждения здоровья на протяжении всей жизни, т.е. с момента рождения до достижения преклонного возраста.</w:t>
      </w:r>
    </w:p>
    <w:p w:rsidR="00000000" w:rsidRDefault="00000000"/>
    <w:p w:rsidR="00000000" w:rsidRDefault="00000000">
      <w:r>
        <w:t>510.</w:t>
      </w:r>
      <w:r>
        <w:tab/>
        <w:t>Реализация этой системы призвана обеспечить действенную помощь определенным группам, что, с одной стороны, предполагает обязательное уделение внимания и, с другой стороны, разработку и применение образовательного содержания и развития здравоохранения.</w:t>
      </w:r>
    </w:p>
    <w:p w:rsidR="00000000" w:rsidRDefault="00000000"/>
    <w:p w:rsidR="00000000" w:rsidRDefault="00000000">
      <w:pPr>
        <w:rPr>
          <w:b/>
          <w:bCs/>
        </w:rPr>
      </w:pPr>
      <w:r>
        <w:rPr>
          <w:b/>
          <w:bCs/>
        </w:rPr>
        <w:t>Пункт 49</w:t>
      </w:r>
    </w:p>
    <w:p w:rsidR="00000000" w:rsidRDefault="00000000">
      <w:pPr>
        <w:rPr>
          <w:b/>
          <w:bCs/>
        </w:rPr>
      </w:pPr>
    </w:p>
    <w:p w:rsidR="00000000" w:rsidRDefault="00000000">
      <w:r>
        <w:t>511.</w:t>
      </w:r>
      <w:r>
        <w:tab/>
        <w:t>В 2002 году расходы на здравоохранение составили в Мексике 5,8% валового внутреннего продукта (ВВП).  Эта цифра охватывает как государственные расходы (42,1%), так и личные расходы (57,9%).  В 1997 году расходы на здравоохранение составляли 5,5% ВВП, при этом личные и государственные расходы распределялись в пропорции 54,7% и 45,3%.  Примерно 23% государственных расходов на здравоохранение </w:t>
      </w:r>
      <w:r>
        <w:noBreakHyphen/>
        <w:t xml:space="preserve"> расходы на оказание первичной медико-санитарной помощи (первый уровень оказания помощи застрахованному и незастрахованному населению).</w:t>
      </w:r>
    </w:p>
    <w:p w:rsidR="00000000" w:rsidRDefault="00000000"/>
    <w:p w:rsidR="00000000" w:rsidRDefault="00000000">
      <w:pPr>
        <w:rPr>
          <w:b/>
          <w:bCs/>
        </w:rPr>
      </w:pPr>
      <w:r>
        <w:rPr>
          <w:b/>
          <w:bCs/>
        </w:rPr>
        <w:t>Пункт 50 а)</w:t>
      </w:r>
    </w:p>
    <w:p w:rsidR="00000000" w:rsidRDefault="00000000">
      <w:pPr>
        <w:rPr>
          <w:b/>
          <w:bCs/>
        </w:rPr>
      </w:pPr>
    </w:p>
    <w:tbl>
      <w:tblPr>
        <w:tblW w:w="4977" w:type="pct"/>
        <w:jc w:val="center"/>
        <w:tblCellMar>
          <w:left w:w="0" w:type="dxa"/>
          <w:right w:w="0" w:type="dxa"/>
        </w:tblCellMar>
        <w:tblLook w:val="00A0" w:firstRow="1" w:lastRow="0" w:firstColumn="1" w:lastColumn="0" w:noHBand="0" w:noVBand="0"/>
      </w:tblPr>
      <w:tblGrid>
        <w:gridCol w:w="2721"/>
        <w:gridCol w:w="524"/>
        <w:gridCol w:w="825"/>
        <w:gridCol w:w="810"/>
        <w:gridCol w:w="890"/>
        <w:gridCol w:w="963"/>
        <w:gridCol w:w="800"/>
        <w:gridCol w:w="787"/>
        <w:gridCol w:w="968"/>
        <w:gridCol w:w="17"/>
        <w:gridCol w:w="22"/>
      </w:tblGrid>
      <w:tr w:rsidR="00000000">
        <w:trPr>
          <w:gridAfter w:val="2"/>
          <w:wAfter w:w="21" w:type="pct"/>
          <w:cantSplit/>
          <w:tblHeader/>
          <w:jc w:val="center"/>
        </w:trPr>
        <w:tc>
          <w:tcPr>
            <w:tcW w:w="4979" w:type="pct"/>
            <w:gridSpan w:val="9"/>
            <w:vAlign w:val="center"/>
          </w:tcPr>
          <w:p w:rsidR="00000000" w:rsidRDefault="00000000">
            <w:pPr>
              <w:spacing w:before="20"/>
              <w:jc w:val="center"/>
              <w:rPr>
                <w:b/>
                <w:bCs/>
              </w:rPr>
            </w:pPr>
            <w:r>
              <w:rPr>
                <w:b/>
                <w:bCs/>
              </w:rPr>
              <w:t>Смертность несовершеннолетних за год с разбивкой по субъектам федерации, в которых обычно проживал умерший, и по полу, 2001-2002 годы</w:t>
            </w:r>
          </w:p>
          <w:p w:rsidR="00000000" w:rsidRDefault="00000000">
            <w:pPr>
              <w:spacing w:before="20"/>
              <w:jc w:val="center"/>
              <w:rPr>
                <w:rFonts w:cs="Arial"/>
                <w:i/>
                <w:iCs/>
                <w:sz w:val="18"/>
                <w:szCs w:val="22"/>
              </w:rPr>
            </w:pPr>
          </w:p>
        </w:tc>
      </w:tr>
      <w:tr w:rsidR="00000000">
        <w:trPr>
          <w:gridAfter w:val="1"/>
          <w:wAfter w:w="12" w:type="pct"/>
          <w:cantSplit/>
          <w:tblHeader/>
          <w:jc w:val="center"/>
        </w:trPr>
        <w:tc>
          <w:tcPr>
            <w:tcW w:w="0" w:type="auto"/>
            <w:vMerge w:val="restart"/>
            <w:tcBorders>
              <w:top w:val="single" w:sz="4" w:space="0" w:color="auto"/>
            </w:tcBorders>
            <w:vAlign w:val="center"/>
          </w:tcPr>
          <w:p w:rsidR="00000000" w:rsidRDefault="00000000">
            <w:pPr>
              <w:spacing w:before="20"/>
              <w:rPr>
                <w:rFonts w:cs="Arial"/>
                <w:i/>
                <w:iCs/>
                <w:sz w:val="18"/>
                <w:szCs w:val="22"/>
              </w:rPr>
            </w:pPr>
            <w:r>
              <w:rPr>
                <w:rFonts w:cs="Arial"/>
                <w:i/>
                <w:iCs/>
                <w:sz w:val="18"/>
                <w:szCs w:val="22"/>
              </w:rPr>
              <w:t>Субъект федерации</w:t>
            </w:r>
          </w:p>
        </w:tc>
        <w:tc>
          <w:tcPr>
            <w:tcW w:w="0" w:type="auto"/>
            <w:gridSpan w:val="4"/>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2001 год</w:t>
            </w:r>
          </w:p>
        </w:tc>
        <w:tc>
          <w:tcPr>
            <w:tcW w:w="1895" w:type="pct"/>
            <w:gridSpan w:val="5"/>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2002 год</w:t>
            </w:r>
          </w:p>
        </w:tc>
      </w:tr>
      <w:tr w:rsidR="00000000">
        <w:trPr>
          <w:cantSplit/>
          <w:tblHeader/>
          <w:jc w:val="center"/>
        </w:trPr>
        <w:tc>
          <w:tcPr>
            <w:tcW w:w="0" w:type="auto"/>
            <w:vMerge/>
            <w:tcBorders>
              <w:bottom w:val="single" w:sz="4" w:space="0" w:color="auto"/>
            </w:tcBorders>
            <w:vAlign w:val="center"/>
          </w:tcPr>
          <w:p w:rsidR="00000000" w:rsidRDefault="00000000">
            <w:pPr>
              <w:spacing w:before="20"/>
              <w:rPr>
                <w:rFonts w:cs="Arial"/>
                <w:sz w:val="18"/>
                <w:szCs w:val="22"/>
              </w:rPr>
            </w:pPr>
          </w:p>
        </w:tc>
        <w:tc>
          <w:tcPr>
            <w:tcW w:w="0" w:type="auto"/>
            <w:tcBorders>
              <w:top w:val="single" w:sz="4" w:space="0" w:color="auto"/>
              <w:bottom w:val="single" w:sz="4" w:space="0" w:color="auto"/>
            </w:tcBorders>
            <w:vAlign w:val="center"/>
          </w:tcPr>
          <w:p w:rsidR="00000000" w:rsidRDefault="00000000">
            <w:pPr>
              <w:spacing w:before="20"/>
              <w:jc w:val="right"/>
              <w:rPr>
                <w:rFonts w:cs="Arial"/>
                <w:i/>
                <w:iCs/>
                <w:sz w:val="18"/>
                <w:szCs w:val="22"/>
              </w:rPr>
            </w:pPr>
            <w:r>
              <w:rPr>
                <w:rFonts w:cs="Arial"/>
                <w:i/>
                <w:iCs/>
                <w:sz w:val="18"/>
                <w:szCs w:val="22"/>
              </w:rPr>
              <w:t>Всего</w:t>
            </w:r>
          </w:p>
        </w:tc>
        <w:tc>
          <w:tcPr>
            <w:tcW w:w="0" w:type="auto"/>
            <w:tcBorders>
              <w:top w:val="single" w:sz="4" w:space="0" w:color="auto"/>
              <w:bottom w:val="single" w:sz="4" w:space="0" w:color="auto"/>
            </w:tcBorders>
            <w:vAlign w:val="center"/>
          </w:tcPr>
          <w:p w:rsidR="00000000" w:rsidRDefault="00000000">
            <w:pPr>
              <w:spacing w:before="20"/>
              <w:jc w:val="right"/>
              <w:rPr>
                <w:rFonts w:cs="Arial"/>
                <w:i/>
                <w:iCs/>
                <w:sz w:val="18"/>
                <w:szCs w:val="22"/>
              </w:rPr>
            </w:pPr>
            <w:r>
              <w:rPr>
                <w:rFonts w:cs="Arial"/>
                <w:i/>
                <w:iCs/>
                <w:sz w:val="18"/>
                <w:szCs w:val="22"/>
              </w:rPr>
              <w:t>Мужчины</w:t>
            </w:r>
          </w:p>
        </w:tc>
        <w:tc>
          <w:tcPr>
            <w:tcW w:w="0" w:type="auto"/>
            <w:tcBorders>
              <w:top w:val="single" w:sz="4" w:space="0" w:color="auto"/>
              <w:bottom w:val="single" w:sz="4" w:space="0" w:color="auto"/>
            </w:tcBorders>
            <w:vAlign w:val="center"/>
          </w:tcPr>
          <w:p w:rsidR="00000000" w:rsidRDefault="00000000">
            <w:pPr>
              <w:spacing w:before="20"/>
              <w:jc w:val="right"/>
              <w:rPr>
                <w:rFonts w:cs="Arial"/>
                <w:i/>
                <w:iCs/>
                <w:sz w:val="18"/>
                <w:szCs w:val="22"/>
              </w:rPr>
            </w:pPr>
            <w:r>
              <w:rPr>
                <w:rFonts w:cs="Arial"/>
                <w:i/>
                <w:iCs/>
                <w:sz w:val="18"/>
                <w:szCs w:val="22"/>
              </w:rPr>
              <w:t>Женщины</w:t>
            </w:r>
          </w:p>
        </w:tc>
        <w:tc>
          <w:tcPr>
            <w:tcW w:w="0" w:type="auto"/>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Не указано</w:t>
            </w:r>
          </w:p>
        </w:tc>
        <w:tc>
          <w:tcPr>
            <w:tcW w:w="516" w:type="pct"/>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Всего</w:t>
            </w:r>
          </w:p>
        </w:tc>
        <w:tc>
          <w:tcPr>
            <w:tcW w:w="429" w:type="pct"/>
            <w:tcBorders>
              <w:top w:val="single" w:sz="4" w:space="0" w:color="auto"/>
              <w:bottom w:val="single" w:sz="4" w:space="0" w:color="auto"/>
            </w:tcBorders>
            <w:vAlign w:val="center"/>
          </w:tcPr>
          <w:p w:rsidR="00000000" w:rsidRDefault="00000000">
            <w:pPr>
              <w:spacing w:before="20"/>
              <w:jc w:val="right"/>
              <w:rPr>
                <w:rFonts w:cs="Arial"/>
                <w:i/>
                <w:iCs/>
                <w:sz w:val="18"/>
                <w:szCs w:val="22"/>
              </w:rPr>
            </w:pPr>
            <w:r>
              <w:rPr>
                <w:rFonts w:cs="Arial"/>
                <w:i/>
                <w:iCs/>
                <w:sz w:val="18"/>
                <w:szCs w:val="22"/>
              </w:rPr>
              <w:t>Мужчины</w:t>
            </w:r>
          </w:p>
        </w:tc>
        <w:tc>
          <w:tcPr>
            <w:tcW w:w="422" w:type="pct"/>
            <w:tcBorders>
              <w:top w:val="single" w:sz="4" w:space="0" w:color="auto"/>
              <w:bottom w:val="single" w:sz="4" w:space="0" w:color="auto"/>
            </w:tcBorders>
            <w:vAlign w:val="center"/>
          </w:tcPr>
          <w:p w:rsidR="00000000" w:rsidRDefault="00000000">
            <w:pPr>
              <w:spacing w:before="20"/>
              <w:jc w:val="right"/>
              <w:rPr>
                <w:rFonts w:cs="Arial"/>
                <w:i/>
                <w:iCs/>
                <w:sz w:val="18"/>
                <w:szCs w:val="22"/>
              </w:rPr>
            </w:pPr>
            <w:r>
              <w:rPr>
                <w:rFonts w:cs="Arial"/>
                <w:i/>
                <w:iCs/>
                <w:sz w:val="18"/>
                <w:szCs w:val="22"/>
              </w:rPr>
              <w:t xml:space="preserve">Женщины </w:t>
            </w:r>
          </w:p>
        </w:tc>
        <w:tc>
          <w:tcPr>
            <w:tcW w:w="540" w:type="pct"/>
            <w:gridSpan w:val="3"/>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Не указано</w:t>
            </w:r>
          </w:p>
        </w:tc>
      </w:tr>
      <w:tr w:rsidR="00000000">
        <w:trPr>
          <w:gridAfter w:val="2"/>
          <w:wAfter w:w="21" w:type="pct"/>
          <w:jc w:val="center"/>
        </w:trPr>
        <w:tc>
          <w:tcPr>
            <w:tcW w:w="0" w:type="auto"/>
            <w:tcBorders>
              <w:top w:val="single" w:sz="4" w:space="0" w:color="auto"/>
            </w:tcBorders>
          </w:tcPr>
          <w:p w:rsidR="00000000" w:rsidRDefault="00000000">
            <w:pPr>
              <w:spacing w:before="20"/>
              <w:rPr>
                <w:rFonts w:cs="Arial"/>
                <w:sz w:val="18"/>
                <w:szCs w:val="22"/>
                <w:lang w:val="fr-FR"/>
              </w:rPr>
            </w:pPr>
            <w:r>
              <w:rPr>
                <w:rFonts w:cs="Arial"/>
                <w:sz w:val="18"/>
                <w:szCs w:val="22"/>
              </w:rPr>
              <w:t>Всего</w:t>
            </w:r>
          </w:p>
        </w:tc>
        <w:tc>
          <w:tcPr>
            <w:tcW w:w="0" w:type="auto"/>
            <w:tcBorders>
              <w:top w:val="single" w:sz="4" w:space="0" w:color="auto"/>
            </w:tcBorders>
          </w:tcPr>
          <w:p w:rsidR="00000000" w:rsidRDefault="00000000">
            <w:pPr>
              <w:spacing w:before="20"/>
              <w:jc w:val="right"/>
              <w:rPr>
                <w:rFonts w:cs="Arial"/>
                <w:sz w:val="18"/>
                <w:szCs w:val="22"/>
                <w:lang w:val="fr-FR"/>
              </w:rPr>
            </w:pPr>
            <w:r>
              <w:rPr>
                <w:rFonts w:cs="Arial"/>
                <w:sz w:val="18"/>
                <w:szCs w:val="22"/>
                <w:lang w:val="fr-FR"/>
              </w:rPr>
              <w:t>35 911</w:t>
            </w:r>
          </w:p>
        </w:tc>
        <w:tc>
          <w:tcPr>
            <w:tcW w:w="0" w:type="auto"/>
            <w:tcBorders>
              <w:top w:val="single" w:sz="4" w:space="0" w:color="auto"/>
            </w:tcBorders>
          </w:tcPr>
          <w:p w:rsidR="00000000" w:rsidRDefault="00000000">
            <w:pPr>
              <w:spacing w:before="20"/>
              <w:jc w:val="right"/>
              <w:rPr>
                <w:rFonts w:cs="Arial"/>
                <w:sz w:val="18"/>
                <w:szCs w:val="22"/>
                <w:lang w:val="fr-FR"/>
              </w:rPr>
            </w:pPr>
            <w:r>
              <w:rPr>
                <w:rFonts w:cs="Arial"/>
                <w:sz w:val="18"/>
                <w:szCs w:val="22"/>
                <w:lang w:val="fr-FR"/>
              </w:rPr>
              <w:t>20 302</w:t>
            </w:r>
          </w:p>
        </w:tc>
        <w:tc>
          <w:tcPr>
            <w:tcW w:w="0" w:type="auto"/>
            <w:tcBorders>
              <w:top w:val="single" w:sz="4" w:space="0" w:color="auto"/>
            </w:tcBorders>
          </w:tcPr>
          <w:p w:rsidR="00000000" w:rsidRDefault="00000000">
            <w:pPr>
              <w:spacing w:before="20"/>
              <w:jc w:val="right"/>
              <w:rPr>
                <w:rFonts w:cs="Arial"/>
                <w:sz w:val="18"/>
                <w:szCs w:val="22"/>
                <w:lang w:val="fr-FR"/>
              </w:rPr>
            </w:pPr>
            <w:r>
              <w:rPr>
                <w:rFonts w:cs="Arial"/>
                <w:sz w:val="18"/>
                <w:szCs w:val="22"/>
                <w:lang w:val="fr-FR"/>
              </w:rPr>
              <w:t>15 487</w:t>
            </w:r>
          </w:p>
        </w:tc>
        <w:tc>
          <w:tcPr>
            <w:tcW w:w="0" w:type="auto"/>
            <w:tcBorders>
              <w:top w:val="single" w:sz="4" w:space="0" w:color="auto"/>
            </w:tcBorders>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122</w:t>
            </w:r>
          </w:p>
        </w:tc>
        <w:tc>
          <w:tcPr>
            <w:tcW w:w="516" w:type="pct"/>
            <w:tcBorders>
              <w:top w:val="single" w:sz="4" w:space="0" w:color="auto"/>
            </w:tcBorders>
          </w:tcPr>
          <w:p w:rsidR="00000000" w:rsidRDefault="00000000">
            <w:pPr>
              <w:spacing w:before="20"/>
              <w:jc w:val="right"/>
              <w:rPr>
                <w:rFonts w:cs="Arial"/>
                <w:sz w:val="18"/>
                <w:szCs w:val="22"/>
                <w:lang w:val="fr-FR"/>
              </w:rPr>
            </w:pPr>
            <w:r>
              <w:rPr>
                <w:rFonts w:cs="Arial"/>
                <w:sz w:val="18"/>
                <w:szCs w:val="22"/>
                <w:lang w:val="fr-FR"/>
              </w:rPr>
              <w:t>36 567</w:t>
            </w:r>
          </w:p>
        </w:tc>
        <w:tc>
          <w:tcPr>
            <w:tcW w:w="429" w:type="pct"/>
            <w:tcBorders>
              <w:top w:val="single" w:sz="4" w:space="0" w:color="auto"/>
            </w:tcBorders>
          </w:tcPr>
          <w:p w:rsidR="00000000" w:rsidRDefault="00000000">
            <w:pPr>
              <w:spacing w:before="20"/>
              <w:jc w:val="right"/>
              <w:rPr>
                <w:rFonts w:cs="Arial"/>
                <w:sz w:val="18"/>
                <w:szCs w:val="22"/>
                <w:lang w:val="fr-FR"/>
              </w:rPr>
            </w:pPr>
            <w:r>
              <w:rPr>
                <w:rFonts w:cs="Arial"/>
                <w:sz w:val="18"/>
                <w:szCs w:val="22"/>
                <w:lang w:val="fr-FR"/>
              </w:rPr>
              <w:t>20 734</w:t>
            </w:r>
          </w:p>
        </w:tc>
        <w:tc>
          <w:tcPr>
            <w:tcW w:w="422" w:type="pct"/>
            <w:tcBorders>
              <w:top w:val="single" w:sz="4" w:space="0" w:color="auto"/>
            </w:tcBorders>
          </w:tcPr>
          <w:p w:rsidR="00000000" w:rsidRDefault="00000000">
            <w:pPr>
              <w:spacing w:before="20"/>
              <w:jc w:val="right"/>
              <w:rPr>
                <w:rFonts w:cs="Arial"/>
                <w:sz w:val="18"/>
                <w:szCs w:val="22"/>
                <w:lang w:val="fr-FR"/>
              </w:rPr>
            </w:pPr>
            <w:r>
              <w:rPr>
                <w:rFonts w:cs="Arial"/>
                <w:sz w:val="18"/>
                <w:szCs w:val="22"/>
                <w:lang w:val="fr-FR"/>
              </w:rPr>
              <w:t>15 690</w:t>
            </w:r>
          </w:p>
        </w:tc>
        <w:tc>
          <w:tcPr>
            <w:tcW w:w="519" w:type="pct"/>
            <w:tcBorders>
              <w:top w:val="single" w:sz="4" w:space="0" w:color="auto"/>
            </w:tcBorders>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143</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Агуаскальентес</w:t>
            </w:r>
          </w:p>
        </w:tc>
        <w:tc>
          <w:tcPr>
            <w:tcW w:w="0" w:type="auto"/>
          </w:tcPr>
          <w:p w:rsidR="00000000" w:rsidRDefault="00000000">
            <w:pPr>
              <w:spacing w:before="20"/>
              <w:jc w:val="right"/>
              <w:rPr>
                <w:rFonts w:cs="Arial"/>
                <w:sz w:val="18"/>
                <w:szCs w:val="22"/>
              </w:rPr>
            </w:pPr>
            <w:r>
              <w:rPr>
                <w:rFonts w:cs="Arial"/>
                <w:sz w:val="18"/>
                <w:szCs w:val="22"/>
              </w:rPr>
              <w:t>342</w:t>
            </w:r>
          </w:p>
        </w:tc>
        <w:tc>
          <w:tcPr>
            <w:tcW w:w="0" w:type="auto"/>
          </w:tcPr>
          <w:p w:rsidR="00000000" w:rsidRDefault="00000000">
            <w:pPr>
              <w:spacing w:before="20"/>
              <w:jc w:val="right"/>
              <w:rPr>
                <w:rFonts w:cs="Arial"/>
                <w:sz w:val="18"/>
                <w:szCs w:val="22"/>
              </w:rPr>
            </w:pPr>
            <w:r>
              <w:rPr>
                <w:rFonts w:cs="Arial"/>
                <w:sz w:val="18"/>
                <w:szCs w:val="22"/>
              </w:rPr>
              <w:t>186</w:t>
            </w:r>
          </w:p>
        </w:tc>
        <w:tc>
          <w:tcPr>
            <w:tcW w:w="0" w:type="auto"/>
          </w:tcPr>
          <w:p w:rsidR="00000000" w:rsidRDefault="00000000">
            <w:pPr>
              <w:spacing w:before="20"/>
              <w:jc w:val="right"/>
              <w:rPr>
                <w:rFonts w:cs="Arial"/>
                <w:sz w:val="18"/>
                <w:szCs w:val="22"/>
              </w:rPr>
            </w:pPr>
            <w:r>
              <w:rPr>
                <w:rFonts w:cs="Arial"/>
                <w:sz w:val="18"/>
                <w:szCs w:val="22"/>
              </w:rPr>
              <w:t>154</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2</w:t>
            </w:r>
          </w:p>
        </w:tc>
        <w:tc>
          <w:tcPr>
            <w:tcW w:w="516" w:type="pct"/>
          </w:tcPr>
          <w:p w:rsidR="00000000" w:rsidRDefault="00000000">
            <w:pPr>
              <w:spacing w:before="20"/>
              <w:jc w:val="right"/>
              <w:rPr>
                <w:rFonts w:cs="Arial"/>
                <w:sz w:val="18"/>
                <w:szCs w:val="22"/>
              </w:rPr>
            </w:pPr>
            <w:r>
              <w:rPr>
                <w:rFonts w:cs="Arial"/>
                <w:sz w:val="18"/>
                <w:szCs w:val="22"/>
              </w:rPr>
              <w:t>383</w:t>
            </w:r>
          </w:p>
        </w:tc>
        <w:tc>
          <w:tcPr>
            <w:tcW w:w="429" w:type="pct"/>
          </w:tcPr>
          <w:p w:rsidR="00000000" w:rsidRDefault="00000000">
            <w:pPr>
              <w:spacing w:before="20"/>
              <w:jc w:val="right"/>
              <w:rPr>
                <w:rFonts w:cs="Arial"/>
                <w:sz w:val="18"/>
                <w:szCs w:val="22"/>
              </w:rPr>
            </w:pPr>
            <w:r>
              <w:rPr>
                <w:rFonts w:cs="Arial"/>
                <w:sz w:val="18"/>
                <w:szCs w:val="22"/>
              </w:rPr>
              <w:t>227</w:t>
            </w:r>
          </w:p>
        </w:tc>
        <w:tc>
          <w:tcPr>
            <w:tcW w:w="422" w:type="pct"/>
          </w:tcPr>
          <w:p w:rsidR="00000000" w:rsidRDefault="00000000">
            <w:pPr>
              <w:spacing w:before="20"/>
              <w:jc w:val="right"/>
              <w:rPr>
                <w:rFonts w:cs="Arial"/>
                <w:sz w:val="18"/>
                <w:szCs w:val="22"/>
              </w:rPr>
            </w:pPr>
            <w:r>
              <w:rPr>
                <w:rFonts w:cs="Arial"/>
                <w:sz w:val="18"/>
                <w:szCs w:val="22"/>
              </w:rPr>
              <w:t>155</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1</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Нижняя Калифорния</w:t>
            </w:r>
          </w:p>
        </w:tc>
        <w:tc>
          <w:tcPr>
            <w:tcW w:w="0" w:type="auto"/>
          </w:tcPr>
          <w:p w:rsidR="00000000" w:rsidRDefault="00000000">
            <w:pPr>
              <w:spacing w:before="20"/>
              <w:jc w:val="right"/>
              <w:rPr>
                <w:rFonts w:cs="Arial"/>
                <w:sz w:val="18"/>
                <w:szCs w:val="22"/>
              </w:rPr>
            </w:pPr>
            <w:r>
              <w:rPr>
                <w:rFonts w:cs="Arial"/>
                <w:sz w:val="18"/>
                <w:szCs w:val="22"/>
              </w:rPr>
              <w:t>1 064</w:t>
            </w:r>
          </w:p>
        </w:tc>
        <w:tc>
          <w:tcPr>
            <w:tcW w:w="0" w:type="auto"/>
          </w:tcPr>
          <w:p w:rsidR="00000000" w:rsidRDefault="00000000">
            <w:pPr>
              <w:spacing w:before="20"/>
              <w:jc w:val="right"/>
              <w:rPr>
                <w:rFonts w:cs="Arial"/>
                <w:sz w:val="18"/>
                <w:szCs w:val="22"/>
              </w:rPr>
            </w:pPr>
            <w:r>
              <w:rPr>
                <w:rFonts w:cs="Arial"/>
                <w:sz w:val="18"/>
                <w:szCs w:val="22"/>
              </w:rPr>
              <w:t>639</w:t>
            </w:r>
          </w:p>
        </w:tc>
        <w:tc>
          <w:tcPr>
            <w:tcW w:w="0" w:type="auto"/>
          </w:tcPr>
          <w:p w:rsidR="00000000" w:rsidRDefault="00000000">
            <w:pPr>
              <w:spacing w:before="20"/>
              <w:jc w:val="right"/>
              <w:rPr>
                <w:rFonts w:cs="Arial"/>
                <w:sz w:val="18"/>
                <w:szCs w:val="22"/>
              </w:rPr>
            </w:pPr>
            <w:r>
              <w:rPr>
                <w:rFonts w:cs="Arial"/>
                <w:sz w:val="18"/>
                <w:szCs w:val="22"/>
              </w:rPr>
              <w:t>423</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2</w:t>
            </w:r>
          </w:p>
        </w:tc>
        <w:tc>
          <w:tcPr>
            <w:tcW w:w="516" w:type="pct"/>
          </w:tcPr>
          <w:p w:rsidR="00000000" w:rsidRDefault="00000000">
            <w:pPr>
              <w:spacing w:before="20"/>
              <w:jc w:val="right"/>
              <w:rPr>
                <w:rFonts w:cs="Arial"/>
                <w:sz w:val="18"/>
                <w:szCs w:val="22"/>
              </w:rPr>
            </w:pPr>
            <w:r>
              <w:rPr>
                <w:rFonts w:cs="Arial"/>
                <w:sz w:val="18"/>
                <w:szCs w:val="22"/>
              </w:rPr>
              <w:t>976</w:t>
            </w:r>
          </w:p>
        </w:tc>
        <w:tc>
          <w:tcPr>
            <w:tcW w:w="429" w:type="pct"/>
          </w:tcPr>
          <w:p w:rsidR="00000000" w:rsidRDefault="00000000">
            <w:pPr>
              <w:spacing w:before="20"/>
              <w:jc w:val="right"/>
              <w:rPr>
                <w:rFonts w:cs="Arial"/>
                <w:sz w:val="18"/>
                <w:szCs w:val="22"/>
              </w:rPr>
            </w:pPr>
            <w:r>
              <w:rPr>
                <w:rFonts w:cs="Arial"/>
                <w:sz w:val="18"/>
                <w:szCs w:val="22"/>
              </w:rPr>
              <w:t>555</w:t>
            </w:r>
          </w:p>
        </w:tc>
        <w:tc>
          <w:tcPr>
            <w:tcW w:w="422" w:type="pct"/>
          </w:tcPr>
          <w:p w:rsidR="00000000" w:rsidRDefault="00000000">
            <w:pPr>
              <w:spacing w:before="20"/>
              <w:jc w:val="right"/>
              <w:rPr>
                <w:rFonts w:cs="Arial"/>
                <w:sz w:val="18"/>
                <w:szCs w:val="22"/>
              </w:rPr>
            </w:pPr>
            <w:r>
              <w:rPr>
                <w:rFonts w:cs="Arial"/>
                <w:sz w:val="18"/>
                <w:szCs w:val="22"/>
              </w:rPr>
              <w:t>419</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2</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Южная Нижняя Калифорния</w:t>
            </w:r>
          </w:p>
        </w:tc>
        <w:tc>
          <w:tcPr>
            <w:tcW w:w="0" w:type="auto"/>
          </w:tcPr>
          <w:p w:rsidR="00000000" w:rsidRDefault="00000000">
            <w:pPr>
              <w:spacing w:before="20"/>
              <w:jc w:val="right"/>
              <w:rPr>
                <w:rFonts w:cs="Arial"/>
                <w:sz w:val="18"/>
                <w:szCs w:val="22"/>
              </w:rPr>
            </w:pPr>
            <w:r>
              <w:rPr>
                <w:rFonts w:cs="Arial"/>
                <w:sz w:val="18"/>
                <w:szCs w:val="22"/>
              </w:rPr>
              <w:t>171</w:t>
            </w:r>
          </w:p>
        </w:tc>
        <w:tc>
          <w:tcPr>
            <w:tcW w:w="0" w:type="auto"/>
          </w:tcPr>
          <w:p w:rsidR="00000000" w:rsidRDefault="00000000">
            <w:pPr>
              <w:spacing w:before="20"/>
              <w:jc w:val="right"/>
              <w:rPr>
                <w:rFonts w:cs="Arial"/>
                <w:sz w:val="18"/>
                <w:szCs w:val="22"/>
              </w:rPr>
            </w:pPr>
            <w:r>
              <w:rPr>
                <w:rFonts w:cs="Arial"/>
                <w:sz w:val="18"/>
                <w:szCs w:val="22"/>
              </w:rPr>
              <w:t>106</w:t>
            </w:r>
          </w:p>
        </w:tc>
        <w:tc>
          <w:tcPr>
            <w:tcW w:w="0" w:type="auto"/>
          </w:tcPr>
          <w:p w:rsidR="00000000" w:rsidRDefault="00000000">
            <w:pPr>
              <w:spacing w:before="20"/>
              <w:jc w:val="right"/>
              <w:rPr>
                <w:rFonts w:cs="Arial"/>
                <w:sz w:val="18"/>
                <w:szCs w:val="22"/>
              </w:rPr>
            </w:pPr>
            <w:r>
              <w:rPr>
                <w:rFonts w:cs="Arial"/>
                <w:sz w:val="18"/>
                <w:szCs w:val="22"/>
              </w:rPr>
              <w:t>65</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c>
          <w:tcPr>
            <w:tcW w:w="516" w:type="pct"/>
          </w:tcPr>
          <w:p w:rsidR="00000000" w:rsidRDefault="00000000">
            <w:pPr>
              <w:spacing w:before="20"/>
              <w:jc w:val="right"/>
              <w:rPr>
                <w:rFonts w:cs="Arial"/>
                <w:sz w:val="18"/>
                <w:szCs w:val="22"/>
              </w:rPr>
            </w:pPr>
            <w:r>
              <w:rPr>
                <w:rFonts w:cs="Arial"/>
                <w:sz w:val="18"/>
                <w:szCs w:val="22"/>
              </w:rPr>
              <w:t>147</w:t>
            </w:r>
          </w:p>
        </w:tc>
        <w:tc>
          <w:tcPr>
            <w:tcW w:w="429" w:type="pct"/>
          </w:tcPr>
          <w:p w:rsidR="00000000" w:rsidRDefault="00000000">
            <w:pPr>
              <w:spacing w:before="20"/>
              <w:jc w:val="right"/>
              <w:rPr>
                <w:rFonts w:cs="Arial"/>
                <w:sz w:val="18"/>
                <w:szCs w:val="22"/>
              </w:rPr>
            </w:pPr>
            <w:r>
              <w:rPr>
                <w:rFonts w:cs="Arial"/>
                <w:sz w:val="18"/>
                <w:szCs w:val="22"/>
              </w:rPr>
              <w:t>89</w:t>
            </w:r>
          </w:p>
        </w:tc>
        <w:tc>
          <w:tcPr>
            <w:tcW w:w="422" w:type="pct"/>
          </w:tcPr>
          <w:p w:rsidR="00000000" w:rsidRDefault="00000000">
            <w:pPr>
              <w:spacing w:before="20"/>
              <w:jc w:val="right"/>
              <w:rPr>
                <w:rFonts w:cs="Arial"/>
                <w:sz w:val="18"/>
                <w:szCs w:val="22"/>
              </w:rPr>
            </w:pPr>
            <w:r>
              <w:rPr>
                <w:rFonts w:cs="Arial"/>
                <w:sz w:val="18"/>
                <w:szCs w:val="22"/>
              </w:rPr>
              <w:t>58</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0</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Кампече</w:t>
            </w:r>
          </w:p>
        </w:tc>
        <w:tc>
          <w:tcPr>
            <w:tcW w:w="0" w:type="auto"/>
          </w:tcPr>
          <w:p w:rsidR="00000000" w:rsidRDefault="00000000">
            <w:pPr>
              <w:spacing w:before="20"/>
              <w:jc w:val="right"/>
              <w:rPr>
                <w:rFonts w:cs="Arial"/>
                <w:sz w:val="18"/>
                <w:szCs w:val="22"/>
              </w:rPr>
            </w:pPr>
            <w:r>
              <w:rPr>
                <w:rFonts w:cs="Arial"/>
                <w:sz w:val="18"/>
                <w:szCs w:val="22"/>
              </w:rPr>
              <w:t>174</w:t>
            </w:r>
          </w:p>
        </w:tc>
        <w:tc>
          <w:tcPr>
            <w:tcW w:w="0" w:type="auto"/>
          </w:tcPr>
          <w:p w:rsidR="00000000" w:rsidRDefault="00000000">
            <w:pPr>
              <w:spacing w:before="20"/>
              <w:jc w:val="right"/>
              <w:rPr>
                <w:rFonts w:cs="Arial"/>
                <w:sz w:val="18"/>
                <w:szCs w:val="22"/>
              </w:rPr>
            </w:pPr>
            <w:r>
              <w:rPr>
                <w:rFonts w:cs="Arial"/>
                <w:sz w:val="18"/>
                <w:szCs w:val="22"/>
              </w:rPr>
              <w:t>92</w:t>
            </w:r>
          </w:p>
        </w:tc>
        <w:tc>
          <w:tcPr>
            <w:tcW w:w="0" w:type="auto"/>
          </w:tcPr>
          <w:p w:rsidR="00000000" w:rsidRDefault="00000000">
            <w:pPr>
              <w:spacing w:before="20"/>
              <w:jc w:val="right"/>
              <w:rPr>
                <w:rFonts w:cs="Arial"/>
                <w:sz w:val="18"/>
                <w:szCs w:val="22"/>
              </w:rPr>
            </w:pPr>
            <w:r>
              <w:rPr>
                <w:rFonts w:cs="Arial"/>
                <w:sz w:val="18"/>
                <w:szCs w:val="22"/>
              </w:rPr>
              <w:t>82</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c>
          <w:tcPr>
            <w:tcW w:w="516" w:type="pct"/>
          </w:tcPr>
          <w:p w:rsidR="00000000" w:rsidRDefault="00000000">
            <w:pPr>
              <w:spacing w:before="20"/>
              <w:jc w:val="right"/>
              <w:rPr>
                <w:rFonts w:cs="Arial"/>
                <w:sz w:val="18"/>
                <w:szCs w:val="22"/>
              </w:rPr>
            </w:pPr>
            <w:r>
              <w:rPr>
                <w:rFonts w:cs="Arial"/>
                <w:sz w:val="18"/>
                <w:szCs w:val="22"/>
              </w:rPr>
              <w:t>188</w:t>
            </w:r>
          </w:p>
        </w:tc>
        <w:tc>
          <w:tcPr>
            <w:tcW w:w="429" w:type="pct"/>
          </w:tcPr>
          <w:p w:rsidR="00000000" w:rsidRDefault="00000000">
            <w:pPr>
              <w:spacing w:before="20"/>
              <w:jc w:val="right"/>
              <w:rPr>
                <w:rFonts w:cs="Arial"/>
                <w:sz w:val="18"/>
                <w:szCs w:val="22"/>
              </w:rPr>
            </w:pPr>
            <w:r>
              <w:rPr>
                <w:rFonts w:cs="Arial"/>
                <w:sz w:val="18"/>
                <w:szCs w:val="22"/>
              </w:rPr>
              <w:t>116</w:t>
            </w:r>
          </w:p>
        </w:tc>
        <w:tc>
          <w:tcPr>
            <w:tcW w:w="422" w:type="pct"/>
          </w:tcPr>
          <w:p w:rsidR="00000000" w:rsidRDefault="00000000">
            <w:pPr>
              <w:spacing w:before="20"/>
              <w:jc w:val="right"/>
              <w:rPr>
                <w:rFonts w:cs="Arial"/>
                <w:sz w:val="18"/>
                <w:szCs w:val="22"/>
              </w:rPr>
            </w:pPr>
            <w:r>
              <w:rPr>
                <w:rFonts w:cs="Arial"/>
                <w:sz w:val="18"/>
                <w:szCs w:val="22"/>
              </w:rPr>
              <w:t>72</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0</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Коауила-де-Сарагоса</w:t>
            </w:r>
          </w:p>
        </w:tc>
        <w:tc>
          <w:tcPr>
            <w:tcW w:w="0" w:type="auto"/>
          </w:tcPr>
          <w:p w:rsidR="00000000" w:rsidRDefault="00000000">
            <w:pPr>
              <w:spacing w:before="20"/>
              <w:jc w:val="right"/>
              <w:rPr>
                <w:rFonts w:cs="Arial"/>
                <w:sz w:val="18"/>
                <w:szCs w:val="22"/>
              </w:rPr>
            </w:pPr>
            <w:r>
              <w:rPr>
                <w:rFonts w:cs="Arial"/>
                <w:sz w:val="18"/>
                <w:szCs w:val="22"/>
              </w:rPr>
              <w:t>589</w:t>
            </w:r>
          </w:p>
        </w:tc>
        <w:tc>
          <w:tcPr>
            <w:tcW w:w="0" w:type="auto"/>
          </w:tcPr>
          <w:p w:rsidR="00000000" w:rsidRDefault="00000000">
            <w:pPr>
              <w:spacing w:before="20"/>
              <w:jc w:val="right"/>
              <w:rPr>
                <w:rFonts w:cs="Arial"/>
                <w:sz w:val="18"/>
                <w:szCs w:val="22"/>
              </w:rPr>
            </w:pPr>
            <w:r>
              <w:rPr>
                <w:rFonts w:cs="Arial"/>
                <w:sz w:val="18"/>
                <w:szCs w:val="22"/>
              </w:rPr>
              <w:t>331</w:t>
            </w:r>
          </w:p>
        </w:tc>
        <w:tc>
          <w:tcPr>
            <w:tcW w:w="0" w:type="auto"/>
          </w:tcPr>
          <w:p w:rsidR="00000000" w:rsidRDefault="00000000">
            <w:pPr>
              <w:spacing w:before="20"/>
              <w:jc w:val="right"/>
              <w:rPr>
                <w:rFonts w:cs="Arial"/>
                <w:sz w:val="18"/>
                <w:szCs w:val="22"/>
              </w:rPr>
            </w:pPr>
            <w:r>
              <w:rPr>
                <w:rFonts w:cs="Arial"/>
                <w:sz w:val="18"/>
                <w:szCs w:val="22"/>
              </w:rPr>
              <w:t>255</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3</w:t>
            </w:r>
          </w:p>
        </w:tc>
        <w:tc>
          <w:tcPr>
            <w:tcW w:w="516" w:type="pct"/>
          </w:tcPr>
          <w:p w:rsidR="00000000" w:rsidRDefault="00000000">
            <w:pPr>
              <w:spacing w:before="20"/>
              <w:jc w:val="right"/>
              <w:rPr>
                <w:rFonts w:cs="Arial"/>
                <w:sz w:val="18"/>
                <w:szCs w:val="22"/>
              </w:rPr>
            </w:pPr>
            <w:r>
              <w:rPr>
                <w:rFonts w:cs="Arial"/>
                <w:sz w:val="18"/>
                <w:szCs w:val="22"/>
              </w:rPr>
              <w:t>551</w:t>
            </w:r>
          </w:p>
        </w:tc>
        <w:tc>
          <w:tcPr>
            <w:tcW w:w="429" w:type="pct"/>
          </w:tcPr>
          <w:p w:rsidR="00000000" w:rsidRDefault="00000000">
            <w:pPr>
              <w:spacing w:before="20"/>
              <w:jc w:val="right"/>
              <w:rPr>
                <w:rFonts w:cs="Arial"/>
                <w:sz w:val="18"/>
                <w:szCs w:val="22"/>
              </w:rPr>
            </w:pPr>
            <w:r>
              <w:rPr>
                <w:rFonts w:cs="Arial"/>
                <w:sz w:val="18"/>
                <w:szCs w:val="22"/>
              </w:rPr>
              <w:t>320</w:t>
            </w:r>
          </w:p>
        </w:tc>
        <w:tc>
          <w:tcPr>
            <w:tcW w:w="422" w:type="pct"/>
          </w:tcPr>
          <w:p w:rsidR="00000000" w:rsidRDefault="00000000">
            <w:pPr>
              <w:spacing w:before="20"/>
              <w:jc w:val="right"/>
              <w:rPr>
                <w:rFonts w:cs="Arial"/>
                <w:sz w:val="18"/>
                <w:szCs w:val="22"/>
              </w:rPr>
            </w:pPr>
            <w:r>
              <w:rPr>
                <w:rFonts w:cs="Arial"/>
                <w:sz w:val="18"/>
                <w:szCs w:val="22"/>
              </w:rPr>
              <w:t>228</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3</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Колима</w:t>
            </w:r>
          </w:p>
        </w:tc>
        <w:tc>
          <w:tcPr>
            <w:tcW w:w="0" w:type="auto"/>
          </w:tcPr>
          <w:p w:rsidR="00000000" w:rsidRDefault="00000000">
            <w:pPr>
              <w:spacing w:before="20"/>
              <w:jc w:val="right"/>
              <w:rPr>
                <w:rFonts w:cs="Arial"/>
                <w:sz w:val="18"/>
                <w:szCs w:val="22"/>
              </w:rPr>
            </w:pPr>
            <w:r>
              <w:rPr>
                <w:rFonts w:cs="Arial"/>
                <w:sz w:val="18"/>
                <w:szCs w:val="22"/>
              </w:rPr>
              <w:t>154</w:t>
            </w:r>
          </w:p>
        </w:tc>
        <w:tc>
          <w:tcPr>
            <w:tcW w:w="0" w:type="auto"/>
          </w:tcPr>
          <w:p w:rsidR="00000000" w:rsidRDefault="00000000">
            <w:pPr>
              <w:spacing w:before="20"/>
              <w:jc w:val="right"/>
              <w:rPr>
                <w:rFonts w:cs="Arial"/>
                <w:sz w:val="18"/>
                <w:szCs w:val="22"/>
              </w:rPr>
            </w:pPr>
            <w:r>
              <w:rPr>
                <w:rFonts w:cs="Arial"/>
                <w:sz w:val="18"/>
                <w:szCs w:val="22"/>
              </w:rPr>
              <w:t>88</w:t>
            </w:r>
          </w:p>
        </w:tc>
        <w:tc>
          <w:tcPr>
            <w:tcW w:w="0" w:type="auto"/>
          </w:tcPr>
          <w:p w:rsidR="00000000" w:rsidRDefault="00000000">
            <w:pPr>
              <w:spacing w:before="20"/>
              <w:jc w:val="right"/>
              <w:rPr>
                <w:rFonts w:cs="Arial"/>
                <w:sz w:val="18"/>
                <w:szCs w:val="22"/>
              </w:rPr>
            </w:pPr>
            <w:r>
              <w:rPr>
                <w:rFonts w:cs="Arial"/>
                <w:sz w:val="18"/>
                <w:szCs w:val="22"/>
              </w:rPr>
              <w:t>66</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c>
          <w:tcPr>
            <w:tcW w:w="516" w:type="pct"/>
          </w:tcPr>
          <w:p w:rsidR="00000000" w:rsidRDefault="00000000">
            <w:pPr>
              <w:spacing w:before="20"/>
              <w:jc w:val="right"/>
              <w:rPr>
                <w:rFonts w:cs="Arial"/>
                <w:sz w:val="18"/>
                <w:szCs w:val="22"/>
              </w:rPr>
            </w:pPr>
            <w:r>
              <w:rPr>
                <w:rFonts w:cs="Arial"/>
                <w:sz w:val="18"/>
                <w:szCs w:val="22"/>
              </w:rPr>
              <w:t>120</w:t>
            </w:r>
          </w:p>
        </w:tc>
        <w:tc>
          <w:tcPr>
            <w:tcW w:w="429" w:type="pct"/>
          </w:tcPr>
          <w:p w:rsidR="00000000" w:rsidRDefault="00000000">
            <w:pPr>
              <w:spacing w:before="20"/>
              <w:jc w:val="right"/>
              <w:rPr>
                <w:rFonts w:cs="Arial"/>
                <w:sz w:val="18"/>
                <w:szCs w:val="22"/>
              </w:rPr>
            </w:pPr>
            <w:r>
              <w:rPr>
                <w:rFonts w:cs="Arial"/>
                <w:sz w:val="18"/>
                <w:szCs w:val="22"/>
              </w:rPr>
              <w:t>70</w:t>
            </w:r>
          </w:p>
        </w:tc>
        <w:tc>
          <w:tcPr>
            <w:tcW w:w="422" w:type="pct"/>
          </w:tcPr>
          <w:p w:rsidR="00000000" w:rsidRDefault="00000000">
            <w:pPr>
              <w:spacing w:before="20"/>
              <w:jc w:val="right"/>
              <w:rPr>
                <w:rFonts w:cs="Arial"/>
                <w:sz w:val="18"/>
                <w:szCs w:val="22"/>
              </w:rPr>
            </w:pPr>
            <w:r>
              <w:rPr>
                <w:rFonts w:cs="Arial"/>
                <w:sz w:val="18"/>
                <w:szCs w:val="22"/>
              </w:rPr>
              <w:t>50</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0</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Чьяпас</w:t>
            </w:r>
          </w:p>
        </w:tc>
        <w:tc>
          <w:tcPr>
            <w:tcW w:w="0" w:type="auto"/>
          </w:tcPr>
          <w:p w:rsidR="00000000" w:rsidRDefault="00000000">
            <w:pPr>
              <w:spacing w:before="20"/>
              <w:jc w:val="right"/>
              <w:rPr>
                <w:rFonts w:cs="Arial"/>
                <w:sz w:val="18"/>
                <w:szCs w:val="22"/>
              </w:rPr>
            </w:pPr>
            <w:r>
              <w:rPr>
                <w:rFonts w:cs="Arial"/>
                <w:sz w:val="18"/>
                <w:szCs w:val="22"/>
              </w:rPr>
              <w:t>1 599</w:t>
            </w:r>
          </w:p>
        </w:tc>
        <w:tc>
          <w:tcPr>
            <w:tcW w:w="0" w:type="auto"/>
          </w:tcPr>
          <w:p w:rsidR="00000000" w:rsidRDefault="00000000">
            <w:pPr>
              <w:spacing w:before="20"/>
              <w:jc w:val="right"/>
              <w:rPr>
                <w:rFonts w:cs="Arial"/>
                <w:sz w:val="18"/>
                <w:szCs w:val="22"/>
              </w:rPr>
            </w:pPr>
            <w:r>
              <w:rPr>
                <w:rFonts w:cs="Arial"/>
                <w:sz w:val="18"/>
                <w:szCs w:val="22"/>
              </w:rPr>
              <w:t>900</w:t>
            </w:r>
          </w:p>
        </w:tc>
        <w:tc>
          <w:tcPr>
            <w:tcW w:w="0" w:type="auto"/>
          </w:tcPr>
          <w:p w:rsidR="00000000" w:rsidRDefault="00000000">
            <w:pPr>
              <w:spacing w:before="20"/>
              <w:jc w:val="right"/>
              <w:rPr>
                <w:rFonts w:cs="Arial"/>
                <w:sz w:val="18"/>
                <w:szCs w:val="22"/>
              </w:rPr>
            </w:pPr>
            <w:r>
              <w:rPr>
                <w:rFonts w:cs="Arial"/>
                <w:sz w:val="18"/>
                <w:szCs w:val="22"/>
              </w:rPr>
              <w:t>694</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5</w:t>
            </w:r>
          </w:p>
        </w:tc>
        <w:tc>
          <w:tcPr>
            <w:tcW w:w="516" w:type="pct"/>
          </w:tcPr>
          <w:p w:rsidR="00000000" w:rsidRDefault="00000000">
            <w:pPr>
              <w:spacing w:before="20"/>
              <w:jc w:val="right"/>
              <w:rPr>
                <w:rFonts w:cs="Arial"/>
                <w:sz w:val="18"/>
                <w:szCs w:val="22"/>
              </w:rPr>
            </w:pPr>
            <w:r>
              <w:rPr>
                <w:rFonts w:cs="Arial"/>
                <w:sz w:val="18"/>
                <w:szCs w:val="22"/>
              </w:rPr>
              <w:t>1 549</w:t>
            </w:r>
          </w:p>
        </w:tc>
        <w:tc>
          <w:tcPr>
            <w:tcW w:w="429" w:type="pct"/>
          </w:tcPr>
          <w:p w:rsidR="00000000" w:rsidRDefault="00000000">
            <w:pPr>
              <w:spacing w:before="20"/>
              <w:jc w:val="right"/>
              <w:rPr>
                <w:rFonts w:cs="Arial"/>
                <w:sz w:val="18"/>
                <w:szCs w:val="22"/>
              </w:rPr>
            </w:pPr>
            <w:r>
              <w:rPr>
                <w:rFonts w:cs="Arial"/>
                <w:sz w:val="18"/>
                <w:szCs w:val="22"/>
              </w:rPr>
              <w:t>850</w:t>
            </w:r>
          </w:p>
        </w:tc>
        <w:tc>
          <w:tcPr>
            <w:tcW w:w="422" w:type="pct"/>
          </w:tcPr>
          <w:p w:rsidR="00000000" w:rsidRDefault="00000000">
            <w:pPr>
              <w:spacing w:before="20"/>
              <w:jc w:val="right"/>
              <w:rPr>
                <w:rFonts w:cs="Arial"/>
                <w:sz w:val="18"/>
                <w:szCs w:val="22"/>
              </w:rPr>
            </w:pPr>
            <w:r>
              <w:rPr>
                <w:rFonts w:cs="Arial"/>
                <w:sz w:val="18"/>
                <w:szCs w:val="22"/>
              </w:rPr>
              <w:t>691</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8</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Чуауа</w:t>
            </w:r>
          </w:p>
        </w:tc>
        <w:tc>
          <w:tcPr>
            <w:tcW w:w="0" w:type="auto"/>
          </w:tcPr>
          <w:p w:rsidR="00000000" w:rsidRDefault="00000000">
            <w:pPr>
              <w:spacing w:before="20"/>
              <w:jc w:val="right"/>
              <w:rPr>
                <w:rFonts w:cs="Arial"/>
                <w:sz w:val="18"/>
                <w:szCs w:val="22"/>
              </w:rPr>
            </w:pPr>
            <w:r>
              <w:rPr>
                <w:rFonts w:cs="Arial"/>
                <w:sz w:val="18"/>
                <w:szCs w:val="22"/>
              </w:rPr>
              <w:t>1 271</w:t>
            </w:r>
          </w:p>
        </w:tc>
        <w:tc>
          <w:tcPr>
            <w:tcW w:w="0" w:type="auto"/>
          </w:tcPr>
          <w:p w:rsidR="00000000" w:rsidRDefault="00000000">
            <w:pPr>
              <w:spacing w:before="20"/>
              <w:jc w:val="right"/>
              <w:rPr>
                <w:rFonts w:cs="Arial"/>
                <w:sz w:val="18"/>
                <w:szCs w:val="22"/>
              </w:rPr>
            </w:pPr>
            <w:r>
              <w:rPr>
                <w:rFonts w:cs="Arial"/>
                <w:sz w:val="18"/>
                <w:szCs w:val="22"/>
              </w:rPr>
              <w:t>716</w:t>
            </w:r>
          </w:p>
        </w:tc>
        <w:tc>
          <w:tcPr>
            <w:tcW w:w="0" w:type="auto"/>
          </w:tcPr>
          <w:p w:rsidR="00000000" w:rsidRDefault="00000000">
            <w:pPr>
              <w:spacing w:before="20"/>
              <w:jc w:val="right"/>
              <w:rPr>
                <w:rFonts w:cs="Arial"/>
                <w:sz w:val="18"/>
                <w:szCs w:val="22"/>
              </w:rPr>
            </w:pPr>
            <w:r>
              <w:rPr>
                <w:rFonts w:cs="Arial"/>
                <w:sz w:val="18"/>
                <w:szCs w:val="22"/>
              </w:rPr>
              <w:t>543</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12</w:t>
            </w:r>
          </w:p>
        </w:tc>
        <w:tc>
          <w:tcPr>
            <w:tcW w:w="516" w:type="pct"/>
          </w:tcPr>
          <w:p w:rsidR="00000000" w:rsidRDefault="00000000">
            <w:pPr>
              <w:spacing w:before="20"/>
              <w:jc w:val="right"/>
              <w:rPr>
                <w:rFonts w:cs="Arial"/>
                <w:sz w:val="18"/>
                <w:szCs w:val="22"/>
              </w:rPr>
            </w:pPr>
            <w:r>
              <w:rPr>
                <w:rFonts w:cs="Arial"/>
                <w:sz w:val="18"/>
                <w:szCs w:val="22"/>
              </w:rPr>
              <w:t>1 284</w:t>
            </w:r>
          </w:p>
        </w:tc>
        <w:tc>
          <w:tcPr>
            <w:tcW w:w="429" w:type="pct"/>
          </w:tcPr>
          <w:p w:rsidR="00000000" w:rsidRDefault="00000000">
            <w:pPr>
              <w:spacing w:before="20"/>
              <w:jc w:val="right"/>
              <w:rPr>
                <w:rFonts w:cs="Arial"/>
                <w:sz w:val="18"/>
                <w:szCs w:val="22"/>
              </w:rPr>
            </w:pPr>
            <w:r>
              <w:rPr>
                <w:rFonts w:cs="Arial"/>
                <w:sz w:val="18"/>
                <w:szCs w:val="22"/>
              </w:rPr>
              <w:t>707</w:t>
            </w:r>
          </w:p>
        </w:tc>
        <w:tc>
          <w:tcPr>
            <w:tcW w:w="422" w:type="pct"/>
          </w:tcPr>
          <w:p w:rsidR="00000000" w:rsidRDefault="00000000">
            <w:pPr>
              <w:spacing w:before="20"/>
              <w:jc w:val="right"/>
              <w:rPr>
                <w:rFonts w:cs="Arial"/>
                <w:sz w:val="18"/>
                <w:szCs w:val="22"/>
              </w:rPr>
            </w:pPr>
            <w:r>
              <w:rPr>
                <w:rFonts w:cs="Arial"/>
                <w:sz w:val="18"/>
                <w:szCs w:val="22"/>
              </w:rPr>
              <w:t>563</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14</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Федеральный округ</w:t>
            </w:r>
          </w:p>
        </w:tc>
        <w:tc>
          <w:tcPr>
            <w:tcW w:w="0" w:type="auto"/>
          </w:tcPr>
          <w:p w:rsidR="00000000" w:rsidRDefault="00000000">
            <w:pPr>
              <w:spacing w:before="20"/>
              <w:jc w:val="right"/>
              <w:rPr>
                <w:rFonts w:cs="Arial"/>
                <w:sz w:val="18"/>
                <w:szCs w:val="22"/>
              </w:rPr>
            </w:pPr>
            <w:r>
              <w:rPr>
                <w:rFonts w:cs="Arial"/>
                <w:sz w:val="18"/>
                <w:szCs w:val="22"/>
              </w:rPr>
              <w:t>2 894</w:t>
            </w:r>
          </w:p>
        </w:tc>
        <w:tc>
          <w:tcPr>
            <w:tcW w:w="0" w:type="auto"/>
          </w:tcPr>
          <w:p w:rsidR="00000000" w:rsidRDefault="00000000">
            <w:pPr>
              <w:spacing w:before="20"/>
              <w:jc w:val="right"/>
              <w:rPr>
                <w:rFonts w:cs="Arial"/>
                <w:sz w:val="18"/>
                <w:szCs w:val="22"/>
              </w:rPr>
            </w:pPr>
            <w:r>
              <w:rPr>
                <w:rFonts w:cs="Arial"/>
                <w:sz w:val="18"/>
                <w:szCs w:val="22"/>
              </w:rPr>
              <w:t>1 627</w:t>
            </w:r>
          </w:p>
        </w:tc>
        <w:tc>
          <w:tcPr>
            <w:tcW w:w="0" w:type="auto"/>
          </w:tcPr>
          <w:p w:rsidR="00000000" w:rsidRDefault="00000000">
            <w:pPr>
              <w:spacing w:before="20"/>
              <w:jc w:val="right"/>
              <w:rPr>
                <w:rFonts w:cs="Arial"/>
                <w:sz w:val="18"/>
                <w:szCs w:val="22"/>
              </w:rPr>
            </w:pPr>
            <w:r>
              <w:rPr>
                <w:rFonts w:cs="Arial"/>
                <w:sz w:val="18"/>
                <w:szCs w:val="22"/>
              </w:rPr>
              <w:t>1 254</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13</w:t>
            </w:r>
          </w:p>
        </w:tc>
        <w:tc>
          <w:tcPr>
            <w:tcW w:w="516" w:type="pct"/>
          </w:tcPr>
          <w:p w:rsidR="00000000" w:rsidRDefault="00000000">
            <w:pPr>
              <w:spacing w:before="20"/>
              <w:jc w:val="right"/>
              <w:rPr>
                <w:rFonts w:cs="Arial"/>
                <w:sz w:val="18"/>
                <w:szCs w:val="22"/>
              </w:rPr>
            </w:pPr>
            <w:r>
              <w:rPr>
                <w:rFonts w:cs="Arial"/>
                <w:sz w:val="18"/>
                <w:szCs w:val="22"/>
              </w:rPr>
              <w:t>2 858</w:t>
            </w:r>
          </w:p>
        </w:tc>
        <w:tc>
          <w:tcPr>
            <w:tcW w:w="429" w:type="pct"/>
          </w:tcPr>
          <w:p w:rsidR="00000000" w:rsidRDefault="00000000">
            <w:pPr>
              <w:spacing w:before="20"/>
              <w:jc w:val="right"/>
              <w:rPr>
                <w:rFonts w:cs="Arial"/>
                <w:sz w:val="18"/>
                <w:szCs w:val="22"/>
              </w:rPr>
            </w:pPr>
            <w:r>
              <w:rPr>
                <w:rFonts w:cs="Arial"/>
                <w:sz w:val="18"/>
                <w:szCs w:val="22"/>
              </w:rPr>
              <w:t>1 592</w:t>
            </w:r>
          </w:p>
        </w:tc>
        <w:tc>
          <w:tcPr>
            <w:tcW w:w="422" w:type="pct"/>
          </w:tcPr>
          <w:p w:rsidR="00000000" w:rsidRDefault="00000000">
            <w:pPr>
              <w:spacing w:before="20"/>
              <w:jc w:val="right"/>
              <w:rPr>
                <w:rFonts w:cs="Arial"/>
                <w:sz w:val="18"/>
                <w:szCs w:val="22"/>
              </w:rPr>
            </w:pPr>
            <w:r>
              <w:rPr>
                <w:rFonts w:cs="Arial"/>
                <w:sz w:val="18"/>
                <w:szCs w:val="22"/>
              </w:rPr>
              <w:t>1 257</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9</w:t>
            </w:r>
          </w:p>
        </w:tc>
      </w:tr>
      <w:tr w:rsidR="00000000">
        <w:trPr>
          <w:gridAfter w:val="2"/>
          <w:wAfter w:w="21" w:type="pct"/>
          <w:jc w:val="center"/>
        </w:trPr>
        <w:tc>
          <w:tcPr>
            <w:tcW w:w="0" w:type="auto"/>
            <w:tcBorders>
              <w:bottom w:val="single" w:sz="4" w:space="0" w:color="auto"/>
            </w:tcBorders>
          </w:tcPr>
          <w:p w:rsidR="00000000" w:rsidRDefault="00000000">
            <w:pPr>
              <w:spacing w:before="20"/>
              <w:rPr>
                <w:rFonts w:cs="Arial"/>
                <w:sz w:val="18"/>
                <w:szCs w:val="22"/>
              </w:rPr>
            </w:pPr>
            <w:r>
              <w:rPr>
                <w:rFonts w:cs="Arial"/>
                <w:sz w:val="18"/>
                <w:szCs w:val="22"/>
              </w:rPr>
              <w:t>Дуранго</w:t>
            </w:r>
          </w:p>
        </w:tc>
        <w:tc>
          <w:tcPr>
            <w:tcW w:w="0" w:type="auto"/>
            <w:tcBorders>
              <w:bottom w:val="single" w:sz="4" w:space="0" w:color="auto"/>
            </w:tcBorders>
          </w:tcPr>
          <w:p w:rsidR="00000000" w:rsidRDefault="00000000">
            <w:pPr>
              <w:spacing w:before="20"/>
              <w:jc w:val="right"/>
              <w:rPr>
                <w:rFonts w:cs="Arial"/>
                <w:sz w:val="18"/>
                <w:szCs w:val="22"/>
              </w:rPr>
            </w:pPr>
            <w:r>
              <w:rPr>
                <w:rFonts w:cs="Arial"/>
                <w:sz w:val="18"/>
                <w:szCs w:val="22"/>
              </w:rPr>
              <w:t>132</w:t>
            </w:r>
          </w:p>
        </w:tc>
        <w:tc>
          <w:tcPr>
            <w:tcW w:w="0" w:type="auto"/>
            <w:tcBorders>
              <w:bottom w:val="single" w:sz="4" w:space="0" w:color="auto"/>
            </w:tcBorders>
          </w:tcPr>
          <w:p w:rsidR="00000000" w:rsidRDefault="00000000">
            <w:pPr>
              <w:spacing w:before="20"/>
              <w:jc w:val="right"/>
              <w:rPr>
                <w:rFonts w:cs="Arial"/>
                <w:sz w:val="18"/>
                <w:szCs w:val="22"/>
              </w:rPr>
            </w:pPr>
            <w:r>
              <w:rPr>
                <w:rFonts w:cs="Arial"/>
                <w:sz w:val="18"/>
                <w:szCs w:val="22"/>
              </w:rPr>
              <w:t>74</w:t>
            </w:r>
          </w:p>
        </w:tc>
        <w:tc>
          <w:tcPr>
            <w:tcW w:w="0" w:type="auto"/>
            <w:tcBorders>
              <w:bottom w:val="single" w:sz="4" w:space="0" w:color="auto"/>
            </w:tcBorders>
          </w:tcPr>
          <w:p w:rsidR="00000000" w:rsidRDefault="00000000">
            <w:pPr>
              <w:spacing w:before="20"/>
              <w:jc w:val="right"/>
              <w:rPr>
                <w:rFonts w:cs="Arial"/>
                <w:sz w:val="18"/>
                <w:szCs w:val="22"/>
              </w:rPr>
            </w:pPr>
            <w:r>
              <w:rPr>
                <w:rFonts w:cs="Arial"/>
                <w:sz w:val="18"/>
                <w:szCs w:val="22"/>
              </w:rPr>
              <w:t>57</w:t>
            </w:r>
          </w:p>
        </w:tc>
        <w:tc>
          <w:tcPr>
            <w:tcW w:w="0" w:type="auto"/>
            <w:tcBorders>
              <w:bottom w:val="single" w:sz="4" w:space="0" w:color="auto"/>
            </w:tcBorders>
            <w:tcMar>
              <w:right w:w="284" w:type="dxa"/>
            </w:tcMar>
          </w:tcPr>
          <w:p w:rsidR="00000000" w:rsidRDefault="00000000">
            <w:pPr>
              <w:tabs>
                <w:tab w:val="clear" w:pos="567"/>
              </w:tabs>
              <w:spacing w:before="20"/>
              <w:jc w:val="right"/>
              <w:rPr>
                <w:rFonts w:cs="Arial"/>
                <w:sz w:val="18"/>
                <w:szCs w:val="22"/>
              </w:rPr>
            </w:pPr>
            <w:r>
              <w:rPr>
                <w:rFonts w:cs="Arial"/>
                <w:sz w:val="18"/>
                <w:szCs w:val="22"/>
              </w:rPr>
              <w:t>1</w:t>
            </w:r>
          </w:p>
        </w:tc>
        <w:tc>
          <w:tcPr>
            <w:tcW w:w="516" w:type="pct"/>
            <w:tcBorders>
              <w:bottom w:val="single" w:sz="4" w:space="0" w:color="auto"/>
            </w:tcBorders>
          </w:tcPr>
          <w:p w:rsidR="00000000" w:rsidRDefault="00000000">
            <w:pPr>
              <w:spacing w:before="20"/>
              <w:jc w:val="right"/>
              <w:rPr>
                <w:rFonts w:cs="Arial"/>
                <w:sz w:val="18"/>
                <w:szCs w:val="22"/>
              </w:rPr>
            </w:pPr>
            <w:r>
              <w:rPr>
                <w:rFonts w:cs="Arial"/>
                <w:sz w:val="18"/>
                <w:szCs w:val="22"/>
              </w:rPr>
              <w:t>370</w:t>
            </w:r>
          </w:p>
        </w:tc>
        <w:tc>
          <w:tcPr>
            <w:tcW w:w="429" w:type="pct"/>
            <w:tcBorders>
              <w:bottom w:val="single" w:sz="4" w:space="0" w:color="auto"/>
            </w:tcBorders>
          </w:tcPr>
          <w:p w:rsidR="00000000" w:rsidRDefault="00000000">
            <w:pPr>
              <w:spacing w:before="20"/>
              <w:jc w:val="right"/>
              <w:rPr>
                <w:rFonts w:cs="Arial"/>
                <w:sz w:val="18"/>
                <w:szCs w:val="22"/>
              </w:rPr>
            </w:pPr>
            <w:r>
              <w:rPr>
                <w:rFonts w:cs="Arial"/>
                <w:sz w:val="18"/>
                <w:szCs w:val="22"/>
              </w:rPr>
              <w:t>237</w:t>
            </w:r>
          </w:p>
        </w:tc>
        <w:tc>
          <w:tcPr>
            <w:tcW w:w="422" w:type="pct"/>
            <w:tcBorders>
              <w:bottom w:val="single" w:sz="4" w:space="0" w:color="auto"/>
            </w:tcBorders>
          </w:tcPr>
          <w:p w:rsidR="00000000" w:rsidRDefault="00000000">
            <w:pPr>
              <w:spacing w:before="20"/>
              <w:jc w:val="right"/>
              <w:rPr>
                <w:rFonts w:cs="Arial"/>
                <w:sz w:val="18"/>
                <w:szCs w:val="22"/>
              </w:rPr>
            </w:pPr>
            <w:r>
              <w:rPr>
                <w:rFonts w:cs="Arial"/>
                <w:sz w:val="18"/>
                <w:szCs w:val="22"/>
              </w:rPr>
              <w:t>130</w:t>
            </w:r>
          </w:p>
        </w:tc>
        <w:tc>
          <w:tcPr>
            <w:tcW w:w="519" w:type="pct"/>
            <w:tcBorders>
              <w:bottom w:val="single" w:sz="4" w:space="0" w:color="auto"/>
            </w:tcBorders>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3</w:t>
            </w:r>
          </w:p>
        </w:tc>
      </w:tr>
      <w:tr w:rsidR="00000000">
        <w:trPr>
          <w:gridAfter w:val="2"/>
          <w:wAfter w:w="21" w:type="pct"/>
          <w:jc w:val="center"/>
        </w:trPr>
        <w:tc>
          <w:tcPr>
            <w:tcW w:w="0" w:type="auto"/>
            <w:tcBorders>
              <w:top w:val="single" w:sz="4" w:space="0" w:color="auto"/>
            </w:tcBorders>
          </w:tcPr>
          <w:p w:rsidR="00000000" w:rsidRDefault="00000000">
            <w:pPr>
              <w:spacing w:before="20"/>
              <w:rPr>
                <w:rFonts w:cs="Arial"/>
                <w:sz w:val="18"/>
                <w:szCs w:val="22"/>
              </w:rPr>
            </w:pPr>
            <w:r>
              <w:rPr>
                <w:rFonts w:cs="Arial"/>
                <w:sz w:val="18"/>
                <w:szCs w:val="22"/>
              </w:rPr>
              <w:t>Гуанахуато</w:t>
            </w:r>
          </w:p>
        </w:tc>
        <w:tc>
          <w:tcPr>
            <w:tcW w:w="0" w:type="auto"/>
            <w:tcBorders>
              <w:top w:val="single" w:sz="4" w:space="0" w:color="auto"/>
            </w:tcBorders>
          </w:tcPr>
          <w:p w:rsidR="00000000" w:rsidRDefault="00000000">
            <w:pPr>
              <w:spacing w:before="20"/>
              <w:jc w:val="right"/>
              <w:rPr>
                <w:rFonts w:cs="Arial"/>
                <w:sz w:val="18"/>
                <w:szCs w:val="22"/>
              </w:rPr>
            </w:pPr>
            <w:r>
              <w:rPr>
                <w:rFonts w:cs="Arial"/>
                <w:sz w:val="18"/>
                <w:szCs w:val="22"/>
              </w:rPr>
              <w:t>2 046</w:t>
            </w:r>
          </w:p>
        </w:tc>
        <w:tc>
          <w:tcPr>
            <w:tcW w:w="0" w:type="auto"/>
            <w:tcBorders>
              <w:top w:val="single" w:sz="4" w:space="0" w:color="auto"/>
            </w:tcBorders>
          </w:tcPr>
          <w:p w:rsidR="00000000" w:rsidRDefault="00000000">
            <w:pPr>
              <w:spacing w:before="20"/>
              <w:jc w:val="right"/>
              <w:rPr>
                <w:rFonts w:cs="Arial"/>
                <w:sz w:val="18"/>
                <w:szCs w:val="22"/>
              </w:rPr>
            </w:pPr>
            <w:r>
              <w:rPr>
                <w:rFonts w:cs="Arial"/>
                <w:sz w:val="18"/>
                <w:szCs w:val="22"/>
              </w:rPr>
              <w:t>1 152</w:t>
            </w:r>
          </w:p>
        </w:tc>
        <w:tc>
          <w:tcPr>
            <w:tcW w:w="0" w:type="auto"/>
            <w:tcBorders>
              <w:top w:val="single" w:sz="4" w:space="0" w:color="auto"/>
            </w:tcBorders>
          </w:tcPr>
          <w:p w:rsidR="00000000" w:rsidRDefault="00000000">
            <w:pPr>
              <w:spacing w:before="20"/>
              <w:jc w:val="right"/>
              <w:rPr>
                <w:rFonts w:cs="Arial"/>
                <w:sz w:val="18"/>
                <w:szCs w:val="22"/>
              </w:rPr>
            </w:pPr>
            <w:r>
              <w:rPr>
                <w:rFonts w:cs="Arial"/>
                <w:sz w:val="18"/>
                <w:szCs w:val="22"/>
              </w:rPr>
              <w:t>892</w:t>
            </w:r>
          </w:p>
        </w:tc>
        <w:tc>
          <w:tcPr>
            <w:tcW w:w="0" w:type="auto"/>
            <w:tcBorders>
              <w:top w:val="single" w:sz="4" w:space="0" w:color="auto"/>
            </w:tcBorders>
            <w:tcMar>
              <w:right w:w="284" w:type="dxa"/>
            </w:tcMar>
          </w:tcPr>
          <w:p w:rsidR="00000000" w:rsidRDefault="00000000">
            <w:pPr>
              <w:tabs>
                <w:tab w:val="clear" w:pos="567"/>
              </w:tabs>
              <w:spacing w:before="20"/>
              <w:jc w:val="right"/>
              <w:rPr>
                <w:rFonts w:cs="Arial"/>
                <w:sz w:val="18"/>
                <w:szCs w:val="22"/>
              </w:rPr>
            </w:pPr>
            <w:r>
              <w:rPr>
                <w:rFonts w:cs="Arial"/>
                <w:sz w:val="18"/>
                <w:szCs w:val="22"/>
              </w:rPr>
              <w:t>2</w:t>
            </w:r>
          </w:p>
        </w:tc>
        <w:tc>
          <w:tcPr>
            <w:tcW w:w="516" w:type="pct"/>
            <w:tcBorders>
              <w:top w:val="single" w:sz="4" w:space="0" w:color="auto"/>
            </w:tcBorders>
          </w:tcPr>
          <w:p w:rsidR="00000000" w:rsidRDefault="00000000">
            <w:pPr>
              <w:spacing w:before="20"/>
              <w:jc w:val="right"/>
              <w:rPr>
                <w:rFonts w:cs="Arial"/>
                <w:sz w:val="18"/>
                <w:szCs w:val="22"/>
              </w:rPr>
            </w:pPr>
            <w:r>
              <w:rPr>
                <w:rFonts w:cs="Arial"/>
                <w:sz w:val="18"/>
                <w:szCs w:val="22"/>
              </w:rPr>
              <w:t>2 208</w:t>
            </w:r>
          </w:p>
        </w:tc>
        <w:tc>
          <w:tcPr>
            <w:tcW w:w="429" w:type="pct"/>
            <w:tcBorders>
              <w:top w:val="single" w:sz="4" w:space="0" w:color="auto"/>
            </w:tcBorders>
          </w:tcPr>
          <w:p w:rsidR="00000000" w:rsidRDefault="00000000">
            <w:pPr>
              <w:spacing w:before="20"/>
              <w:jc w:val="right"/>
              <w:rPr>
                <w:rFonts w:cs="Arial"/>
                <w:sz w:val="18"/>
                <w:szCs w:val="22"/>
              </w:rPr>
            </w:pPr>
            <w:r>
              <w:rPr>
                <w:rFonts w:cs="Arial"/>
                <w:sz w:val="18"/>
                <w:szCs w:val="22"/>
              </w:rPr>
              <w:t>1 276</w:t>
            </w:r>
          </w:p>
        </w:tc>
        <w:tc>
          <w:tcPr>
            <w:tcW w:w="422" w:type="pct"/>
            <w:tcBorders>
              <w:top w:val="single" w:sz="4" w:space="0" w:color="auto"/>
            </w:tcBorders>
          </w:tcPr>
          <w:p w:rsidR="00000000" w:rsidRDefault="00000000">
            <w:pPr>
              <w:spacing w:before="20"/>
              <w:jc w:val="right"/>
              <w:rPr>
                <w:rFonts w:cs="Arial"/>
                <w:sz w:val="18"/>
                <w:szCs w:val="22"/>
              </w:rPr>
            </w:pPr>
            <w:r>
              <w:rPr>
                <w:rFonts w:cs="Arial"/>
                <w:sz w:val="18"/>
                <w:szCs w:val="22"/>
              </w:rPr>
              <w:t>931</w:t>
            </w:r>
          </w:p>
        </w:tc>
        <w:tc>
          <w:tcPr>
            <w:tcW w:w="519" w:type="pct"/>
            <w:tcBorders>
              <w:top w:val="single" w:sz="4" w:space="0" w:color="auto"/>
            </w:tcBorders>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1</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Герреро</w:t>
            </w:r>
          </w:p>
        </w:tc>
        <w:tc>
          <w:tcPr>
            <w:tcW w:w="0" w:type="auto"/>
          </w:tcPr>
          <w:p w:rsidR="00000000" w:rsidRDefault="00000000">
            <w:pPr>
              <w:spacing w:before="20"/>
              <w:jc w:val="right"/>
              <w:rPr>
                <w:rFonts w:cs="Arial"/>
                <w:sz w:val="18"/>
                <w:szCs w:val="22"/>
              </w:rPr>
            </w:pPr>
            <w:r>
              <w:rPr>
                <w:rFonts w:cs="Arial"/>
                <w:sz w:val="18"/>
                <w:szCs w:val="22"/>
              </w:rPr>
              <w:t>496</w:t>
            </w:r>
          </w:p>
        </w:tc>
        <w:tc>
          <w:tcPr>
            <w:tcW w:w="0" w:type="auto"/>
          </w:tcPr>
          <w:p w:rsidR="00000000" w:rsidRDefault="00000000">
            <w:pPr>
              <w:spacing w:before="20"/>
              <w:jc w:val="right"/>
              <w:rPr>
                <w:rFonts w:cs="Arial"/>
                <w:sz w:val="18"/>
                <w:szCs w:val="22"/>
              </w:rPr>
            </w:pPr>
            <w:r>
              <w:rPr>
                <w:rFonts w:cs="Arial"/>
                <w:sz w:val="18"/>
                <w:szCs w:val="22"/>
              </w:rPr>
              <w:t>285</w:t>
            </w:r>
          </w:p>
        </w:tc>
        <w:tc>
          <w:tcPr>
            <w:tcW w:w="0" w:type="auto"/>
          </w:tcPr>
          <w:p w:rsidR="00000000" w:rsidRDefault="00000000">
            <w:pPr>
              <w:spacing w:before="20"/>
              <w:jc w:val="right"/>
              <w:rPr>
                <w:rFonts w:cs="Arial"/>
                <w:sz w:val="18"/>
                <w:szCs w:val="22"/>
              </w:rPr>
            </w:pPr>
            <w:r>
              <w:rPr>
                <w:rFonts w:cs="Arial"/>
                <w:sz w:val="18"/>
                <w:szCs w:val="22"/>
              </w:rPr>
              <w:t>210</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1</w:t>
            </w:r>
          </w:p>
        </w:tc>
        <w:tc>
          <w:tcPr>
            <w:tcW w:w="516" w:type="pct"/>
          </w:tcPr>
          <w:p w:rsidR="00000000" w:rsidRDefault="00000000">
            <w:pPr>
              <w:spacing w:before="20"/>
              <w:jc w:val="right"/>
              <w:rPr>
                <w:rFonts w:cs="Arial"/>
                <w:sz w:val="18"/>
                <w:szCs w:val="22"/>
              </w:rPr>
            </w:pPr>
            <w:r>
              <w:rPr>
                <w:rFonts w:cs="Arial"/>
                <w:sz w:val="18"/>
                <w:szCs w:val="22"/>
              </w:rPr>
              <w:t>601</w:t>
            </w:r>
          </w:p>
        </w:tc>
        <w:tc>
          <w:tcPr>
            <w:tcW w:w="429" w:type="pct"/>
          </w:tcPr>
          <w:p w:rsidR="00000000" w:rsidRDefault="00000000">
            <w:pPr>
              <w:spacing w:before="20"/>
              <w:jc w:val="right"/>
              <w:rPr>
                <w:rFonts w:cs="Arial"/>
                <w:sz w:val="18"/>
                <w:szCs w:val="22"/>
              </w:rPr>
            </w:pPr>
            <w:r>
              <w:rPr>
                <w:rFonts w:cs="Arial"/>
                <w:sz w:val="18"/>
                <w:szCs w:val="22"/>
              </w:rPr>
              <w:t>354</w:t>
            </w:r>
          </w:p>
        </w:tc>
        <w:tc>
          <w:tcPr>
            <w:tcW w:w="422" w:type="pct"/>
          </w:tcPr>
          <w:p w:rsidR="00000000" w:rsidRDefault="00000000">
            <w:pPr>
              <w:spacing w:before="20"/>
              <w:jc w:val="right"/>
              <w:rPr>
                <w:rFonts w:cs="Arial"/>
                <w:sz w:val="18"/>
                <w:szCs w:val="22"/>
              </w:rPr>
            </w:pPr>
            <w:r>
              <w:rPr>
                <w:rFonts w:cs="Arial"/>
                <w:sz w:val="18"/>
                <w:szCs w:val="22"/>
              </w:rPr>
              <w:t>245</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2</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Идальго</w:t>
            </w:r>
          </w:p>
        </w:tc>
        <w:tc>
          <w:tcPr>
            <w:tcW w:w="0" w:type="auto"/>
          </w:tcPr>
          <w:p w:rsidR="00000000" w:rsidRDefault="00000000">
            <w:pPr>
              <w:spacing w:before="20"/>
              <w:jc w:val="right"/>
              <w:rPr>
                <w:rFonts w:cs="Arial"/>
                <w:sz w:val="18"/>
                <w:szCs w:val="22"/>
              </w:rPr>
            </w:pPr>
            <w:r>
              <w:rPr>
                <w:rFonts w:cs="Arial"/>
                <w:sz w:val="18"/>
                <w:szCs w:val="22"/>
              </w:rPr>
              <w:t>752</w:t>
            </w:r>
          </w:p>
        </w:tc>
        <w:tc>
          <w:tcPr>
            <w:tcW w:w="0" w:type="auto"/>
          </w:tcPr>
          <w:p w:rsidR="00000000" w:rsidRDefault="00000000">
            <w:pPr>
              <w:spacing w:before="20"/>
              <w:jc w:val="right"/>
              <w:rPr>
                <w:rFonts w:cs="Arial"/>
                <w:sz w:val="18"/>
                <w:szCs w:val="22"/>
              </w:rPr>
            </w:pPr>
            <w:r>
              <w:rPr>
                <w:rFonts w:cs="Arial"/>
                <w:sz w:val="18"/>
                <w:szCs w:val="22"/>
              </w:rPr>
              <w:t>425</w:t>
            </w:r>
          </w:p>
        </w:tc>
        <w:tc>
          <w:tcPr>
            <w:tcW w:w="0" w:type="auto"/>
          </w:tcPr>
          <w:p w:rsidR="00000000" w:rsidRDefault="00000000">
            <w:pPr>
              <w:spacing w:before="20"/>
              <w:jc w:val="right"/>
              <w:rPr>
                <w:rFonts w:cs="Arial"/>
                <w:sz w:val="18"/>
                <w:szCs w:val="22"/>
              </w:rPr>
            </w:pPr>
            <w:r>
              <w:rPr>
                <w:rFonts w:cs="Arial"/>
                <w:sz w:val="18"/>
                <w:szCs w:val="22"/>
              </w:rPr>
              <w:t>323</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4</w:t>
            </w:r>
          </w:p>
        </w:tc>
        <w:tc>
          <w:tcPr>
            <w:tcW w:w="516" w:type="pct"/>
          </w:tcPr>
          <w:p w:rsidR="00000000" w:rsidRDefault="00000000">
            <w:pPr>
              <w:spacing w:before="20"/>
              <w:jc w:val="right"/>
              <w:rPr>
                <w:rFonts w:cs="Arial"/>
                <w:sz w:val="18"/>
                <w:szCs w:val="22"/>
              </w:rPr>
            </w:pPr>
            <w:r>
              <w:rPr>
                <w:rFonts w:cs="Arial"/>
                <w:sz w:val="18"/>
                <w:szCs w:val="22"/>
              </w:rPr>
              <w:t>833</w:t>
            </w:r>
          </w:p>
        </w:tc>
        <w:tc>
          <w:tcPr>
            <w:tcW w:w="429" w:type="pct"/>
          </w:tcPr>
          <w:p w:rsidR="00000000" w:rsidRDefault="00000000">
            <w:pPr>
              <w:spacing w:before="20"/>
              <w:jc w:val="right"/>
              <w:rPr>
                <w:rFonts w:cs="Arial"/>
                <w:sz w:val="18"/>
                <w:szCs w:val="22"/>
              </w:rPr>
            </w:pPr>
            <w:r>
              <w:rPr>
                <w:rFonts w:cs="Arial"/>
                <w:sz w:val="18"/>
                <w:szCs w:val="22"/>
              </w:rPr>
              <w:t>495</w:t>
            </w:r>
          </w:p>
        </w:tc>
        <w:tc>
          <w:tcPr>
            <w:tcW w:w="422" w:type="pct"/>
          </w:tcPr>
          <w:p w:rsidR="00000000" w:rsidRDefault="00000000">
            <w:pPr>
              <w:spacing w:before="20"/>
              <w:jc w:val="right"/>
              <w:rPr>
                <w:rFonts w:cs="Arial"/>
                <w:sz w:val="18"/>
                <w:szCs w:val="22"/>
              </w:rPr>
            </w:pPr>
            <w:r>
              <w:rPr>
                <w:rFonts w:cs="Arial"/>
                <w:sz w:val="18"/>
                <w:szCs w:val="22"/>
              </w:rPr>
              <w:t>337</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1</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Халиско</w:t>
            </w:r>
          </w:p>
        </w:tc>
        <w:tc>
          <w:tcPr>
            <w:tcW w:w="0" w:type="auto"/>
          </w:tcPr>
          <w:p w:rsidR="00000000" w:rsidRDefault="00000000">
            <w:pPr>
              <w:spacing w:before="20"/>
              <w:jc w:val="right"/>
              <w:rPr>
                <w:rFonts w:cs="Arial"/>
                <w:sz w:val="18"/>
                <w:szCs w:val="22"/>
              </w:rPr>
            </w:pPr>
            <w:r>
              <w:rPr>
                <w:rFonts w:cs="Arial"/>
                <w:sz w:val="18"/>
                <w:szCs w:val="22"/>
              </w:rPr>
              <w:t>2 224</w:t>
            </w:r>
          </w:p>
        </w:tc>
        <w:tc>
          <w:tcPr>
            <w:tcW w:w="0" w:type="auto"/>
          </w:tcPr>
          <w:p w:rsidR="00000000" w:rsidRDefault="00000000">
            <w:pPr>
              <w:spacing w:before="20"/>
              <w:jc w:val="right"/>
              <w:rPr>
                <w:rFonts w:cs="Arial"/>
                <w:sz w:val="18"/>
                <w:szCs w:val="22"/>
              </w:rPr>
            </w:pPr>
            <w:r>
              <w:rPr>
                <w:rFonts w:cs="Arial"/>
                <w:sz w:val="18"/>
                <w:szCs w:val="22"/>
              </w:rPr>
              <w:t>1 294</w:t>
            </w:r>
          </w:p>
        </w:tc>
        <w:tc>
          <w:tcPr>
            <w:tcW w:w="0" w:type="auto"/>
          </w:tcPr>
          <w:p w:rsidR="00000000" w:rsidRDefault="00000000">
            <w:pPr>
              <w:spacing w:before="20"/>
              <w:jc w:val="right"/>
              <w:rPr>
                <w:rFonts w:cs="Arial"/>
                <w:sz w:val="18"/>
                <w:szCs w:val="22"/>
              </w:rPr>
            </w:pPr>
            <w:r>
              <w:rPr>
                <w:rFonts w:cs="Arial"/>
                <w:sz w:val="18"/>
                <w:szCs w:val="22"/>
              </w:rPr>
              <w:t>926</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4</w:t>
            </w:r>
          </w:p>
        </w:tc>
        <w:tc>
          <w:tcPr>
            <w:tcW w:w="516" w:type="pct"/>
          </w:tcPr>
          <w:p w:rsidR="00000000" w:rsidRDefault="00000000">
            <w:pPr>
              <w:spacing w:before="20"/>
              <w:jc w:val="right"/>
              <w:rPr>
                <w:rFonts w:cs="Arial"/>
                <w:sz w:val="18"/>
                <w:szCs w:val="22"/>
              </w:rPr>
            </w:pPr>
            <w:r>
              <w:rPr>
                <w:rFonts w:cs="Arial"/>
                <w:sz w:val="18"/>
                <w:szCs w:val="22"/>
              </w:rPr>
              <w:t>2 156</w:t>
            </w:r>
          </w:p>
        </w:tc>
        <w:tc>
          <w:tcPr>
            <w:tcW w:w="429" w:type="pct"/>
          </w:tcPr>
          <w:p w:rsidR="00000000" w:rsidRDefault="00000000">
            <w:pPr>
              <w:spacing w:before="20"/>
              <w:jc w:val="right"/>
              <w:rPr>
                <w:rFonts w:cs="Arial"/>
                <w:sz w:val="18"/>
                <w:szCs w:val="22"/>
              </w:rPr>
            </w:pPr>
            <w:r>
              <w:rPr>
                <w:rFonts w:cs="Arial"/>
                <w:sz w:val="18"/>
                <w:szCs w:val="22"/>
              </w:rPr>
              <w:t>1 191</w:t>
            </w:r>
          </w:p>
        </w:tc>
        <w:tc>
          <w:tcPr>
            <w:tcW w:w="422" w:type="pct"/>
          </w:tcPr>
          <w:p w:rsidR="00000000" w:rsidRDefault="00000000">
            <w:pPr>
              <w:spacing w:before="20"/>
              <w:jc w:val="right"/>
              <w:rPr>
                <w:rFonts w:cs="Arial"/>
                <w:sz w:val="18"/>
                <w:szCs w:val="22"/>
              </w:rPr>
            </w:pPr>
            <w:r>
              <w:rPr>
                <w:rFonts w:cs="Arial"/>
                <w:sz w:val="18"/>
                <w:szCs w:val="22"/>
              </w:rPr>
              <w:t>957</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8</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Мехико</w:t>
            </w:r>
          </w:p>
        </w:tc>
        <w:tc>
          <w:tcPr>
            <w:tcW w:w="0" w:type="auto"/>
          </w:tcPr>
          <w:p w:rsidR="00000000" w:rsidRDefault="00000000">
            <w:pPr>
              <w:spacing w:before="20"/>
              <w:jc w:val="right"/>
              <w:rPr>
                <w:rFonts w:cs="Arial"/>
                <w:sz w:val="18"/>
                <w:szCs w:val="22"/>
              </w:rPr>
            </w:pPr>
            <w:r>
              <w:rPr>
                <w:rFonts w:cs="Arial"/>
                <w:sz w:val="18"/>
                <w:szCs w:val="22"/>
              </w:rPr>
              <w:t>6 824</w:t>
            </w:r>
          </w:p>
        </w:tc>
        <w:tc>
          <w:tcPr>
            <w:tcW w:w="0" w:type="auto"/>
          </w:tcPr>
          <w:p w:rsidR="00000000" w:rsidRDefault="00000000">
            <w:pPr>
              <w:spacing w:before="20"/>
              <w:jc w:val="right"/>
              <w:rPr>
                <w:rFonts w:cs="Arial"/>
                <w:sz w:val="18"/>
                <w:szCs w:val="22"/>
              </w:rPr>
            </w:pPr>
            <w:r>
              <w:rPr>
                <w:rFonts w:cs="Arial"/>
                <w:sz w:val="18"/>
                <w:szCs w:val="22"/>
              </w:rPr>
              <w:t>3 881</w:t>
            </w:r>
          </w:p>
        </w:tc>
        <w:tc>
          <w:tcPr>
            <w:tcW w:w="0" w:type="auto"/>
          </w:tcPr>
          <w:p w:rsidR="00000000" w:rsidRDefault="00000000">
            <w:pPr>
              <w:spacing w:before="20"/>
              <w:jc w:val="right"/>
              <w:rPr>
                <w:rFonts w:cs="Arial"/>
                <w:sz w:val="18"/>
                <w:szCs w:val="22"/>
              </w:rPr>
            </w:pPr>
            <w:r>
              <w:rPr>
                <w:rFonts w:cs="Arial"/>
                <w:sz w:val="18"/>
                <w:szCs w:val="22"/>
              </w:rPr>
              <w:t>2 923</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20</w:t>
            </w:r>
          </w:p>
        </w:tc>
        <w:tc>
          <w:tcPr>
            <w:tcW w:w="516" w:type="pct"/>
          </w:tcPr>
          <w:p w:rsidR="00000000" w:rsidRDefault="00000000">
            <w:pPr>
              <w:spacing w:before="20"/>
              <w:jc w:val="right"/>
              <w:rPr>
                <w:rFonts w:cs="Arial"/>
                <w:sz w:val="18"/>
                <w:szCs w:val="22"/>
              </w:rPr>
            </w:pPr>
            <w:r>
              <w:rPr>
                <w:rFonts w:cs="Arial"/>
                <w:sz w:val="18"/>
                <w:szCs w:val="22"/>
              </w:rPr>
              <w:t>6 697</w:t>
            </w:r>
          </w:p>
        </w:tc>
        <w:tc>
          <w:tcPr>
            <w:tcW w:w="429" w:type="pct"/>
          </w:tcPr>
          <w:p w:rsidR="00000000" w:rsidRDefault="00000000">
            <w:pPr>
              <w:spacing w:before="20"/>
              <w:jc w:val="right"/>
              <w:rPr>
                <w:rFonts w:cs="Arial"/>
                <w:sz w:val="18"/>
                <w:szCs w:val="22"/>
              </w:rPr>
            </w:pPr>
            <w:r>
              <w:rPr>
                <w:rFonts w:cs="Arial"/>
                <w:sz w:val="18"/>
                <w:szCs w:val="22"/>
              </w:rPr>
              <w:t>3 747</w:t>
            </w:r>
          </w:p>
        </w:tc>
        <w:tc>
          <w:tcPr>
            <w:tcW w:w="422" w:type="pct"/>
          </w:tcPr>
          <w:p w:rsidR="00000000" w:rsidRDefault="00000000">
            <w:pPr>
              <w:spacing w:before="20"/>
              <w:jc w:val="right"/>
              <w:rPr>
                <w:rFonts w:cs="Arial"/>
                <w:sz w:val="18"/>
                <w:szCs w:val="22"/>
              </w:rPr>
            </w:pPr>
            <w:r>
              <w:rPr>
                <w:rFonts w:cs="Arial"/>
                <w:sz w:val="18"/>
                <w:szCs w:val="22"/>
              </w:rPr>
              <w:t>2 918</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32</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Мичоакан-де-Окампо</w:t>
            </w:r>
          </w:p>
        </w:tc>
        <w:tc>
          <w:tcPr>
            <w:tcW w:w="0" w:type="auto"/>
          </w:tcPr>
          <w:p w:rsidR="00000000" w:rsidRDefault="00000000">
            <w:pPr>
              <w:spacing w:before="20"/>
              <w:jc w:val="right"/>
              <w:rPr>
                <w:rFonts w:cs="Arial"/>
                <w:sz w:val="18"/>
                <w:szCs w:val="22"/>
              </w:rPr>
            </w:pPr>
            <w:r>
              <w:rPr>
                <w:rFonts w:cs="Arial"/>
                <w:sz w:val="18"/>
                <w:szCs w:val="22"/>
              </w:rPr>
              <w:t>1 127</w:t>
            </w:r>
          </w:p>
        </w:tc>
        <w:tc>
          <w:tcPr>
            <w:tcW w:w="0" w:type="auto"/>
          </w:tcPr>
          <w:p w:rsidR="00000000" w:rsidRDefault="00000000">
            <w:pPr>
              <w:spacing w:before="20"/>
              <w:jc w:val="right"/>
              <w:rPr>
                <w:rFonts w:cs="Arial"/>
                <w:sz w:val="18"/>
                <w:szCs w:val="22"/>
              </w:rPr>
            </w:pPr>
            <w:r>
              <w:rPr>
                <w:rFonts w:cs="Arial"/>
                <w:sz w:val="18"/>
                <w:szCs w:val="22"/>
              </w:rPr>
              <w:t>650</w:t>
            </w:r>
          </w:p>
        </w:tc>
        <w:tc>
          <w:tcPr>
            <w:tcW w:w="0" w:type="auto"/>
          </w:tcPr>
          <w:p w:rsidR="00000000" w:rsidRDefault="00000000">
            <w:pPr>
              <w:spacing w:before="20"/>
              <w:jc w:val="right"/>
              <w:rPr>
                <w:rFonts w:cs="Arial"/>
                <w:sz w:val="18"/>
                <w:szCs w:val="22"/>
              </w:rPr>
            </w:pPr>
            <w:r>
              <w:rPr>
                <w:rFonts w:cs="Arial"/>
                <w:sz w:val="18"/>
                <w:szCs w:val="22"/>
              </w:rPr>
              <w:t>473</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4</w:t>
            </w:r>
          </w:p>
        </w:tc>
        <w:tc>
          <w:tcPr>
            <w:tcW w:w="516" w:type="pct"/>
          </w:tcPr>
          <w:p w:rsidR="00000000" w:rsidRDefault="00000000">
            <w:pPr>
              <w:spacing w:before="20"/>
              <w:jc w:val="right"/>
              <w:rPr>
                <w:rFonts w:cs="Arial"/>
                <w:sz w:val="18"/>
                <w:szCs w:val="22"/>
              </w:rPr>
            </w:pPr>
            <w:r>
              <w:rPr>
                <w:rFonts w:cs="Arial"/>
                <w:sz w:val="18"/>
                <w:szCs w:val="22"/>
              </w:rPr>
              <w:t>1 174</w:t>
            </w:r>
          </w:p>
        </w:tc>
        <w:tc>
          <w:tcPr>
            <w:tcW w:w="429" w:type="pct"/>
          </w:tcPr>
          <w:p w:rsidR="00000000" w:rsidRDefault="00000000">
            <w:pPr>
              <w:spacing w:before="20"/>
              <w:jc w:val="right"/>
              <w:rPr>
                <w:rFonts w:cs="Arial"/>
                <w:sz w:val="18"/>
                <w:szCs w:val="22"/>
              </w:rPr>
            </w:pPr>
            <w:r>
              <w:rPr>
                <w:rFonts w:cs="Arial"/>
                <w:sz w:val="18"/>
                <w:szCs w:val="22"/>
              </w:rPr>
              <w:t>676</w:t>
            </w:r>
          </w:p>
        </w:tc>
        <w:tc>
          <w:tcPr>
            <w:tcW w:w="422" w:type="pct"/>
          </w:tcPr>
          <w:p w:rsidR="00000000" w:rsidRDefault="00000000">
            <w:pPr>
              <w:spacing w:before="20"/>
              <w:jc w:val="right"/>
              <w:rPr>
                <w:rFonts w:cs="Arial"/>
                <w:sz w:val="18"/>
                <w:szCs w:val="22"/>
              </w:rPr>
            </w:pPr>
            <w:r>
              <w:rPr>
                <w:rFonts w:cs="Arial"/>
                <w:sz w:val="18"/>
                <w:szCs w:val="22"/>
              </w:rPr>
              <w:t>489</w:t>
            </w:r>
          </w:p>
        </w:tc>
        <w:tc>
          <w:tcPr>
            <w:tcW w:w="519" w:type="pct"/>
            <w:tcMar>
              <w:right w:w="284" w:type="dxa"/>
            </w:tcMar>
          </w:tcPr>
          <w:p w:rsidR="00000000" w:rsidRDefault="00000000">
            <w:pPr>
              <w:tabs>
                <w:tab w:val="clear" w:pos="567"/>
                <w:tab w:val="clear" w:pos="1134"/>
              </w:tabs>
              <w:spacing w:before="20"/>
              <w:jc w:val="right"/>
              <w:rPr>
                <w:rFonts w:cs="Arial"/>
                <w:sz w:val="18"/>
                <w:szCs w:val="22"/>
              </w:rPr>
            </w:pPr>
            <w:r>
              <w:rPr>
                <w:rFonts w:cs="Arial"/>
                <w:sz w:val="18"/>
                <w:szCs w:val="22"/>
              </w:rPr>
              <w:t>9</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Морелос</w:t>
            </w:r>
          </w:p>
        </w:tc>
        <w:tc>
          <w:tcPr>
            <w:tcW w:w="0" w:type="auto"/>
          </w:tcPr>
          <w:p w:rsidR="00000000" w:rsidRDefault="00000000">
            <w:pPr>
              <w:spacing w:before="20"/>
              <w:jc w:val="right"/>
              <w:rPr>
                <w:rFonts w:cs="Arial"/>
                <w:sz w:val="18"/>
                <w:szCs w:val="22"/>
                <w:lang w:val="fr-FR"/>
              </w:rPr>
            </w:pPr>
            <w:r>
              <w:rPr>
                <w:rFonts w:cs="Arial"/>
                <w:sz w:val="18"/>
                <w:szCs w:val="22"/>
                <w:lang w:val="fr-FR"/>
              </w:rPr>
              <w:t>408</w:t>
            </w:r>
          </w:p>
        </w:tc>
        <w:tc>
          <w:tcPr>
            <w:tcW w:w="0" w:type="auto"/>
          </w:tcPr>
          <w:p w:rsidR="00000000" w:rsidRDefault="00000000">
            <w:pPr>
              <w:spacing w:before="20"/>
              <w:jc w:val="right"/>
              <w:rPr>
                <w:rFonts w:cs="Arial"/>
                <w:sz w:val="18"/>
                <w:szCs w:val="22"/>
                <w:lang w:val="fr-FR"/>
              </w:rPr>
            </w:pPr>
            <w:r>
              <w:rPr>
                <w:rFonts w:cs="Arial"/>
                <w:sz w:val="18"/>
                <w:szCs w:val="22"/>
                <w:lang w:val="fr-FR"/>
              </w:rPr>
              <w:t>224</w:t>
            </w:r>
          </w:p>
        </w:tc>
        <w:tc>
          <w:tcPr>
            <w:tcW w:w="0" w:type="auto"/>
          </w:tcPr>
          <w:p w:rsidR="00000000" w:rsidRDefault="00000000">
            <w:pPr>
              <w:spacing w:before="20"/>
              <w:jc w:val="right"/>
              <w:rPr>
                <w:rFonts w:cs="Arial"/>
                <w:sz w:val="18"/>
                <w:szCs w:val="22"/>
                <w:lang w:val="fr-FR"/>
              </w:rPr>
            </w:pPr>
            <w:r>
              <w:rPr>
                <w:rFonts w:cs="Arial"/>
                <w:sz w:val="18"/>
                <w:szCs w:val="22"/>
                <w:lang w:val="fr-FR"/>
              </w:rPr>
              <w:t>180</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4</w:t>
            </w:r>
          </w:p>
        </w:tc>
        <w:tc>
          <w:tcPr>
            <w:tcW w:w="516" w:type="pct"/>
          </w:tcPr>
          <w:p w:rsidR="00000000" w:rsidRDefault="00000000">
            <w:pPr>
              <w:spacing w:before="20"/>
              <w:jc w:val="right"/>
              <w:rPr>
                <w:rFonts w:cs="Arial"/>
                <w:sz w:val="18"/>
                <w:szCs w:val="22"/>
                <w:lang w:val="fr-FR"/>
              </w:rPr>
            </w:pPr>
            <w:r>
              <w:rPr>
                <w:rFonts w:cs="Arial"/>
                <w:sz w:val="18"/>
                <w:szCs w:val="22"/>
                <w:lang w:val="fr-FR"/>
              </w:rPr>
              <w:t>505</w:t>
            </w:r>
          </w:p>
        </w:tc>
        <w:tc>
          <w:tcPr>
            <w:tcW w:w="429" w:type="pct"/>
          </w:tcPr>
          <w:p w:rsidR="00000000" w:rsidRDefault="00000000">
            <w:pPr>
              <w:spacing w:before="20"/>
              <w:jc w:val="right"/>
              <w:rPr>
                <w:rFonts w:cs="Arial"/>
                <w:sz w:val="18"/>
                <w:szCs w:val="22"/>
                <w:lang w:val="fr-FR"/>
              </w:rPr>
            </w:pPr>
            <w:r>
              <w:rPr>
                <w:rFonts w:cs="Arial"/>
                <w:sz w:val="18"/>
                <w:szCs w:val="22"/>
                <w:lang w:val="fr-FR"/>
              </w:rPr>
              <w:t>285</w:t>
            </w:r>
          </w:p>
        </w:tc>
        <w:tc>
          <w:tcPr>
            <w:tcW w:w="422" w:type="pct"/>
          </w:tcPr>
          <w:p w:rsidR="00000000" w:rsidRDefault="00000000">
            <w:pPr>
              <w:spacing w:before="20"/>
              <w:jc w:val="right"/>
              <w:rPr>
                <w:rFonts w:cs="Arial"/>
                <w:sz w:val="18"/>
                <w:szCs w:val="22"/>
                <w:lang w:val="fr-FR"/>
              </w:rPr>
            </w:pPr>
            <w:r>
              <w:rPr>
                <w:rFonts w:cs="Arial"/>
                <w:sz w:val="18"/>
                <w:szCs w:val="22"/>
                <w:lang w:val="fr-FR"/>
              </w:rPr>
              <w:t>215</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5</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Наярит</w:t>
            </w:r>
          </w:p>
        </w:tc>
        <w:tc>
          <w:tcPr>
            <w:tcW w:w="0" w:type="auto"/>
          </w:tcPr>
          <w:p w:rsidR="00000000" w:rsidRDefault="00000000">
            <w:pPr>
              <w:spacing w:before="20"/>
              <w:jc w:val="right"/>
              <w:rPr>
                <w:rFonts w:cs="Arial"/>
                <w:sz w:val="18"/>
                <w:szCs w:val="22"/>
                <w:lang w:val="fr-FR"/>
              </w:rPr>
            </w:pPr>
            <w:r>
              <w:rPr>
                <w:rFonts w:cs="Arial"/>
                <w:sz w:val="18"/>
                <w:szCs w:val="22"/>
                <w:lang w:val="fr-FR"/>
              </w:rPr>
              <w:t>188</w:t>
            </w:r>
          </w:p>
        </w:tc>
        <w:tc>
          <w:tcPr>
            <w:tcW w:w="0" w:type="auto"/>
          </w:tcPr>
          <w:p w:rsidR="00000000" w:rsidRDefault="00000000">
            <w:pPr>
              <w:spacing w:before="20"/>
              <w:jc w:val="right"/>
              <w:rPr>
                <w:rFonts w:cs="Arial"/>
                <w:sz w:val="18"/>
                <w:szCs w:val="22"/>
                <w:lang w:val="fr-FR"/>
              </w:rPr>
            </w:pPr>
            <w:r>
              <w:rPr>
                <w:rFonts w:cs="Arial"/>
                <w:sz w:val="18"/>
                <w:szCs w:val="22"/>
                <w:lang w:val="fr-FR"/>
              </w:rPr>
              <w:t>107</w:t>
            </w:r>
          </w:p>
        </w:tc>
        <w:tc>
          <w:tcPr>
            <w:tcW w:w="0" w:type="auto"/>
          </w:tcPr>
          <w:p w:rsidR="00000000" w:rsidRDefault="00000000">
            <w:pPr>
              <w:spacing w:before="20"/>
              <w:jc w:val="right"/>
              <w:rPr>
                <w:rFonts w:cs="Arial"/>
                <w:sz w:val="18"/>
                <w:szCs w:val="22"/>
                <w:lang w:val="fr-FR"/>
              </w:rPr>
            </w:pPr>
            <w:r>
              <w:rPr>
                <w:rFonts w:cs="Arial"/>
                <w:sz w:val="18"/>
                <w:szCs w:val="22"/>
                <w:lang w:val="fr-FR"/>
              </w:rPr>
              <w:t>81</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516" w:type="pct"/>
          </w:tcPr>
          <w:p w:rsidR="00000000" w:rsidRDefault="00000000">
            <w:pPr>
              <w:spacing w:before="20"/>
              <w:jc w:val="right"/>
              <w:rPr>
                <w:rFonts w:cs="Arial"/>
                <w:sz w:val="18"/>
                <w:szCs w:val="22"/>
                <w:lang w:val="fr-FR"/>
              </w:rPr>
            </w:pPr>
            <w:r>
              <w:rPr>
                <w:rFonts w:cs="Arial"/>
                <w:sz w:val="18"/>
                <w:szCs w:val="22"/>
                <w:lang w:val="fr-FR"/>
              </w:rPr>
              <w:t>168</w:t>
            </w:r>
          </w:p>
        </w:tc>
        <w:tc>
          <w:tcPr>
            <w:tcW w:w="429" w:type="pct"/>
          </w:tcPr>
          <w:p w:rsidR="00000000" w:rsidRDefault="00000000">
            <w:pPr>
              <w:spacing w:before="20"/>
              <w:jc w:val="right"/>
              <w:rPr>
                <w:rFonts w:cs="Arial"/>
                <w:sz w:val="18"/>
                <w:szCs w:val="22"/>
                <w:lang w:val="fr-FR"/>
              </w:rPr>
            </w:pPr>
            <w:r>
              <w:rPr>
                <w:rFonts w:cs="Arial"/>
                <w:sz w:val="18"/>
                <w:szCs w:val="22"/>
                <w:lang w:val="fr-FR"/>
              </w:rPr>
              <w:t>96</w:t>
            </w:r>
          </w:p>
        </w:tc>
        <w:tc>
          <w:tcPr>
            <w:tcW w:w="422" w:type="pct"/>
          </w:tcPr>
          <w:p w:rsidR="00000000" w:rsidRDefault="00000000">
            <w:pPr>
              <w:spacing w:before="20"/>
              <w:jc w:val="right"/>
              <w:rPr>
                <w:rFonts w:cs="Arial"/>
                <w:sz w:val="18"/>
                <w:szCs w:val="22"/>
                <w:lang w:val="fr-FR"/>
              </w:rPr>
            </w:pPr>
            <w:r>
              <w:rPr>
                <w:rFonts w:cs="Arial"/>
                <w:sz w:val="18"/>
                <w:szCs w:val="22"/>
                <w:lang w:val="fr-FR"/>
              </w:rPr>
              <w:t>72</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0</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Нуэво-Леон</w:t>
            </w:r>
          </w:p>
        </w:tc>
        <w:tc>
          <w:tcPr>
            <w:tcW w:w="0" w:type="auto"/>
          </w:tcPr>
          <w:p w:rsidR="00000000" w:rsidRDefault="00000000">
            <w:pPr>
              <w:spacing w:before="20"/>
              <w:jc w:val="right"/>
              <w:rPr>
                <w:rFonts w:cs="Arial"/>
                <w:sz w:val="18"/>
                <w:szCs w:val="22"/>
                <w:lang w:val="fr-FR"/>
              </w:rPr>
            </w:pPr>
            <w:r>
              <w:rPr>
                <w:rFonts w:cs="Arial"/>
                <w:sz w:val="18"/>
                <w:szCs w:val="22"/>
                <w:lang w:val="fr-FR"/>
              </w:rPr>
              <w:t>1 036</w:t>
            </w:r>
          </w:p>
        </w:tc>
        <w:tc>
          <w:tcPr>
            <w:tcW w:w="0" w:type="auto"/>
          </w:tcPr>
          <w:p w:rsidR="00000000" w:rsidRDefault="00000000">
            <w:pPr>
              <w:spacing w:before="20"/>
              <w:jc w:val="right"/>
              <w:rPr>
                <w:rFonts w:cs="Arial"/>
                <w:sz w:val="18"/>
                <w:szCs w:val="22"/>
                <w:lang w:val="fr-FR"/>
              </w:rPr>
            </w:pPr>
            <w:r>
              <w:rPr>
                <w:rFonts w:cs="Arial"/>
                <w:sz w:val="18"/>
                <w:szCs w:val="22"/>
                <w:lang w:val="fr-FR"/>
              </w:rPr>
              <w:t>580</w:t>
            </w:r>
          </w:p>
        </w:tc>
        <w:tc>
          <w:tcPr>
            <w:tcW w:w="0" w:type="auto"/>
          </w:tcPr>
          <w:p w:rsidR="00000000" w:rsidRDefault="00000000">
            <w:pPr>
              <w:spacing w:before="20"/>
              <w:jc w:val="right"/>
              <w:rPr>
                <w:rFonts w:cs="Arial"/>
                <w:sz w:val="18"/>
                <w:szCs w:val="22"/>
                <w:lang w:val="fr-FR"/>
              </w:rPr>
            </w:pPr>
            <w:r>
              <w:rPr>
                <w:rFonts w:cs="Arial"/>
                <w:sz w:val="18"/>
                <w:szCs w:val="22"/>
                <w:lang w:val="fr-FR"/>
              </w:rPr>
              <w:t>450</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6</w:t>
            </w:r>
          </w:p>
        </w:tc>
        <w:tc>
          <w:tcPr>
            <w:tcW w:w="516" w:type="pct"/>
          </w:tcPr>
          <w:p w:rsidR="00000000" w:rsidRDefault="00000000">
            <w:pPr>
              <w:spacing w:before="20"/>
              <w:jc w:val="right"/>
              <w:rPr>
                <w:rFonts w:cs="Arial"/>
                <w:sz w:val="18"/>
                <w:szCs w:val="22"/>
                <w:lang w:val="fr-FR"/>
              </w:rPr>
            </w:pPr>
            <w:r>
              <w:rPr>
                <w:rFonts w:cs="Arial"/>
                <w:sz w:val="18"/>
                <w:szCs w:val="22"/>
                <w:lang w:val="fr-FR"/>
              </w:rPr>
              <w:t>977</w:t>
            </w:r>
          </w:p>
        </w:tc>
        <w:tc>
          <w:tcPr>
            <w:tcW w:w="429" w:type="pct"/>
          </w:tcPr>
          <w:p w:rsidR="00000000" w:rsidRDefault="00000000">
            <w:pPr>
              <w:spacing w:before="20"/>
              <w:jc w:val="right"/>
              <w:rPr>
                <w:rFonts w:cs="Arial"/>
                <w:sz w:val="18"/>
                <w:szCs w:val="22"/>
                <w:lang w:val="fr-FR"/>
              </w:rPr>
            </w:pPr>
            <w:r>
              <w:rPr>
                <w:rFonts w:cs="Arial"/>
                <w:sz w:val="18"/>
                <w:szCs w:val="22"/>
                <w:lang w:val="fr-FR"/>
              </w:rPr>
              <w:t>569</w:t>
            </w:r>
          </w:p>
        </w:tc>
        <w:tc>
          <w:tcPr>
            <w:tcW w:w="422" w:type="pct"/>
          </w:tcPr>
          <w:p w:rsidR="00000000" w:rsidRDefault="00000000">
            <w:pPr>
              <w:spacing w:before="20"/>
              <w:jc w:val="right"/>
              <w:rPr>
                <w:rFonts w:cs="Arial"/>
                <w:sz w:val="18"/>
                <w:szCs w:val="22"/>
                <w:lang w:val="fr-FR"/>
              </w:rPr>
            </w:pPr>
            <w:r>
              <w:rPr>
                <w:rFonts w:cs="Arial"/>
                <w:sz w:val="18"/>
                <w:szCs w:val="22"/>
                <w:lang w:val="fr-FR"/>
              </w:rPr>
              <w:t>406</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2</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Оахака</w:t>
            </w:r>
          </w:p>
        </w:tc>
        <w:tc>
          <w:tcPr>
            <w:tcW w:w="0" w:type="auto"/>
          </w:tcPr>
          <w:p w:rsidR="00000000" w:rsidRDefault="00000000">
            <w:pPr>
              <w:spacing w:before="20"/>
              <w:jc w:val="right"/>
              <w:rPr>
                <w:rFonts w:cs="Arial"/>
                <w:sz w:val="18"/>
                <w:szCs w:val="22"/>
                <w:lang w:val="fr-FR"/>
              </w:rPr>
            </w:pPr>
            <w:r>
              <w:rPr>
                <w:rFonts w:cs="Arial"/>
                <w:sz w:val="18"/>
                <w:szCs w:val="22"/>
                <w:lang w:val="fr-FR"/>
              </w:rPr>
              <w:t>1 208</w:t>
            </w:r>
          </w:p>
        </w:tc>
        <w:tc>
          <w:tcPr>
            <w:tcW w:w="0" w:type="auto"/>
          </w:tcPr>
          <w:p w:rsidR="00000000" w:rsidRDefault="00000000">
            <w:pPr>
              <w:spacing w:before="20"/>
              <w:jc w:val="right"/>
              <w:rPr>
                <w:rFonts w:cs="Arial"/>
                <w:sz w:val="18"/>
                <w:szCs w:val="22"/>
                <w:lang w:val="fr-FR"/>
              </w:rPr>
            </w:pPr>
            <w:r>
              <w:rPr>
                <w:rFonts w:cs="Arial"/>
                <w:sz w:val="18"/>
                <w:szCs w:val="22"/>
                <w:lang w:val="fr-FR"/>
              </w:rPr>
              <w:t>665</w:t>
            </w:r>
          </w:p>
        </w:tc>
        <w:tc>
          <w:tcPr>
            <w:tcW w:w="0" w:type="auto"/>
          </w:tcPr>
          <w:p w:rsidR="00000000" w:rsidRDefault="00000000">
            <w:pPr>
              <w:spacing w:before="20"/>
              <w:jc w:val="right"/>
              <w:rPr>
                <w:rFonts w:cs="Arial"/>
                <w:sz w:val="18"/>
                <w:szCs w:val="22"/>
                <w:lang w:val="fr-FR"/>
              </w:rPr>
            </w:pPr>
            <w:r>
              <w:rPr>
                <w:rFonts w:cs="Arial"/>
                <w:sz w:val="18"/>
                <w:szCs w:val="22"/>
                <w:lang w:val="fr-FR"/>
              </w:rPr>
              <w:t>534</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9</w:t>
            </w:r>
          </w:p>
        </w:tc>
        <w:tc>
          <w:tcPr>
            <w:tcW w:w="516" w:type="pct"/>
          </w:tcPr>
          <w:p w:rsidR="00000000" w:rsidRDefault="00000000">
            <w:pPr>
              <w:spacing w:before="20"/>
              <w:jc w:val="right"/>
              <w:rPr>
                <w:rFonts w:cs="Arial"/>
                <w:sz w:val="18"/>
                <w:szCs w:val="22"/>
                <w:lang w:val="fr-FR"/>
              </w:rPr>
            </w:pPr>
            <w:r>
              <w:rPr>
                <w:rFonts w:cs="Arial"/>
                <w:sz w:val="18"/>
                <w:szCs w:val="22"/>
                <w:lang w:val="fr-FR"/>
              </w:rPr>
              <w:t>1 356</w:t>
            </w:r>
          </w:p>
        </w:tc>
        <w:tc>
          <w:tcPr>
            <w:tcW w:w="429" w:type="pct"/>
          </w:tcPr>
          <w:p w:rsidR="00000000" w:rsidRDefault="00000000">
            <w:pPr>
              <w:spacing w:before="20"/>
              <w:jc w:val="right"/>
              <w:rPr>
                <w:rFonts w:cs="Arial"/>
                <w:sz w:val="18"/>
                <w:szCs w:val="22"/>
                <w:lang w:val="fr-FR"/>
              </w:rPr>
            </w:pPr>
            <w:r>
              <w:rPr>
                <w:rFonts w:cs="Arial"/>
                <w:sz w:val="18"/>
                <w:szCs w:val="22"/>
                <w:lang w:val="fr-FR"/>
              </w:rPr>
              <w:t>776</w:t>
            </w:r>
          </w:p>
        </w:tc>
        <w:tc>
          <w:tcPr>
            <w:tcW w:w="422" w:type="pct"/>
          </w:tcPr>
          <w:p w:rsidR="00000000" w:rsidRDefault="00000000">
            <w:pPr>
              <w:spacing w:before="20"/>
              <w:jc w:val="right"/>
              <w:rPr>
                <w:rFonts w:cs="Arial"/>
                <w:sz w:val="18"/>
                <w:szCs w:val="22"/>
                <w:lang w:val="fr-FR"/>
              </w:rPr>
            </w:pPr>
            <w:r>
              <w:rPr>
                <w:rFonts w:cs="Arial"/>
                <w:sz w:val="18"/>
                <w:szCs w:val="22"/>
                <w:lang w:val="fr-FR"/>
              </w:rPr>
              <w:t>577</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3</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Пуэбла</w:t>
            </w:r>
          </w:p>
        </w:tc>
        <w:tc>
          <w:tcPr>
            <w:tcW w:w="0" w:type="auto"/>
          </w:tcPr>
          <w:p w:rsidR="00000000" w:rsidRDefault="00000000">
            <w:pPr>
              <w:spacing w:before="20"/>
              <w:jc w:val="right"/>
              <w:rPr>
                <w:rFonts w:cs="Arial"/>
                <w:sz w:val="18"/>
                <w:szCs w:val="22"/>
                <w:lang w:val="fr-FR"/>
              </w:rPr>
            </w:pPr>
            <w:r>
              <w:rPr>
                <w:rFonts w:cs="Arial"/>
                <w:sz w:val="18"/>
                <w:szCs w:val="22"/>
                <w:lang w:val="fr-FR"/>
              </w:rPr>
              <w:t>3 376</w:t>
            </w:r>
          </w:p>
        </w:tc>
        <w:tc>
          <w:tcPr>
            <w:tcW w:w="0" w:type="auto"/>
          </w:tcPr>
          <w:p w:rsidR="00000000" w:rsidRDefault="00000000">
            <w:pPr>
              <w:spacing w:before="20"/>
              <w:jc w:val="right"/>
              <w:rPr>
                <w:rFonts w:cs="Arial"/>
                <w:sz w:val="18"/>
                <w:szCs w:val="22"/>
                <w:lang w:val="fr-FR"/>
              </w:rPr>
            </w:pPr>
            <w:r>
              <w:rPr>
                <w:rFonts w:cs="Arial"/>
                <w:sz w:val="18"/>
                <w:szCs w:val="22"/>
                <w:lang w:val="fr-FR"/>
              </w:rPr>
              <w:t>1 930</w:t>
            </w:r>
          </w:p>
        </w:tc>
        <w:tc>
          <w:tcPr>
            <w:tcW w:w="0" w:type="auto"/>
          </w:tcPr>
          <w:p w:rsidR="00000000" w:rsidRDefault="00000000">
            <w:pPr>
              <w:spacing w:before="20"/>
              <w:jc w:val="right"/>
              <w:rPr>
                <w:rFonts w:cs="Arial"/>
                <w:sz w:val="18"/>
                <w:szCs w:val="22"/>
                <w:lang w:val="fr-FR"/>
              </w:rPr>
            </w:pPr>
            <w:r>
              <w:rPr>
                <w:rFonts w:cs="Arial"/>
                <w:sz w:val="18"/>
                <w:szCs w:val="22"/>
                <w:lang w:val="fr-FR"/>
              </w:rPr>
              <w:t>1 439</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7</w:t>
            </w:r>
          </w:p>
        </w:tc>
        <w:tc>
          <w:tcPr>
            <w:tcW w:w="516" w:type="pct"/>
          </w:tcPr>
          <w:p w:rsidR="00000000" w:rsidRDefault="00000000">
            <w:pPr>
              <w:spacing w:before="20"/>
              <w:jc w:val="right"/>
              <w:rPr>
                <w:rFonts w:cs="Arial"/>
                <w:sz w:val="18"/>
                <w:szCs w:val="22"/>
                <w:lang w:val="fr-FR"/>
              </w:rPr>
            </w:pPr>
            <w:r>
              <w:rPr>
                <w:rFonts w:cs="Arial"/>
                <w:sz w:val="18"/>
                <w:szCs w:val="22"/>
                <w:lang w:val="fr-FR"/>
              </w:rPr>
              <w:t>3 492</w:t>
            </w:r>
          </w:p>
        </w:tc>
        <w:tc>
          <w:tcPr>
            <w:tcW w:w="429" w:type="pct"/>
          </w:tcPr>
          <w:p w:rsidR="00000000" w:rsidRDefault="00000000">
            <w:pPr>
              <w:spacing w:before="20"/>
              <w:jc w:val="right"/>
              <w:rPr>
                <w:rFonts w:cs="Arial"/>
                <w:sz w:val="18"/>
                <w:szCs w:val="22"/>
                <w:lang w:val="fr-FR"/>
              </w:rPr>
            </w:pPr>
            <w:r>
              <w:rPr>
                <w:rFonts w:cs="Arial"/>
                <w:sz w:val="18"/>
                <w:szCs w:val="22"/>
                <w:lang w:val="fr-FR"/>
              </w:rPr>
              <w:t>2 037</w:t>
            </w:r>
          </w:p>
        </w:tc>
        <w:tc>
          <w:tcPr>
            <w:tcW w:w="422" w:type="pct"/>
          </w:tcPr>
          <w:p w:rsidR="00000000" w:rsidRDefault="00000000">
            <w:pPr>
              <w:spacing w:before="20"/>
              <w:jc w:val="right"/>
              <w:rPr>
                <w:rFonts w:cs="Arial"/>
                <w:sz w:val="18"/>
                <w:szCs w:val="22"/>
                <w:lang w:val="fr-FR"/>
              </w:rPr>
            </w:pPr>
            <w:r>
              <w:rPr>
                <w:rFonts w:cs="Arial"/>
                <w:sz w:val="18"/>
                <w:szCs w:val="22"/>
                <w:lang w:val="fr-FR"/>
              </w:rPr>
              <w:t>1 452</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3</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Керетаро-де-Артеага</w:t>
            </w:r>
          </w:p>
        </w:tc>
        <w:tc>
          <w:tcPr>
            <w:tcW w:w="0" w:type="auto"/>
          </w:tcPr>
          <w:p w:rsidR="00000000" w:rsidRDefault="00000000">
            <w:pPr>
              <w:spacing w:before="20"/>
              <w:jc w:val="right"/>
              <w:rPr>
                <w:rFonts w:cs="Arial"/>
                <w:sz w:val="18"/>
                <w:szCs w:val="22"/>
                <w:lang w:val="fr-FR"/>
              </w:rPr>
            </w:pPr>
            <w:r>
              <w:rPr>
                <w:rFonts w:cs="Arial"/>
                <w:sz w:val="18"/>
                <w:szCs w:val="22"/>
                <w:lang w:val="fr-FR"/>
              </w:rPr>
              <w:t>644</w:t>
            </w:r>
          </w:p>
        </w:tc>
        <w:tc>
          <w:tcPr>
            <w:tcW w:w="0" w:type="auto"/>
          </w:tcPr>
          <w:p w:rsidR="00000000" w:rsidRDefault="00000000">
            <w:pPr>
              <w:spacing w:before="20"/>
              <w:jc w:val="right"/>
              <w:rPr>
                <w:rFonts w:cs="Arial"/>
                <w:sz w:val="18"/>
                <w:szCs w:val="22"/>
                <w:lang w:val="fr-FR"/>
              </w:rPr>
            </w:pPr>
            <w:r>
              <w:rPr>
                <w:rFonts w:cs="Arial"/>
                <w:sz w:val="18"/>
                <w:szCs w:val="22"/>
                <w:lang w:val="fr-FR"/>
              </w:rPr>
              <w:t>348</w:t>
            </w:r>
          </w:p>
        </w:tc>
        <w:tc>
          <w:tcPr>
            <w:tcW w:w="0" w:type="auto"/>
          </w:tcPr>
          <w:p w:rsidR="00000000" w:rsidRDefault="00000000">
            <w:pPr>
              <w:spacing w:before="20"/>
              <w:jc w:val="right"/>
              <w:rPr>
                <w:rFonts w:cs="Arial"/>
                <w:sz w:val="18"/>
                <w:szCs w:val="22"/>
                <w:lang w:val="fr-FR"/>
              </w:rPr>
            </w:pPr>
            <w:r>
              <w:rPr>
                <w:rFonts w:cs="Arial"/>
                <w:sz w:val="18"/>
                <w:szCs w:val="22"/>
                <w:lang w:val="fr-FR"/>
              </w:rPr>
              <w:t>296</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516" w:type="pct"/>
          </w:tcPr>
          <w:p w:rsidR="00000000" w:rsidRDefault="00000000">
            <w:pPr>
              <w:spacing w:before="20"/>
              <w:jc w:val="right"/>
              <w:rPr>
                <w:rFonts w:cs="Arial"/>
                <w:sz w:val="18"/>
                <w:szCs w:val="22"/>
                <w:lang w:val="fr-FR"/>
              </w:rPr>
            </w:pPr>
            <w:r>
              <w:rPr>
                <w:rFonts w:cs="Arial"/>
                <w:sz w:val="18"/>
                <w:szCs w:val="22"/>
                <w:lang w:val="fr-FR"/>
              </w:rPr>
              <w:t>650</w:t>
            </w:r>
          </w:p>
        </w:tc>
        <w:tc>
          <w:tcPr>
            <w:tcW w:w="429" w:type="pct"/>
          </w:tcPr>
          <w:p w:rsidR="00000000" w:rsidRDefault="00000000">
            <w:pPr>
              <w:spacing w:before="20"/>
              <w:jc w:val="right"/>
              <w:rPr>
                <w:rFonts w:cs="Arial"/>
                <w:sz w:val="18"/>
                <w:szCs w:val="22"/>
                <w:lang w:val="fr-FR"/>
              </w:rPr>
            </w:pPr>
            <w:r>
              <w:rPr>
                <w:rFonts w:cs="Arial"/>
                <w:sz w:val="18"/>
                <w:szCs w:val="22"/>
                <w:lang w:val="fr-FR"/>
              </w:rPr>
              <w:t>355</w:t>
            </w:r>
          </w:p>
        </w:tc>
        <w:tc>
          <w:tcPr>
            <w:tcW w:w="422" w:type="pct"/>
          </w:tcPr>
          <w:p w:rsidR="00000000" w:rsidRDefault="00000000">
            <w:pPr>
              <w:spacing w:before="20"/>
              <w:jc w:val="right"/>
              <w:rPr>
                <w:rFonts w:cs="Arial"/>
                <w:sz w:val="18"/>
                <w:szCs w:val="22"/>
                <w:lang w:val="fr-FR"/>
              </w:rPr>
            </w:pPr>
            <w:r>
              <w:rPr>
                <w:rFonts w:cs="Arial"/>
                <w:sz w:val="18"/>
                <w:szCs w:val="22"/>
                <w:lang w:val="fr-FR"/>
              </w:rPr>
              <w:t>293</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2</w:t>
            </w:r>
          </w:p>
        </w:tc>
      </w:tr>
      <w:tr w:rsidR="00000000">
        <w:trPr>
          <w:gridAfter w:val="2"/>
          <w:wAfter w:w="21" w:type="pct"/>
          <w:jc w:val="center"/>
        </w:trPr>
        <w:tc>
          <w:tcPr>
            <w:tcW w:w="0" w:type="auto"/>
          </w:tcPr>
          <w:p w:rsidR="00000000" w:rsidRDefault="00000000">
            <w:pPr>
              <w:spacing w:before="20"/>
              <w:rPr>
                <w:rFonts w:cs="Arial"/>
                <w:sz w:val="18"/>
                <w:szCs w:val="22"/>
                <w:lang w:val="fr-FR"/>
              </w:rPr>
            </w:pPr>
            <w:r>
              <w:rPr>
                <w:rFonts w:cs="Arial"/>
                <w:sz w:val="18"/>
                <w:szCs w:val="22"/>
              </w:rPr>
              <w:t>Кинтана-Роо</w:t>
            </w:r>
          </w:p>
        </w:tc>
        <w:tc>
          <w:tcPr>
            <w:tcW w:w="0" w:type="auto"/>
          </w:tcPr>
          <w:p w:rsidR="00000000" w:rsidRDefault="00000000">
            <w:pPr>
              <w:spacing w:before="20"/>
              <w:jc w:val="right"/>
              <w:rPr>
                <w:rFonts w:cs="Arial"/>
                <w:sz w:val="18"/>
                <w:szCs w:val="22"/>
                <w:lang w:val="fr-FR"/>
              </w:rPr>
            </w:pPr>
            <w:r>
              <w:rPr>
                <w:rFonts w:cs="Arial"/>
                <w:sz w:val="18"/>
                <w:szCs w:val="22"/>
                <w:lang w:val="fr-FR"/>
              </w:rPr>
              <w:t>331</w:t>
            </w:r>
          </w:p>
        </w:tc>
        <w:tc>
          <w:tcPr>
            <w:tcW w:w="0" w:type="auto"/>
          </w:tcPr>
          <w:p w:rsidR="00000000" w:rsidRDefault="00000000">
            <w:pPr>
              <w:spacing w:before="20"/>
              <w:jc w:val="right"/>
              <w:rPr>
                <w:rFonts w:cs="Arial"/>
                <w:sz w:val="18"/>
                <w:szCs w:val="22"/>
                <w:lang w:val="fr-FR"/>
              </w:rPr>
            </w:pPr>
            <w:r>
              <w:rPr>
                <w:rFonts w:cs="Arial"/>
                <w:sz w:val="18"/>
                <w:szCs w:val="22"/>
                <w:lang w:val="fr-FR"/>
              </w:rPr>
              <w:t>197</w:t>
            </w:r>
          </w:p>
        </w:tc>
        <w:tc>
          <w:tcPr>
            <w:tcW w:w="0" w:type="auto"/>
          </w:tcPr>
          <w:p w:rsidR="00000000" w:rsidRDefault="00000000">
            <w:pPr>
              <w:spacing w:before="20"/>
              <w:jc w:val="right"/>
              <w:rPr>
                <w:rFonts w:cs="Arial"/>
                <w:sz w:val="18"/>
                <w:szCs w:val="22"/>
                <w:lang w:val="fr-FR"/>
              </w:rPr>
            </w:pPr>
            <w:r>
              <w:rPr>
                <w:rFonts w:cs="Arial"/>
                <w:sz w:val="18"/>
                <w:szCs w:val="22"/>
                <w:lang w:val="fr-FR"/>
              </w:rPr>
              <w:t>132</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2</w:t>
            </w:r>
          </w:p>
        </w:tc>
        <w:tc>
          <w:tcPr>
            <w:tcW w:w="516" w:type="pct"/>
          </w:tcPr>
          <w:p w:rsidR="00000000" w:rsidRDefault="00000000">
            <w:pPr>
              <w:spacing w:before="20"/>
              <w:jc w:val="right"/>
              <w:rPr>
                <w:rFonts w:cs="Arial"/>
                <w:sz w:val="18"/>
                <w:szCs w:val="22"/>
                <w:lang w:val="fr-FR"/>
              </w:rPr>
            </w:pPr>
            <w:r>
              <w:rPr>
                <w:rFonts w:cs="Arial"/>
                <w:sz w:val="18"/>
                <w:szCs w:val="22"/>
                <w:lang w:val="fr-FR"/>
              </w:rPr>
              <w:t>347</w:t>
            </w:r>
          </w:p>
        </w:tc>
        <w:tc>
          <w:tcPr>
            <w:tcW w:w="429" w:type="pct"/>
          </w:tcPr>
          <w:p w:rsidR="00000000" w:rsidRDefault="00000000">
            <w:pPr>
              <w:spacing w:before="20"/>
              <w:jc w:val="right"/>
              <w:rPr>
                <w:rFonts w:cs="Arial"/>
                <w:sz w:val="18"/>
                <w:szCs w:val="22"/>
                <w:lang w:val="fr-FR"/>
              </w:rPr>
            </w:pPr>
            <w:r>
              <w:rPr>
                <w:rFonts w:cs="Arial"/>
                <w:sz w:val="18"/>
                <w:szCs w:val="22"/>
                <w:lang w:val="fr-FR"/>
              </w:rPr>
              <w:t>197</w:t>
            </w:r>
          </w:p>
        </w:tc>
        <w:tc>
          <w:tcPr>
            <w:tcW w:w="422" w:type="pct"/>
          </w:tcPr>
          <w:p w:rsidR="00000000" w:rsidRDefault="00000000">
            <w:pPr>
              <w:spacing w:before="20"/>
              <w:jc w:val="right"/>
              <w:rPr>
                <w:rFonts w:cs="Arial"/>
                <w:sz w:val="18"/>
                <w:szCs w:val="22"/>
                <w:lang w:val="fr-FR"/>
              </w:rPr>
            </w:pPr>
            <w:r>
              <w:rPr>
                <w:rFonts w:cs="Arial"/>
                <w:sz w:val="18"/>
                <w:szCs w:val="22"/>
                <w:lang w:val="fr-FR"/>
              </w:rPr>
              <w:t>148</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2</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Сан-Луис-Потаси</w:t>
            </w:r>
          </w:p>
        </w:tc>
        <w:tc>
          <w:tcPr>
            <w:tcW w:w="0" w:type="auto"/>
          </w:tcPr>
          <w:p w:rsidR="00000000" w:rsidRDefault="00000000">
            <w:pPr>
              <w:spacing w:before="20"/>
              <w:jc w:val="right"/>
              <w:rPr>
                <w:rFonts w:cs="Arial"/>
                <w:sz w:val="18"/>
                <w:szCs w:val="22"/>
                <w:lang w:val="fr-FR"/>
              </w:rPr>
            </w:pPr>
            <w:r>
              <w:rPr>
                <w:rFonts w:cs="Arial"/>
                <w:sz w:val="18"/>
                <w:szCs w:val="22"/>
                <w:lang w:val="fr-FR"/>
              </w:rPr>
              <w:t>782</w:t>
            </w:r>
          </w:p>
        </w:tc>
        <w:tc>
          <w:tcPr>
            <w:tcW w:w="0" w:type="auto"/>
          </w:tcPr>
          <w:p w:rsidR="00000000" w:rsidRDefault="00000000">
            <w:pPr>
              <w:spacing w:before="20"/>
              <w:jc w:val="right"/>
              <w:rPr>
                <w:rFonts w:cs="Arial"/>
                <w:sz w:val="18"/>
                <w:szCs w:val="22"/>
                <w:lang w:val="fr-FR"/>
              </w:rPr>
            </w:pPr>
            <w:r>
              <w:rPr>
                <w:rFonts w:cs="Arial"/>
                <w:sz w:val="18"/>
                <w:szCs w:val="22"/>
                <w:lang w:val="fr-FR"/>
              </w:rPr>
              <w:t>449</w:t>
            </w:r>
          </w:p>
        </w:tc>
        <w:tc>
          <w:tcPr>
            <w:tcW w:w="0" w:type="auto"/>
          </w:tcPr>
          <w:p w:rsidR="00000000" w:rsidRDefault="00000000">
            <w:pPr>
              <w:spacing w:before="20"/>
              <w:jc w:val="right"/>
              <w:rPr>
                <w:rFonts w:cs="Arial"/>
                <w:sz w:val="18"/>
                <w:szCs w:val="22"/>
                <w:lang w:val="fr-FR"/>
              </w:rPr>
            </w:pPr>
            <w:r>
              <w:rPr>
                <w:rFonts w:cs="Arial"/>
                <w:sz w:val="18"/>
                <w:szCs w:val="22"/>
                <w:lang w:val="fr-FR"/>
              </w:rPr>
              <w:t>331</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2</w:t>
            </w:r>
          </w:p>
        </w:tc>
        <w:tc>
          <w:tcPr>
            <w:tcW w:w="516" w:type="pct"/>
          </w:tcPr>
          <w:p w:rsidR="00000000" w:rsidRDefault="00000000">
            <w:pPr>
              <w:spacing w:before="20"/>
              <w:jc w:val="right"/>
              <w:rPr>
                <w:rFonts w:cs="Arial"/>
                <w:sz w:val="18"/>
                <w:szCs w:val="22"/>
                <w:lang w:val="fr-FR"/>
              </w:rPr>
            </w:pPr>
            <w:r>
              <w:rPr>
                <w:rFonts w:cs="Arial"/>
                <w:sz w:val="18"/>
                <w:szCs w:val="22"/>
                <w:lang w:val="fr-FR"/>
              </w:rPr>
              <w:t>833</w:t>
            </w:r>
          </w:p>
        </w:tc>
        <w:tc>
          <w:tcPr>
            <w:tcW w:w="429" w:type="pct"/>
          </w:tcPr>
          <w:p w:rsidR="00000000" w:rsidRDefault="00000000">
            <w:pPr>
              <w:spacing w:before="20"/>
              <w:jc w:val="right"/>
              <w:rPr>
                <w:rFonts w:cs="Arial"/>
                <w:sz w:val="18"/>
                <w:szCs w:val="22"/>
                <w:lang w:val="fr-FR"/>
              </w:rPr>
            </w:pPr>
            <w:r>
              <w:rPr>
                <w:rFonts w:cs="Arial"/>
                <w:sz w:val="18"/>
                <w:szCs w:val="22"/>
                <w:lang w:val="fr-FR"/>
              </w:rPr>
              <w:t>470</w:t>
            </w:r>
          </w:p>
        </w:tc>
        <w:tc>
          <w:tcPr>
            <w:tcW w:w="422" w:type="pct"/>
          </w:tcPr>
          <w:p w:rsidR="00000000" w:rsidRDefault="00000000">
            <w:pPr>
              <w:spacing w:before="20"/>
              <w:jc w:val="right"/>
              <w:rPr>
                <w:rFonts w:cs="Arial"/>
                <w:sz w:val="18"/>
                <w:szCs w:val="22"/>
                <w:lang w:val="fr-FR"/>
              </w:rPr>
            </w:pPr>
            <w:r>
              <w:rPr>
                <w:rFonts w:cs="Arial"/>
                <w:sz w:val="18"/>
                <w:szCs w:val="22"/>
                <w:lang w:val="fr-FR"/>
              </w:rPr>
              <w:t>356</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7</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Синалоа</w:t>
            </w:r>
          </w:p>
        </w:tc>
        <w:tc>
          <w:tcPr>
            <w:tcW w:w="0" w:type="auto"/>
          </w:tcPr>
          <w:p w:rsidR="00000000" w:rsidRDefault="00000000">
            <w:pPr>
              <w:spacing w:before="20"/>
              <w:jc w:val="right"/>
              <w:rPr>
                <w:rFonts w:cs="Arial"/>
                <w:sz w:val="18"/>
                <w:szCs w:val="22"/>
                <w:lang w:val="fr-FR"/>
              </w:rPr>
            </w:pPr>
            <w:r>
              <w:rPr>
                <w:rFonts w:cs="Arial"/>
                <w:sz w:val="18"/>
                <w:szCs w:val="22"/>
                <w:lang w:val="fr-FR"/>
              </w:rPr>
              <w:t>254</w:t>
            </w:r>
          </w:p>
        </w:tc>
        <w:tc>
          <w:tcPr>
            <w:tcW w:w="0" w:type="auto"/>
          </w:tcPr>
          <w:p w:rsidR="00000000" w:rsidRDefault="00000000">
            <w:pPr>
              <w:spacing w:before="20"/>
              <w:jc w:val="right"/>
              <w:rPr>
                <w:rFonts w:cs="Arial"/>
                <w:sz w:val="18"/>
                <w:szCs w:val="22"/>
                <w:lang w:val="fr-FR"/>
              </w:rPr>
            </w:pPr>
            <w:r>
              <w:rPr>
                <w:rFonts w:cs="Arial"/>
                <w:sz w:val="18"/>
                <w:szCs w:val="22"/>
                <w:lang w:val="fr-FR"/>
              </w:rPr>
              <w:t>132</w:t>
            </w:r>
          </w:p>
        </w:tc>
        <w:tc>
          <w:tcPr>
            <w:tcW w:w="0" w:type="auto"/>
          </w:tcPr>
          <w:p w:rsidR="00000000" w:rsidRDefault="00000000">
            <w:pPr>
              <w:spacing w:before="20"/>
              <w:jc w:val="right"/>
              <w:rPr>
                <w:rFonts w:cs="Arial"/>
                <w:sz w:val="18"/>
                <w:szCs w:val="22"/>
                <w:lang w:val="fr-FR"/>
              </w:rPr>
            </w:pPr>
            <w:r>
              <w:rPr>
                <w:rFonts w:cs="Arial"/>
                <w:sz w:val="18"/>
                <w:szCs w:val="22"/>
                <w:lang w:val="fr-FR"/>
              </w:rPr>
              <w:t>121</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1</w:t>
            </w:r>
          </w:p>
        </w:tc>
        <w:tc>
          <w:tcPr>
            <w:tcW w:w="516" w:type="pct"/>
          </w:tcPr>
          <w:p w:rsidR="00000000" w:rsidRDefault="00000000">
            <w:pPr>
              <w:spacing w:before="20"/>
              <w:jc w:val="right"/>
              <w:rPr>
                <w:rFonts w:cs="Arial"/>
                <w:sz w:val="18"/>
                <w:szCs w:val="22"/>
                <w:lang w:val="fr-FR"/>
              </w:rPr>
            </w:pPr>
            <w:r>
              <w:rPr>
                <w:rFonts w:cs="Arial"/>
                <w:sz w:val="18"/>
                <w:szCs w:val="22"/>
                <w:lang w:val="fr-FR"/>
              </w:rPr>
              <w:t>379</w:t>
            </w:r>
          </w:p>
        </w:tc>
        <w:tc>
          <w:tcPr>
            <w:tcW w:w="429" w:type="pct"/>
          </w:tcPr>
          <w:p w:rsidR="00000000" w:rsidRDefault="00000000">
            <w:pPr>
              <w:spacing w:before="20"/>
              <w:jc w:val="right"/>
              <w:rPr>
                <w:rFonts w:cs="Arial"/>
                <w:sz w:val="18"/>
                <w:szCs w:val="22"/>
                <w:lang w:val="fr-FR"/>
              </w:rPr>
            </w:pPr>
            <w:r>
              <w:rPr>
                <w:rFonts w:cs="Arial"/>
                <w:sz w:val="18"/>
                <w:szCs w:val="22"/>
                <w:lang w:val="fr-FR"/>
              </w:rPr>
              <w:t>225</w:t>
            </w:r>
          </w:p>
        </w:tc>
        <w:tc>
          <w:tcPr>
            <w:tcW w:w="422" w:type="pct"/>
          </w:tcPr>
          <w:p w:rsidR="00000000" w:rsidRDefault="00000000">
            <w:pPr>
              <w:spacing w:before="20"/>
              <w:jc w:val="right"/>
              <w:rPr>
                <w:rFonts w:cs="Arial"/>
                <w:sz w:val="18"/>
                <w:szCs w:val="22"/>
                <w:lang w:val="fr-FR"/>
              </w:rPr>
            </w:pPr>
            <w:r>
              <w:rPr>
                <w:rFonts w:cs="Arial"/>
                <w:sz w:val="18"/>
                <w:szCs w:val="22"/>
                <w:lang w:val="fr-FR"/>
              </w:rPr>
              <w:t>146</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8</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Сонора</w:t>
            </w:r>
          </w:p>
        </w:tc>
        <w:tc>
          <w:tcPr>
            <w:tcW w:w="0" w:type="auto"/>
          </w:tcPr>
          <w:p w:rsidR="00000000" w:rsidRDefault="00000000">
            <w:pPr>
              <w:spacing w:before="20"/>
              <w:jc w:val="right"/>
              <w:rPr>
                <w:rFonts w:cs="Arial"/>
                <w:sz w:val="18"/>
                <w:szCs w:val="22"/>
                <w:lang w:val="fr-FR"/>
              </w:rPr>
            </w:pPr>
            <w:r>
              <w:rPr>
                <w:rFonts w:cs="Arial"/>
                <w:sz w:val="18"/>
                <w:szCs w:val="22"/>
                <w:lang w:val="fr-FR"/>
              </w:rPr>
              <w:t>747</w:t>
            </w:r>
          </w:p>
        </w:tc>
        <w:tc>
          <w:tcPr>
            <w:tcW w:w="0" w:type="auto"/>
          </w:tcPr>
          <w:p w:rsidR="00000000" w:rsidRDefault="00000000">
            <w:pPr>
              <w:spacing w:before="20"/>
              <w:jc w:val="right"/>
              <w:rPr>
                <w:rFonts w:cs="Arial"/>
                <w:sz w:val="18"/>
                <w:szCs w:val="22"/>
                <w:lang w:val="fr-FR"/>
              </w:rPr>
            </w:pPr>
            <w:r>
              <w:rPr>
                <w:rFonts w:cs="Arial"/>
                <w:sz w:val="18"/>
                <w:szCs w:val="22"/>
                <w:lang w:val="fr-FR"/>
              </w:rPr>
              <w:t>418</w:t>
            </w:r>
          </w:p>
        </w:tc>
        <w:tc>
          <w:tcPr>
            <w:tcW w:w="0" w:type="auto"/>
          </w:tcPr>
          <w:p w:rsidR="00000000" w:rsidRDefault="00000000">
            <w:pPr>
              <w:spacing w:before="20"/>
              <w:jc w:val="right"/>
              <w:rPr>
                <w:rFonts w:cs="Arial"/>
                <w:sz w:val="18"/>
                <w:szCs w:val="22"/>
                <w:lang w:val="fr-FR"/>
              </w:rPr>
            </w:pPr>
            <w:r>
              <w:rPr>
                <w:rFonts w:cs="Arial"/>
                <w:sz w:val="18"/>
                <w:szCs w:val="22"/>
                <w:lang w:val="fr-FR"/>
              </w:rPr>
              <w:t>325</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4</w:t>
            </w:r>
          </w:p>
        </w:tc>
        <w:tc>
          <w:tcPr>
            <w:tcW w:w="516" w:type="pct"/>
          </w:tcPr>
          <w:p w:rsidR="00000000" w:rsidRDefault="00000000">
            <w:pPr>
              <w:spacing w:before="20"/>
              <w:jc w:val="right"/>
              <w:rPr>
                <w:rFonts w:cs="Arial"/>
                <w:sz w:val="18"/>
                <w:szCs w:val="22"/>
                <w:lang w:val="fr-FR"/>
              </w:rPr>
            </w:pPr>
            <w:r>
              <w:rPr>
                <w:rFonts w:cs="Arial"/>
                <w:sz w:val="18"/>
                <w:szCs w:val="22"/>
                <w:lang w:val="fr-FR"/>
              </w:rPr>
              <w:t>719</w:t>
            </w:r>
          </w:p>
        </w:tc>
        <w:tc>
          <w:tcPr>
            <w:tcW w:w="429" w:type="pct"/>
          </w:tcPr>
          <w:p w:rsidR="00000000" w:rsidRDefault="00000000">
            <w:pPr>
              <w:spacing w:before="20"/>
              <w:jc w:val="right"/>
              <w:rPr>
                <w:rFonts w:cs="Arial"/>
                <w:sz w:val="18"/>
                <w:szCs w:val="22"/>
                <w:lang w:val="fr-FR"/>
              </w:rPr>
            </w:pPr>
            <w:r>
              <w:rPr>
                <w:rFonts w:cs="Arial"/>
                <w:sz w:val="18"/>
                <w:szCs w:val="22"/>
                <w:lang w:val="fr-FR"/>
              </w:rPr>
              <w:t>411</w:t>
            </w:r>
          </w:p>
        </w:tc>
        <w:tc>
          <w:tcPr>
            <w:tcW w:w="422" w:type="pct"/>
          </w:tcPr>
          <w:p w:rsidR="00000000" w:rsidRDefault="00000000">
            <w:pPr>
              <w:spacing w:before="20"/>
              <w:jc w:val="right"/>
              <w:rPr>
                <w:rFonts w:cs="Arial"/>
                <w:sz w:val="18"/>
                <w:szCs w:val="22"/>
                <w:lang w:val="fr-FR"/>
              </w:rPr>
            </w:pPr>
            <w:r>
              <w:rPr>
                <w:rFonts w:cs="Arial"/>
                <w:sz w:val="18"/>
                <w:szCs w:val="22"/>
                <w:lang w:val="fr-FR"/>
              </w:rPr>
              <w:t>308</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0</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Табаско</w:t>
            </w:r>
          </w:p>
        </w:tc>
        <w:tc>
          <w:tcPr>
            <w:tcW w:w="0" w:type="auto"/>
          </w:tcPr>
          <w:p w:rsidR="00000000" w:rsidRDefault="00000000">
            <w:pPr>
              <w:spacing w:before="20"/>
              <w:jc w:val="right"/>
              <w:rPr>
                <w:rFonts w:cs="Arial"/>
                <w:sz w:val="18"/>
                <w:szCs w:val="22"/>
                <w:lang w:val="fr-FR"/>
              </w:rPr>
            </w:pPr>
            <w:r>
              <w:rPr>
                <w:rFonts w:cs="Arial"/>
                <w:sz w:val="18"/>
                <w:szCs w:val="22"/>
                <w:lang w:val="fr-FR"/>
              </w:rPr>
              <w:t>778</w:t>
            </w:r>
          </w:p>
        </w:tc>
        <w:tc>
          <w:tcPr>
            <w:tcW w:w="0" w:type="auto"/>
          </w:tcPr>
          <w:p w:rsidR="00000000" w:rsidRDefault="00000000">
            <w:pPr>
              <w:spacing w:before="20"/>
              <w:jc w:val="right"/>
              <w:rPr>
                <w:rFonts w:cs="Arial"/>
                <w:sz w:val="18"/>
                <w:szCs w:val="22"/>
                <w:lang w:val="fr-FR"/>
              </w:rPr>
            </w:pPr>
            <w:r>
              <w:rPr>
                <w:rFonts w:cs="Arial"/>
                <w:sz w:val="18"/>
                <w:szCs w:val="22"/>
                <w:lang w:val="fr-FR"/>
              </w:rPr>
              <w:t>435</w:t>
            </w:r>
          </w:p>
        </w:tc>
        <w:tc>
          <w:tcPr>
            <w:tcW w:w="0" w:type="auto"/>
          </w:tcPr>
          <w:p w:rsidR="00000000" w:rsidRDefault="00000000">
            <w:pPr>
              <w:spacing w:before="20"/>
              <w:jc w:val="right"/>
              <w:rPr>
                <w:rFonts w:cs="Arial"/>
                <w:sz w:val="18"/>
                <w:szCs w:val="22"/>
                <w:lang w:val="fr-FR"/>
              </w:rPr>
            </w:pPr>
            <w:r>
              <w:rPr>
                <w:rFonts w:cs="Arial"/>
                <w:sz w:val="18"/>
                <w:szCs w:val="22"/>
                <w:lang w:val="fr-FR"/>
              </w:rPr>
              <w:t>342</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1</w:t>
            </w:r>
          </w:p>
        </w:tc>
        <w:tc>
          <w:tcPr>
            <w:tcW w:w="516" w:type="pct"/>
          </w:tcPr>
          <w:p w:rsidR="00000000" w:rsidRDefault="00000000">
            <w:pPr>
              <w:spacing w:before="20"/>
              <w:jc w:val="right"/>
              <w:rPr>
                <w:rFonts w:cs="Arial"/>
                <w:sz w:val="18"/>
                <w:szCs w:val="22"/>
                <w:lang w:val="fr-FR"/>
              </w:rPr>
            </w:pPr>
            <w:r>
              <w:rPr>
                <w:rFonts w:cs="Arial"/>
                <w:sz w:val="18"/>
                <w:szCs w:val="22"/>
                <w:lang w:val="fr-FR"/>
              </w:rPr>
              <w:t>688</w:t>
            </w:r>
          </w:p>
        </w:tc>
        <w:tc>
          <w:tcPr>
            <w:tcW w:w="429" w:type="pct"/>
          </w:tcPr>
          <w:p w:rsidR="00000000" w:rsidRDefault="00000000">
            <w:pPr>
              <w:spacing w:before="20"/>
              <w:jc w:val="right"/>
              <w:rPr>
                <w:rFonts w:cs="Arial"/>
                <w:sz w:val="18"/>
                <w:szCs w:val="22"/>
                <w:lang w:val="fr-FR"/>
              </w:rPr>
            </w:pPr>
            <w:r>
              <w:rPr>
                <w:rFonts w:cs="Arial"/>
                <w:sz w:val="18"/>
                <w:szCs w:val="22"/>
                <w:lang w:val="fr-FR"/>
              </w:rPr>
              <w:t>379</w:t>
            </w:r>
          </w:p>
        </w:tc>
        <w:tc>
          <w:tcPr>
            <w:tcW w:w="422" w:type="pct"/>
          </w:tcPr>
          <w:p w:rsidR="00000000" w:rsidRDefault="00000000">
            <w:pPr>
              <w:spacing w:before="20"/>
              <w:jc w:val="right"/>
              <w:rPr>
                <w:rFonts w:cs="Arial"/>
                <w:sz w:val="18"/>
                <w:szCs w:val="22"/>
                <w:lang w:val="fr-FR"/>
              </w:rPr>
            </w:pPr>
            <w:r>
              <w:rPr>
                <w:rFonts w:cs="Arial"/>
                <w:sz w:val="18"/>
                <w:szCs w:val="22"/>
                <w:lang w:val="fr-FR"/>
              </w:rPr>
              <w:t>306</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3</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Тамаулипас</w:t>
            </w:r>
          </w:p>
        </w:tc>
        <w:tc>
          <w:tcPr>
            <w:tcW w:w="0" w:type="auto"/>
          </w:tcPr>
          <w:p w:rsidR="00000000" w:rsidRDefault="00000000">
            <w:pPr>
              <w:spacing w:before="20"/>
              <w:jc w:val="right"/>
              <w:rPr>
                <w:rFonts w:cs="Arial"/>
                <w:sz w:val="18"/>
                <w:szCs w:val="22"/>
                <w:lang w:val="fr-FR"/>
              </w:rPr>
            </w:pPr>
            <w:r>
              <w:rPr>
                <w:rFonts w:cs="Arial"/>
                <w:sz w:val="18"/>
                <w:szCs w:val="22"/>
                <w:lang w:val="fr-FR"/>
              </w:rPr>
              <w:t>603</w:t>
            </w:r>
          </w:p>
        </w:tc>
        <w:tc>
          <w:tcPr>
            <w:tcW w:w="0" w:type="auto"/>
          </w:tcPr>
          <w:p w:rsidR="00000000" w:rsidRDefault="00000000">
            <w:pPr>
              <w:spacing w:before="20"/>
              <w:jc w:val="right"/>
              <w:rPr>
                <w:rFonts w:cs="Arial"/>
                <w:sz w:val="18"/>
                <w:szCs w:val="22"/>
                <w:lang w:val="fr-FR"/>
              </w:rPr>
            </w:pPr>
            <w:r>
              <w:rPr>
                <w:rFonts w:cs="Arial"/>
                <w:sz w:val="18"/>
                <w:szCs w:val="22"/>
                <w:lang w:val="fr-FR"/>
              </w:rPr>
              <w:t>342</w:t>
            </w:r>
          </w:p>
        </w:tc>
        <w:tc>
          <w:tcPr>
            <w:tcW w:w="0" w:type="auto"/>
          </w:tcPr>
          <w:p w:rsidR="00000000" w:rsidRDefault="00000000">
            <w:pPr>
              <w:spacing w:before="20"/>
              <w:jc w:val="right"/>
              <w:rPr>
                <w:rFonts w:cs="Arial"/>
                <w:sz w:val="18"/>
                <w:szCs w:val="22"/>
                <w:lang w:val="fr-FR"/>
              </w:rPr>
            </w:pPr>
            <w:r>
              <w:rPr>
                <w:rFonts w:cs="Arial"/>
                <w:sz w:val="18"/>
                <w:szCs w:val="22"/>
                <w:lang w:val="fr-FR"/>
              </w:rPr>
              <w:t>257</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4</w:t>
            </w:r>
          </w:p>
        </w:tc>
        <w:tc>
          <w:tcPr>
            <w:tcW w:w="516" w:type="pct"/>
          </w:tcPr>
          <w:p w:rsidR="00000000" w:rsidRDefault="00000000">
            <w:pPr>
              <w:spacing w:before="20"/>
              <w:jc w:val="right"/>
              <w:rPr>
                <w:rFonts w:cs="Arial"/>
                <w:sz w:val="18"/>
                <w:szCs w:val="22"/>
                <w:lang w:val="fr-FR"/>
              </w:rPr>
            </w:pPr>
            <w:r>
              <w:rPr>
                <w:rFonts w:cs="Arial"/>
                <w:sz w:val="18"/>
                <w:szCs w:val="22"/>
                <w:lang w:val="fr-FR"/>
              </w:rPr>
              <w:t>558</w:t>
            </w:r>
          </w:p>
        </w:tc>
        <w:tc>
          <w:tcPr>
            <w:tcW w:w="429" w:type="pct"/>
          </w:tcPr>
          <w:p w:rsidR="00000000" w:rsidRDefault="00000000">
            <w:pPr>
              <w:spacing w:before="20"/>
              <w:jc w:val="right"/>
              <w:rPr>
                <w:rFonts w:cs="Arial"/>
                <w:sz w:val="18"/>
                <w:szCs w:val="22"/>
                <w:lang w:val="fr-FR"/>
              </w:rPr>
            </w:pPr>
            <w:r>
              <w:rPr>
                <w:rFonts w:cs="Arial"/>
                <w:sz w:val="18"/>
                <w:szCs w:val="22"/>
                <w:lang w:val="fr-FR"/>
              </w:rPr>
              <w:t>300</w:t>
            </w:r>
          </w:p>
        </w:tc>
        <w:tc>
          <w:tcPr>
            <w:tcW w:w="422" w:type="pct"/>
          </w:tcPr>
          <w:p w:rsidR="00000000" w:rsidRDefault="00000000">
            <w:pPr>
              <w:spacing w:before="20"/>
              <w:jc w:val="right"/>
              <w:rPr>
                <w:rFonts w:cs="Arial"/>
                <w:sz w:val="18"/>
                <w:szCs w:val="22"/>
                <w:lang w:val="fr-FR"/>
              </w:rPr>
            </w:pPr>
            <w:r>
              <w:rPr>
                <w:rFonts w:cs="Arial"/>
                <w:sz w:val="18"/>
                <w:szCs w:val="22"/>
                <w:lang w:val="fr-FR"/>
              </w:rPr>
              <w:t>255</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3</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Тласкала</w:t>
            </w:r>
          </w:p>
        </w:tc>
        <w:tc>
          <w:tcPr>
            <w:tcW w:w="0" w:type="auto"/>
          </w:tcPr>
          <w:p w:rsidR="00000000" w:rsidRDefault="00000000">
            <w:pPr>
              <w:spacing w:before="20"/>
              <w:jc w:val="right"/>
              <w:rPr>
                <w:rFonts w:cs="Arial"/>
                <w:sz w:val="18"/>
                <w:szCs w:val="22"/>
                <w:lang w:val="fr-FR"/>
              </w:rPr>
            </w:pPr>
            <w:r>
              <w:rPr>
                <w:rFonts w:cs="Arial"/>
                <w:sz w:val="18"/>
                <w:szCs w:val="22"/>
                <w:lang w:val="fr-FR"/>
              </w:rPr>
              <w:t>573</w:t>
            </w:r>
          </w:p>
        </w:tc>
        <w:tc>
          <w:tcPr>
            <w:tcW w:w="0" w:type="auto"/>
          </w:tcPr>
          <w:p w:rsidR="00000000" w:rsidRDefault="00000000">
            <w:pPr>
              <w:spacing w:before="20"/>
              <w:jc w:val="right"/>
              <w:rPr>
                <w:rFonts w:cs="Arial"/>
                <w:sz w:val="18"/>
                <w:szCs w:val="22"/>
                <w:lang w:val="fr-FR"/>
              </w:rPr>
            </w:pPr>
            <w:r>
              <w:rPr>
                <w:rFonts w:cs="Arial"/>
                <w:sz w:val="18"/>
                <w:szCs w:val="22"/>
                <w:lang w:val="fr-FR"/>
              </w:rPr>
              <w:t>328</w:t>
            </w:r>
          </w:p>
        </w:tc>
        <w:tc>
          <w:tcPr>
            <w:tcW w:w="0" w:type="auto"/>
          </w:tcPr>
          <w:p w:rsidR="00000000" w:rsidRDefault="00000000">
            <w:pPr>
              <w:spacing w:before="20"/>
              <w:jc w:val="right"/>
              <w:rPr>
                <w:rFonts w:cs="Arial"/>
                <w:sz w:val="18"/>
                <w:szCs w:val="22"/>
                <w:lang w:val="fr-FR"/>
              </w:rPr>
            </w:pPr>
            <w:r>
              <w:rPr>
                <w:rFonts w:cs="Arial"/>
                <w:sz w:val="18"/>
                <w:szCs w:val="22"/>
                <w:lang w:val="fr-FR"/>
              </w:rPr>
              <w:t>243</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2</w:t>
            </w:r>
          </w:p>
        </w:tc>
        <w:tc>
          <w:tcPr>
            <w:tcW w:w="516" w:type="pct"/>
          </w:tcPr>
          <w:p w:rsidR="00000000" w:rsidRDefault="00000000">
            <w:pPr>
              <w:spacing w:before="20"/>
              <w:jc w:val="right"/>
              <w:rPr>
                <w:rFonts w:cs="Arial"/>
                <w:sz w:val="18"/>
                <w:szCs w:val="22"/>
                <w:lang w:val="fr-FR"/>
              </w:rPr>
            </w:pPr>
            <w:r>
              <w:rPr>
                <w:rFonts w:cs="Arial"/>
                <w:sz w:val="18"/>
                <w:szCs w:val="22"/>
                <w:lang w:val="fr-FR"/>
              </w:rPr>
              <w:t>567</w:t>
            </w:r>
          </w:p>
        </w:tc>
        <w:tc>
          <w:tcPr>
            <w:tcW w:w="429" w:type="pct"/>
          </w:tcPr>
          <w:p w:rsidR="00000000" w:rsidRDefault="00000000">
            <w:pPr>
              <w:spacing w:before="20"/>
              <w:jc w:val="right"/>
              <w:rPr>
                <w:rFonts w:cs="Arial"/>
                <w:sz w:val="18"/>
                <w:szCs w:val="22"/>
                <w:lang w:val="fr-FR"/>
              </w:rPr>
            </w:pPr>
            <w:r>
              <w:rPr>
                <w:rFonts w:cs="Arial"/>
                <w:sz w:val="18"/>
                <w:szCs w:val="22"/>
                <w:lang w:val="fr-FR"/>
              </w:rPr>
              <w:t>325</w:t>
            </w:r>
          </w:p>
        </w:tc>
        <w:tc>
          <w:tcPr>
            <w:tcW w:w="422" w:type="pct"/>
          </w:tcPr>
          <w:p w:rsidR="00000000" w:rsidRDefault="00000000">
            <w:pPr>
              <w:spacing w:before="20"/>
              <w:jc w:val="right"/>
              <w:rPr>
                <w:rFonts w:cs="Arial"/>
                <w:sz w:val="18"/>
                <w:szCs w:val="22"/>
                <w:lang w:val="fr-FR"/>
              </w:rPr>
            </w:pPr>
            <w:r>
              <w:rPr>
                <w:rFonts w:cs="Arial"/>
                <w:sz w:val="18"/>
                <w:szCs w:val="22"/>
                <w:lang w:val="fr-FR"/>
              </w:rPr>
              <w:t>242</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0</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Веракрус-де-Игнасио-де-ла-Льяве</w:t>
            </w:r>
          </w:p>
        </w:tc>
        <w:tc>
          <w:tcPr>
            <w:tcW w:w="0" w:type="auto"/>
          </w:tcPr>
          <w:p w:rsidR="00000000" w:rsidRDefault="00000000">
            <w:pPr>
              <w:spacing w:before="20"/>
              <w:jc w:val="right"/>
              <w:rPr>
                <w:rFonts w:cs="Arial"/>
                <w:sz w:val="18"/>
                <w:szCs w:val="22"/>
                <w:lang w:val="fr-FR"/>
              </w:rPr>
            </w:pPr>
            <w:r>
              <w:rPr>
                <w:rFonts w:cs="Arial"/>
                <w:sz w:val="18"/>
                <w:szCs w:val="22"/>
                <w:lang w:val="fr-FR"/>
              </w:rPr>
              <w:t>2 103</w:t>
            </w:r>
          </w:p>
        </w:tc>
        <w:tc>
          <w:tcPr>
            <w:tcW w:w="0" w:type="auto"/>
          </w:tcPr>
          <w:p w:rsidR="00000000" w:rsidRDefault="00000000">
            <w:pPr>
              <w:spacing w:before="20"/>
              <w:jc w:val="right"/>
              <w:rPr>
                <w:rFonts w:cs="Arial"/>
                <w:sz w:val="18"/>
                <w:szCs w:val="22"/>
                <w:lang w:val="fr-FR"/>
              </w:rPr>
            </w:pPr>
            <w:r>
              <w:rPr>
                <w:rFonts w:cs="Arial"/>
                <w:sz w:val="18"/>
                <w:szCs w:val="22"/>
                <w:lang w:val="fr-FR"/>
              </w:rPr>
              <w:t>1 148</w:t>
            </w:r>
          </w:p>
        </w:tc>
        <w:tc>
          <w:tcPr>
            <w:tcW w:w="0" w:type="auto"/>
          </w:tcPr>
          <w:p w:rsidR="00000000" w:rsidRDefault="00000000">
            <w:pPr>
              <w:spacing w:before="20"/>
              <w:jc w:val="right"/>
              <w:rPr>
                <w:rFonts w:cs="Arial"/>
                <w:sz w:val="18"/>
                <w:szCs w:val="22"/>
                <w:lang w:val="fr-FR"/>
              </w:rPr>
            </w:pPr>
            <w:r>
              <w:rPr>
                <w:rFonts w:cs="Arial"/>
                <w:sz w:val="18"/>
                <w:szCs w:val="22"/>
                <w:lang w:val="fr-FR"/>
              </w:rPr>
              <w:t>954</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1</w:t>
            </w:r>
          </w:p>
        </w:tc>
        <w:tc>
          <w:tcPr>
            <w:tcW w:w="516" w:type="pct"/>
          </w:tcPr>
          <w:p w:rsidR="00000000" w:rsidRDefault="00000000">
            <w:pPr>
              <w:spacing w:before="20"/>
              <w:jc w:val="right"/>
              <w:rPr>
                <w:rFonts w:cs="Arial"/>
                <w:sz w:val="18"/>
                <w:szCs w:val="22"/>
                <w:lang w:val="fr-FR"/>
              </w:rPr>
            </w:pPr>
            <w:r>
              <w:rPr>
                <w:rFonts w:cs="Arial"/>
                <w:sz w:val="18"/>
                <w:szCs w:val="22"/>
                <w:lang w:val="fr-FR"/>
              </w:rPr>
              <w:t>2 196</w:t>
            </w:r>
          </w:p>
        </w:tc>
        <w:tc>
          <w:tcPr>
            <w:tcW w:w="429" w:type="pct"/>
          </w:tcPr>
          <w:p w:rsidR="00000000" w:rsidRDefault="00000000">
            <w:pPr>
              <w:spacing w:before="20"/>
              <w:jc w:val="right"/>
              <w:rPr>
                <w:rFonts w:cs="Arial"/>
                <w:sz w:val="18"/>
                <w:szCs w:val="22"/>
                <w:lang w:val="fr-FR"/>
              </w:rPr>
            </w:pPr>
            <w:r>
              <w:rPr>
                <w:rFonts w:cs="Arial"/>
                <w:sz w:val="18"/>
                <w:szCs w:val="22"/>
                <w:lang w:val="fr-FR"/>
              </w:rPr>
              <w:t>1 250</w:t>
            </w:r>
          </w:p>
        </w:tc>
        <w:tc>
          <w:tcPr>
            <w:tcW w:w="422" w:type="pct"/>
          </w:tcPr>
          <w:p w:rsidR="00000000" w:rsidRDefault="00000000">
            <w:pPr>
              <w:spacing w:before="20"/>
              <w:jc w:val="right"/>
              <w:rPr>
                <w:rFonts w:cs="Arial"/>
                <w:sz w:val="18"/>
                <w:szCs w:val="22"/>
                <w:lang w:val="fr-FR"/>
              </w:rPr>
            </w:pPr>
            <w:r>
              <w:rPr>
                <w:rFonts w:cs="Arial"/>
                <w:sz w:val="18"/>
                <w:szCs w:val="22"/>
                <w:lang w:val="fr-FR"/>
              </w:rPr>
              <w:t>945</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1</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Юкатан</w:t>
            </w:r>
          </w:p>
        </w:tc>
        <w:tc>
          <w:tcPr>
            <w:tcW w:w="0" w:type="auto"/>
          </w:tcPr>
          <w:p w:rsidR="00000000" w:rsidRDefault="00000000">
            <w:pPr>
              <w:spacing w:before="20"/>
              <w:jc w:val="right"/>
              <w:rPr>
                <w:rFonts w:cs="Arial"/>
                <w:sz w:val="18"/>
                <w:szCs w:val="22"/>
                <w:lang w:val="fr-FR"/>
              </w:rPr>
            </w:pPr>
            <w:r>
              <w:rPr>
                <w:rFonts w:cs="Arial"/>
                <w:sz w:val="18"/>
                <w:szCs w:val="22"/>
                <w:lang w:val="fr-FR"/>
              </w:rPr>
              <w:t>562</w:t>
            </w:r>
          </w:p>
        </w:tc>
        <w:tc>
          <w:tcPr>
            <w:tcW w:w="0" w:type="auto"/>
          </w:tcPr>
          <w:p w:rsidR="00000000" w:rsidRDefault="00000000">
            <w:pPr>
              <w:spacing w:before="20"/>
              <w:jc w:val="right"/>
              <w:rPr>
                <w:rFonts w:cs="Arial"/>
                <w:sz w:val="18"/>
                <w:szCs w:val="22"/>
                <w:lang w:val="fr-FR"/>
              </w:rPr>
            </w:pPr>
            <w:r>
              <w:rPr>
                <w:rFonts w:cs="Arial"/>
                <w:sz w:val="18"/>
                <w:szCs w:val="22"/>
                <w:lang w:val="fr-FR"/>
              </w:rPr>
              <w:t>296</w:t>
            </w:r>
          </w:p>
        </w:tc>
        <w:tc>
          <w:tcPr>
            <w:tcW w:w="0" w:type="auto"/>
          </w:tcPr>
          <w:p w:rsidR="00000000" w:rsidRDefault="00000000">
            <w:pPr>
              <w:spacing w:before="20"/>
              <w:jc w:val="right"/>
              <w:rPr>
                <w:rFonts w:cs="Arial"/>
                <w:sz w:val="18"/>
                <w:szCs w:val="22"/>
                <w:lang w:val="fr-FR"/>
              </w:rPr>
            </w:pPr>
            <w:r>
              <w:rPr>
                <w:rFonts w:cs="Arial"/>
                <w:sz w:val="18"/>
                <w:szCs w:val="22"/>
                <w:lang w:val="fr-FR"/>
              </w:rPr>
              <w:t>263</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3</w:t>
            </w:r>
          </w:p>
        </w:tc>
        <w:tc>
          <w:tcPr>
            <w:tcW w:w="516" w:type="pct"/>
          </w:tcPr>
          <w:p w:rsidR="00000000" w:rsidRDefault="00000000">
            <w:pPr>
              <w:spacing w:before="20"/>
              <w:jc w:val="right"/>
              <w:rPr>
                <w:rFonts w:cs="Arial"/>
                <w:sz w:val="18"/>
                <w:szCs w:val="22"/>
                <w:lang w:val="fr-FR"/>
              </w:rPr>
            </w:pPr>
            <w:r>
              <w:rPr>
                <w:rFonts w:cs="Arial"/>
                <w:sz w:val="18"/>
                <w:szCs w:val="22"/>
                <w:lang w:val="fr-FR"/>
              </w:rPr>
              <w:t>508</w:t>
            </w:r>
          </w:p>
        </w:tc>
        <w:tc>
          <w:tcPr>
            <w:tcW w:w="429" w:type="pct"/>
          </w:tcPr>
          <w:p w:rsidR="00000000" w:rsidRDefault="00000000">
            <w:pPr>
              <w:spacing w:before="20"/>
              <w:jc w:val="right"/>
              <w:rPr>
                <w:rFonts w:cs="Arial"/>
                <w:sz w:val="18"/>
                <w:szCs w:val="22"/>
                <w:lang w:val="fr-FR"/>
              </w:rPr>
            </w:pPr>
            <w:r>
              <w:rPr>
                <w:rFonts w:cs="Arial"/>
                <w:sz w:val="18"/>
                <w:szCs w:val="22"/>
                <w:lang w:val="fr-FR"/>
              </w:rPr>
              <w:t>284</w:t>
            </w:r>
          </w:p>
        </w:tc>
        <w:tc>
          <w:tcPr>
            <w:tcW w:w="422" w:type="pct"/>
          </w:tcPr>
          <w:p w:rsidR="00000000" w:rsidRDefault="00000000">
            <w:pPr>
              <w:spacing w:before="20"/>
              <w:jc w:val="right"/>
              <w:rPr>
                <w:rFonts w:cs="Arial"/>
                <w:sz w:val="18"/>
                <w:szCs w:val="22"/>
                <w:lang w:val="fr-FR"/>
              </w:rPr>
            </w:pPr>
            <w:r>
              <w:rPr>
                <w:rFonts w:cs="Arial"/>
                <w:sz w:val="18"/>
                <w:szCs w:val="22"/>
                <w:lang w:val="fr-FR"/>
              </w:rPr>
              <w:t>223</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1</w:t>
            </w:r>
          </w:p>
        </w:tc>
      </w:tr>
      <w:tr w:rsidR="00000000">
        <w:trPr>
          <w:gridAfter w:val="2"/>
          <w:wAfter w:w="21" w:type="pct"/>
          <w:jc w:val="center"/>
        </w:trPr>
        <w:tc>
          <w:tcPr>
            <w:tcW w:w="0" w:type="auto"/>
          </w:tcPr>
          <w:p w:rsidR="00000000" w:rsidRDefault="00000000">
            <w:pPr>
              <w:spacing w:before="20"/>
              <w:rPr>
                <w:rFonts w:cs="Arial"/>
                <w:sz w:val="18"/>
                <w:szCs w:val="22"/>
              </w:rPr>
            </w:pPr>
            <w:r>
              <w:rPr>
                <w:rFonts w:cs="Arial"/>
                <w:sz w:val="18"/>
                <w:szCs w:val="22"/>
              </w:rPr>
              <w:t>Сакатекас</w:t>
            </w:r>
          </w:p>
        </w:tc>
        <w:tc>
          <w:tcPr>
            <w:tcW w:w="0" w:type="auto"/>
          </w:tcPr>
          <w:p w:rsidR="00000000" w:rsidRDefault="00000000">
            <w:pPr>
              <w:spacing w:before="20"/>
              <w:jc w:val="right"/>
              <w:rPr>
                <w:rFonts w:cs="Arial"/>
                <w:sz w:val="18"/>
                <w:szCs w:val="22"/>
                <w:lang w:val="fr-FR"/>
              </w:rPr>
            </w:pPr>
            <w:r>
              <w:rPr>
                <w:rFonts w:cs="Arial"/>
                <w:sz w:val="18"/>
                <w:szCs w:val="22"/>
                <w:lang w:val="fr-FR"/>
              </w:rPr>
              <w:t>437</w:t>
            </w:r>
          </w:p>
        </w:tc>
        <w:tc>
          <w:tcPr>
            <w:tcW w:w="0" w:type="auto"/>
          </w:tcPr>
          <w:p w:rsidR="00000000" w:rsidRDefault="00000000">
            <w:pPr>
              <w:spacing w:before="20"/>
              <w:jc w:val="right"/>
              <w:rPr>
                <w:rFonts w:cs="Arial"/>
                <w:sz w:val="18"/>
                <w:szCs w:val="22"/>
                <w:lang w:val="fr-FR"/>
              </w:rPr>
            </w:pPr>
            <w:r>
              <w:rPr>
                <w:rFonts w:cs="Arial"/>
                <w:sz w:val="18"/>
                <w:szCs w:val="22"/>
                <w:lang w:val="fr-FR"/>
              </w:rPr>
              <w:t>244</w:t>
            </w:r>
          </w:p>
        </w:tc>
        <w:tc>
          <w:tcPr>
            <w:tcW w:w="0" w:type="auto"/>
          </w:tcPr>
          <w:p w:rsidR="00000000" w:rsidRDefault="00000000">
            <w:pPr>
              <w:spacing w:before="20"/>
              <w:jc w:val="right"/>
              <w:rPr>
                <w:rFonts w:cs="Arial"/>
                <w:sz w:val="18"/>
                <w:szCs w:val="22"/>
                <w:lang w:val="fr-FR"/>
              </w:rPr>
            </w:pPr>
            <w:r>
              <w:rPr>
                <w:rFonts w:cs="Arial"/>
                <w:sz w:val="18"/>
                <w:szCs w:val="22"/>
                <w:lang w:val="fr-FR"/>
              </w:rPr>
              <w:t>190</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3</w:t>
            </w:r>
          </w:p>
        </w:tc>
        <w:tc>
          <w:tcPr>
            <w:tcW w:w="516" w:type="pct"/>
          </w:tcPr>
          <w:p w:rsidR="00000000" w:rsidRDefault="00000000">
            <w:pPr>
              <w:spacing w:before="20"/>
              <w:jc w:val="right"/>
              <w:rPr>
                <w:rFonts w:cs="Arial"/>
                <w:sz w:val="18"/>
                <w:szCs w:val="22"/>
                <w:lang w:val="fr-FR"/>
              </w:rPr>
            </w:pPr>
            <w:r>
              <w:rPr>
                <w:rFonts w:cs="Arial"/>
                <w:sz w:val="18"/>
                <w:szCs w:val="22"/>
                <w:lang w:val="fr-FR"/>
              </w:rPr>
              <w:t>508</w:t>
            </w:r>
          </w:p>
        </w:tc>
        <w:tc>
          <w:tcPr>
            <w:tcW w:w="429" w:type="pct"/>
          </w:tcPr>
          <w:p w:rsidR="00000000" w:rsidRDefault="00000000">
            <w:pPr>
              <w:spacing w:before="20"/>
              <w:jc w:val="right"/>
              <w:rPr>
                <w:rFonts w:cs="Arial"/>
                <w:sz w:val="18"/>
                <w:szCs w:val="22"/>
                <w:lang w:val="fr-FR"/>
              </w:rPr>
            </w:pPr>
            <w:r>
              <w:rPr>
                <w:rFonts w:cs="Arial"/>
                <w:sz w:val="18"/>
                <w:szCs w:val="22"/>
                <w:lang w:val="fr-FR"/>
              </w:rPr>
              <w:t>259</w:t>
            </w:r>
          </w:p>
        </w:tc>
        <w:tc>
          <w:tcPr>
            <w:tcW w:w="422" w:type="pct"/>
          </w:tcPr>
          <w:p w:rsidR="00000000" w:rsidRDefault="00000000">
            <w:pPr>
              <w:spacing w:before="20"/>
              <w:jc w:val="right"/>
              <w:rPr>
                <w:rFonts w:cs="Arial"/>
                <w:sz w:val="18"/>
                <w:szCs w:val="22"/>
                <w:lang w:val="fr-FR"/>
              </w:rPr>
            </w:pPr>
            <w:r>
              <w:rPr>
                <w:rFonts w:cs="Arial"/>
                <w:sz w:val="18"/>
                <w:szCs w:val="22"/>
                <w:lang w:val="fr-FR"/>
              </w:rPr>
              <w:t>239</w:t>
            </w:r>
          </w:p>
        </w:tc>
        <w:tc>
          <w:tcPr>
            <w:tcW w:w="519" w:type="pct"/>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10</w:t>
            </w:r>
          </w:p>
        </w:tc>
      </w:tr>
      <w:tr w:rsidR="00000000">
        <w:trPr>
          <w:gridAfter w:val="2"/>
          <w:wAfter w:w="21" w:type="pct"/>
          <w:jc w:val="center"/>
        </w:trPr>
        <w:tc>
          <w:tcPr>
            <w:tcW w:w="0" w:type="auto"/>
            <w:tcBorders>
              <w:bottom w:val="single" w:sz="4" w:space="0" w:color="auto"/>
            </w:tcBorders>
          </w:tcPr>
          <w:p w:rsidR="00000000" w:rsidRDefault="00000000">
            <w:pPr>
              <w:spacing w:before="20"/>
              <w:rPr>
                <w:rFonts w:cs="Arial"/>
                <w:sz w:val="18"/>
                <w:szCs w:val="22"/>
              </w:rPr>
            </w:pPr>
            <w:r>
              <w:rPr>
                <w:rFonts w:cs="Arial"/>
                <w:sz w:val="18"/>
                <w:szCs w:val="22"/>
              </w:rPr>
              <w:t>За рубежом</w:t>
            </w:r>
          </w:p>
        </w:tc>
        <w:tc>
          <w:tcPr>
            <w:tcW w:w="0" w:type="auto"/>
            <w:tcBorders>
              <w:bottom w:val="single" w:sz="4" w:space="0" w:color="auto"/>
            </w:tcBorders>
          </w:tcPr>
          <w:p w:rsidR="00000000" w:rsidRDefault="00000000">
            <w:pPr>
              <w:spacing w:before="20"/>
              <w:jc w:val="right"/>
              <w:rPr>
                <w:rFonts w:cs="Arial"/>
                <w:sz w:val="18"/>
                <w:szCs w:val="22"/>
                <w:lang w:val="fr-FR"/>
              </w:rPr>
            </w:pPr>
            <w:r>
              <w:rPr>
                <w:rFonts w:cs="Arial"/>
                <w:sz w:val="18"/>
                <w:szCs w:val="22"/>
                <w:lang w:val="fr-FR"/>
              </w:rPr>
              <w:t>22</w:t>
            </w:r>
          </w:p>
        </w:tc>
        <w:tc>
          <w:tcPr>
            <w:tcW w:w="0" w:type="auto"/>
            <w:tcBorders>
              <w:bottom w:val="single" w:sz="4" w:space="0" w:color="auto"/>
            </w:tcBorders>
          </w:tcPr>
          <w:p w:rsidR="00000000" w:rsidRDefault="00000000">
            <w:pPr>
              <w:spacing w:before="20"/>
              <w:jc w:val="right"/>
              <w:rPr>
                <w:rFonts w:cs="Arial"/>
                <w:sz w:val="18"/>
                <w:szCs w:val="22"/>
                <w:lang w:val="fr-FR"/>
              </w:rPr>
            </w:pPr>
            <w:r>
              <w:rPr>
                <w:rFonts w:cs="Arial"/>
                <w:sz w:val="18"/>
                <w:szCs w:val="22"/>
                <w:lang w:val="fr-FR"/>
              </w:rPr>
              <w:t>13</w:t>
            </w:r>
          </w:p>
        </w:tc>
        <w:tc>
          <w:tcPr>
            <w:tcW w:w="0" w:type="auto"/>
            <w:tcBorders>
              <w:bottom w:val="single" w:sz="4" w:space="0" w:color="auto"/>
            </w:tcBorders>
          </w:tcPr>
          <w:p w:rsidR="00000000" w:rsidRDefault="00000000">
            <w:pPr>
              <w:spacing w:before="20"/>
              <w:jc w:val="right"/>
              <w:rPr>
                <w:rFonts w:cs="Arial"/>
                <w:sz w:val="18"/>
                <w:szCs w:val="22"/>
                <w:lang w:val="fr-FR"/>
              </w:rPr>
            </w:pPr>
            <w:r>
              <w:rPr>
                <w:rFonts w:cs="Arial"/>
                <w:sz w:val="18"/>
                <w:szCs w:val="22"/>
                <w:lang w:val="fr-FR"/>
              </w:rPr>
              <w:t>9</w:t>
            </w:r>
          </w:p>
        </w:tc>
        <w:tc>
          <w:tcPr>
            <w:tcW w:w="0" w:type="auto"/>
            <w:tcBorders>
              <w:bottom w:val="single" w:sz="4" w:space="0" w:color="auto"/>
            </w:tcBorders>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516" w:type="pct"/>
            <w:tcBorders>
              <w:bottom w:val="single" w:sz="4" w:space="0" w:color="auto"/>
            </w:tcBorders>
          </w:tcPr>
          <w:p w:rsidR="00000000" w:rsidRDefault="00000000">
            <w:pPr>
              <w:spacing w:before="20"/>
              <w:jc w:val="right"/>
              <w:rPr>
                <w:rFonts w:cs="Arial"/>
                <w:sz w:val="18"/>
                <w:szCs w:val="22"/>
                <w:lang w:val="fr-FR"/>
              </w:rPr>
            </w:pPr>
            <w:r>
              <w:rPr>
                <w:rFonts w:cs="Arial"/>
                <w:sz w:val="18"/>
                <w:szCs w:val="22"/>
                <w:lang w:val="fr-FR"/>
              </w:rPr>
              <w:t>21</w:t>
            </w:r>
          </w:p>
        </w:tc>
        <w:tc>
          <w:tcPr>
            <w:tcW w:w="429" w:type="pct"/>
            <w:tcBorders>
              <w:bottom w:val="single" w:sz="4" w:space="0" w:color="auto"/>
            </w:tcBorders>
          </w:tcPr>
          <w:p w:rsidR="00000000" w:rsidRDefault="00000000">
            <w:pPr>
              <w:spacing w:before="20"/>
              <w:jc w:val="right"/>
              <w:rPr>
                <w:rFonts w:cs="Arial"/>
                <w:sz w:val="18"/>
                <w:szCs w:val="22"/>
                <w:lang w:val="fr-FR"/>
              </w:rPr>
            </w:pPr>
            <w:r>
              <w:rPr>
                <w:rFonts w:cs="Arial"/>
                <w:sz w:val="18"/>
                <w:szCs w:val="22"/>
                <w:lang w:val="fr-FR"/>
              </w:rPr>
              <w:t>14</w:t>
            </w:r>
          </w:p>
        </w:tc>
        <w:tc>
          <w:tcPr>
            <w:tcW w:w="422" w:type="pct"/>
            <w:tcBorders>
              <w:bottom w:val="single" w:sz="4" w:space="0" w:color="auto"/>
            </w:tcBorders>
          </w:tcPr>
          <w:p w:rsidR="00000000" w:rsidRDefault="00000000">
            <w:pPr>
              <w:spacing w:before="20"/>
              <w:jc w:val="right"/>
              <w:rPr>
                <w:rFonts w:cs="Arial"/>
                <w:sz w:val="18"/>
                <w:szCs w:val="22"/>
                <w:lang w:val="fr-FR"/>
              </w:rPr>
            </w:pPr>
            <w:r>
              <w:rPr>
                <w:rFonts w:cs="Arial"/>
                <w:sz w:val="18"/>
                <w:szCs w:val="22"/>
                <w:lang w:val="fr-FR"/>
              </w:rPr>
              <w:t>7</w:t>
            </w:r>
          </w:p>
        </w:tc>
        <w:tc>
          <w:tcPr>
            <w:tcW w:w="519" w:type="pct"/>
            <w:tcBorders>
              <w:bottom w:val="single" w:sz="4" w:space="0" w:color="auto"/>
            </w:tcBorders>
            <w:tcMar>
              <w:right w:w="284" w:type="dxa"/>
            </w:tcMar>
          </w:tcPr>
          <w:p w:rsidR="00000000" w:rsidRDefault="00000000">
            <w:pPr>
              <w:tabs>
                <w:tab w:val="clear" w:pos="567"/>
                <w:tab w:val="clear" w:pos="1134"/>
              </w:tabs>
              <w:spacing w:before="20"/>
              <w:jc w:val="right"/>
              <w:rPr>
                <w:rFonts w:cs="Arial"/>
                <w:sz w:val="18"/>
                <w:szCs w:val="22"/>
                <w:lang w:val="fr-FR"/>
              </w:rPr>
            </w:pPr>
            <w:r>
              <w:rPr>
                <w:rFonts w:cs="Arial"/>
                <w:sz w:val="18"/>
                <w:szCs w:val="22"/>
                <w:lang w:val="fr-FR"/>
              </w:rPr>
              <w:t>0</w:t>
            </w:r>
          </w:p>
        </w:tc>
      </w:tr>
    </w:tbl>
    <w:p w:rsidR="00000000" w:rsidRDefault="00000000">
      <w:pPr>
        <w:spacing w:line="240" w:lineRule="auto"/>
        <w:rPr>
          <w:i/>
          <w:iCs/>
        </w:rPr>
      </w:pPr>
    </w:p>
    <w:p w:rsidR="00000000" w:rsidRDefault="00000000">
      <w:pPr>
        <w:spacing w:line="240" w:lineRule="auto"/>
        <w:rPr>
          <w:i/>
          <w:iCs/>
          <w:sz w:val="18"/>
        </w:rPr>
      </w:pPr>
      <w:r>
        <w:rPr>
          <w:i/>
          <w:iCs/>
          <w:sz w:val="18"/>
        </w:rPr>
        <w:t xml:space="preserve">Источник:  </w:t>
      </w:r>
      <w:r>
        <w:rPr>
          <w:sz w:val="18"/>
        </w:rPr>
        <w:t>НИСГИ,</w:t>
      </w:r>
      <w:r>
        <w:rPr>
          <w:i/>
          <w:iCs/>
          <w:sz w:val="18"/>
        </w:rPr>
        <w:t xml:space="preserve"> </w:t>
      </w:r>
      <w:r>
        <w:rPr>
          <w:sz w:val="18"/>
        </w:rPr>
        <w:t>"Статистика смертности"</w:t>
      </w:r>
      <w:r>
        <w:rPr>
          <w:i/>
          <w:iCs/>
          <w:sz w:val="18"/>
        </w:rPr>
        <w:t>.</w:t>
      </w:r>
    </w:p>
    <w:p w:rsidR="00000000" w:rsidRDefault="00000000">
      <w:pPr>
        <w:spacing w:line="240" w:lineRule="auto"/>
        <w:rPr>
          <w:i/>
          <w:iCs/>
        </w:rPr>
      </w:pPr>
    </w:p>
    <w:p w:rsidR="00000000" w:rsidRDefault="00000000">
      <w:pPr>
        <w:jc w:val="center"/>
        <w:rPr>
          <w:b/>
          <w:bCs/>
        </w:rPr>
      </w:pPr>
    </w:p>
    <w:tbl>
      <w:tblPr>
        <w:tblW w:w="4975" w:type="pct"/>
        <w:jc w:val="center"/>
        <w:tblCellMar>
          <w:left w:w="0" w:type="dxa"/>
          <w:right w:w="0" w:type="dxa"/>
        </w:tblCellMar>
        <w:tblLook w:val="00A0" w:firstRow="1" w:lastRow="0" w:firstColumn="1" w:lastColumn="0" w:noHBand="0" w:noVBand="0"/>
      </w:tblPr>
      <w:tblGrid>
        <w:gridCol w:w="2830"/>
        <w:gridCol w:w="612"/>
        <w:gridCol w:w="800"/>
        <w:gridCol w:w="880"/>
        <w:gridCol w:w="966"/>
        <w:gridCol w:w="498"/>
        <w:gridCol w:w="893"/>
        <w:gridCol w:w="880"/>
        <w:gridCol w:w="964"/>
      </w:tblGrid>
      <w:tr w:rsidR="00000000">
        <w:trPr>
          <w:cantSplit/>
          <w:tblHeader/>
          <w:jc w:val="center"/>
        </w:trPr>
        <w:tc>
          <w:tcPr>
            <w:tcW w:w="5000" w:type="pct"/>
            <w:gridSpan w:val="9"/>
            <w:vAlign w:val="center"/>
          </w:tcPr>
          <w:p w:rsidR="00000000" w:rsidRDefault="00000000">
            <w:pPr>
              <w:spacing w:before="20"/>
              <w:jc w:val="center"/>
              <w:rPr>
                <w:b/>
                <w:bCs/>
              </w:rPr>
            </w:pPr>
            <w:r>
              <w:rPr>
                <w:b/>
                <w:bCs/>
              </w:rPr>
              <w:t>Смертность в возрасте 1-4 года с разбивкой по субъектам федерации, в которых обычно проживал умерший, и по полу, 2001-2002 годы</w:t>
            </w:r>
          </w:p>
          <w:p w:rsidR="00000000" w:rsidRDefault="00000000">
            <w:pPr>
              <w:spacing w:before="20"/>
              <w:jc w:val="center"/>
              <w:rPr>
                <w:rFonts w:cs="Arial"/>
                <w:i/>
                <w:iCs/>
                <w:sz w:val="18"/>
                <w:szCs w:val="22"/>
              </w:rPr>
            </w:pPr>
          </w:p>
        </w:tc>
      </w:tr>
      <w:tr w:rsidR="00000000">
        <w:trPr>
          <w:cantSplit/>
          <w:tblHeader/>
          <w:jc w:val="center"/>
        </w:trPr>
        <w:tc>
          <w:tcPr>
            <w:tcW w:w="1518" w:type="pct"/>
            <w:vMerge w:val="restart"/>
            <w:tcBorders>
              <w:top w:val="single" w:sz="4" w:space="0" w:color="auto"/>
            </w:tcBorders>
            <w:vAlign w:val="center"/>
          </w:tcPr>
          <w:p w:rsidR="00000000" w:rsidRDefault="00000000">
            <w:pPr>
              <w:spacing w:before="20"/>
              <w:rPr>
                <w:rFonts w:cs="Arial"/>
                <w:i/>
                <w:iCs/>
                <w:sz w:val="18"/>
                <w:szCs w:val="22"/>
              </w:rPr>
            </w:pPr>
            <w:r>
              <w:rPr>
                <w:rFonts w:cs="Arial"/>
                <w:i/>
                <w:iCs/>
                <w:sz w:val="18"/>
                <w:szCs w:val="22"/>
              </w:rPr>
              <w:t>Субъект федерации</w:t>
            </w:r>
          </w:p>
        </w:tc>
        <w:tc>
          <w:tcPr>
            <w:tcW w:w="0" w:type="auto"/>
            <w:gridSpan w:val="4"/>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2001 год</w:t>
            </w:r>
          </w:p>
        </w:tc>
        <w:tc>
          <w:tcPr>
            <w:tcW w:w="0" w:type="auto"/>
            <w:gridSpan w:val="4"/>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2002 год</w:t>
            </w:r>
          </w:p>
        </w:tc>
      </w:tr>
      <w:tr w:rsidR="00000000">
        <w:trPr>
          <w:cantSplit/>
          <w:tblHeader/>
          <w:jc w:val="center"/>
        </w:trPr>
        <w:tc>
          <w:tcPr>
            <w:tcW w:w="1518" w:type="pct"/>
            <w:vMerge/>
            <w:tcBorders>
              <w:bottom w:val="single" w:sz="4" w:space="0" w:color="auto"/>
            </w:tcBorders>
            <w:vAlign w:val="center"/>
          </w:tcPr>
          <w:p w:rsidR="00000000" w:rsidRDefault="00000000">
            <w:pPr>
              <w:spacing w:before="20"/>
              <w:rPr>
                <w:rFonts w:cs="Arial"/>
                <w:sz w:val="18"/>
                <w:szCs w:val="22"/>
                <w:lang w:val="en-US"/>
              </w:rPr>
            </w:pPr>
          </w:p>
        </w:tc>
        <w:tc>
          <w:tcPr>
            <w:tcW w:w="328" w:type="pct"/>
            <w:tcBorders>
              <w:top w:val="single" w:sz="4" w:space="0" w:color="auto"/>
              <w:bottom w:val="single" w:sz="4" w:space="0" w:color="auto"/>
            </w:tcBorders>
            <w:vAlign w:val="center"/>
          </w:tcPr>
          <w:p w:rsidR="00000000" w:rsidRDefault="00000000">
            <w:pPr>
              <w:spacing w:before="20"/>
              <w:jc w:val="right"/>
              <w:rPr>
                <w:rFonts w:cs="Arial"/>
                <w:i/>
                <w:iCs/>
                <w:sz w:val="18"/>
                <w:szCs w:val="22"/>
              </w:rPr>
            </w:pPr>
            <w:r>
              <w:rPr>
                <w:rFonts w:cs="Arial"/>
                <w:i/>
                <w:iCs/>
                <w:sz w:val="18"/>
                <w:szCs w:val="22"/>
              </w:rPr>
              <w:t>Всего</w:t>
            </w:r>
          </w:p>
        </w:tc>
        <w:tc>
          <w:tcPr>
            <w:tcW w:w="429" w:type="pct"/>
            <w:tcBorders>
              <w:top w:val="single" w:sz="4" w:space="0" w:color="auto"/>
              <w:bottom w:val="single" w:sz="4" w:space="0" w:color="auto"/>
            </w:tcBorders>
            <w:vAlign w:val="center"/>
          </w:tcPr>
          <w:p w:rsidR="00000000" w:rsidRDefault="00000000">
            <w:pPr>
              <w:spacing w:before="20"/>
              <w:jc w:val="right"/>
              <w:rPr>
                <w:rFonts w:cs="Arial"/>
                <w:i/>
                <w:iCs/>
                <w:sz w:val="18"/>
                <w:szCs w:val="22"/>
              </w:rPr>
            </w:pPr>
            <w:r>
              <w:rPr>
                <w:rFonts w:cs="Arial"/>
                <w:i/>
                <w:iCs/>
                <w:sz w:val="18"/>
                <w:szCs w:val="22"/>
              </w:rPr>
              <w:t>Мужчины</w:t>
            </w:r>
          </w:p>
        </w:tc>
        <w:tc>
          <w:tcPr>
            <w:tcW w:w="0" w:type="auto"/>
            <w:tcBorders>
              <w:top w:val="single" w:sz="4" w:space="0" w:color="auto"/>
              <w:bottom w:val="single" w:sz="4" w:space="0" w:color="auto"/>
            </w:tcBorders>
            <w:vAlign w:val="center"/>
          </w:tcPr>
          <w:p w:rsidR="00000000" w:rsidRDefault="00000000">
            <w:pPr>
              <w:spacing w:before="20"/>
              <w:jc w:val="right"/>
              <w:rPr>
                <w:rFonts w:cs="Arial"/>
                <w:i/>
                <w:iCs/>
                <w:sz w:val="18"/>
                <w:szCs w:val="22"/>
              </w:rPr>
            </w:pPr>
            <w:r>
              <w:rPr>
                <w:rFonts w:cs="Arial"/>
                <w:i/>
                <w:iCs/>
                <w:sz w:val="18"/>
                <w:szCs w:val="22"/>
              </w:rPr>
              <w:t>Женщины</w:t>
            </w:r>
          </w:p>
        </w:tc>
        <w:tc>
          <w:tcPr>
            <w:tcW w:w="0" w:type="auto"/>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Не указано</w:t>
            </w:r>
          </w:p>
        </w:tc>
        <w:tc>
          <w:tcPr>
            <w:tcW w:w="0" w:type="auto"/>
            <w:tcBorders>
              <w:top w:val="single" w:sz="4" w:space="0" w:color="auto"/>
              <w:bottom w:val="single" w:sz="4" w:space="0" w:color="auto"/>
            </w:tcBorders>
            <w:vAlign w:val="center"/>
          </w:tcPr>
          <w:p w:rsidR="00000000" w:rsidRDefault="00000000">
            <w:pPr>
              <w:spacing w:before="20"/>
              <w:jc w:val="right"/>
              <w:rPr>
                <w:rFonts w:cs="Arial"/>
                <w:i/>
                <w:iCs/>
                <w:sz w:val="18"/>
                <w:szCs w:val="22"/>
              </w:rPr>
            </w:pPr>
            <w:r>
              <w:rPr>
                <w:rFonts w:cs="Arial"/>
                <w:i/>
                <w:iCs/>
                <w:sz w:val="18"/>
                <w:szCs w:val="22"/>
              </w:rPr>
              <w:t>Всего</w:t>
            </w:r>
          </w:p>
        </w:tc>
        <w:tc>
          <w:tcPr>
            <w:tcW w:w="0" w:type="auto"/>
            <w:tcBorders>
              <w:top w:val="single" w:sz="4" w:space="0" w:color="auto"/>
              <w:bottom w:val="single" w:sz="4" w:space="0" w:color="auto"/>
            </w:tcBorders>
            <w:vAlign w:val="center"/>
          </w:tcPr>
          <w:p w:rsidR="00000000" w:rsidRDefault="00000000">
            <w:pPr>
              <w:spacing w:before="20"/>
              <w:jc w:val="right"/>
              <w:rPr>
                <w:rFonts w:cs="Arial"/>
                <w:i/>
                <w:iCs/>
                <w:sz w:val="18"/>
                <w:szCs w:val="22"/>
              </w:rPr>
            </w:pPr>
            <w:r>
              <w:rPr>
                <w:rFonts w:cs="Arial"/>
                <w:i/>
                <w:iCs/>
                <w:sz w:val="18"/>
                <w:szCs w:val="22"/>
              </w:rPr>
              <w:t>Мужчины</w:t>
            </w:r>
          </w:p>
        </w:tc>
        <w:tc>
          <w:tcPr>
            <w:tcW w:w="0" w:type="auto"/>
            <w:tcBorders>
              <w:top w:val="single" w:sz="4" w:space="0" w:color="auto"/>
              <w:bottom w:val="single" w:sz="4" w:space="0" w:color="auto"/>
            </w:tcBorders>
            <w:vAlign w:val="center"/>
          </w:tcPr>
          <w:p w:rsidR="00000000" w:rsidRDefault="00000000">
            <w:pPr>
              <w:spacing w:before="20"/>
              <w:jc w:val="right"/>
              <w:rPr>
                <w:rFonts w:cs="Arial"/>
                <w:i/>
                <w:iCs/>
                <w:sz w:val="18"/>
                <w:szCs w:val="22"/>
              </w:rPr>
            </w:pPr>
            <w:r>
              <w:rPr>
                <w:rFonts w:cs="Arial"/>
                <w:i/>
                <w:iCs/>
                <w:sz w:val="18"/>
                <w:szCs w:val="22"/>
              </w:rPr>
              <w:t xml:space="preserve">Женщины </w:t>
            </w:r>
          </w:p>
        </w:tc>
        <w:tc>
          <w:tcPr>
            <w:tcW w:w="0" w:type="auto"/>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Не указано</w:t>
            </w:r>
          </w:p>
        </w:tc>
      </w:tr>
      <w:tr w:rsidR="00000000">
        <w:trPr>
          <w:jc w:val="center"/>
        </w:trPr>
        <w:tc>
          <w:tcPr>
            <w:tcW w:w="1518" w:type="pct"/>
            <w:tcBorders>
              <w:top w:val="single" w:sz="4" w:space="0" w:color="auto"/>
            </w:tcBorders>
          </w:tcPr>
          <w:p w:rsidR="00000000" w:rsidRDefault="00000000">
            <w:pPr>
              <w:spacing w:before="20"/>
              <w:rPr>
                <w:rFonts w:cs="Arial"/>
                <w:sz w:val="18"/>
                <w:szCs w:val="22"/>
                <w:lang w:val="en-US"/>
              </w:rPr>
            </w:pPr>
            <w:r>
              <w:rPr>
                <w:rFonts w:cs="Arial"/>
                <w:sz w:val="18"/>
                <w:szCs w:val="22"/>
              </w:rPr>
              <w:t>Всего</w:t>
            </w:r>
          </w:p>
        </w:tc>
        <w:tc>
          <w:tcPr>
            <w:tcW w:w="328" w:type="pct"/>
            <w:tcBorders>
              <w:top w:val="single" w:sz="4" w:space="0" w:color="auto"/>
            </w:tcBorders>
          </w:tcPr>
          <w:p w:rsidR="00000000" w:rsidRDefault="00000000">
            <w:pPr>
              <w:spacing w:before="20"/>
              <w:jc w:val="right"/>
              <w:rPr>
                <w:rFonts w:cs="Arial"/>
                <w:sz w:val="18"/>
                <w:szCs w:val="22"/>
                <w:lang w:val="fr-FR"/>
              </w:rPr>
            </w:pPr>
            <w:r>
              <w:rPr>
                <w:rFonts w:cs="Arial"/>
                <w:sz w:val="18"/>
                <w:szCs w:val="22"/>
                <w:lang w:val="fr-FR"/>
              </w:rPr>
              <w:t>6 620</w:t>
            </w:r>
          </w:p>
        </w:tc>
        <w:tc>
          <w:tcPr>
            <w:tcW w:w="429" w:type="pct"/>
            <w:tcBorders>
              <w:top w:val="single" w:sz="4" w:space="0" w:color="auto"/>
            </w:tcBorders>
          </w:tcPr>
          <w:p w:rsidR="00000000" w:rsidRDefault="00000000">
            <w:pPr>
              <w:spacing w:before="20"/>
              <w:jc w:val="right"/>
              <w:rPr>
                <w:rFonts w:cs="Arial"/>
                <w:sz w:val="18"/>
                <w:szCs w:val="22"/>
                <w:lang w:val="fr-FR"/>
              </w:rPr>
            </w:pPr>
            <w:r>
              <w:rPr>
                <w:rFonts w:cs="Arial"/>
                <w:sz w:val="18"/>
                <w:szCs w:val="22"/>
                <w:lang w:val="fr-FR"/>
              </w:rPr>
              <w:t>3 613</w:t>
            </w:r>
          </w:p>
        </w:tc>
        <w:tc>
          <w:tcPr>
            <w:tcW w:w="0" w:type="auto"/>
            <w:tcBorders>
              <w:top w:val="single" w:sz="4" w:space="0" w:color="auto"/>
            </w:tcBorders>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2 996</w:t>
            </w:r>
          </w:p>
        </w:tc>
        <w:tc>
          <w:tcPr>
            <w:tcW w:w="0" w:type="auto"/>
            <w:tcBorders>
              <w:top w:val="single" w:sz="4" w:space="0" w:color="auto"/>
            </w:tcBorders>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11</w:t>
            </w:r>
          </w:p>
        </w:tc>
        <w:tc>
          <w:tcPr>
            <w:tcW w:w="0" w:type="auto"/>
            <w:tcBorders>
              <w:top w:val="single" w:sz="4" w:space="0" w:color="auto"/>
            </w:tcBorders>
          </w:tcPr>
          <w:p w:rsidR="00000000" w:rsidRDefault="00000000">
            <w:pPr>
              <w:spacing w:before="20"/>
              <w:jc w:val="right"/>
              <w:rPr>
                <w:rFonts w:cs="Arial"/>
                <w:sz w:val="18"/>
                <w:szCs w:val="22"/>
                <w:lang w:val="fr-FR"/>
              </w:rPr>
            </w:pPr>
            <w:r>
              <w:rPr>
                <w:rFonts w:cs="Arial"/>
                <w:sz w:val="18"/>
                <w:szCs w:val="22"/>
                <w:lang w:val="fr-FR"/>
              </w:rPr>
              <w:t>6 831</w:t>
            </w:r>
          </w:p>
        </w:tc>
        <w:tc>
          <w:tcPr>
            <w:tcW w:w="0" w:type="auto"/>
            <w:tcBorders>
              <w:top w:val="single" w:sz="4" w:space="0" w:color="auto"/>
            </w:tcBorders>
          </w:tcPr>
          <w:p w:rsidR="00000000" w:rsidRDefault="00000000">
            <w:pPr>
              <w:spacing w:before="20"/>
              <w:jc w:val="right"/>
              <w:rPr>
                <w:rFonts w:cs="Arial"/>
                <w:sz w:val="18"/>
                <w:szCs w:val="22"/>
                <w:lang w:val="fr-FR"/>
              </w:rPr>
            </w:pPr>
            <w:r>
              <w:rPr>
                <w:rFonts w:cs="Arial"/>
                <w:sz w:val="18"/>
                <w:szCs w:val="22"/>
                <w:lang w:val="fr-FR"/>
              </w:rPr>
              <w:t>3 758</w:t>
            </w:r>
          </w:p>
        </w:tc>
        <w:tc>
          <w:tcPr>
            <w:tcW w:w="0" w:type="auto"/>
            <w:tcBorders>
              <w:top w:val="single" w:sz="4" w:space="0" w:color="auto"/>
            </w:tcBorders>
          </w:tcPr>
          <w:p w:rsidR="00000000" w:rsidRDefault="00000000">
            <w:pPr>
              <w:spacing w:before="20"/>
              <w:jc w:val="right"/>
              <w:rPr>
                <w:rFonts w:cs="Arial"/>
                <w:sz w:val="18"/>
                <w:szCs w:val="22"/>
                <w:lang w:val="fr-FR"/>
              </w:rPr>
            </w:pPr>
            <w:r>
              <w:rPr>
                <w:rFonts w:cs="Arial"/>
                <w:sz w:val="18"/>
                <w:szCs w:val="22"/>
                <w:lang w:val="fr-FR"/>
              </w:rPr>
              <w:t>3 067</w:t>
            </w:r>
          </w:p>
        </w:tc>
        <w:tc>
          <w:tcPr>
            <w:tcW w:w="0" w:type="auto"/>
            <w:tcBorders>
              <w:top w:val="single" w:sz="4" w:space="0" w:color="auto"/>
            </w:tcBorders>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6</w:t>
            </w:r>
          </w:p>
        </w:tc>
      </w:tr>
      <w:tr w:rsidR="00000000">
        <w:trPr>
          <w:jc w:val="center"/>
        </w:trPr>
        <w:tc>
          <w:tcPr>
            <w:tcW w:w="1518" w:type="pct"/>
          </w:tcPr>
          <w:p w:rsidR="00000000" w:rsidRDefault="00000000">
            <w:pPr>
              <w:spacing w:before="20"/>
              <w:rPr>
                <w:rFonts w:cs="Arial"/>
                <w:sz w:val="18"/>
                <w:szCs w:val="22"/>
              </w:rPr>
            </w:pPr>
            <w:r>
              <w:rPr>
                <w:rFonts w:cs="Arial"/>
                <w:sz w:val="18"/>
                <w:szCs w:val="22"/>
              </w:rPr>
              <w:t>Агуаскальентес</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58</w:t>
            </w:r>
          </w:p>
        </w:tc>
        <w:tc>
          <w:tcPr>
            <w:tcW w:w="429" w:type="pct"/>
          </w:tcPr>
          <w:p w:rsidR="00000000" w:rsidRDefault="00000000">
            <w:pPr>
              <w:spacing w:before="20"/>
              <w:jc w:val="right"/>
              <w:rPr>
                <w:rFonts w:cs="Arial"/>
                <w:sz w:val="18"/>
                <w:szCs w:val="22"/>
                <w:lang w:val="fr-FR"/>
              </w:rPr>
            </w:pPr>
            <w:r>
              <w:rPr>
                <w:rFonts w:cs="Arial"/>
                <w:sz w:val="18"/>
                <w:szCs w:val="22"/>
                <w:lang w:val="fr-FR"/>
              </w:rPr>
              <w:t>36</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22</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79</w:t>
            </w:r>
          </w:p>
        </w:tc>
        <w:tc>
          <w:tcPr>
            <w:tcW w:w="0" w:type="auto"/>
          </w:tcPr>
          <w:p w:rsidR="00000000" w:rsidRDefault="00000000">
            <w:pPr>
              <w:spacing w:before="20"/>
              <w:jc w:val="right"/>
              <w:rPr>
                <w:rFonts w:cs="Arial"/>
                <w:sz w:val="18"/>
                <w:szCs w:val="22"/>
                <w:lang w:val="fr-FR"/>
              </w:rPr>
            </w:pPr>
            <w:r>
              <w:rPr>
                <w:rFonts w:cs="Arial"/>
                <w:sz w:val="18"/>
                <w:szCs w:val="22"/>
                <w:lang w:val="fr-FR"/>
              </w:rPr>
              <w:t>42</w:t>
            </w:r>
          </w:p>
        </w:tc>
        <w:tc>
          <w:tcPr>
            <w:tcW w:w="0" w:type="auto"/>
          </w:tcPr>
          <w:p w:rsidR="00000000" w:rsidRDefault="00000000">
            <w:pPr>
              <w:spacing w:before="20"/>
              <w:jc w:val="right"/>
              <w:rPr>
                <w:rFonts w:cs="Arial"/>
                <w:sz w:val="18"/>
                <w:szCs w:val="22"/>
                <w:lang w:val="fr-FR"/>
              </w:rPr>
            </w:pPr>
            <w:r>
              <w:rPr>
                <w:rFonts w:cs="Arial"/>
                <w:sz w:val="18"/>
                <w:szCs w:val="22"/>
                <w:lang w:val="fr-FR"/>
              </w:rPr>
              <w:t>37</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Нижняя Калифорния</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162</w:t>
            </w:r>
          </w:p>
        </w:tc>
        <w:tc>
          <w:tcPr>
            <w:tcW w:w="429" w:type="pct"/>
          </w:tcPr>
          <w:p w:rsidR="00000000" w:rsidRDefault="00000000">
            <w:pPr>
              <w:spacing w:before="20"/>
              <w:jc w:val="right"/>
              <w:rPr>
                <w:rFonts w:cs="Arial"/>
                <w:sz w:val="18"/>
                <w:szCs w:val="22"/>
                <w:lang w:val="fr-FR"/>
              </w:rPr>
            </w:pPr>
            <w:r>
              <w:rPr>
                <w:rFonts w:cs="Arial"/>
                <w:sz w:val="18"/>
                <w:szCs w:val="22"/>
                <w:lang w:val="fr-FR"/>
              </w:rPr>
              <w:t>85</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77</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158</w:t>
            </w:r>
          </w:p>
        </w:tc>
        <w:tc>
          <w:tcPr>
            <w:tcW w:w="0" w:type="auto"/>
          </w:tcPr>
          <w:p w:rsidR="00000000" w:rsidRDefault="00000000">
            <w:pPr>
              <w:spacing w:before="20"/>
              <w:jc w:val="right"/>
              <w:rPr>
                <w:rFonts w:cs="Arial"/>
                <w:sz w:val="18"/>
                <w:szCs w:val="22"/>
                <w:lang w:val="fr-FR"/>
              </w:rPr>
            </w:pPr>
            <w:r>
              <w:rPr>
                <w:rFonts w:cs="Arial"/>
                <w:sz w:val="18"/>
                <w:szCs w:val="22"/>
                <w:lang w:val="fr-FR"/>
              </w:rPr>
              <w:t>95</w:t>
            </w:r>
          </w:p>
        </w:tc>
        <w:tc>
          <w:tcPr>
            <w:tcW w:w="0" w:type="auto"/>
          </w:tcPr>
          <w:p w:rsidR="00000000" w:rsidRDefault="00000000">
            <w:pPr>
              <w:spacing w:before="20"/>
              <w:jc w:val="right"/>
              <w:rPr>
                <w:rFonts w:cs="Arial"/>
                <w:sz w:val="18"/>
                <w:szCs w:val="22"/>
                <w:lang w:val="fr-FR"/>
              </w:rPr>
            </w:pPr>
            <w:r>
              <w:rPr>
                <w:rFonts w:cs="Arial"/>
                <w:sz w:val="18"/>
                <w:szCs w:val="22"/>
                <w:lang w:val="fr-FR"/>
              </w:rPr>
              <w:t>63</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Южная Нижняя Калифорния</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34</w:t>
            </w:r>
          </w:p>
        </w:tc>
        <w:tc>
          <w:tcPr>
            <w:tcW w:w="429" w:type="pct"/>
          </w:tcPr>
          <w:p w:rsidR="00000000" w:rsidRDefault="00000000">
            <w:pPr>
              <w:spacing w:before="20"/>
              <w:jc w:val="right"/>
              <w:rPr>
                <w:rFonts w:cs="Arial"/>
                <w:sz w:val="18"/>
                <w:szCs w:val="22"/>
                <w:lang w:val="fr-FR"/>
              </w:rPr>
            </w:pPr>
            <w:r>
              <w:rPr>
                <w:rFonts w:cs="Arial"/>
                <w:sz w:val="18"/>
                <w:szCs w:val="22"/>
                <w:lang w:val="fr-FR"/>
              </w:rPr>
              <w:t>24</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10</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28</w:t>
            </w:r>
          </w:p>
        </w:tc>
        <w:tc>
          <w:tcPr>
            <w:tcW w:w="0" w:type="auto"/>
          </w:tcPr>
          <w:p w:rsidR="00000000" w:rsidRDefault="00000000">
            <w:pPr>
              <w:spacing w:before="20"/>
              <w:jc w:val="right"/>
              <w:rPr>
                <w:rFonts w:cs="Arial"/>
                <w:sz w:val="18"/>
                <w:szCs w:val="22"/>
                <w:lang w:val="fr-FR"/>
              </w:rPr>
            </w:pPr>
            <w:r>
              <w:rPr>
                <w:rFonts w:cs="Arial"/>
                <w:sz w:val="18"/>
                <w:szCs w:val="22"/>
                <w:lang w:val="fr-FR"/>
              </w:rPr>
              <w:t>14</w:t>
            </w:r>
          </w:p>
        </w:tc>
        <w:tc>
          <w:tcPr>
            <w:tcW w:w="0" w:type="auto"/>
          </w:tcPr>
          <w:p w:rsidR="00000000" w:rsidRDefault="00000000">
            <w:pPr>
              <w:spacing w:before="20"/>
              <w:jc w:val="right"/>
              <w:rPr>
                <w:rFonts w:cs="Arial"/>
                <w:sz w:val="18"/>
                <w:szCs w:val="22"/>
                <w:lang w:val="fr-FR"/>
              </w:rPr>
            </w:pPr>
            <w:r>
              <w:rPr>
                <w:rFonts w:cs="Arial"/>
                <w:sz w:val="18"/>
                <w:szCs w:val="22"/>
                <w:lang w:val="fr-FR"/>
              </w:rPr>
              <w:t>14</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Кампече</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31</w:t>
            </w:r>
          </w:p>
        </w:tc>
        <w:tc>
          <w:tcPr>
            <w:tcW w:w="429" w:type="pct"/>
          </w:tcPr>
          <w:p w:rsidR="00000000" w:rsidRDefault="00000000">
            <w:pPr>
              <w:spacing w:before="20"/>
              <w:jc w:val="right"/>
              <w:rPr>
                <w:rFonts w:cs="Arial"/>
                <w:sz w:val="18"/>
                <w:szCs w:val="22"/>
                <w:lang w:val="fr-FR"/>
              </w:rPr>
            </w:pPr>
            <w:r>
              <w:rPr>
                <w:rFonts w:cs="Arial"/>
                <w:sz w:val="18"/>
                <w:szCs w:val="22"/>
                <w:lang w:val="fr-FR"/>
              </w:rPr>
              <w:t>17</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14</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30</w:t>
            </w:r>
          </w:p>
        </w:tc>
        <w:tc>
          <w:tcPr>
            <w:tcW w:w="0" w:type="auto"/>
          </w:tcPr>
          <w:p w:rsidR="00000000" w:rsidRDefault="00000000">
            <w:pPr>
              <w:spacing w:before="20"/>
              <w:jc w:val="right"/>
              <w:rPr>
                <w:rFonts w:cs="Arial"/>
                <w:sz w:val="18"/>
                <w:szCs w:val="22"/>
                <w:lang w:val="fr-FR"/>
              </w:rPr>
            </w:pPr>
            <w:r>
              <w:rPr>
                <w:rFonts w:cs="Arial"/>
                <w:sz w:val="18"/>
                <w:szCs w:val="22"/>
                <w:lang w:val="fr-FR"/>
              </w:rPr>
              <w:t>16</w:t>
            </w:r>
          </w:p>
        </w:tc>
        <w:tc>
          <w:tcPr>
            <w:tcW w:w="0" w:type="auto"/>
          </w:tcPr>
          <w:p w:rsidR="00000000" w:rsidRDefault="00000000">
            <w:pPr>
              <w:spacing w:before="20"/>
              <w:jc w:val="right"/>
              <w:rPr>
                <w:rFonts w:cs="Arial"/>
                <w:sz w:val="18"/>
                <w:szCs w:val="22"/>
                <w:lang w:val="fr-FR"/>
              </w:rPr>
            </w:pPr>
            <w:r>
              <w:rPr>
                <w:rFonts w:cs="Arial"/>
                <w:sz w:val="18"/>
                <w:szCs w:val="22"/>
                <w:lang w:val="fr-FR"/>
              </w:rPr>
              <w:t>14</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Коауила-де-Сарагоса</w:t>
            </w:r>
          </w:p>
        </w:tc>
        <w:tc>
          <w:tcPr>
            <w:tcW w:w="328" w:type="pct"/>
          </w:tcPr>
          <w:p w:rsidR="00000000" w:rsidRDefault="00000000">
            <w:pPr>
              <w:spacing w:before="20"/>
              <w:ind w:left="57"/>
              <w:jc w:val="right"/>
              <w:rPr>
                <w:rFonts w:cs="Arial"/>
                <w:sz w:val="18"/>
                <w:szCs w:val="22"/>
              </w:rPr>
            </w:pPr>
            <w:r>
              <w:rPr>
                <w:rFonts w:cs="Arial"/>
                <w:sz w:val="18"/>
                <w:szCs w:val="22"/>
              </w:rPr>
              <w:t>95</w:t>
            </w:r>
          </w:p>
        </w:tc>
        <w:tc>
          <w:tcPr>
            <w:tcW w:w="429" w:type="pct"/>
          </w:tcPr>
          <w:p w:rsidR="00000000" w:rsidRDefault="00000000">
            <w:pPr>
              <w:spacing w:before="20"/>
              <w:jc w:val="right"/>
              <w:rPr>
                <w:rFonts w:cs="Arial"/>
                <w:sz w:val="18"/>
                <w:szCs w:val="22"/>
                <w:lang w:val="fr-FR"/>
              </w:rPr>
            </w:pPr>
            <w:r>
              <w:rPr>
                <w:rFonts w:cs="Arial"/>
                <w:sz w:val="18"/>
                <w:szCs w:val="22"/>
                <w:lang w:val="fr-FR"/>
              </w:rPr>
              <w:t>51</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44</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98</w:t>
            </w:r>
          </w:p>
        </w:tc>
        <w:tc>
          <w:tcPr>
            <w:tcW w:w="0" w:type="auto"/>
          </w:tcPr>
          <w:p w:rsidR="00000000" w:rsidRDefault="00000000">
            <w:pPr>
              <w:spacing w:before="20"/>
              <w:jc w:val="right"/>
              <w:rPr>
                <w:rFonts w:cs="Arial"/>
                <w:sz w:val="18"/>
                <w:szCs w:val="22"/>
                <w:lang w:val="fr-FR"/>
              </w:rPr>
            </w:pPr>
            <w:r>
              <w:rPr>
                <w:rFonts w:cs="Arial"/>
                <w:sz w:val="18"/>
                <w:szCs w:val="22"/>
                <w:lang w:val="fr-FR"/>
              </w:rPr>
              <w:t>57</w:t>
            </w:r>
          </w:p>
        </w:tc>
        <w:tc>
          <w:tcPr>
            <w:tcW w:w="0" w:type="auto"/>
          </w:tcPr>
          <w:p w:rsidR="00000000" w:rsidRDefault="00000000">
            <w:pPr>
              <w:spacing w:before="20"/>
              <w:jc w:val="right"/>
              <w:rPr>
                <w:rFonts w:cs="Arial"/>
                <w:sz w:val="18"/>
                <w:szCs w:val="22"/>
                <w:lang w:val="fr-FR"/>
              </w:rPr>
            </w:pPr>
            <w:r>
              <w:rPr>
                <w:rFonts w:cs="Arial"/>
                <w:sz w:val="18"/>
                <w:szCs w:val="22"/>
                <w:lang w:val="fr-FR"/>
              </w:rPr>
              <w:t>41</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Колима</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32</w:t>
            </w:r>
          </w:p>
        </w:tc>
        <w:tc>
          <w:tcPr>
            <w:tcW w:w="429" w:type="pct"/>
          </w:tcPr>
          <w:p w:rsidR="00000000" w:rsidRDefault="00000000">
            <w:pPr>
              <w:spacing w:before="20"/>
              <w:jc w:val="right"/>
              <w:rPr>
                <w:rFonts w:cs="Arial"/>
                <w:sz w:val="18"/>
                <w:szCs w:val="22"/>
                <w:lang w:val="fr-FR"/>
              </w:rPr>
            </w:pPr>
            <w:r>
              <w:rPr>
                <w:rFonts w:cs="Arial"/>
                <w:sz w:val="18"/>
                <w:szCs w:val="22"/>
                <w:lang w:val="fr-FR"/>
              </w:rPr>
              <w:t>13</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19</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35</w:t>
            </w:r>
          </w:p>
        </w:tc>
        <w:tc>
          <w:tcPr>
            <w:tcW w:w="0" w:type="auto"/>
          </w:tcPr>
          <w:p w:rsidR="00000000" w:rsidRDefault="00000000">
            <w:pPr>
              <w:spacing w:before="20"/>
              <w:jc w:val="right"/>
              <w:rPr>
                <w:rFonts w:cs="Arial"/>
                <w:sz w:val="18"/>
                <w:szCs w:val="22"/>
                <w:lang w:val="fr-FR"/>
              </w:rPr>
            </w:pPr>
            <w:r>
              <w:rPr>
                <w:rFonts w:cs="Arial"/>
                <w:sz w:val="18"/>
                <w:szCs w:val="22"/>
                <w:lang w:val="fr-FR"/>
              </w:rPr>
              <w:t>23</w:t>
            </w:r>
          </w:p>
        </w:tc>
        <w:tc>
          <w:tcPr>
            <w:tcW w:w="0" w:type="auto"/>
          </w:tcPr>
          <w:p w:rsidR="00000000" w:rsidRDefault="00000000">
            <w:pPr>
              <w:spacing w:before="20"/>
              <w:jc w:val="right"/>
              <w:rPr>
                <w:rFonts w:cs="Arial"/>
                <w:sz w:val="18"/>
                <w:szCs w:val="22"/>
                <w:lang w:val="fr-FR"/>
              </w:rPr>
            </w:pPr>
            <w:r>
              <w:rPr>
                <w:rFonts w:cs="Arial"/>
                <w:sz w:val="18"/>
                <w:szCs w:val="22"/>
                <w:lang w:val="fr-FR"/>
              </w:rPr>
              <w:t>12</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Чаяпас</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466</w:t>
            </w:r>
          </w:p>
        </w:tc>
        <w:tc>
          <w:tcPr>
            <w:tcW w:w="429" w:type="pct"/>
          </w:tcPr>
          <w:p w:rsidR="00000000" w:rsidRDefault="00000000">
            <w:pPr>
              <w:spacing w:before="20"/>
              <w:jc w:val="right"/>
              <w:rPr>
                <w:rFonts w:cs="Arial"/>
                <w:sz w:val="18"/>
                <w:szCs w:val="22"/>
                <w:lang w:val="fr-FR"/>
              </w:rPr>
            </w:pPr>
            <w:r>
              <w:rPr>
                <w:rFonts w:cs="Arial"/>
                <w:sz w:val="18"/>
                <w:szCs w:val="22"/>
                <w:lang w:val="fr-FR"/>
              </w:rPr>
              <w:t>242</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222</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2</w:t>
            </w:r>
          </w:p>
        </w:tc>
        <w:tc>
          <w:tcPr>
            <w:tcW w:w="0" w:type="auto"/>
          </w:tcPr>
          <w:p w:rsidR="00000000" w:rsidRDefault="00000000">
            <w:pPr>
              <w:spacing w:before="20"/>
              <w:jc w:val="right"/>
              <w:rPr>
                <w:rFonts w:cs="Arial"/>
                <w:sz w:val="18"/>
                <w:szCs w:val="22"/>
                <w:lang w:val="fr-FR"/>
              </w:rPr>
            </w:pPr>
            <w:r>
              <w:rPr>
                <w:rFonts w:cs="Arial"/>
                <w:sz w:val="18"/>
                <w:szCs w:val="22"/>
                <w:lang w:val="fr-FR"/>
              </w:rPr>
              <w:t>495</w:t>
            </w:r>
          </w:p>
        </w:tc>
        <w:tc>
          <w:tcPr>
            <w:tcW w:w="0" w:type="auto"/>
          </w:tcPr>
          <w:p w:rsidR="00000000" w:rsidRDefault="00000000">
            <w:pPr>
              <w:spacing w:before="20"/>
              <w:jc w:val="right"/>
              <w:rPr>
                <w:rFonts w:cs="Arial"/>
                <w:sz w:val="18"/>
                <w:szCs w:val="22"/>
                <w:lang w:val="fr-FR"/>
              </w:rPr>
            </w:pPr>
            <w:r>
              <w:rPr>
                <w:rFonts w:cs="Arial"/>
                <w:sz w:val="18"/>
                <w:szCs w:val="22"/>
                <w:lang w:val="fr-FR"/>
              </w:rPr>
              <w:t>265</w:t>
            </w:r>
          </w:p>
        </w:tc>
        <w:tc>
          <w:tcPr>
            <w:tcW w:w="0" w:type="auto"/>
          </w:tcPr>
          <w:p w:rsidR="00000000" w:rsidRDefault="00000000">
            <w:pPr>
              <w:spacing w:before="20"/>
              <w:jc w:val="right"/>
              <w:rPr>
                <w:rFonts w:cs="Arial"/>
                <w:sz w:val="18"/>
                <w:szCs w:val="22"/>
                <w:lang w:val="fr-FR"/>
              </w:rPr>
            </w:pPr>
            <w:r>
              <w:rPr>
                <w:rFonts w:cs="Arial"/>
                <w:sz w:val="18"/>
                <w:szCs w:val="22"/>
                <w:lang w:val="fr-FR"/>
              </w:rPr>
              <w:t>227</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3</w:t>
            </w:r>
          </w:p>
        </w:tc>
      </w:tr>
      <w:tr w:rsidR="00000000">
        <w:trPr>
          <w:jc w:val="center"/>
        </w:trPr>
        <w:tc>
          <w:tcPr>
            <w:tcW w:w="1518" w:type="pct"/>
          </w:tcPr>
          <w:p w:rsidR="00000000" w:rsidRDefault="00000000">
            <w:pPr>
              <w:spacing w:before="20"/>
              <w:rPr>
                <w:rFonts w:cs="Arial"/>
                <w:sz w:val="18"/>
                <w:szCs w:val="22"/>
              </w:rPr>
            </w:pPr>
            <w:r>
              <w:rPr>
                <w:rFonts w:cs="Arial"/>
                <w:sz w:val="18"/>
                <w:szCs w:val="22"/>
              </w:rPr>
              <w:t>Чуауа</w:t>
            </w:r>
          </w:p>
        </w:tc>
        <w:tc>
          <w:tcPr>
            <w:tcW w:w="328" w:type="pct"/>
          </w:tcPr>
          <w:p w:rsidR="00000000" w:rsidRDefault="00000000">
            <w:pPr>
              <w:spacing w:before="20"/>
              <w:ind w:left="57"/>
              <w:jc w:val="right"/>
              <w:rPr>
                <w:rFonts w:cs="Arial"/>
                <w:sz w:val="18"/>
                <w:szCs w:val="22"/>
              </w:rPr>
            </w:pPr>
            <w:r>
              <w:rPr>
                <w:rFonts w:cs="Arial"/>
                <w:sz w:val="18"/>
                <w:szCs w:val="22"/>
              </w:rPr>
              <w:t>229</w:t>
            </w:r>
          </w:p>
        </w:tc>
        <w:tc>
          <w:tcPr>
            <w:tcW w:w="429" w:type="pct"/>
          </w:tcPr>
          <w:p w:rsidR="00000000" w:rsidRDefault="00000000">
            <w:pPr>
              <w:spacing w:before="20"/>
              <w:jc w:val="right"/>
              <w:rPr>
                <w:rFonts w:cs="Arial"/>
                <w:sz w:val="18"/>
                <w:szCs w:val="22"/>
              </w:rPr>
            </w:pPr>
            <w:r>
              <w:rPr>
                <w:rFonts w:cs="Arial"/>
                <w:sz w:val="18"/>
                <w:szCs w:val="22"/>
              </w:rPr>
              <w:t>126</w:t>
            </w:r>
          </w:p>
        </w:tc>
        <w:tc>
          <w:tcPr>
            <w:tcW w:w="0" w:type="auto"/>
            <w:tcMar>
              <w:right w:w="227" w:type="dxa"/>
            </w:tcMar>
          </w:tcPr>
          <w:p w:rsidR="00000000" w:rsidRDefault="00000000">
            <w:pPr>
              <w:tabs>
                <w:tab w:val="clear" w:pos="567"/>
              </w:tabs>
              <w:spacing w:before="20"/>
              <w:jc w:val="right"/>
              <w:rPr>
                <w:rFonts w:cs="Arial"/>
                <w:sz w:val="18"/>
                <w:szCs w:val="22"/>
              </w:rPr>
            </w:pPr>
            <w:r>
              <w:rPr>
                <w:rFonts w:cs="Arial"/>
                <w:sz w:val="18"/>
                <w:szCs w:val="22"/>
              </w:rPr>
              <w:t>103</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c>
          <w:tcPr>
            <w:tcW w:w="0" w:type="auto"/>
          </w:tcPr>
          <w:p w:rsidR="00000000" w:rsidRDefault="00000000">
            <w:pPr>
              <w:spacing w:before="20"/>
              <w:jc w:val="right"/>
              <w:rPr>
                <w:rFonts w:cs="Arial"/>
                <w:sz w:val="18"/>
                <w:szCs w:val="22"/>
              </w:rPr>
            </w:pPr>
            <w:r>
              <w:rPr>
                <w:rFonts w:cs="Arial"/>
                <w:sz w:val="18"/>
                <w:szCs w:val="22"/>
              </w:rPr>
              <w:t>189</w:t>
            </w:r>
          </w:p>
        </w:tc>
        <w:tc>
          <w:tcPr>
            <w:tcW w:w="0" w:type="auto"/>
          </w:tcPr>
          <w:p w:rsidR="00000000" w:rsidRDefault="00000000">
            <w:pPr>
              <w:spacing w:before="20"/>
              <w:jc w:val="right"/>
              <w:rPr>
                <w:rFonts w:cs="Arial"/>
                <w:sz w:val="18"/>
                <w:szCs w:val="22"/>
              </w:rPr>
            </w:pPr>
            <w:r>
              <w:rPr>
                <w:rFonts w:cs="Arial"/>
                <w:sz w:val="18"/>
                <w:szCs w:val="22"/>
              </w:rPr>
              <w:t>105</w:t>
            </w:r>
          </w:p>
        </w:tc>
        <w:tc>
          <w:tcPr>
            <w:tcW w:w="0" w:type="auto"/>
          </w:tcPr>
          <w:p w:rsidR="00000000" w:rsidRDefault="00000000">
            <w:pPr>
              <w:spacing w:before="20"/>
              <w:jc w:val="right"/>
              <w:rPr>
                <w:rFonts w:cs="Arial"/>
                <w:sz w:val="18"/>
                <w:szCs w:val="22"/>
              </w:rPr>
            </w:pPr>
            <w:r>
              <w:rPr>
                <w:rFonts w:cs="Arial"/>
                <w:sz w:val="18"/>
                <w:szCs w:val="22"/>
              </w:rPr>
              <w:t>82</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2</w:t>
            </w:r>
          </w:p>
        </w:tc>
      </w:tr>
      <w:tr w:rsidR="00000000">
        <w:trPr>
          <w:jc w:val="center"/>
        </w:trPr>
        <w:tc>
          <w:tcPr>
            <w:tcW w:w="1518" w:type="pct"/>
            <w:tcBorders>
              <w:bottom w:val="single" w:sz="4" w:space="0" w:color="auto"/>
            </w:tcBorders>
          </w:tcPr>
          <w:p w:rsidR="00000000" w:rsidRDefault="00000000">
            <w:pPr>
              <w:spacing w:before="20"/>
              <w:rPr>
                <w:rFonts w:cs="Arial"/>
                <w:sz w:val="18"/>
                <w:szCs w:val="22"/>
              </w:rPr>
            </w:pPr>
            <w:r>
              <w:rPr>
                <w:rFonts w:cs="Arial"/>
                <w:sz w:val="18"/>
                <w:szCs w:val="22"/>
              </w:rPr>
              <w:t>Федеральный округ</w:t>
            </w:r>
          </w:p>
        </w:tc>
        <w:tc>
          <w:tcPr>
            <w:tcW w:w="328" w:type="pct"/>
            <w:tcBorders>
              <w:bottom w:val="single" w:sz="4" w:space="0" w:color="auto"/>
            </w:tcBorders>
          </w:tcPr>
          <w:p w:rsidR="00000000" w:rsidRDefault="00000000">
            <w:pPr>
              <w:spacing w:before="20"/>
              <w:ind w:left="57"/>
              <w:jc w:val="right"/>
              <w:rPr>
                <w:rFonts w:cs="Arial"/>
                <w:sz w:val="18"/>
                <w:szCs w:val="22"/>
                <w:lang w:val="en-US"/>
              </w:rPr>
            </w:pPr>
            <w:r>
              <w:rPr>
                <w:rFonts w:cs="Arial"/>
                <w:sz w:val="18"/>
                <w:szCs w:val="22"/>
                <w:lang w:val="en-US"/>
              </w:rPr>
              <w:t>384</w:t>
            </w:r>
          </w:p>
        </w:tc>
        <w:tc>
          <w:tcPr>
            <w:tcW w:w="429" w:type="pct"/>
            <w:tcBorders>
              <w:bottom w:val="single" w:sz="4" w:space="0" w:color="auto"/>
            </w:tcBorders>
          </w:tcPr>
          <w:p w:rsidR="00000000" w:rsidRDefault="00000000">
            <w:pPr>
              <w:spacing w:before="20"/>
              <w:jc w:val="right"/>
              <w:rPr>
                <w:rFonts w:cs="Arial"/>
                <w:sz w:val="18"/>
                <w:szCs w:val="22"/>
                <w:lang w:val="en-US"/>
              </w:rPr>
            </w:pPr>
            <w:r>
              <w:rPr>
                <w:rFonts w:cs="Arial"/>
                <w:sz w:val="18"/>
                <w:szCs w:val="22"/>
                <w:lang w:val="en-US"/>
              </w:rPr>
              <w:t>196</w:t>
            </w:r>
          </w:p>
        </w:tc>
        <w:tc>
          <w:tcPr>
            <w:tcW w:w="0" w:type="auto"/>
            <w:tcBorders>
              <w:bottom w:val="single" w:sz="4" w:space="0" w:color="auto"/>
            </w:tcBorders>
            <w:tcMar>
              <w:right w:w="227" w:type="dxa"/>
            </w:tcMar>
          </w:tcPr>
          <w:p w:rsidR="00000000" w:rsidRDefault="00000000">
            <w:pPr>
              <w:tabs>
                <w:tab w:val="clear" w:pos="567"/>
              </w:tabs>
              <w:spacing w:before="20"/>
              <w:jc w:val="right"/>
              <w:rPr>
                <w:rFonts w:cs="Arial"/>
                <w:sz w:val="18"/>
                <w:szCs w:val="22"/>
                <w:lang w:val="en-US"/>
              </w:rPr>
            </w:pPr>
            <w:r>
              <w:rPr>
                <w:rFonts w:cs="Arial"/>
                <w:sz w:val="18"/>
                <w:szCs w:val="22"/>
                <w:lang w:val="en-US"/>
              </w:rPr>
              <w:t>188</w:t>
            </w:r>
          </w:p>
        </w:tc>
        <w:tc>
          <w:tcPr>
            <w:tcW w:w="0" w:type="auto"/>
            <w:tcBorders>
              <w:bottom w:val="single" w:sz="4" w:space="0" w:color="auto"/>
            </w:tcBorders>
            <w:tcMar>
              <w:right w:w="284" w:type="dxa"/>
            </w:tcMar>
          </w:tcPr>
          <w:p w:rsidR="00000000" w:rsidRDefault="00000000">
            <w:pPr>
              <w:tabs>
                <w:tab w:val="clear" w:pos="567"/>
              </w:tabs>
              <w:spacing w:before="20"/>
              <w:jc w:val="right"/>
              <w:rPr>
                <w:rFonts w:cs="Arial"/>
                <w:sz w:val="18"/>
                <w:szCs w:val="22"/>
                <w:lang w:val="en-US"/>
              </w:rPr>
            </w:pPr>
            <w:r>
              <w:rPr>
                <w:rFonts w:cs="Arial"/>
                <w:sz w:val="18"/>
                <w:szCs w:val="22"/>
                <w:lang w:val="en-US"/>
              </w:rPr>
              <w:t>0</w:t>
            </w:r>
          </w:p>
        </w:tc>
        <w:tc>
          <w:tcPr>
            <w:tcW w:w="0" w:type="auto"/>
            <w:tcBorders>
              <w:bottom w:val="single" w:sz="4" w:space="0" w:color="auto"/>
            </w:tcBorders>
          </w:tcPr>
          <w:p w:rsidR="00000000" w:rsidRDefault="00000000">
            <w:pPr>
              <w:spacing w:before="20"/>
              <w:jc w:val="right"/>
              <w:rPr>
                <w:rFonts w:cs="Arial"/>
                <w:sz w:val="18"/>
                <w:szCs w:val="22"/>
                <w:lang w:val="en-US"/>
              </w:rPr>
            </w:pPr>
            <w:r>
              <w:rPr>
                <w:rFonts w:cs="Arial"/>
                <w:sz w:val="18"/>
                <w:szCs w:val="22"/>
                <w:lang w:val="en-US"/>
              </w:rPr>
              <w:t>368</w:t>
            </w:r>
          </w:p>
        </w:tc>
        <w:tc>
          <w:tcPr>
            <w:tcW w:w="0" w:type="auto"/>
            <w:tcBorders>
              <w:bottom w:val="single" w:sz="4" w:space="0" w:color="auto"/>
            </w:tcBorders>
          </w:tcPr>
          <w:p w:rsidR="00000000" w:rsidRDefault="00000000">
            <w:pPr>
              <w:spacing w:before="20"/>
              <w:jc w:val="right"/>
              <w:rPr>
                <w:rFonts w:cs="Arial"/>
                <w:sz w:val="18"/>
                <w:szCs w:val="22"/>
                <w:lang w:val="en-US"/>
              </w:rPr>
            </w:pPr>
            <w:r>
              <w:rPr>
                <w:rFonts w:cs="Arial"/>
                <w:sz w:val="18"/>
                <w:szCs w:val="22"/>
                <w:lang w:val="en-US"/>
              </w:rPr>
              <w:t>212</w:t>
            </w:r>
          </w:p>
        </w:tc>
        <w:tc>
          <w:tcPr>
            <w:tcW w:w="0" w:type="auto"/>
            <w:tcBorders>
              <w:bottom w:val="single" w:sz="4" w:space="0" w:color="auto"/>
            </w:tcBorders>
          </w:tcPr>
          <w:p w:rsidR="00000000" w:rsidRDefault="00000000">
            <w:pPr>
              <w:spacing w:before="20"/>
              <w:jc w:val="right"/>
              <w:rPr>
                <w:rFonts w:cs="Arial"/>
                <w:sz w:val="18"/>
                <w:szCs w:val="22"/>
                <w:lang w:val="en-US"/>
              </w:rPr>
            </w:pPr>
            <w:r>
              <w:rPr>
                <w:rFonts w:cs="Arial"/>
                <w:sz w:val="18"/>
                <w:szCs w:val="22"/>
                <w:lang w:val="en-US"/>
              </w:rPr>
              <w:t>156</w:t>
            </w:r>
          </w:p>
        </w:tc>
        <w:tc>
          <w:tcPr>
            <w:tcW w:w="0" w:type="auto"/>
            <w:tcBorders>
              <w:bottom w:val="single" w:sz="4" w:space="0" w:color="auto"/>
            </w:tcBorders>
            <w:tcMar>
              <w:right w:w="284" w:type="dxa"/>
            </w:tcMar>
          </w:tcPr>
          <w:p w:rsidR="00000000" w:rsidRDefault="00000000">
            <w:pPr>
              <w:tabs>
                <w:tab w:val="clear" w:pos="567"/>
              </w:tabs>
              <w:spacing w:before="20"/>
              <w:jc w:val="right"/>
              <w:rPr>
                <w:rFonts w:cs="Arial"/>
                <w:sz w:val="18"/>
                <w:szCs w:val="22"/>
                <w:lang w:val="en-US"/>
              </w:rPr>
            </w:pPr>
            <w:r>
              <w:rPr>
                <w:rFonts w:cs="Arial"/>
                <w:sz w:val="18"/>
                <w:szCs w:val="22"/>
                <w:lang w:val="en-US"/>
              </w:rPr>
              <w:t>0</w:t>
            </w:r>
          </w:p>
        </w:tc>
      </w:tr>
      <w:tr w:rsidR="00000000">
        <w:trPr>
          <w:jc w:val="center"/>
        </w:trPr>
        <w:tc>
          <w:tcPr>
            <w:tcW w:w="1518" w:type="pct"/>
            <w:tcBorders>
              <w:top w:val="single" w:sz="4" w:space="0" w:color="auto"/>
            </w:tcBorders>
          </w:tcPr>
          <w:p w:rsidR="00000000" w:rsidRDefault="00000000">
            <w:pPr>
              <w:spacing w:before="20"/>
              <w:rPr>
                <w:rFonts w:cs="Arial"/>
                <w:sz w:val="18"/>
                <w:szCs w:val="22"/>
              </w:rPr>
            </w:pPr>
            <w:r>
              <w:rPr>
                <w:rFonts w:cs="Arial"/>
                <w:sz w:val="18"/>
                <w:szCs w:val="22"/>
              </w:rPr>
              <w:t>Дуранго</w:t>
            </w:r>
          </w:p>
        </w:tc>
        <w:tc>
          <w:tcPr>
            <w:tcW w:w="328" w:type="pct"/>
            <w:tcBorders>
              <w:top w:val="single" w:sz="4" w:space="0" w:color="auto"/>
            </w:tcBorders>
          </w:tcPr>
          <w:p w:rsidR="00000000" w:rsidRDefault="00000000">
            <w:pPr>
              <w:spacing w:before="20"/>
              <w:ind w:left="57"/>
              <w:jc w:val="right"/>
              <w:rPr>
                <w:rFonts w:cs="Arial"/>
                <w:sz w:val="18"/>
                <w:szCs w:val="22"/>
              </w:rPr>
            </w:pPr>
            <w:r>
              <w:rPr>
                <w:rFonts w:cs="Arial"/>
                <w:sz w:val="18"/>
                <w:szCs w:val="22"/>
              </w:rPr>
              <w:t>47</w:t>
            </w:r>
          </w:p>
        </w:tc>
        <w:tc>
          <w:tcPr>
            <w:tcW w:w="429" w:type="pct"/>
            <w:tcBorders>
              <w:top w:val="single" w:sz="4" w:space="0" w:color="auto"/>
            </w:tcBorders>
          </w:tcPr>
          <w:p w:rsidR="00000000" w:rsidRDefault="00000000">
            <w:pPr>
              <w:spacing w:before="20"/>
              <w:jc w:val="right"/>
              <w:rPr>
                <w:rFonts w:cs="Arial"/>
                <w:sz w:val="18"/>
                <w:szCs w:val="22"/>
              </w:rPr>
            </w:pPr>
            <w:r>
              <w:rPr>
                <w:rFonts w:cs="Arial"/>
                <w:sz w:val="18"/>
                <w:szCs w:val="22"/>
              </w:rPr>
              <w:t>29</w:t>
            </w:r>
          </w:p>
        </w:tc>
        <w:tc>
          <w:tcPr>
            <w:tcW w:w="0" w:type="auto"/>
            <w:tcBorders>
              <w:top w:val="single" w:sz="4" w:space="0" w:color="auto"/>
            </w:tcBorders>
            <w:tcMar>
              <w:right w:w="227" w:type="dxa"/>
            </w:tcMar>
          </w:tcPr>
          <w:p w:rsidR="00000000" w:rsidRDefault="00000000">
            <w:pPr>
              <w:tabs>
                <w:tab w:val="clear" w:pos="567"/>
              </w:tabs>
              <w:spacing w:before="20"/>
              <w:jc w:val="right"/>
              <w:rPr>
                <w:rFonts w:cs="Arial"/>
                <w:sz w:val="18"/>
                <w:szCs w:val="22"/>
              </w:rPr>
            </w:pPr>
            <w:r>
              <w:rPr>
                <w:rFonts w:cs="Arial"/>
                <w:sz w:val="18"/>
                <w:szCs w:val="22"/>
              </w:rPr>
              <w:t>18</w:t>
            </w:r>
          </w:p>
        </w:tc>
        <w:tc>
          <w:tcPr>
            <w:tcW w:w="0" w:type="auto"/>
            <w:tcBorders>
              <w:top w:val="single" w:sz="4" w:space="0" w:color="auto"/>
            </w:tcBorders>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c>
          <w:tcPr>
            <w:tcW w:w="0" w:type="auto"/>
            <w:tcBorders>
              <w:top w:val="single" w:sz="4" w:space="0" w:color="auto"/>
            </w:tcBorders>
          </w:tcPr>
          <w:p w:rsidR="00000000" w:rsidRDefault="00000000">
            <w:pPr>
              <w:spacing w:before="20"/>
              <w:jc w:val="right"/>
              <w:rPr>
                <w:rFonts w:cs="Arial"/>
                <w:sz w:val="18"/>
                <w:szCs w:val="22"/>
              </w:rPr>
            </w:pPr>
            <w:r>
              <w:rPr>
                <w:rFonts w:cs="Arial"/>
                <w:sz w:val="18"/>
                <w:szCs w:val="22"/>
              </w:rPr>
              <w:t>57</w:t>
            </w:r>
          </w:p>
        </w:tc>
        <w:tc>
          <w:tcPr>
            <w:tcW w:w="0" w:type="auto"/>
            <w:tcBorders>
              <w:top w:val="single" w:sz="4" w:space="0" w:color="auto"/>
            </w:tcBorders>
          </w:tcPr>
          <w:p w:rsidR="00000000" w:rsidRDefault="00000000">
            <w:pPr>
              <w:spacing w:before="20"/>
              <w:jc w:val="right"/>
              <w:rPr>
                <w:rFonts w:cs="Arial"/>
                <w:sz w:val="18"/>
                <w:szCs w:val="22"/>
              </w:rPr>
            </w:pPr>
            <w:r>
              <w:rPr>
                <w:rFonts w:cs="Arial"/>
                <w:sz w:val="18"/>
                <w:szCs w:val="22"/>
              </w:rPr>
              <w:t>31</w:t>
            </w:r>
          </w:p>
        </w:tc>
        <w:tc>
          <w:tcPr>
            <w:tcW w:w="0" w:type="auto"/>
            <w:tcBorders>
              <w:top w:val="single" w:sz="4" w:space="0" w:color="auto"/>
            </w:tcBorders>
          </w:tcPr>
          <w:p w:rsidR="00000000" w:rsidRDefault="00000000">
            <w:pPr>
              <w:spacing w:before="20"/>
              <w:jc w:val="right"/>
              <w:rPr>
                <w:rFonts w:cs="Arial"/>
                <w:sz w:val="18"/>
                <w:szCs w:val="22"/>
              </w:rPr>
            </w:pPr>
            <w:r>
              <w:rPr>
                <w:rFonts w:cs="Arial"/>
                <w:sz w:val="18"/>
                <w:szCs w:val="22"/>
              </w:rPr>
              <w:t>26</w:t>
            </w:r>
          </w:p>
        </w:tc>
        <w:tc>
          <w:tcPr>
            <w:tcW w:w="0" w:type="auto"/>
            <w:tcBorders>
              <w:top w:val="single" w:sz="4" w:space="0" w:color="auto"/>
            </w:tcBorders>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Гуанахуато</w:t>
            </w:r>
          </w:p>
        </w:tc>
        <w:tc>
          <w:tcPr>
            <w:tcW w:w="328" w:type="pct"/>
          </w:tcPr>
          <w:p w:rsidR="00000000" w:rsidRDefault="00000000">
            <w:pPr>
              <w:spacing w:before="20"/>
              <w:ind w:left="57"/>
              <w:jc w:val="right"/>
              <w:rPr>
                <w:rFonts w:cs="Arial"/>
                <w:sz w:val="18"/>
                <w:szCs w:val="22"/>
              </w:rPr>
            </w:pPr>
            <w:r>
              <w:rPr>
                <w:rFonts w:cs="Arial"/>
                <w:sz w:val="18"/>
                <w:szCs w:val="22"/>
              </w:rPr>
              <w:t>330</w:t>
            </w:r>
          </w:p>
        </w:tc>
        <w:tc>
          <w:tcPr>
            <w:tcW w:w="429" w:type="pct"/>
          </w:tcPr>
          <w:p w:rsidR="00000000" w:rsidRDefault="00000000">
            <w:pPr>
              <w:spacing w:before="20"/>
              <w:jc w:val="right"/>
              <w:rPr>
                <w:rFonts w:cs="Arial"/>
                <w:sz w:val="18"/>
                <w:szCs w:val="22"/>
              </w:rPr>
            </w:pPr>
            <w:r>
              <w:rPr>
                <w:rFonts w:cs="Arial"/>
                <w:sz w:val="18"/>
                <w:szCs w:val="22"/>
              </w:rPr>
              <w:t>179</w:t>
            </w:r>
          </w:p>
        </w:tc>
        <w:tc>
          <w:tcPr>
            <w:tcW w:w="0" w:type="auto"/>
            <w:tcMar>
              <w:right w:w="227" w:type="dxa"/>
            </w:tcMar>
          </w:tcPr>
          <w:p w:rsidR="00000000" w:rsidRDefault="00000000">
            <w:pPr>
              <w:tabs>
                <w:tab w:val="clear" w:pos="567"/>
              </w:tabs>
              <w:spacing w:before="20"/>
              <w:jc w:val="right"/>
              <w:rPr>
                <w:rFonts w:cs="Arial"/>
                <w:sz w:val="18"/>
                <w:szCs w:val="22"/>
              </w:rPr>
            </w:pPr>
            <w:r>
              <w:rPr>
                <w:rFonts w:cs="Arial"/>
                <w:sz w:val="18"/>
                <w:szCs w:val="22"/>
              </w:rPr>
              <w:t>151</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c>
          <w:tcPr>
            <w:tcW w:w="0" w:type="auto"/>
          </w:tcPr>
          <w:p w:rsidR="00000000" w:rsidRDefault="00000000">
            <w:pPr>
              <w:spacing w:before="20"/>
              <w:jc w:val="right"/>
              <w:rPr>
                <w:rFonts w:cs="Arial"/>
                <w:sz w:val="18"/>
                <w:szCs w:val="22"/>
              </w:rPr>
            </w:pPr>
            <w:r>
              <w:rPr>
                <w:rFonts w:cs="Arial"/>
                <w:sz w:val="18"/>
                <w:szCs w:val="22"/>
              </w:rPr>
              <w:t>378</w:t>
            </w:r>
          </w:p>
        </w:tc>
        <w:tc>
          <w:tcPr>
            <w:tcW w:w="0" w:type="auto"/>
          </w:tcPr>
          <w:p w:rsidR="00000000" w:rsidRDefault="00000000">
            <w:pPr>
              <w:spacing w:before="20"/>
              <w:jc w:val="right"/>
              <w:rPr>
                <w:rFonts w:cs="Arial"/>
                <w:sz w:val="18"/>
                <w:szCs w:val="22"/>
              </w:rPr>
            </w:pPr>
            <w:r>
              <w:rPr>
                <w:rFonts w:cs="Arial"/>
                <w:sz w:val="18"/>
                <w:szCs w:val="22"/>
              </w:rPr>
              <w:t>211</w:t>
            </w:r>
          </w:p>
        </w:tc>
        <w:tc>
          <w:tcPr>
            <w:tcW w:w="0" w:type="auto"/>
          </w:tcPr>
          <w:p w:rsidR="00000000" w:rsidRDefault="00000000">
            <w:pPr>
              <w:spacing w:before="20"/>
              <w:jc w:val="right"/>
              <w:rPr>
                <w:rFonts w:cs="Arial"/>
                <w:sz w:val="18"/>
                <w:szCs w:val="22"/>
              </w:rPr>
            </w:pPr>
            <w:r>
              <w:rPr>
                <w:rFonts w:cs="Arial"/>
                <w:sz w:val="18"/>
                <w:szCs w:val="22"/>
              </w:rPr>
              <w:t>167</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Герреро</w:t>
            </w:r>
          </w:p>
        </w:tc>
        <w:tc>
          <w:tcPr>
            <w:tcW w:w="328" w:type="pct"/>
          </w:tcPr>
          <w:p w:rsidR="00000000" w:rsidRDefault="00000000">
            <w:pPr>
              <w:spacing w:before="20"/>
              <w:ind w:left="57"/>
              <w:jc w:val="right"/>
              <w:rPr>
                <w:rFonts w:cs="Arial"/>
                <w:sz w:val="18"/>
                <w:szCs w:val="22"/>
              </w:rPr>
            </w:pPr>
            <w:r>
              <w:rPr>
                <w:rFonts w:cs="Arial"/>
                <w:sz w:val="18"/>
                <w:szCs w:val="22"/>
              </w:rPr>
              <w:t>177</w:t>
            </w:r>
          </w:p>
        </w:tc>
        <w:tc>
          <w:tcPr>
            <w:tcW w:w="429" w:type="pct"/>
          </w:tcPr>
          <w:p w:rsidR="00000000" w:rsidRDefault="00000000">
            <w:pPr>
              <w:spacing w:before="20"/>
              <w:jc w:val="right"/>
              <w:rPr>
                <w:rFonts w:cs="Arial"/>
                <w:sz w:val="18"/>
                <w:szCs w:val="22"/>
              </w:rPr>
            </w:pPr>
            <w:r>
              <w:rPr>
                <w:rFonts w:cs="Arial"/>
                <w:sz w:val="18"/>
                <w:szCs w:val="22"/>
              </w:rPr>
              <w:t>87</w:t>
            </w:r>
          </w:p>
        </w:tc>
        <w:tc>
          <w:tcPr>
            <w:tcW w:w="0" w:type="auto"/>
            <w:tcMar>
              <w:right w:w="227" w:type="dxa"/>
            </w:tcMar>
          </w:tcPr>
          <w:p w:rsidR="00000000" w:rsidRDefault="00000000">
            <w:pPr>
              <w:tabs>
                <w:tab w:val="clear" w:pos="567"/>
              </w:tabs>
              <w:spacing w:before="20"/>
              <w:jc w:val="right"/>
              <w:rPr>
                <w:rFonts w:cs="Arial"/>
                <w:sz w:val="18"/>
                <w:szCs w:val="22"/>
              </w:rPr>
            </w:pPr>
            <w:r>
              <w:rPr>
                <w:rFonts w:cs="Arial"/>
                <w:sz w:val="18"/>
                <w:szCs w:val="22"/>
              </w:rPr>
              <w:t>90</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c>
          <w:tcPr>
            <w:tcW w:w="0" w:type="auto"/>
          </w:tcPr>
          <w:p w:rsidR="00000000" w:rsidRDefault="00000000">
            <w:pPr>
              <w:spacing w:before="20"/>
              <w:jc w:val="right"/>
              <w:rPr>
                <w:rFonts w:cs="Arial"/>
                <w:sz w:val="18"/>
                <w:szCs w:val="22"/>
              </w:rPr>
            </w:pPr>
            <w:r>
              <w:rPr>
                <w:rFonts w:cs="Arial"/>
                <w:sz w:val="18"/>
                <w:szCs w:val="22"/>
              </w:rPr>
              <w:t>213</w:t>
            </w:r>
          </w:p>
        </w:tc>
        <w:tc>
          <w:tcPr>
            <w:tcW w:w="0" w:type="auto"/>
          </w:tcPr>
          <w:p w:rsidR="00000000" w:rsidRDefault="00000000">
            <w:pPr>
              <w:spacing w:before="20"/>
              <w:jc w:val="right"/>
              <w:rPr>
                <w:rFonts w:cs="Arial"/>
                <w:sz w:val="18"/>
                <w:szCs w:val="22"/>
              </w:rPr>
            </w:pPr>
            <w:r>
              <w:rPr>
                <w:rFonts w:cs="Arial"/>
                <w:sz w:val="18"/>
                <w:szCs w:val="22"/>
              </w:rPr>
              <w:t>117</w:t>
            </w:r>
          </w:p>
        </w:tc>
        <w:tc>
          <w:tcPr>
            <w:tcW w:w="0" w:type="auto"/>
          </w:tcPr>
          <w:p w:rsidR="00000000" w:rsidRDefault="00000000">
            <w:pPr>
              <w:spacing w:before="20"/>
              <w:jc w:val="right"/>
              <w:rPr>
                <w:rFonts w:cs="Arial"/>
                <w:sz w:val="18"/>
                <w:szCs w:val="22"/>
              </w:rPr>
            </w:pPr>
            <w:r>
              <w:rPr>
                <w:rFonts w:cs="Arial"/>
                <w:sz w:val="18"/>
                <w:szCs w:val="22"/>
              </w:rPr>
              <w:t>96</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Идальго</w:t>
            </w:r>
          </w:p>
        </w:tc>
        <w:tc>
          <w:tcPr>
            <w:tcW w:w="328" w:type="pct"/>
          </w:tcPr>
          <w:p w:rsidR="00000000" w:rsidRDefault="00000000">
            <w:pPr>
              <w:spacing w:before="20"/>
              <w:ind w:left="57"/>
              <w:jc w:val="right"/>
              <w:rPr>
                <w:rFonts w:cs="Arial"/>
                <w:sz w:val="18"/>
                <w:szCs w:val="22"/>
              </w:rPr>
            </w:pPr>
            <w:r>
              <w:rPr>
                <w:rFonts w:cs="Arial"/>
                <w:sz w:val="18"/>
                <w:szCs w:val="22"/>
              </w:rPr>
              <w:t>119</w:t>
            </w:r>
          </w:p>
        </w:tc>
        <w:tc>
          <w:tcPr>
            <w:tcW w:w="429" w:type="pct"/>
          </w:tcPr>
          <w:p w:rsidR="00000000" w:rsidRDefault="00000000">
            <w:pPr>
              <w:spacing w:before="20"/>
              <w:jc w:val="right"/>
              <w:rPr>
                <w:rFonts w:cs="Arial"/>
                <w:sz w:val="18"/>
                <w:szCs w:val="22"/>
              </w:rPr>
            </w:pPr>
            <w:r>
              <w:rPr>
                <w:rFonts w:cs="Arial"/>
                <w:sz w:val="18"/>
                <w:szCs w:val="22"/>
              </w:rPr>
              <w:t>61</w:t>
            </w:r>
          </w:p>
        </w:tc>
        <w:tc>
          <w:tcPr>
            <w:tcW w:w="0" w:type="auto"/>
            <w:tcMar>
              <w:right w:w="227" w:type="dxa"/>
            </w:tcMar>
          </w:tcPr>
          <w:p w:rsidR="00000000" w:rsidRDefault="00000000">
            <w:pPr>
              <w:tabs>
                <w:tab w:val="clear" w:pos="567"/>
              </w:tabs>
              <w:spacing w:before="20"/>
              <w:jc w:val="right"/>
              <w:rPr>
                <w:rFonts w:cs="Arial"/>
                <w:sz w:val="18"/>
                <w:szCs w:val="22"/>
              </w:rPr>
            </w:pPr>
            <w:r>
              <w:rPr>
                <w:rFonts w:cs="Arial"/>
                <w:sz w:val="18"/>
                <w:szCs w:val="22"/>
              </w:rPr>
              <w:t>58</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c>
          <w:tcPr>
            <w:tcW w:w="0" w:type="auto"/>
          </w:tcPr>
          <w:p w:rsidR="00000000" w:rsidRDefault="00000000">
            <w:pPr>
              <w:spacing w:before="20"/>
              <w:jc w:val="right"/>
              <w:rPr>
                <w:rFonts w:cs="Arial"/>
                <w:sz w:val="18"/>
                <w:szCs w:val="22"/>
              </w:rPr>
            </w:pPr>
            <w:r>
              <w:rPr>
                <w:rFonts w:cs="Arial"/>
                <w:sz w:val="18"/>
                <w:szCs w:val="22"/>
              </w:rPr>
              <w:t>125</w:t>
            </w:r>
          </w:p>
        </w:tc>
        <w:tc>
          <w:tcPr>
            <w:tcW w:w="0" w:type="auto"/>
          </w:tcPr>
          <w:p w:rsidR="00000000" w:rsidRDefault="00000000">
            <w:pPr>
              <w:spacing w:before="20"/>
              <w:jc w:val="right"/>
              <w:rPr>
                <w:rFonts w:cs="Arial"/>
                <w:sz w:val="18"/>
                <w:szCs w:val="22"/>
              </w:rPr>
            </w:pPr>
            <w:r>
              <w:rPr>
                <w:rFonts w:cs="Arial"/>
                <w:sz w:val="18"/>
                <w:szCs w:val="22"/>
              </w:rPr>
              <w:t>68</w:t>
            </w:r>
          </w:p>
        </w:tc>
        <w:tc>
          <w:tcPr>
            <w:tcW w:w="0" w:type="auto"/>
          </w:tcPr>
          <w:p w:rsidR="00000000" w:rsidRDefault="00000000">
            <w:pPr>
              <w:spacing w:before="20"/>
              <w:jc w:val="right"/>
              <w:rPr>
                <w:rFonts w:cs="Arial"/>
                <w:sz w:val="18"/>
                <w:szCs w:val="22"/>
              </w:rPr>
            </w:pPr>
            <w:r>
              <w:rPr>
                <w:rFonts w:cs="Arial"/>
                <w:sz w:val="18"/>
                <w:szCs w:val="22"/>
              </w:rPr>
              <w:t>57</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Халиско</w:t>
            </w:r>
          </w:p>
        </w:tc>
        <w:tc>
          <w:tcPr>
            <w:tcW w:w="328" w:type="pct"/>
          </w:tcPr>
          <w:p w:rsidR="00000000" w:rsidRDefault="00000000">
            <w:pPr>
              <w:spacing w:before="20"/>
              <w:ind w:left="57"/>
              <w:jc w:val="right"/>
              <w:rPr>
                <w:rFonts w:cs="Arial"/>
                <w:sz w:val="18"/>
                <w:szCs w:val="22"/>
              </w:rPr>
            </w:pPr>
            <w:r>
              <w:rPr>
                <w:rFonts w:cs="Arial"/>
                <w:sz w:val="18"/>
                <w:szCs w:val="22"/>
              </w:rPr>
              <w:t>440</w:t>
            </w:r>
          </w:p>
        </w:tc>
        <w:tc>
          <w:tcPr>
            <w:tcW w:w="429" w:type="pct"/>
          </w:tcPr>
          <w:p w:rsidR="00000000" w:rsidRDefault="00000000">
            <w:pPr>
              <w:spacing w:before="20"/>
              <w:jc w:val="right"/>
              <w:rPr>
                <w:rFonts w:cs="Arial"/>
                <w:sz w:val="18"/>
                <w:szCs w:val="22"/>
                <w:lang w:val="fr-FR"/>
              </w:rPr>
            </w:pPr>
            <w:r>
              <w:rPr>
                <w:rFonts w:cs="Arial"/>
                <w:sz w:val="18"/>
                <w:szCs w:val="22"/>
                <w:lang w:val="fr-FR"/>
              </w:rPr>
              <w:t>221</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219</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379</w:t>
            </w:r>
          </w:p>
        </w:tc>
        <w:tc>
          <w:tcPr>
            <w:tcW w:w="0" w:type="auto"/>
          </w:tcPr>
          <w:p w:rsidR="00000000" w:rsidRDefault="00000000">
            <w:pPr>
              <w:spacing w:before="20"/>
              <w:jc w:val="right"/>
              <w:rPr>
                <w:rFonts w:cs="Arial"/>
                <w:sz w:val="18"/>
                <w:szCs w:val="22"/>
                <w:lang w:val="fr-FR"/>
              </w:rPr>
            </w:pPr>
            <w:r>
              <w:rPr>
                <w:rFonts w:cs="Arial"/>
                <w:sz w:val="18"/>
                <w:szCs w:val="22"/>
                <w:lang w:val="fr-FR"/>
              </w:rPr>
              <w:t>208</w:t>
            </w:r>
          </w:p>
        </w:tc>
        <w:tc>
          <w:tcPr>
            <w:tcW w:w="0" w:type="auto"/>
          </w:tcPr>
          <w:p w:rsidR="00000000" w:rsidRDefault="00000000">
            <w:pPr>
              <w:spacing w:before="20"/>
              <w:jc w:val="right"/>
              <w:rPr>
                <w:rFonts w:cs="Arial"/>
                <w:sz w:val="18"/>
                <w:szCs w:val="22"/>
                <w:lang w:val="fr-FR"/>
              </w:rPr>
            </w:pPr>
            <w:r>
              <w:rPr>
                <w:rFonts w:cs="Arial"/>
                <w:sz w:val="18"/>
                <w:szCs w:val="22"/>
                <w:lang w:val="fr-FR"/>
              </w:rPr>
              <w:t>171</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Мехико</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880</w:t>
            </w:r>
          </w:p>
        </w:tc>
        <w:tc>
          <w:tcPr>
            <w:tcW w:w="429" w:type="pct"/>
          </w:tcPr>
          <w:p w:rsidR="00000000" w:rsidRDefault="00000000">
            <w:pPr>
              <w:spacing w:before="20"/>
              <w:jc w:val="right"/>
              <w:rPr>
                <w:rFonts w:cs="Arial"/>
                <w:sz w:val="18"/>
                <w:szCs w:val="22"/>
                <w:lang w:val="fr-FR"/>
              </w:rPr>
            </w:pPr>
            <w:r>
              <w:rPr>
                <w:rFonts w:cs="Arial"/>
                <w:sz w:val="18"/>
                <w:szCs w:val="22"/>
                <w:lang w:val="fr-FR"/>
              </w:rPr>
              <w:t>502</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375</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3</w:t>
            </w:r>
          </w:p>
        </w:tc>
        <w:tc>
          <w:tcPr>
            <w:tcW w:w="0" w:type="auto"/>
          </w:tcPr>
          <w:p w:rsidR="00000000" w:rsidRDefault="00000000">
            <w:pPr>
              <w:spacing w:before="20"/>
              <w:jc w:val="right"/>
              <w:rPr>
                <w:rFonts w:cs="Arial"/>
                <w:sz w:val="18"/>
                <w:szCs w:val="22"/>
                <w:lang w:val="fr-FR"/>
              </w:rPr>
            </w:pPr>
            <w:r>
              <w:rPr>
                <w:rFonts w:cs="Arial"/>
                <w:sz w:val="18"/>
                <w:szCs w:val="22"/>
                <w:lang w:val="fr-FR"/>
              </w:rPr>
              <w:t>937</w:t>
            </w:r>
          </w:p>
        </w:tc>
        <w:tc>
          <w:tcPr>
            <w:tcW w:w="0" w:type="auto"/>
          </w:tcPr>
          <w:p w:rsidR="00000000" w:rsidRDefault="00000000">
            <w:pPr>
              <w:spacing w:before="20"/>
              <w:jc w:val="right"/>
              <w:rPr>
                <w:rFonts w:cs="Arial"/>
                <w:sz w:val="18"/>
                <w:szCs w:val="22"/>
                <w:lang w:val="fr-FR"/>
              </w:rPr>
            </w:pPr>
            <w:r>
              <w:rPr>
                <w:rFonts w:cs="Arial"/>
                <w:sz w:val="18"/>
                <w:szCs w:val="22"/>
                <w:lang w:val="fr-FR"/>
              </w:rPr>
              <w:t>513</w:t>
            </w:r>
          </w:p>
        </w:tc>
        <w:tc>
          <w:tcPr>
            <w:tcW w:w="0" w:type="auto"/>
          </w:tcPr>
          <w:p w:rsidR="00000000" w:rsidRDefault="00000000">
            <w:pPr>
              <w:spacing w:before="20"/>
              <w:jc w:val="right"/>
              <w:rPr>
                <w:rFonts w:cs="Arial"/>
                <w:sz w:val="18"/>
                <w:szCs w:val="22"/>
                <w:lang w:val="fr-FR"/>
              </w:rPr>
            </w:pPr>
            <w:r>
              <w:rPr>
                <w:rFonts w:cs="Arial"/>
                <w:sz w:val="18"/>
                <w:szCs w:val="22"/>
                <w:lang w:val="fr-FR"/>
              </w:rPr>
              <w:t>424</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Мичоакан-де-Окампо</w:t>
            </w:r>
          </w:p>
        </w:tc>
        <w:tc>
          <w:tcPr>
            <w:tcW w:w="328" w:type="pct"/>
          </w:tcPr>
          <w:p w:rsidR="00000000" w:rsidRDefault="00000000">
            <w:pPr>
              <w:spacing w:before="20"/>
              <w:ind w:left="57"/>
              <w:jc w:val="right"/>
              <w:rPr>
                <w:rFonts w:cs="Arial"/>
                <w:sz w:val="18"/>
                <w:szCs w:val="22"/>
              </w:rPr>
            </w:pPr>
            <w:r>
              <w:rPr>
                <w:rFonts w:cs="Arial"/>
                <w:sz w:val="18"/>
                <w:szCs w:val="22"/>
              </w:rPr>
              <w:t>283</w:t>
            </w:r>
          </w:p>
        </w:tc>
        <w:tc>
          <w:tcPr>
            <w:tcW w:w="429" w:type="pct"/>
          </w:tcPr>
          <w:p w:rsidR="00000000" w:rsidRDefault="00000000">
            <w:pPr>
              <w:spacing w:before="20"/>
              <w:jc w:val="right"/>
              <w:rPr>
                <w:rFonts w:cs="Arial"/>
                <w:sz w:val="18"/>
                <w:szCs w:val="22"/>
                <w:lang w:val="fr-FR"/>
              </w:rPr>
            </w:pPr>
            <w:r>
              <w:rPr>
                <w:rFonts w:cs="Arial"/>
                <w:sz w:val="18"/>
                <w:szCs w:val="22"/>
                <w:lang w:val="fr-FR"/>
              </w:rPr>
              <w:t>160</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123</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244</w:t>
            </w:r>
          </w:p>
        </w:tc>
        <w:tc>
          <w:tcPr>
            <w:tcW w:w="0" w:type="auto"/>
          </w:tcPr>
          <w:p w:rsidR="00000000" w:rsidRDefault="00000000">
            <w:pPr>
              <w:spacing w:before="20"/>
              <w:jc w:val="right"/>
              <w:rPr>
                <w:rFonts w:cs="Arial"/>
                <w:sz w:val="18"/>
                <w:szCs w:val="22"/>
                <w:lang w:val="fr-FR"/>
              </w:rPr>
            </w:pPr>
            <w:r>
              <w:rPr>
                <w:rFonts w:cs="Arial"/>
                <w:sz w:val="18"/>
                <w:szCs w:val="22"/>
                <w:lang w:val="fr-FR"/>
              </w:rPr>
              <w:t>138</w:t>
            </w:r>
          </w:p>
        </w:tc>
        <w:tc>
          <w:tcPr>
            <w:tcW w:w="0" w:type="auto"/>
          </w:tcPr>
          <w:p w:rsidR="00000000" w:rsidRDefault="00000000">
            <w:pPr>
              <w:spacing w:before="20"/>
              <w:jc w:val="right"/>
              <w:rPr>
                <w:rFonts w:cs="Arial"/>
                <w:sz w:val="18"/>
                <w:szCs w:val="22"/>
                <w:lang w:val="fr-FR"/>
              </w:rPr>
            </w:pPr>
            <w:r>
              <w:rPr>
                <w:rFonts w:cs="Arial"/>
                <w:sz w:val="18"/>
                <w:szCs w:val="22"/>
                <w:lang w:val="fr-FR"/>
              </w:rPr>
              <w:t>106</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Морелос</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83</w:t>
            </w:r>
          </w:p>
        </w:tc>
        <w:tc>
          <w:tcPr>
            <w:tcW w:w="429" w:type="pct"/>
          </w:tcPr>
          <w:p w:rsidR="00000000" w:rsidRDefault="00000000">
            <w:pPr>
              <w:spacing w:before="20"/>
              <w:jc w:val="right"/>
              <w:rPr>
                <w:rFonts w:cs="Arial"/>
                <w:sz w:val="18"/>
                <w:szCs w:val="22"/>
                <w:lang w:val="fr-FR"/>
              </w:rPr>
            </w:pPr>
            <w:r>
              <w:rPr>
                <w:rFonts w:cs="Arial"/>
                <w:sz w:val="18"/>
                <w:szCs w:val="22"/>
                <w:lang w:val="fr-FR"/>
              </w:rPr>
              <w:t>46</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37</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95</w:t>
            </w:r>
          </w:p>
        </w:tc>
        <w:tc>
          <w:tcPr>
            <w:tcW w:w="0" w:type="auto"/>
          </w:tcPr>
          <w:p w:rsidR="00000000" w:rsidRDefault="00000000">
            <w:pPr>
              <w:spacing w:before="20"/>
              <w:jc w:val="right"/>
              <w:rPr>
                <w:rFonts w:cs="Arial"/>
                <w:sz w:val="18"/>
                <w:szCs w:val="22"/>
                <w:lang w:val="fr-FR"/>
              </w:rPr>
            </w:pPr>
            <w:r>
              <w:rPr>
                <w:rFonts w:cs="Arial"/>
                <w:sz w:val="18"/>
                <w:szCs w:val="22"/>
                <w:lang w:val="fr-FR"/>
              </w:rPr>
              <w:t>57</w:t>
            </w:r>
          </w:p>
        </w:tc>
        <w:tc>
          <w:tcPr>
            <w:tcW w:w="0" w:type="auto"/>
          </w:tcPr>
          <w:p w:rsidR="00000000" w:rsidRDefault="00000000">
            <w:pPr>
              <w:spacing w:before="20"/>
              <w:jc w:val="right"/>
              <w:rPr>
                <w:rFonts w:cs="Arial"/>
                <w:sz w:val="18"/>
                <w:szCs w:val="22"/>
                <w:lang w:val="fr-FR"/>
              </w:rPr>
            </w:pPr>
            <w:r>
              <w:rPr>
                <w:rFonts w:cs="Arial"/>
                <w:sz w:val="18"/>
                <w:szCs w:val="22"/>
                <w:lang w:val="fr-FR"/>
              </w:rPr>
              <w:t>38</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Наярит</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71</w:t>
            </w:r>
          </w:p>
        </w:tc>
        <w:tc>
          <w:tcPr>
            <w:tcW w:w="429" w:type="pct"/>
          </w:tcPr>
          <w:p w:rsidR="00000000" w:rsidRDefault="00000000">
            <w:pPr>
              <w:spacing w:before="20"/>
              <w:jc w:val="right"/>
              <w:rPr>
                <w:rFonts w:cs="Arial"/>
                <w:sz w:val="18"/>
                <w:szCs w:val="22"/>
                <w:lang w:val="fr-FR"/>
              </w:rPr>
            </w:pPr>
            <w:r>
              <w:rPr>
                <w:rFonts w:cs="Arial"/>
                <w:sz w:val="18"/>
                <w:szCs w:val="22"/>
                <w:lang w:val="fr-FR"/>
              </w:rPr>
              <w:t>36</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34</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1</w:t>
            </w:r>
          </w:p>
        </w:tc>
        <w:tc>
          <w:tcPr>
            <w:tcW w:w="0" w:type="auto"/>
          </w:tcPr>
          <w:p w:rsidR="00000000" w:rsidRDefault="00000000">
            <w:pPr>
              <w:spacing w:before="20"/>
              <w:jc w:val="right"/>
              <w:rPr>
                <w:rFonts w:cs="Arial"/>
                <w:sz w:val="18"/>
                <w:szCs w:val="22"/>
                <w:lang w:val="fr-FR"/>
              </w:rPr>
            </w:pPr>
            <w:r>
              <w:rPr>
                <w:rFonts w:cs="Arial"/>
                <w:sz w:val="18"/>
                <w:szCs w:val="22"/>
                <w:lang w:val="fr-FR"/>
              </w:rPr>
              <w:t>77</w:t>
            </w:r>
          </w:p>
        </w:tc>
        <w:tc>
          <w:tcPr>
            <w:tcW w:w="0" w:type="auto"/>
          </w:tcPr>
          <w:p w:rsidR="00000000" w:rsidRDefault="00000000">
            <w:pPr>
              <w:spacing w:before="20"/>
              <w:jc w:val="right"/>
              <w:rPr>
                <w:rFonts w:cs="Arial"/>
                <w:sz w:val="18"/>
                <w:szCs w:val="22"/>
                <w:lang w:val="fr-FR"/>
              </w:rPr>
            </w:pPr>
            <w:r>
              <w:rPr>
                <w:rFonts w:cs="Arial"/>
                <w:sz w:val="18"/>
                <w:szCs w:val="22"/>
                <w:lang w:val="fr-FR"/>
              </w:rPr>
              <w:t>53</w:t>
            </w:r>
          </w:p>
        </w:tc>
        <w:tc>
          <w:tcPr>
            <w:tcW w:w="0" w:type="auto"/>
          </w:tcPr>
          <w:p w:rsidR="00000000" w:rsidRDefault="00000000">
            <w:pPr>
              <w:spacing w:before="20"/>
              <w:jc w:val="right"/>
              <w:rPr>
                <w:rFonts w:cs="Arial"/>
                <w:sz w:val="18"/>
                <w:szCs w:val="22"/>
                <w:lang w:val="fr-FR"/>
              </w:rPr>
            </w:pPr>
            <w:r>
              <w:rPr>
                <w:rFonts w:cs="Arial"/>
                <w:sz w:val="18"/>
                <w:szCs w:val="22"/>
                <w:lang w:val="fr-FR"/>
              </w:rPr>
              <w:t>24</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Нуэво-Леон</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151</w:t>
            </w:r>
          </w:p>
        </w:tc>
        <w:tc>
          <w:tcPr>
            <w:tcW w:w="429" w:type="pct"/>
          </w:tcPr>
          <w:p w:rsidR="00000000" w:rsidRDefault="00000000">
            <w:pPr>
              <w:spacing w:before="20"/>
              <w:jc w:val="right"/>
              <w:rPr>
                <w:rFonts w:cs="Arial"/>
                <w:sz w:val="18"/>
                <w:szCs w:val="22"/>
                <w:lang w:val="fr-FR"/>
              </w:rPr>
            </w:pPr>
            <w:r>
              <w:rPr>
                <w:rFonts w:cs="Arial"/>
                <w:sz w:val="18"/>
                <w:szCs w:val="22"/>
                <w:lang w:val="fr-FR"/>
              </w:rPr>
              <w:t>85</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66</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130</w:t>
            </w:r>
          </w:p>
        </w:tc>
        <w:tc>
          <w:tcPr>
            <w:tcW w:w="0" w:type="auto"/>
          </w:tcPr>
          <w:p w:rsidR="00000000" w:rsidRDefault="00000000">
            <w:pPr>
              <w:spacing w:before="20"/>
              <w:jc w:val="right"/>
              <w:rPr>
                <w:rFonts w:cs="Arial"/>
                <w:sz w:val="18"/>
                <w:szCs w:val="22"/>
                <w:lang w:val="fr-FR"/>
              </w:rPr>
            </w:pPr>
            <w:r>
              <w:rPr>
                <w:rFonts w:cs="Arial"/>
                <w:sz w:val="18"/>
                <w:szCs w:val="22"/>
                <w:lang w:val="fr-FR"/>
              </w:rPr>
              <w:t>69</w:t>
            </w:r>
          </w:p>
        </w:tc>
        <w:tc>
          <w:tcPr>
            <w:tcW w:w="0" w:type="auto"/>
          </w:tcPr>
          <w:p w:rsidR="00000000" w:rsidRDefault="00000000">
            <w:pPr>
              <w:spacing w:before="20"/>
              <w:jc w:val="right"/>
              <w:rPr>
                <w:rFonts w:cs="Arial"/>
                <w:sz w:val="18"/>
                <w:szCs w:val="22"/>
                <w:lang w:val="fr-FR"/>
              </w:rPr>
            </w:pPr>
            <w:r>
              <w:rPr>
                <w:rFonts w:cs="Arial"/>
                <w:sz w:val="18"/>
                <w:szCs w:val="22"/>
                <w:lang w:val="fr-FR"/>
              </w:rPr>
              <w:t>61</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Оахака</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410</w:t>
            </w:r>
          </w:p>
        </w:tc>
        <w:tc>
          <w:tcPr>
            <w:tcW w:w="429" w:type="pct"/>
          </w:tcPr>
          <w:p w:rsidR="00000000" w:rsidRDefault="00000000">
            <w:pPr>
              <w:spacing w:before="20"/>
              <w:jc w:val="right"/>
              <w:rPr>
                <w:rFonts w:cs="Arial"/>
                <w:sz w:val="18"/>
                <w:szCs w:val="22"/>
                <w:lang w:val="fr-FR"/>
              </w:rPr>
            </w:pPr>
            <w:r>
              <w:rPr>
                <w:rFonts w:cs="Arial"/>
                <w:sz w:val="18"/>
                <w:szCs w:val="22"/>
                <w:lang w:val="fr-FR"/>
              </w:rPr>
              <w:t>233</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175</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2</w:t>
            </w:r>
          </w:p>
        </w:tc>
        <w:tc>
          <w:tcPr>
            <w:tcW w:w="0" w:type="auto"/>
          </w:tcPr>
          <w:p w:rsidR="00000000" w:rsidRDefault="00000000">
            <w:pPr>
              <w:spacing w:before="20"/>
              <w:jc w:val="right"/>
              <w:rPr>
                <w:rFonts w:cs="Arial"/>
                <w:sz w:val="18"/>
                <w:szCs w:val="22"/>
                <w:lang w:val="fr-FR"/>
              </w:rPr>
            </w:pPr>
            <w:r>
              <w:rPr>
                <w:rFonts w:cs="Arial"/>
                <w:sz w:val="18"/>
                <w:szCs w:val="22"/>
                <w:lang w:val="fr-FR"/>
              </w:rPr>
              <w:t>466</w:t>
            </w:r>
          </w:p>
        </w:tc>
        <w:tc>
          <w:tcPr>
            <w:tcW w:w="0" w:type="auto"/>
          </w:tcPr>
          <w:p w:rsidR="00000000" w:rsidRDefault="00000000">
            <w:pPr>
              <w:spacing w:before="20"/>
              <w:jc w:val="right"/>
              <w:rPr>
                <w:rFonts w:cs="Arial"/>
                <w:sz w:val="18"/>
                <w:szCs w:val="22"/>
                <w:lang w:val="fr-FR"/>
              </w:rPr>
            </w:pPr>
            <w:r>
              <w:rPr>
                <w:rFonts w:cs="Arial"/>
                <w:sz w:val="18"/>
                <w:szCs w:val="22"/>
                <w:lang w:val="fr-FR"/>
              </w:rPr>
              <w:t>239</w:t>
            </w:r>
          </w:p>
        </w:tc>
        <w:tc>
          <w:tcPr>
            <w:tcW w:w="0" w:type="auto"/>
          </w:tcPr>
          <w:p w:rsidR="00000000" w:rsidRDefault="00000000">
            <w:pPr>
              <w:spacing w:before="20"/>
              <w:jc w:val="right"/>
              <w:rPr>
                <w:rFonts w:cs="Arial"/>
                <w:sz w:val="18"/>
                <w:szCs w:val="22"/>
                <w:lang w:val="fr-FR"/>
              </w:rPr>
            </w:pPr>
            <w:r>
              <w:rPr>
                <w:rFonts w:cs="Arial"/>
                <w:sz w:val="18"/>
                <w:szCs w:val="22"/>
                <w:lang w:val="fr-FR"/>
              </w:rPr>
              <w:t>227</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Пуэбла</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523</w:t>
            </w:r>
          </w:p>
        </w:tc>
        <w:tc>
          <w:tcPr>
            <w:tcW w:w="429" w:type="pct"/>
          </w:tcPr>
          <w:p w:rsidR="00000000" w:rsidRDefault="00000000">
            <w:pPr>
              <w:spacing w:before="20"/>
              <w:jc w:val="right"/>
              <w:rPr>
                <w:rFonts w:cs="Arial"/>
                <w:sz w:val="18"/>
                <w:szCs w:val="22"/>
                <w:lang w:val="fr-FR"/>
              </w:rPr>
            </w:pPr>
            <w:r>
              <w:rPr>
                <w:rFonts w:cs="Arial"/>
                <w:sz w:val="18"/>
                <w:szCs w:val="22"/>
                <w:lang w:val="fr-FR"/>
              </w:rPr>
              <w:t>287</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236</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639</w:t>
            </w:r>
          </w:p>
        </w:tc>
        <w:tc>
          <w:tcPr>
            <w:tcW w:w="0" w:type="auto"/>
          </w:tcPr>
          <w:p w:rsidR="00000000" w:rsidRDefault="00000000">
            <w:pPr>
              <w:spacing w:before="20"/>
              <w:jc w:val="right"/>
              <w:rPr>
                <w:rFonts w:cs="Arial"/>
                <w:sz w:val="18"/>
                <w:szCs w:val="22"/>
                <w:lang w:val="fr-FR"/>
              </w:rPr>
            </w:pPr>
            <w:r>
              <w:rPr>
                <w:rFonts w:cs="Arial"/>
                <w:sz w:val="18"/>
                <w:szCs w:val="22"/>
                <w:lang w:val="fr-FR"/>
              </w:rPr>
              <w:t>324</w:t>
            </w:r>
          </w:p>
        </w:tc>
        <w:tc>
          <w:tcPr>
            <w:tcW w:w="0" w:type="auto"/>
          </w:tcPr>
          <w:p w:rsidR="00000000" w:rsidRDefault="00000000">
            <w:pPr>
              <w:spacing w:before="20"/>
              <w:jc w:val="right"/>
              <w:rPr>
                <w:rFonts w:cs="Arial"/>
                <w:sz w:val="18"/>
                <w:szCs w:val="22"/>
                <w:lang w:val="fr-FR"/>
              </w:rPr>
            </w:pPr>
            <w:r>
              <w:rPr>
                <w:rFonts w:cs="Arial"/>
                <w:sz w:val="18"/>
                <w:szCs w:val="22"/>
                <w:lang w:val="fr-FR"/>
              </w:rPr>
              <w:t>315</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Керетаро-де-Артеага</w:t>
            </w:r>
          </w:p>
        </w:tc>
        <w:tc>
          <w:tcPr>
            <w:tcW w:w="328" w:type="pct"/>
          </w:tcPr>
          <w:p w:rsidR="00000000" w:rsidRDefault="00000000">
            <w:pPr>
              <w:spacing w:before="20"/>
              <w:ind w:left="57"/>
              <w:jc w:val="right"/>
              <w:rPr>
                <w:rFonts w:cs="Arial"/>
                <w:sz w:val="18"/>
                <w:szCs w:val="22"/>
              </w:rPr>
            </w:pPr>
            <w:r>
              <w:rPr>
                <w:rFonts w:cs="Arial"/>
                <w:sz w:val="18"/>
                <w:szCs w:val="22"/>
              </w:rPr>
              <w:t>90</w:t>
            </w:r>
          </w:p>
        </w:tc>
        <w:tc>
          <w:tcPr>
            <w:tcW w:w="429" w:type="pct"/>
          </w:tcPr>
          <w:p w:rsidR="00000000" w:rsidRDefault="00000000">
            <w:pPr>
              <w:spacing w:before="20"/>
              <w:jc w:val="right"/>
              <w:rPr>
                <w:rFonts w:cs="Arial"/>
                <w:sz w:val="18"/>
                <w:szCs w:val="22"/>
              </w:rPr>
            </w:pPr>
            <w:r>
              <w:rPr>
                <w:rFonts w:cs="Arial"/>
                <w:sz w:val="18"/>
                <w:szCs w:val="22"/>
              </w:rPr>
              <w:t>45</w:t>
            </w:r>
          </w:p>
        </w:tc>
        <w:tc>
          <w:tcPr>
            <w:tcW w:w="0" w:type="auto"/>
            <w:tcMar>
              <w:right w:w="227" w:type="dxa"/>
            </w:tcMar>
          </w:tcPr>
          <w:p w:rsidR="00000000" w:rsidRDefault="00000000">
            <w:pPr>
              <w:tabs>
                <w:tab w:val="clear" w:pos="567"/>
              </w:tabs>
              <w:spacing w:before="20"/>
              <w:jc w:val="right"/>
              <w:rPr>
                <w:rFonts w:cs="Arial"/>
                <w:sz w:val="18"/>
                <w:szCs w:val="22"/>
              </w:rPr>
            </w:pPr>
            <w:r>
              <w:rPr>
                <w:rFonts w:cs="Arial"/>
                <w:sz w:val="18"/>
                <w:szCs w:val="22"/>
              </w:rPr>
              <w:t>45</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c>
          <w:tcPr>
            <w:tcW w:w="0" w:type="auto"/>
          </w:tcPr>
          <w:p w:rsidR="00000000" w:rsidRDefault="00000000">
            <w:pPr>
              <w:spacing w:before="20"/>
              <w:jc w:val="right"/>
              <w:rPr>
                <w:rFonts w:cs="Arial"/>
                <w:sz w:val="18"/>
                <w:szCs w:val="22"/>
              </w:rPr>
            </w:pPr>
            <w:r>
              <w:rPr>
                <w:rFonts w:cs="Arial"/>
                <w:sz w:val="18"/>
                <w:szCs w:val="22"/>
              </w:rPr>
              <w:t>93</w:t>
            </w:r>
          </w:p>
        </w:tc>
        <w:tc>
          <w:tcPr>
            <w:tcW w:w="0" w:type="auto"/>
          </w:tcPr>
          <w:p w:rsidR="00000000" w:rsidRDefault="00000000">
            <w:pPr>
              <w:spacing w:before="20"/>
              <w:jc w:val="right"/>
              <w:rPr>
                <w:rFonts w:cs="Arial"/>
                <w:sz w:val="18"/>
                <w:szCs w:val="22"/>
              </w:rPr>
            </w:pPr>
            <w:r>
              <w:rPr>
                <w:rFonts w:cs="Arial"/>
                <w:sz w:val="18"/>
                <w:szCs w:val="22"/>
              </w:rPr>
              <w:t>47</w:t>
            </w:r>
          </w:p>
        </w:tc>
        <w:tc>
          <w:tcPr>
            <w:tcW w:w="0" w:type="auto"/>
          </w:tcPr>
          <w:p w:rsidR="00000000" w:rsidRDefault="00000000">
            <w:pPr>
              <w:spacing w:before="20"/>
              <w:jc w:val="right"/>
              <w:rPr>
                <w:rFonts w:cs="Arial"/>
                <w:sz w:val="18"/>
                <w:szCs w:val="22"/>
              </w:rPr>
            </w:pPr>
            <w:r>
              <w:rPr>
                <w:rFonts w:cs="Arial"/>
                <w:sz w:val="18"/>
                <w:szCs w:val="22"/>
              </w:rPr>
              <w:t>46</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Кинтана-Роо</w:t>
            </w:r>
          </w:p>
        </w:tc>
        <w:tc>
          <w:tcPr>
            <w:tcW w:w="328" w:type="pct"/>
          </w:tcPr>
          <w:p w:rsidR="00000000" w:rsidRDefault="00000000">
            <w:pPr>
              <w:spacing w:before="20"/>
              <w:ind w:left="57"/>
              <w:jc w:val="right"/>
              <w:rPr>
                <w:rFonts w:cs="Arial"/>
                <w:sz w:val="18"/>
                <w:szCs w:val="22"/>
              </w:rPr>
            </w:pPr>
            <w:r>
              <w:rPr>
                <w:rFonts w:cs="Arial"/>
                <w:sz w:val="18"/>
                <w:szCs w:val="22"/>
              </w:rPr>
              <w:t>50</w:t>
            </w:r>
          </w:p>
        </w:tc>
        <w:tc>
          <w:tcPr>
            <w:tcW w:w="429" w:type="pct"/>
          </w:tcPr>
          <w:p w:rsidR="00000000" w:rsidRDefault="00000000">
            <w:pPr>
              <w:spacing w:before="20"/>
              <w:jc w:val="right"/>
              <w:rPr>
                <w:rFonts w:cs="Arial"/>
                <w:sz w:val="18"/>
                <w:szCs w:val="22"/>
              </w:rPr>
            </w:pPr>
            <w:r>
              <w:rPr>
                <w:rFonts w:cs="Arial"/>
                <w:sz w:val="18"/>
                <w:szCs w:val="22"/>
              </w:rPr>
              <w:t>30</w:t>
            </w:r>
          </w:p>
        </w:tc>
        <w:tc>
          <w:tcPr>
            <w:tcW w:w="0" w:type="auto"/>
            <w:tcMar>
              <w:right w:w="227" w:type="dxa"/>
            </w:tcMar>
          </w:tcPr>
          <w:p w:rsidR="00000000" w:rsidRDefault="00000000">
            <w:pPr>
              <w:tabs>
                <w:tab w:val="clear" w:pos="567"/>
              </w:tabs>
              <w:spacing w:before="20"/>
              <w:jc w:val="right"/>
              <w:rPr>
                <w:rFonts w:cs="Arial"/>
                <w:sz w:val="18"/>
                <w:szCs w:val="22"/>
              </w:rPr>
            </w:pPr>
            <w:r>
              <w:rPr>
                <w:rFonts w:cs="Arial"/>
                <w:sz w:val="18"/>
                <w:szCs w:val="22"/>
              </w:rPr>
              <w:t>20</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c>
          <w:tcPr>
            <w:tcW w:w="0" w:type="auto"/>
          </w:tcPr>
          <w:p w:rsidR="00000000" w:rsidRDefault="00000000">
            <w:pPr>
              <w:spacing w:before="20"/>
              <w:jc w:val="right"/>
              <w:rPr>
                <w:rFonts w:cs="Arial"/>
                <w:sz w:val="18"/>
                <w:szCs w:val="22"/>
              </w:rPr>
            </w:pPr>
            <w:r>
              <w:rPr>
                <w:rFonts w:cs="Arial"/>
                <w:sz w:val="18"/>
                <w:szCs w:val="22"/>
              </w:rPr>
              <w:t>50</w:t>
            </w:r>
          </w:p>
        </w:tc>
        <w:tc>
          <w:tcPr>
            <w:tcW w:w="0" w:type="auto"/>
          </w:tcPr>
          <w:p w:rsidR="00000000" w:rsidRDefault="00000000">
            <w:pPr>
              <w:spacing w:before="20"/>
              <w:jc w:val="right"/>
              <w:rPr>
                <w:rFonts w:cs="Arial"/>
                <w:sz w:val="18"/>
                <w:szCs w:val="22"/>
              </w:rPr>
            </w:pPr>
            <w:r>
              <w:rPr>
                <w:rFonts w:cs="Arial"/>
                <w:sz w:val="18"/>
                <w:szCs w:val="22"/>
              </w:rPr>
              <w:t>26</w:t>
            </w:r>
          </w:p>
        </w:tc>
        <w:tc>
          <w:tcPr>
            <w:tcW w:w="0" w:type="auto"/>
          </w:tcPr>
          <w:p w:rsidR="00000000" w:rsidRDefault="00000000">
            <w:pPr>
              <w:spacing w:before="20"/>
              <w:jc w:val="right"/>
              <w:rPr>
                <w:rFonts w:cs="Arial"/>
                <w:sz w:val="18"/>
                <w:szCs w:val="22"/>
              </w:rPr>
            </w:pPr>
            <w:r>
              <w:rPr>
                <w:rFonts w:cs="Arial"/>
                <w:sz w:val="18"/>
                <w:szCs w:val="22"/>
              </w:rPr>
              <w:t>24</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Сан-Луис-Потаси</w:t>
            </w:r>
          </w:p>
        </w:tc>
        <w:tc>
          <w:tcPr>
            <w:tcW w:w="328" w:type="pct"/>
          </w:tcPr>
          <w:p w:rsidR="00000000" w:rsidRDefault="00000000">
            <w:pPr>
              <w:spacing w:before="20"/>
              <w:ind w:left="57"/>
              <w:jc w:val="right"/>
              <w:rPr>
                <w:rFonts w:cs="Arial"/>
                <w:sz w:val="18"/>
                <w:szCs w:val="22"/>
              </w:rPr>
            </w:pPr>
            <w:r>
              <w:rPr>
                <w:rFonts w:cs="Arial"/>
                <w:sz w:val="18"/>
                <w:szCs w:val="22"/>
              </w:rPr>
              <w:t>173</w:t>
            </w:r>
          </w:p>
        </w:tc>
        <w:tc>
          <w:tcPr>
            <w:tcW w:w="429" w:type="pct"/>
          </w:tcPr>
          <w:p w:rsidR="00000000" w:rsidRDefault="00000000">
            <w:pPr>
              <w:spacing w:before="20"/>
              <w:jc w:val="right"/>
              <w:rPr>
                <w:rFonts w:cs="Arial"/>
                <w:sz w:val="18"/>
                <w:szCs w:val="22"/>
              </w:rPr>
            </w:pPr>
            <w:r>
              <w:rPr>
                <w:rFonts w:cs="Arial"/>
                <w:sz w:val="18"/>
                <w:szCs w:val="22"/>
              </w:rPr>
              <w:t>85</w:t>
            </w:r>
          </w:p>
        </w:tc>
        <w:tc>
          <w:tcPr>
            <w:tcW w:w="0" w:type="auto"/>
            <w:tcMar>
              <w:right w:w="227" w:type="dxa"/>
            </w:tcMar>
          </w:tcPr>
          <w:p w:rsidR="00000000" w:rsidRDefault="00000000">
            <w:pPr>
              <w:tabs>
                <w:tab w:val="clear" w:pos="567"/>
              </w:tabs>
              <w:spacing w:before="20"/>
              <w:jc w:val="right"/>
              <w:rPr>
                <w:rFonts w:cs="Arial"/>
                <w:sz w:val="18"/>
                <w:szCs w:val="22"/>
              </w:rPr>
            </w:pPr>
            <w:r>
              <w:rPr>
                <w:rFonts w:cs="Arial"/>
                <w:sz w:val="18"/>
                <w:szCs w:val="22"/>
              </w:rPr>
              <w:t>88</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0</w:t>
            </w:r>
          </w:p>
        </w:tc>
        <w:tc>
          <w:tcPr>
            <w:tcW w:w="0" w:type="auto"/>
          </w:tcPr>
          <w:p w:rsidR="00000000" w:rsidRDefault="00000000">
            <w:pPr>
              <w:spacing w:before="20"/>
              <w:jc w:val="right"/>
              <w:rPr>
                <w:rFonts w:cs="Arial"/>
                <w:sz w:val="18"/>
                <w:szCs w:val="22"/>
              </w:rPr>
            </w:pPr>
            <w:r>
              <w:rPr>
                <w:rFonts w:cs="Arial"/>
                <w:sz w:val="18"/>
                <w:szCs w:val="22"/>
              </w:rPr>
              <w:t>199</w:t>
            </w:r>
          </w:p>
        </w:tc>
        <w:tc>
          <w:tcPr>
            <w:tcW w:w="0" w:type="auto"/>
          </w:tcPr>
          <w:p w:rsidR="00000000" w:rsidRDefault="00000000">
            <w:pPr>
              <w:spacing w:before="20"/>
              <w:jc w:val="right"/>
              <w:rPr>
                <w:rFonts w:cs="Arial"/>
                <w:sz w:val="18"/>
                <w:szCs w:val="22"/>
              </w:rPr>
            </w:pPr>
            <w:r>
              <w:rPr>
                <w:rFonts w:cs="Arial"/>
                <w:sz w:val="18"/>
                <w:szCs w:val="22"/>
              </w:rPr>
              <w:t>105</w:t>
            </w:r>
          </w:p>
        </w:tc>
        <w:tc>
          <w:tcPr>
            <w:tcW w:w="0" w:type="auto"/>
          </w:tcPr>
          <w:p w:rsidR="00000000" w:rsidRDefault="00000000">
            <w:pPr>
              <w:spacing w:before="20"/>
              <w:jc w:val="right"/>
              <w:rPr>
                <w:rFonts w:cs="Arial"/>
                <w:sz w:val="18"/>
                <w:szCs w:val="22"/>
              </w:rPr>
            </w:pPr>
            <w:r>
              <w:rPr>
                <w:rFonts w:cs="Arial"/>
                <w:sz w:val="18"/>
                <w:szCs w:val="22"/>
              </w:rPr>
              <w:t>93</w:t>
            </w:r>
          </w:p>
        </w:tc>
        <w:tc>
          <w:tcPr>
            <w:tcW w:w="0" w:type="auto"/>
            <w:tcMar>
              <w:right w:w="284" w:type="dxa"/>
            </w:tcMar>
          </w:tcPr>
          <w:p w:rsidR="00000000" w:rsidRDefault="00000000">
            <w:pPr>
              <w:tabs>
                <w:tab w:val="clear" w:pos="567"/>
              </w:tabs>
              <w:spacing w:before="20"/>
              <w:jc w:val="right"/>
              <w:rPr>
                <w:rFonts w:cs="Arial"/>
                <w:sz w:val="18"/>
                <w:szCs w:val="22"/>
              </w:rPr>
            </w:pPr>
            <w:r>
              <w:rPr>
                <w:rFonts w:cs="Arial"/>
                <w:sz w:val="18"/>
                <w:szCs w:val="22"/>
              </w:rPr>
              <w:t>1</w:t>
            </w:r>
          </w:p>
        </w:tc>
      </w:tr>
      <w:tr w:rsidR="00000000">
        <w:trPr>
          <w:jc w:val="center"/>
        </w:trPr>
        <w:tc>
          <w:tcPr>
            <w:tcW w:w="1518" w:type="pct"/>
          </w:tcPr>
          <w:p w:rsidR="00000000" w:rsidRDefault="00000000">
            <w:pPr>
              <w:spacing w:before="20"/>
              <w:rPr>
                <w:rFonts w:cs="Arial"/>
                <w:sz w:val="18"/>
                <w:szCs w:val="22"/>
              </w:rPr>
            </w:pPr>
            <w:r>
              <w:rPr>
                <w:rFonts w:cs="Arial"/>
                <w:sz w:val="18"/>
                <w:szCs w:val="22"/>
              </w:rPr>
              <w:t>Синалоа</w:t>
            </w:r>
          </w:p>
        </w:tc>
        <w:tc>
          <w:tcPr>
            <w:tcW w:w="328" w:type="pct"/>
          </w:tcPr>
          <w:p w:rsidR="00000000" w:rsidRDefault="00000000">
            <w:pPr>
              <w:spacing w:before="20"/>
              <w:ind w:left="57"/>
              <w:jc w:val="right"/>
              <w:rPr>
                <w:rFonts w:cs="Arial"/>
                <w:sz w:val="18"/>
                <w:szCs w:val="22"/>
              </w:rPr>
            </w:pPr>
            <w:r>
              <w:rPr>
                <w:rFonts w:cs="Arial"/>
                <w:sz w:val="18"/>
                <w:szCs w:val="22"/>
              </w:rPr>
              <w:t>110</w:t>
            </w:r>
          </w:p>
        </w:tc>
        <w:tc>
          <w:tcPr>
            <w:tcW w:w="429" w:type="pct"/>
          </w:tcPr>
          <w:p w:rsidR="00000000" w:rsidRDefault="00000000">
            <w:pPr>
              <w:spacing w:before="20"/>
              <w:jc w:val="right"/>
              <w:rPr>
                <w:rFonts w:cs="Arial"/>
                <w:sz w:val="18"/>
                <w:szCs w:val="22"/>
                <w:lang w:val="fr-FR"/>
              </w:rPr>
            </w:pPr>
            <w:r>
              <w:rPr>
                <w:rFonts w:cs="Arial"/>
                <w:sz w:val="18"/>
                <w:szCs w:val="22"/>
                <w:lang w:val="fr-FR"/>
              </w:rPr>
              <w:t>57</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52</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1</w:t>
            </w:r>
          </w:p>
        </w:tc>
        <w:tc>
          <w:tcPr>
            <w:tcW w:w="0" w:type="auto"/>
          </w:tcPr>
          <w:p w:rsidR="00000000" w:rsidRDefault="00000000">
            <w:pPr>
              <w:spacing w:before="20"/>
              <w:jc w:val="right"/>
              <w:rPr>
                <w:rFonts w:cs="Arial"/>
                <w:sz w:val="18"/>
                <w:szCs w:val="22"/>
                <w:lang w:val="fr-FR"/>
              </w:rPr>
            </w:pPr>
            <w:r>
              <w:rPr>
                <w:rFonts w:cs="Arial"/>
                <w:sz w:val="18"/>
                <w:szCs w:val="22"/>
                <w:lang w:val="fr-FR"/>
              </w:rPr>
              <w:t>107</w:t>
            </w:r>
          </w:p>
        </w:tc>
        <w:tc>
          <w:tcPr>
            <w:tcW w:w="0" w:type="auto"/>
          </w:tcPr>
          <w:p w:rsidR="00000000" w:rsidRDefault="00000000">
            <w:pPr>
              <w:spacing w:before="20"/>
              <w:jc w:val="right"/>
              <w:rPr>
                <w:rFonts w:cs="Arial"/>
                <w:sz w:val="18"/>
                <w:szCs w:val="22"/>
                <w:lang w:val="fr-FR"/>
              </w:rPr>
            </w:pPr>
            <w:r>
              <w:rPr>
                <w:rFonts w:cs="Arial"/>
                <w:sz w:val="18"/>
                <w:szCs w:val="22"/>
                <w:lang w:val="fr-FR"/>
              </w:rPr>
              <w:t>64</w:t>
            </w:r>
          </w:p>
        </w:tc>
        <w:tc>
          <w:tcPr>
            <w:tcW w:w="0" w:type="auto"/>
          </w:tcPr>
          <w:p w:rsidR="00000000" w:rsidRDefault="00000000">
            <w:pPr>
              <w:spacing w:before="20"/>
              <w:jc w:val="right"/>
              <w:rPr>
                <w:rFonts w:cs="Arial"/>
                <w:sz w:val="18"/>
                <w:szCs w:val="22"/>
                <w:lang w:val="fr-FR"/>
              </w:rPr>
            </w:pPr>
            <w:r>
              <w:rPr>
                <w:rFonts w:cs="Arial"/>
                <w:sz w:val="18"/>
                <w:szCs w:val="22"/>
                <w:lang w:val="fr-FR"/>
              </w:rPr>
              <w:t>43</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Сонора</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137</w:t>
            </w:r>
          </w:p>
        </w:tc>
        <w:tc>
          <w:tcPr>
            <w:tcW w:w="429" w:type="pct"/>
          </w:tcPr>
          <w:p w:rsidR="00000000" w:rsidRDefault="00000000">
            <w:pPr>
              <w:spacing w:before="20"/>
              <w:jc w:val="right"/>
              <w:rPr>
                <w:rFonts w:cs="Arial"/>
                <w:sz w:val="18"/>
                <w:szCs w:val="22"/>
                <w:lang w:val="fr-FR"/>
              </w:rPr>
            </w:pPr>
            <w:r>
              <w:rPr>
                <w:rFonts w:cs="Arial"/>
                <w:sz w:val="18"/>
                <w:szCs w:val="22"/>
                <w:lang w:val="fr-FR"/>
              </w:rPr>
              <w:t>82</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55</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133</w:t>
            </w:r>
          </w:p>
        </w:tc>
        <w:tc>
          <w:tcPr>
            <w:tcW w:w="0" w:type="auto"/>
          </w:tcPr>
          <w:p w:rsidR="00000000" w:rsidRDefault="00000000">
            <w:pPr>
              <w:spacing w:before="20"/>
              <w:jc w:val="right"/>
              <w:rPr>
                <w:rFonts w:cs="Arial"/>
                <w:sz w:val="18"/>
                <w:szCs w:val="22"/>
                <w:lang w:val="fr-FR"/>
              </w:rPr>
            </w:pPr>
            <w:r>
              <w:rPr>
                <w:rFonts w:cs="Arial"/>
                <w:sz w:val="18"/>
                <w:szCs w:val="22"/>
                <w:lang w:val="fr-FR"/>
              </w:rPr>
              <w:t>66</w:t>
            </w:r>
          </w:p>
        </w:tc>
        <w:tc>
          <w:tcPr>
            <w:tcW w:w="0" w:type="auto"/>
          </w:tcPr>
          <w:p w:rsidR="00000000" w:rsidRDefault="00000000">
            <w:pPr>
              <w:spacing w:before="20"/>
              <w:jc w:val="right"/>
              <w:rPr>
                <w:rFonts w:cs="Arial"/>
                <w:sz w:val="18"/>
                <w:szCs w:val="22"/>
                <w:lang w:val="fr-FR"/>
              </w:rPr>
            </w:pPr>
            <w:r>
              <w:rPr>
                <w:rFonts w:cs="Arial"/>
                <w:sz w:val="18"/>
                <w:szCs w:val="22"/>
                <w:lang w:val="fr-FR"/>
              </w:rPr>
              <w:t>67</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Табаско</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133</w:t>
            </w:r>
          </w:p>
        </w:tc>
        <w:tc>
          <w:tcPr>
            <w:tcW w:w="429" w:type="pct"/>
          </w:tcPr>
          <w:p w:rsidR="00000000" w:rsidRDefault="00000000">
            <w:pPr>
              <w:spacing w:before="20"/>
              <w:jc w:val="right"/>
              <w:rPr>
                <w:rFonts w:cs="Arial"/>
                <w:sz w:val="18"/>
                <w:szCs w:val="22"/>
                <w:lang w:val="fr-FR"/>
              </w:rPr>
            </w:pPr>
            <w:r>
              <w:rPr>
                <w:rFonts w:cs="Arial"/>
                <w:sz w:val="18"/>
                <w:szCs w:val="22"/>
                <w:lang w:val="fr-FR"/>
              </w:rPr>
              <w:t>81</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52</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124</w:t>
            </w:r>
          </w:p>
        </w:tc>
        <w:tc>
          <w:tcPr>
            <w:tcW w:w="0" w:type="auto"/>
          </w:tcPr>
          <w:p w:rsidR="00000000" w:rsidRDefault="00000000">
            <w:pPr>
              <w:spacing w:before="20"/>
              <w:jc w:val="right"/>
              <w:rPr>
                <w:rFonts w:cs="Arial"/>
                <w:sz w:val="18"/>
                <w:szCs w:val="22"/>
                <w:lang w:val="fr-FR"/>
              </w:rPr>
            </w:pPr>
            <w:r>
              <w:rPr>
                <w:rFonts w:cs="Arial"/>
                <w:sz w:val="18"/>
                <w:szCs w:val="22"/>
                <w:lang w:val="fr-FR"/>
              </w:rPr>
              <w:t>86</w:t>
            </w:r>
          </w:p>
        </w:tc>
        <w:tc>
          <w:tcPr>
            <w:tcW w:w="0" w:type="auto"/>
          </w:tcPr>
          <w:p w:rsidR="00000000" w:rsidRDefault="00000000">
            <w:pPr>
              <w:spacing w:before="20"/>
              <w:jc w:val="right"/>
              <w:rPr>
                <w:rFonts w:cs="Arial"/>
                <w:sz w:val="18"/>
                <w:szCs w:val="22"/>
                <w:lang w:val="fr-FR"/>
              </w:rPr>
            </w:pPr>
            <w:r>
              <w:rPr>
                <w:rFonts w:cs="Arial"/>
                <w:sz w:val="18"/>
                <w:szCs w:val="22"/>
                <w:lang w:val="fr-FR"/>
              </w:rPr>
              <w:t>38</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Тамаулипас</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110</w:t>
            </w:r>
          </w:p>
        </w:tc>
        <w:tc>
          <w:tcPr>
            <w:tcW w:w="429" w:type="pct"/>
          </w:tcPr>
          <w:p w:rsidR="00000000" w:rsidRDefault="00000000">
            <w:pPr>
              <w:spacing w:before="20"/>
              <w:jc w:val="right"/>
              <w:rPr>
                <w:rFonts w:cs="Arial"/>
                <w:sz w:val="18"/>
                <w:szCs w:val="22"/>
                <w:lang w:val="fr-FR"/>
              </w:rPr>
            </w:pPr>
            <w:r>
              <w:rPr>
                <w:rFonts w:cs="Arial"/>
                <w:sz w:val="18"/>
                <w:szCs w:val="22"/>
                <w:lang w:val="fr-FR"/>
              </w:rPr>
              <w:t>57</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53</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132</w:t>
            </w:r>
          </w:p>
        </w:tc>
        <w:tc>
          <w:tcPr>
            <w:tcW w:w="0" w:type="auto"/>
          </w:tcPr>
          <w:p w:rsidR="00000000" w:rsidRDefault="00000000">
            <w:pPr>
              <w:spacing w:before="20"/>
              <w:jc w:val="right"/>
              <w:rPr>
                <w:rFonts w:cs="Arial"/>
                <w:sz w:val="18"/>
                <w:szCs w:val="22"/>
                <w:lang w:val="fr-FR"/>
              </w:rPr>
            </w:pPr>
            <w:r>
              <w:rPr>
                <w:rFonts w:cs="Arial"/>
                <w:sz w:val="18"/>
                <w:szCs w:val="22"/>
                <w:lang w:val="fr-FR"/>
              </w:rPr>
              <w:t>70</w:t>
            </w:r>
          </w:p>
        </w:tc>
        <w:tc>
          <w:tcPr>
            <w:tcW w:w="0" w:type="auto"/>
          </w:tcPr>
          <w:p w:rsidR="00000000" w:rsidRDefault="00000000">
            <w:pPr>
              <w:spacing w:before="20"/>
              <w:jc w:val="right"/>
              <w:rPr>
                <w:rFonts w:cs="Arial"/>
                <w:sz w:val="18"/>
                <w:szCs w:val="22"/>
                <w:lang w:val="fr-FR"/>
              </w:rPr>
            </w:pPr>
            <w:r>
              <w:rPr>
                <w:rFonts w:cs="Arial"/>
                <w:sz w:val="18"/>
                <w:szCs w:val="22"/>
                <w:lang w:val="fr-FR"/>
              </w:rPr>
              <w:t>62</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Тласкала</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84</w:t>
            </w:r>
          </w:p>
        </w:tc>
        <w:tc>
          <w:tcPr>
            <w:tcW w:w="429" w:type="pct"/>
          </w:tcPr>
          <w:p w:rsidR="00000000" w:rsidRDefault="00000000">
            <w:pPr>
              <w:spacing w:before="20"/>
              <w:jc w:val="right"/>
              <w:rPr>
                <w:rFonts w:cs="Arial"/>
                <w:sz w:val="18"/>
                <w:szCs w:val="22"/>
                <w:lang w:val="fr-FR"/>
              </w:rPr>
            </w:pPr>
            <w:r>
              <w:rPr>
                <w:rFonts w:cs="Arial"/>
                <w:sz w:val="18"/>
                <w:szCs w:val="22"/>
                <w:lang w:val="fr-FR"/>
              </w:rPr>
              <w:t>59</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25</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64</w:t>
            </w:r>
          </w:p>
        </w:tc>
        <w:tc>
          <w:tcPr>
            <w:tcW w:w="0" w:type="auto"/>
          </w:tcPr>
          <w:p w:rsidR="00000000" w:rsidRDefault="00000000">
            <w:pPr>
              <w:spacing w:before="20"/>
              <w:jc w:val="right"/>
              <w:rPr>
                <w:rFonts w:cs="Arial"/>
                <w:sz w:val="18"/>
                <w:szCs w:val="22"/>
                <w:lang w:val="fr-FR"/>
              </w:rPr>
            </w:pPr>
            <w:r>
              <w:rPr>
                <w:rFonts w:cs="Arial"/>
                <w:sz w:val="18"/>
                <w:szCs w:val="22"/>
                <w:lang w:val="fr-FR"/>
              </w:rPr>
              <w:t>34</w:t>
            </w:r>
          </w:p>
        </w:tc>
        <w:tc>
          <w:tcPr>
            <w:tcW w:w="0" w:type="auto"/>
          </w:tcPr>
          <w:p w:rsidR="00000000" w:rsidRDefault="00000000">
            <w:pPr>
              <w:spacing w:before="20"/>
              <w:jc w:val="right"/>
              <w:rPr>
                <w:rFonts w:cs="Arial"/>
                <w:sz w:val="18"/>
                <w:szCs w:val="22"/>
                <w:lang w:val="fr-FR"/>
              </w:rPr>
            </w:pPr>
            <w:r>
              <w:rPr>
                <w:rFonts w:cs="Arial"/>
                <w:sz w:val="18"/>
                <w:szCs w:val="22"/>
                <w:lang w:val="fr-FR"/>
              </w:rPr>
              <w:t>30</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Веракрус-де-Игнасио-де-ла-Льяве</w:t>
            </w:r>
          </w:p>
        </w:tc>
        <w:tc>
          <w:tcPr>
            <w:tcW w:w="328" w:type="pct"/>
          </w:tcPr>
          <w:p w:rsidR="00000000" w:rsidRDefault="00000000">
            <w:pPr>
              <w:spacing w:before="20"/>
              <w:ind w:left="57"/>
              <w:jc w:val="right"/>
              <w:rPr>
                <w:rFonts w:cs="Arial"/>
                <w:sz w:val="18"/>
                <w:szCs w:val="22"/>
              </w:rPr>
            </w:pPr>
            <w:r>
              <w:rPr>
                <w:rFonts w:cs="Arial"/>
                <w:sz w:val="18"/>
                <w:szCs w:val="22"/>
              </w:rPr>
              <w:t>500</w:t>
            </w:r>
          </w:p>
        </w:tc>
        <w:tc>
          <w:tcPr>
            <w:tcW w:w="429" w:type="pct"/>
          </w:tcPr>
          <w:p w:rsidR="00000000" w:rsidRDefault="00000000">
            <w:pPr>
              <w:spacing w:before="20"/>
              <w:jc w:val="right"/>
              <w:rPr>
                <w:rFonts w:cs="Arial"/>
                <w:sz w:val="18"/>
                <w:szCs w:val="22"/>
                <w:lang w:val="fr-FR"/>
              </w:rPr>
            </w:pPr>
            <w:r>
              <w:rPr>
                <w:rFonts w:cs="Arial"/>
                <w:sz w:val="18"/>
                <w:szCs w:val="22"/>
                <w:lang w:val="fr-FR"/>
              </w:rPr>
              <w:t>284</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216</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495</w:t>
            </w:r>
          </w:p>
        </w:tc>
        <w:tc>
          <w:tcPr>
            <w:tcW w:w="0" w:type="auto"/>
          </w:tcPr>
          <w:p w:rsidR="00000000" w:rsidRDefault="00000000">
            <w:pPr>
              <w:spacing w:before="20"/>
              <w:jc w:val="right"/>
              <w:rPr>
                <w:rFonts w:cs="Arial"/>
                <w:sz w:val="18"/>
                <w:szCs w:val="22"/>
                <w:lang w:val="fr-FR"/>
              </w:rPr>
            </w:pPr>
            <w:r>
              <w:rPr>
                <w:rFonts w:cs="Arial"/>
                <w:sz w:val="18"/>
                <w:szCs w:val="22"/>
                <w:lang w:val="fr-FR"/>
              </w:rPr>
              <w:t>282</w:t>
            </w:r>
          </w:p>
        </w:tc>
        <w:tc>
          <w:tcPr>
            <w:tcW w:w="0" w:type="auto"/>
          </w:tcPr>
          <w:p w:rsidR="00000000" w:rsidRDefault="00000000">
            <w:pPr>
              <w:spacing w:before="20"/>
              <w:jc w:val="right"/>
              <w:rPr>
                <w:rFonts w:cs="Arial"/>
                <w:sz w:val="18"/>
                <w:szCs w:val="22"/>
                <w:lang w:val="fr-FR"/>
              </w:rPr>
            </w:pPr>
            <w:r>
              <w:rPr>
                <w:rFonts w:cs="Arial"/>
                <w:sz w:val="18"/>
                <w:szCs w:val="22"/>
                <w:lang w:val="fr-FR"/>
              </w:rPr>
              <w:t>213</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Юкатан</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117</w:t>
            </w:r>
          </w:p>
        </w:tc>
        <w:tc>
          <w:tcPr>
            <w:tcW w:w="429" w:type="pct"/>
          </w:tcPr>
          <w:p w:rsidR="00000000" w:rsidRDefault="00000000">
            <w:pPr>
              <w:spacing w:before="20"/>
              <w:jc w:val="right"/>
              <w:rPr>
                <w:rFonts w:cs="Arial"/>
                <w:sz w:val="18"/>
                <w:szCs w:val="22"/>
                <w:lang w:val="fr-FR"/>
              </w:rPr>
            </w:pPr>
            <w:r>
              <w:rPr>
                <w:rFonts w:cs="Arial"/>
                <w:sz w:val="18"/>
                <w:szCs w:val="22"/>
                <w:lang w:val="fr-FR"/>
              </w:rPr>
              <w:t>62</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55</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Pr>
          <w:p w:rsidR="00000000" w:rsidRDefault="00000000">
            <w:pPr>
              <w:spacing w:before="20"/>
              <w:jc w:val="right"/>
              <w:rPr>
                <w:rFonts w:cs="Arial"/>
                <w:sz w:val="18"/>
                <w:szCs w:val="22"/>
                <w:lang w:val="fr-FR"/>
              </w:rPr>
            </w:pPr>
            <w:r>
              <w:rPr>
                <w:rFonts w:cs="Arial"/>
                <w:sz w:val="18"/>
                <w:szCs w:val="22"/>
                <w:lang w:val="fr-FR"/>
              </w:rPr>
              <w:t>92</w:t>
            </w:r>
          </w:p>
        </w:tc>
        <w:tc>
          <w:tcPr>
            <w:tcW w:w="0" w:type="auto"/>
          </w:tcPr>
          <w:p w:rsidR="00000000" w:rsidRDefault="00000000">
            <w:pPr>
              <w:spacing w:before="20"/>
              <w:jc w:val="right"/>
              <w:rPr>
                <w:rFonts w:cs="Arial"/>
                <w:sz w:val="18"/>
                <w:szCs w:val="22"/>
                <w:lang w:val="fr-FR"/>
              </w:rPr>
            </w:pPr>
            <w:r>
              <w:rPr>
                <w:rFonts w:cs="Arial"/>
                <w:sz w:val="18"/>
                <w:szCs w:val="22"/>
                <w:lang w:val="fr-FR"/>
              </w:rPr>
              <w:t>56</w:t>
            </w:r>
          </w:p>
        </w:tc>
        <w:tc>
          <w:tcPr>
            <w:tcW w:w="0" w:type="auto"/>
          </w:tcPr>
          <w:p w:rsidR="00000000" w:rsidRDefault="00000000">
            <w:pPr>
              <w:spacing w:before="20"/>
              <w:jc w:val="right"/>
              <w:rPr>
                <w:rFonts w:cs="Arial"/>
                <w:sz w:val="18"/>
                <w:szCs w:val="22"/>
                <w:lang w:val="fr-FR"/>
              </w:rPr>
            </w:pPr>
            <w:r>
              <w:rPr>
                <w:rFonts w:cs="Arial"/>
                <w:sz w:val="18"/>
                <w:szCs w:val="22"/>
                <w:lang w:val="fr-FR"/>
              </w:rPr>
              <w:t>36</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Pr>
          <w:p w:rsidR="00000000" w:rsidRDefault="00000000">
            <w:pPr>
              <w:spacing w:before="20"/>
              <w:rPr>
                <w:rFonts w:cs="Arial"/>
                <w:sz w:val="18"/>
                <w:szCs w:val="22"/>
              </w:rPr>
            </w:pPr>
            <w:r>
              <w:rPr>
                <w:rFonts w:cs="Arial"/>
                <w:sz w:val="18"/>
                <w:szCs w:val="22"/>
              </w:rPr>
              <w:t>Сакатекас</w:t>
            </w:r>
          </w:p>
        </w:tc>
        <w:tc>
          <w:tcPr>
            <w:tcW w:w="328" w:type="pct"/>
          </w:tcPr>
          <w:p w:rsidR="00000000" w:rsidRDefault="00000000">
            <w:pPr>
              <w:spacing w:before="20"/>
              <w:ind w:left="57"/>
              <w:jc w:val="right"/>
              <w:rPr>
                <w:rFonts w:cs="Arial"/>
                <w:sz w:val="18"/>
                <w:szCs w:val="22"/>
                <w:lang w:val="fr-FR"/>
              </w:rPr>
            </w:pPr>
            <w:r>
              <w:rPr>
                <w:rFonts w:cs="Arial"/>
                <w:sz w:val="18"/>
                <w:szCs w:val="22"/>
                <w:lang w:val="fr-FR"/>
              </w:rPr>
              <w:t>97</w:t>
            </w:r>
          </w:p>
        </w:tc>
        <w:tc>
          <w:tcPr>
            <w:tcW w:w="429" w:type="pct"/>
          </w:tcPr>
          <w:p w:rsidR="00000000" w:rsidRDefault="00000000">
            <w:pPr>
              <w:spacing w:before="20"/>
              <w:jc w:val="right"/>
              <w:rPr>
                <w:rFonts w:cs="Arial"/>
                <w:sz w:val="18"/>
                <w:szCs w:val="22"/>
                <w:lang w:val="fr-FR"/>
              </w:rPr>
            </w:pPr>
            <w:r>
              <w:rPr>
                <w:rFonts w:cs="Arial"/>
                <w:sz w:val="18"/>
                <w:szCs w:val="22"/>
                <w:lang w:val="fr-FR"/>
              </w:rPr>
              <w:t>48</w:t>
            </w:r>
          </w:p>
        </w:tc>
        <w:tc>
          <w:tcPr>
            <w:tcW w:w="0" w:type="auto"/>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47</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2</w:t>
            </w:r>
          </w:p>
        </w:tc>
        <w:tc>
          <w:tcPr>
            <w:tcW w:w="0" w:type="auto"/>
          </w:tcPr>
          <w:p w:rsidR="00000000" w:rsidRDefault="00000000">
            <w:pPr>
              <w:spacing w:before="20"/>
              <w:jc w:val="right"/>
              <w:rPr>
                <w:rFonts w:cs="Arial"/>
                <w:sz w:val="18"/>
                <w:szCs w:val="22"/>
                <w:lang w:val="fr-FR"/>
              </w:rPr>
            </w:pPr>
            <w:r>
              <w:rPr>
                <w:rFonts w:cs="Arial"/>
                <w:sz w:val="18"/>
                <w:szCs w:val="22"/>
                <w:lang w:val="fr-FR"/>
              </w:rPr>
              <w:t>100</w:t>
            </w:r>
          </w:p>
        </w:tc>
        <w:tc>
          <w:tcPr>
            <w:tcW w:w="0" w:type="auto"/>
          </w:tcPr>
          <w:p w:rsidR="00000000" w:rsidRDefault="00000000">
            <w:pPr>
              <w:spacing w:before="20"/>
              <w:jc w:val="right"/>
              <w:rPr>
                <w:rFonts w:cs="Arial"/>
                <w:sz w:val="18"/>
                <w:szCs w:val="22"/>
                <w:lang w:val="fr-FR"/>
              </w:rPr>
            </w:pPr>
            <w:r>
              <w:rPr>
                <w:rFonts w:cs="Arial"/>
                <w:sz w:val="18"/>
                <w:szCs w:val="22"/>
                <w:lang w:val="fr-FR"/>
              </w:rPr>
              <w:t>54</w:t>
            </w:r>
          </w:p>
        </w:tc>
        <w:tc>
          <w:tcPr>
            <w:tcW w:w="0" w:type="auto"/>
          </w:tcPr>
          <w:p w:rsidR="00000000" w:rsidRDefault="00000000">
            <w:pPr>
              <w:spacing w:before="20"/>
              <w:jc w:val="right"/>
              <w:rPr>
                <w:rFonts w:cs="Arial"/>
                <w:sz w:val="18"/>
                <w:szCs w:val="22"/>
                <w:lang w:val="fr-FR"/>
              </w:rPr>
            </w:pPr>
            <w:r>
              <w:rPr>
                <w:rFonts w:cs="Arial"/>
                <w:sz w:val="18"/>
                <w:szCs w:val="22"/>
                <w:lang w:val="fr-FR"/>
              </w:rPr>
              <w:t>46</w:t>
            </w:r>
          </w:p>
        </w:tc>
        <w:tc>
          <w:tcPr>
            <w:tcW w:w="0" w:type="auto"/>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r w:rsidR="00000000">
        <w:trPr>
          <w:jc w:val="center"/>
        </w:trPr>
        <w:tc>
          <w:tcPr>
            <w:tcW w:w="1518" w:type="pct"/>
            <w:tcBorders>
              <w:bottom w:val="single" w:sz="4" w:space="0" w:color="auto"/>
            </w:tcBorders>
          </w:tcPr>
          <w:p w:rsidR="00000000" w:rsidRDefault="00000000">
            <w:pPr>
              <w:spacing w:before="20"/>
              <w:rPr>
                <w:rFonts w:cs="Arial"/>
                <w:sz w:val="18"/>
                <w:szCs w:val="22"/>
              </w:rPr>
            </w:pPr>
            <w:r>
              <w:rPr>
                <w:rFonts w:cs="Arial"/>
                <w:sz w:val="18"/>
                <w:szCs w:val="22"/>
              </w:rPr>
              <w:t>За рубежом</w:t>
            </w:r>
          </w:p>
        </w:tc>
        <w:tc>
          <w:tcPr>
            <w:tcW w:w="328" w:type="pct"/>
            <w:tcBorders>
              <w:bottom w:val="single" w:sz="4" w:space="0" w:color="auto"/>
            </w:tcBorders>
          </w:tcPr>
          <w:p w:rsidR="00000000" w:rsidRDefault="00000000">
            <w:pPr>
              <w:spacing w:before="20"/>
              <w:ind w:left="57"/>
              <w:jc w:val="right"/>
              <w:rPr>
                <w:rFonts w:cs="Arial"/>
                <w:sz w:val="18"/>
                <w:szCs w:val="22"/>
                <w:lang w:val="fr-FR"/>
              </w:rPr>
            </w:pPr>
            <w:r>
              <w:rPr>
                <w:rFonts w:cs="Arial"/>
                <w:sz w:val="18"/>
                <w:szCs w:val="22"/>
                <w:lang w:val="fr-FR"/>
              </w:rPr>
              <w:t>14</w:t>
            </w:r>
          </w:p>
        </w:tc>
        <w:tc>
          <w:tcPr>
            <w:tcW w:w="429" w:type="pct"/>
            <w:tcBorders>
              <w:bottom w:val="single" w:sz="4" w:space="0" w:color="auto"/>
            </w:tcBorders>
          </w:tcPr>
          <w:p w:rsidR="00000000" w:rsidRDefault="00000000">
            <w:pPr>
              <w:spacing w:before="20"/>
              <w:jc w:val="right"/>
              <w:rPr>
                <w:rFonts w:cs="Arial"/>
                <w:sz w:val="18"/>
                <w:szCs w:val="22"/>
                <w:lang w:val="fr-FR"/>
              </w:rPr>
            </w:pPr>
            <w:r>
              <w:rPr>
                <w:rFonts w:cs="Arial"/>
                <w:sz w:val="18"/>
                <w:szCs w:val="22"/>
                <w:lang w:val="fr-FR"/>
              </w:rPr>
              <w:t>7</w:t>
            </w:r>
          </w:p>
        </w:tc>
        <w:tc>
          <w:tcPr>
            <w:tcW w:w="0" w:type="auto"/>
            <w:tcBorders>
              <w:bottom w:val="single" w:sz="4" w:space="0" w:color="auto"/>
            </w:tcBorders>
            <w:tcMar>
              <w:right w:w="227" w:type="dxa"/>
            </w:tcMar>
          </w:tcPr>
          <w:p w:rsidR="00000000" w:rsidRDefault="00000000">
            <w:pPr>
              <w:tabs>
                <w:tab w:val="clear" w:pos="567"/>
              </w:tabs>
              <w:spacing w:before="20"/>
              <w:jc w:val="right"/>
              <w:rPr>
                <w:rFonts w:cs="Arial"/>
                <w:sz w:val="18"/>
                <w:szCs w:val="22"/>
                <w:lang w:val="fr-FR"/>
              </w:rPr>
            </w:pPr>
            <w:r>
              <w:rPr>
                <w:rFonts w:cs="Arial"/>
                <w:sz w:val="18"/>
                <w:szCs w:val="22"/>
                <w:lang w:val="fr-FR"/>
              </w:rPr>
              <w:t>7</w:t>
            </w:r>
          </w:p>
        </w:tc>
        <w:tc>
          <w:tcPr>
            <w:tcW w:w="0" w:type="auto"/>
            <w:tcBorders>
              <w:bottom w:val="single" w:sz="4" w:space="0" w:color="auto"/>
            </w:tcBorders>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c>
          <w:tcPr>
            <w:tcW w:w="0" w:type="auto"/>
            <w:tcBorders>
              <w:bottom w:val="single" w:sz="4" w:space="0" w:color="auto"/>
            </w:tcBorders>
          </w:tcPr>
          <w:p w:rsidR="00000000" w:rsidRDefault="00000000">
            <w:pPr>
              <w:spacing w:before="20"/>
              <w:jc w:val="right"/>
              <w:rPr>
                <w:rFonts w:cs="Arial"/>
                <w:sz w:val="18"/>
                <w:szCs w:val="22"/>
                <w:lang w:val="fr-FR"/>
              </w:rPr>
            </w:pPr>
            <w:r>
              <w:rPr>
                <w:rFonts w:cs="Arial"/>
                <w:sz w:val="18"/>
                <w:szCs w:val="22"/>
                <w:lang w:val="fr-FR"/>
              </w:rPr>
              <w:t>22</w:t>
            </w:r>
          </w:p>
        </w:tc>
        <w:tc>
          <w:tcPr>
            <w:tcW w:w="0" w:type="auto"/>
            <w:tcBorders>
              <w:bottom w:val="single" w:sz="4" w:space="0" w:color="auto"/>
            </w:tcBorders>
          </w:tcPr>
          <w:p w:rsidR="00000000" w:rsidRDefault="00000000">
            <w:pPr>
              <w:spacing w:before="20"/>
              <w:jc w:val="right"/>
              <w:rPr>
                <w:rFonts w:cs="Arial"/>
                <w:sz w:val="18"/>
                <w:szCs w:val="22"/>
                <w:lang w:val="fr-FR"/>
              </w:rPr>
            </w:pPr>
            <w:r>
              <w:rPr>
                <w:rFonts w:cs="Arial"/>
                <w:sz w:val="18"/>
                <w:szCs w:val="22"/>
                <w:lang w:val="fr-FR"/>
              </w:rPr>
              <w:t>11</w:t>
            </w:r>
          </w:p>
        </w:tc>
        <w:tc>
          <w:tcPr>
            <w:tcW w:w="0" w:type="auto"/>
            <w:tcBorders>
              <w:bottom w:val="single" w:sz="4" w:space="0" w:color="auto"/>
            </w:tcBorders>
          </w:tcPr>
          <w:p w:rsidR="00000000" w:rsidRDefault="00000000">
            <w:pPr>
              <w:spacing w:before="20"/>
              <w:jc w:val="right"/>
              <w:rPr>
                <w:rFonts w:cs="Arial"/>
                <w:sz w:val="18"/>
                <w:szCs w:val="22"/>
                <w:lang w:val="fr-FR"/>
              </w:rPr>
            </w:pPr>
            <w:r>
              <w:rPr>
                <w:rFonts w:cs="Arial"/>
                <w:sz w:val="18"/>
                <w:szCs w:val="22"/>
                <w:lang w:val="fr-FR"/>
              </w:rPr>
              <w:t>11</w:t>
            </w:r>
          </w:p>
        </w:tc>
        <w:tc>
          <w:tcPr>
            <w:tcW w:w="0" w:type="auto"/>
            <w:tcBorders>
              <w:bottom w:val="single" w:sz="4" w:space="0" w:color="auto"/>
            </w:tcBorders>
            <w:tcMar>
              <w:right w:w="284" w:type="dxa"/>
            </w:tcMar>
          </w:tcPr>
          <w:p w:rsidR="00000000" w:rsidRDefault="00000000">
            <w:pPr>
              <w:tabs>
                <w:tab w:val="clear" w:pos="567"/>
              </w:tabs>
              <w:spacing w:before="20"/>
              <w:jc w:val="right"/>
              <w:rPr>
                <w:rFonts w:cs="Arial"/>
                <w:sz w:val="18"/>
                <w:szCs w:val="22"/>
                <w:lang w:val="fr-FR"/>
              </w:rPr>
            </w:pPr>
            <w:r>
              <w:rPr>
                <w:rFonts w:cs="Arial"/>
                <w:sz w:val="18"/>
                <w:szCs w:val="22"/>
                <w:lang w:val="fr-FR"/>
              </w:rPr>
              <w:t>0</w:t>
            </w:r>
          </w:p>
        </w:tc>
      </w:tr>
    </w:tbl>
    <w:p w:rsidR="00000000" w:rsidRDefault="00000000">
      <w:pPr>
        <w:spacing w:line="240" w:lineRule="auto"/>
        <w:rPr>
          <w:b/>
          <w:bCs/>
        </w:rPr>
      </w:pPr>
    </w:p>
    <w:p w:rsidR="00000000" w:rsidRDefault="00000000">
      <w:pPr>
        <w:spacing w:line="240" w:lineRule="auto"/>
        <w:rPr>
          <w:i/>
          <w:iCs/>
          <w:sz w:val="18"/>
        </w:rPr>
      </w:pPr>
      <w:r>
        <w:rPr>
          <w:i/>
          <w:iCs/>
          <w:sz w:val="18"/>
        </w:rPr>
        <w:t xml:space="preserve">Источник:  </w:t>
      </w:r>
      <w:r>
        <w:rPr>
          <w:sz w:val="18"/>
        </w:rPr>
        <w:t>НИСГИ</w:t>
      </w:r>
      <w:r>
        <w:rPr>
          <w:i/>
          <w:iCs/>
          <w:sz w:val="18"/>
        </w:rPr>
        <w:t>,</w:t>
      </w:r>
      <w:r>
        <w:rPr>
          <w:sz w:val="18"/>
        </w:rPr>
        <w:t xml:space="preserve"> "Статистика смертности".</w:t>
      </w:r>
    </w:p>
    <w:p w:rsidR="00000000" w:rsidRDefault="00000000">
      <w:pPr>
        <w:rPr>
          <w:i/>
          <w:iCs/>
        </w:rPr>
      </w:pPr>
    </w:p>
    <w:p w:rsidR="00000000" w:rsidRDefault="00000000">
      <w:pPr>
        <w:rPr>
          <w:i/>
          <w:iCs/>
        </w:rPr>
      </w:pPr>
    </w:p>
    <w:p w:rsidR="00000000" w:rsidRDefault="00000000">
      <w:pPr>
        <w:rPr>
          <w:b/>
          <w:bCs/>
        </w:rPr>
      </w:pPr>
      <w:r>
        <w:rPr>
          <w:b/>
          <w:bCs/>
        </w:rPr>
        <w:t>Пункт 50 е)</w:t>
      </w:r>
    </w:p>
    <w:p w:rsidR="00000000" w:rsidRDefault="00000000">
      <w:pPr>
        <w:rPr>
          <w:b/>
          <w:bCs/>
        </w:rPr>
      </w:pPr>
    </w:p>
    <w:tbl>
      <w:tblPr>
        <w:tblW w:w="4952" w:type="pct"/>
        <w:jc w:val="center"/>
        <w:tblInd w:w="-555" w:type="dxa"/>
        <w:tblCellMar>
          <w:left w:w="0" w:type="dxa"/>
          <w:right w:w="0" w:type="dxa"/>
        </w:tblCellMar>
        <w:tblLook w:val="0000" w:firstRow="0" w:lastRow="0" w:firstColumn="0" w:lastColumn="0" w:noHBand="0" w:noVBand="0"/>
      </w:tblPr>
      <w:tblGrid>
        <w:gridCol w:w="5177"/>
        <w:gridCol w:w="1271"/>
        <w:gridCol w:w="1271"/>
        <w:gridCol w:w="1561"/>
      </w:tblGrid>
      <w:tr w:rsidR="00000000">
        <w:trPr>
          <w:trHeight w:val="312"/>
          <w:jc w:val="center"/>
        </w:trPr>
        <w:tc>
          <w:tcPr>
            <w:tcW w:w="2790" w:type="pct"/>
            <w:tcBorders>
              <w:top w:val="single" w:sz="4" w:space="0" w:color="auto"/>
              <w:bottom w:val="single" w:sz="4" w:space="0" w:color="auto"/>
            </w:tcBorders>
          </w:tcPr>
          <w:p w:rsidR="00000000" w:rsidRDefault="00000000">
            <w:pPr>
              <w:spacing w:before="120" w:line="240" w:lineRule="auto"/>
              <w:rPr>
                <w:rFonts w:cs="Arial"/>
                <w:sz w:val="18"/>
                <w:szCs w:val="22"/>
              </w:rPr>
            </w:pPr>
          </w:p>
        </w:tc>
        <w:tc>
          <w:tcPr>
            <w:tcW w:w="0" w:type="auto"/>
            <w:tcBorders>
              <w:top w:val="single" w:sz="4" w:space="0" w:color="auto"/>
              <w:bottom w:val="single" w:sz="4" w:space="0" w:color="auto"/>
            </w:tcBorders>
            <w:vAlign w:val="center"/>
          </w:tcPr>
          <w:p w:rsidR="00000000" w:rsidRDefault="00000000">
            <w:pPr>
              <w:spacing w:before="120" w:line="240" w:lineRule="auto"/>
              <w:jc w:val="center"/>
              <w:rPr>
                <w:rFonts w:cs="Arial"/>
                <w:i/>
                <w:iCs/>
                <w:sz w:val="18"/>
                <w:szCs w:val="22"/>
              </w:rPr>
            </w:pPr>
            <w:r>
              <w:rPr>
                <w:rFonts w:cs="Arial"/>
                <w:i/>
                <w:iCs/>
                <w:sz w:val="18"/>
                <w:szCs w:val="22"/>
              </w:rPr>
              <w:t>1990</w:t>
            </w:r>
          </w:p>
        </w:tc>
        <w:tc>
          <w:tcPr>
            <w:tcW w:w="0" w:type="auto"/>
            <w:tcBorders>
              <w:top w:val="single" w:sz="4" w:space="0" w:color="auto"/>
              <w:bottom w:val="single" w:sz="4" w:space="0" w:color="auto"/>
            </w:tcBorders>
            <w:vAlign w:val="center"/>
          </w:tcPr>
          <w:p w:rsidR="00000000" w:rsidRDefault="00000000">
            <w:pPr>
              <w:spacing w:before="120" w:line="240" w:lineRule="auto"/>
              <w:jc w:val="center"/>
              <w:rPr>
                <w:rFonts w:cs="Arial"/>
                <w:i/>
                <w:iCs/>
                <w:sz w:val="18"/>
                <w:szCs w:val="22"/>
                <w:lang w:val="en-US"/>
              </w:rPr>
            </w:pPr>
            <w:r>
              <w:rPr>
                <w:rFonts w:cs="Arial"/>
                <w:i/>
                <w:iCs/>
                <w:sz w:val="18"/>
                <w:szCs w:val="22"/>
                <w:lang w:val="en-US"/>
              </w:rPr>
              <w:t>1995</w:t>
            </w:r>
          </w:p>
        </w:tc>
        <w:tc>
          <w:tcPr>
            <w:tcW w:w="841" w:type="pct"/>
            <w:tcBorders>
              <w:top w:val="single" w:sz="4" w:space="0" w:color="auto"/>
              <w:bottom w:val="single" w:sz="4" w:space="0" w:color="auto"/>
            </w:tcBorders>
            <w:vAlign w:val="center"/>
          </w:tcPr>
          <w:p w:rsidR="00000000" w:rsidRDefault="00000000">
            <w:pPr>
              <w:spacing w:before="120" w:line="240" w:lineRule="auto"/>
              <w:jc w:val="center"/>
              <w:rPr>
                <w:rFonts w:cs="Arial"/>
                <w:i/>
                <w:iCs/>
                <w:sz w:val="18"/>
                <w:szCs w:val="22"/>
                <w:lang w:val="en-US"/>
              </w:rPr>
            </w:pPr>
            <w:r>
              <w:rPr>
                <w:rFonts w:cs="Arial"/>
                <w:i/>
                <w:iCs/>
                <w:sz w:val="18"/>
                <w:szCs w:val="22"/>
                <w:lang w:val="en-US"/>
              </w:rPr>
              <w:t>2000</w:t>
            </w:r>
          </w:p>
        </w:tc>
      </w:tr>
      <w:tr w:rsidR="00000000">
        <w:trPr>
          <w:jc w:val="center"/>
        </w:trPr>
        <w:tc>
          <w:tcPr>
            <w:tcW w:w="2790" w:type="pct"/>
            <w:tcBorders>
              <w:top w:val="single" w:sz="4" w:space="0" w:color="auto"/>
            </w:tcBorders>
          </w:tcPr>
          <w:p w:rsidR="00000000" w:rsidRDefault="00000000">
            <w:pPr>
              <w:spacing w:before="120" w:line="240" w:lineRule="auto"/>
              <w:rPr>
                <w:rFonts w:cs="Arial"/>
                <w:sz w:val="18"/>
                <w:szCs w:val="22"/>
              </w:rPr>
            </w:pPr>
            <w:r>
              <w:rPr>
                <w:rFonts w:cs="Arial"/>
                <w:sz w:val="18"/>
                <w:szCs w:val="22"/>
              </w:rPr>
              <w:t>Все население</w:t>
            </w:r>
          </w:p>
        </w:tc>
        <w:tc>
          <w:tcPr>
            <w:tcW w:w="0" w:type="auto"/>
            <w:tcBorders>
              <w:top w:val="single" w:sz="4" w:space="0" w:color="auto"/>
            </w:tcBorders>
          </w:tcPr>
          <w:p w:rsidR="00000000" w:rsidRDefault="00000000">
            <w:pPr>
              <w:tabs>
                <w:tab w:val="clear" w:pos="1134"/>
              </w:tabs>
              <w:spacing w:before="120" w:line="240" w:lineRule="auto"/>
              <w:ind w:right="172"/>
              <w:jc w:val="right"/>
              <w:rPr>
                <w:rFonts w:cs="Arial"/>
                <w:sz w:val="18"/>
                <w:szCs w:val="22"/>
              </w:rPr>
            </w:pPr>
            <w:r>
              <w:rPr>
                <w:rFonts w:cs="Arial"/>
                <w:sz w:val="18"/>
                <w:szCs w:val="22"/>
              </w:rPr>
              <w:t>81 249 645</w:t>
            </w:r>
          </w:p>
        </w:tc>
        <w:tc>
          <w:tcPr>
            <w:tcW w:w="0" w:type="auto"/>
            <w:tcBorders>
              <w:top w:val="single" w:sz="4" w:space="0" w:color="auto"/>
            </w:tcBorders>
          </w:tcPr>
          <w:p w:rsidR="00000000" w:rsidRDefault="00000000">
            <w:pPr>
              <w:tabs>
                <w:tab w:val="clear" w:pos="1134"/>
              </w:tabs>
              <w:spacing w:before="120" w:line="240" w:lineRule="auto"/>
              <w:ind w:right="172"/>
              <w:jc w:val="right"/>
              <w:rPr>
                <w:rFonts w:cs="Arial"/>
                <w:sz w:val="18"/>
                <w:szCs w:val="22"/>
              </w:rPr>
            </w:pPr>
            <w:r>
              <w:rPr>
                <w:rFonts w:cs="Arial"/>
                <w:sz w:val="18"/>
                <w:szCs w:val="22"/>
              </w:rPr>
              <w:t>91 158 290</w:t>
            </w:r>
          </w:p>
        </w:tc>
        <w:tc>
          <w:tcPr>
            <w:tcW w:w="841" w:type="pct"/>
            <w:tcBorders>
              <w:top w:val="single" w:sz="4" w:space="0" w:color="auto"/>
            </w:tcBorders>
          </w:tcPr>
          <w:p w:rsidR="00000000" w:rsidRDefault="00000000">
            <w:pPr>
              <w:tabs>
                <w:tab w:val="clear" w:pos="1134"/>
              </w:tabs>
              <w:spacing w:before="120" w:line="240" w:lineRule="auto"/>
              <w:ind w:right="172"/>
              <w:jc w:val="right"/>
              <w:rPr>
                <w:rFonts w:cs="Arial"/>
                <w:sz w:val="18"/>
                <w:szCs w:val="22"/>
              </w:rPr>
            </w:pPr>
            <w:r>
              <w:rPr>
                <w:rFonts w:cs="Arial"/>
                <w:sz w:val="18"/>
                <w:szCs w:val="22"/>
              </w:rPr>
              <w:t>97 483 412</w:t>
            </w:r>
          </w:p>
        </w:tc>
      </w:tr>
      <w:tr w:rsidR="00000000">
        <w:trPr>
          <w:jc w:val="center"/>
        </w:trPr>
        <w:tc>
          <w:tcPr>
            <w:tcW w:w="2790" w:type="pct"/>
            <w:tcBorders>
              <w:bottom w:val="single" w:sz="4" w:space="0" w:color="auto"/>
            </w:tcBorders>
          </w:tcPr>
          <w:p w:rsidR="00000000" w:rsidRDefault="00000000">
            <w:pPr>
              <w:spacing w:before="120"/>
              <w:rPr>
                <w:rFonts w:cs="Arial"/>
                <w:sz w:val="18"/>
                <w:szCs w:val="22"/>
              </w:rPr>
            </w:pPr>
            <w:r>
              <w:rPr>
                <w:rFonts w:cs="Arial"/>
                <w:sz w:val="18"/>
                <w:szCs w:val="22"/>
              </w:rPr>
              <w:t>Ожидаемая продолжительность жизни</w:t>
            </w:r>
          </w:p>
        </w:tc>
        <w:tc>
          <w:tcPr>
            <w:tcW w:w="0" w:type="auto"/>
            <w:tcBorders>
              <w:bottom w:val="single" w:sz="4" w:space="0" w:color="auto"/>
            </w:tcBorders>
          </w:tcPr>
          <w:p w:rsidR="00000000" w:rsidRDefault="00000000">
            <w:pPr>
              <w:tabs>
                <w:tab w:val="clear" w:pos="1134"/>
              </w:tabs>
              <w:spacing w:before="120"/>
              <w:ind w:right="172"/>
              <w:jc w:val="right"/>
              <w:rPr>
                <w:rFonts w:cs="Arial"/>
                <w:sz w:val="18"/>
                <w:szCs w:val="22"/>
              </w:rPr>
            </w:pPr>
            <w:r>
              <w:rPr>
                <w:rFonts w:cs="Arial"/>
                <w:sz w:val="18"/>
                <w:szCs w:val="22"/>
              </w:rPr>
              <w:t>70,8</w:t>
            </w:r>
          </w:p>
        </w:tc>
        <w:tc>
          <w:tcPr>
            <w:tcW w:w="0" w:type="auto"/>
            <w:tcBorders>
              <w:bottom w:val="single" w:sz="4" w:space="0" w:color="auto"/>
            </w:tcBorders>
          </w:tcPr>
          <w:p w:rsidR="00000000" w:rsidRDefault="00000000">
            <w:pPr>
              <w:tabs>
                <w:tab w:val="clear" w:pos="1134"/>
              </w:tabs>
              <w:spacing w:before="120"/>
              <w:ind w:right="172"/>
              <w:jc w:val="right"/>
              <w:rPr>
                <w:rFonts w:cs="Arial"/>
                <w:sz w:val="18"/>
                <w:szCs w:val="22"/>
              </w:rPr>
            </w:pPr>
            <w:r>
              <w:rPr>
                <w:rFonts w:cs="Arial"/>
                <w:sz w:val="18"/>
                <w:szCs w:val="22"/>
              </w:rPr>
              <w:t>73,6</w:t>
            </w:r>
          </w:p>
        </w:tc>
        <w:tc>
          <w:tcPr>
            <w:tcW w:w="841" w:type="pct"/>
            <w:tcBorders>
              <w:bottom w:val="single" w:sz="4" w:space="0" w:color="auto"/>
            </w:tcBorders>
          </w:tcPr>
          <w:p w:rsidR="00000000" w:rsidRDefault="00000000">
            <w:pPr>
              <w:tabs>
                <w:tab w:val="clear" w:pos="1134"/>
              </w:tabs>
              <w:spacing w:before="120"/>
              <w:ind w:right="172"/>
              <w:jc w:val="right"/>
              <w:rPr>
                <w:rFonts w:cs="Arial"/>
                <w:sz w:val="18"/>
                <w:szCs w:val="22"/>
              </w:rPr>
            </w:pPr>
            <w:r>
              <w:rPr>
                <w:rFonts w:cs="Arial"/>
                <w:sz w:val="18"/>
                <w:szCs w:val="22"/>
              </w:rPr>
              <w:t>75,3</w:t>
            </w:r>
          </w:p>
        </w:tc>
      </w:tr>
    </w:tbl>
    <w:p w:rsidR="00000000" w:rsidRDefault="00000000">
      <w:pPr>
        <w:rPr>
          <w:b/>
          <w:bCs/>
        </w:rPr>
      </w:pPr>
    </w:p>
    <w:p w:rsidR="00000000" w:rsidRDefault="00000000">
      <w:pPr>
        <w:rPr>
          <w:b/>
          <w:bCs/>
        </w:rPr>
      </w:pPr>
      <w:r>
        <w:rPr>
          <w:b/>
          <w:bCs/>
        </w:rPr>
        <w:br w:type="page"/>
        <w:t xml:space="preserve">Пункт 50 </w:t>
      </w:r>
      <w:r>
        <w:rPr>
          <w:b/>
          <w:bCs/>
          <w:lang w:val="fr-FR"/>
        </w:rPr>
        <w:t>f</w:t>
      </w:r>
      <w:r>
        <w:rPr>
          <w:b/>
          <w:bCs/>
        </w:rPr>
        <w:t>)</w:t>
      </w:r>
    </w:p>
    <w:p w:rsidR="00000000" w:rsidRDefault="00000000">
      <w:pPr>
        <w:rPr>
          <w:b/>
          <w:bCs/>
        </w:rPr>
      </w:pPr>
    </w:p>
    <w:tbl>
      <w:tblPr>
        <w:tblW w:w="5000" w:type="pct"/>
        <w:jc w:val="center"/>
        <w:tblCellMar>
          <w:left w:w="0" w:type="dxa"/>
          <w:right w:w="0" w:type="dxa"/>
        </w:tblCellMar>
        <w:tblLook w:val="0000" w:firstRow="0" w:lastRow="0" w:firstColumn="0" w:lastColumn="0" w:noHBand="0" w:noVBand="0"/>
      </w:tblPr>
      <w:tblGrid>
        <w:gridCol w:w="2385"/>
        <w:gridCol w:w="1346"/>
        <w:gridCol w:w="1930"/>
        <w:gridCol w:w="2296"/>
        <w:gridCol w:w="1413"/>
      </w:tblGrid>
      <w:tr w:rsidR="00000000">
        <w:trPr>
          <w:jc w:val="center"/>
        </w:trPr>
        <w:tc>
          <w:tcPr>
            <w:tcW w:w="1272" w:type="pct"/>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Пол</w:t>
            </w:r>
          </w:p>
          <w:p w:rsidR="00000000" w:rsidRDefault="00000000">
            <w:pPr>
              <w:spacing w:before="20"/>
              <w:jc w:val="center"/>
              <w:rPr>
                <w:rFonts w:cs="Arial"/>
                <w:i/>
                <w:iCs/>
                <w:sz w:val="18"/>
                <w:szCs w:val="22"/>
              </w:rPr>
            </w:pPr>
            <w:r>
              <w:rPr>
                <w:rFonts w:cs="Arial"/>
                <w:i/>
                <w:iCs/>
                <w:sz w:val="18"/>
                <w:szCs w:val="22"/>
              </w:rPr>
              <w:t>Возрастная группа</w:t>
            </w:r>
          </w:p>
        </w:tc>
        <w:tc>
          <w:tcPr>
            <w:tcW w:w="718" w:type="pct"/>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Всего</w:t>
            </w:r>
          </w:p>
        </w:tc>
        <w:tc>
          <w:tcPr>
            <w:tcW w:w="1030" w:type="pct"/>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Пользующиеся</w:t>
            </w:r>
          </w:p>
          <w:p w:rsidR="00000000" w:rsidRDefault="00000000">
            <w:pPr>
              <w:spacing w:before="20"/>
              <w:jc w:val="center"/>
              <w:rPr>
                <w:rFonts w:cs="Arial"/>
                <w:i/>
                <w:iCs/>
                <w:sz w:val="18"/>
                <w:szCs w:val="22"/>
              </w:rPr>
            </w:pPr>
            <w:r>
              <w:rPr>
                <w:rFonts w:cs="Arial"/>
                <w:i/>
                <w:iCs/>
                <w:sz w:val="18"/>
                <w:szCs w:val="22"/>
              </w:rPr>
              <w:t>услугами</w:t>
            </w:r>
          </w:p>
        </w:tc>
        <w:tc>
          <w:tcPr>
            <w:tcW w:w="1225" w:type="pct"/>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Не пользующиеся</w:t>
            </w:r>
          </w:p>
          <w:p w:rsidR="00000000" w:rsidRDefault="00000000">
            <w:pPr>
              <w:spacing w:before="20"/>
              <w:jc w:val="center"/>
              <w:rPr>
                <w:rFonts w:cs="Arial"/>
                <w:i/>
                <w:iCs/>
                <w:sz w:val="18"/>
                <w:szCs w:val="22"/>
              </w:rPr>
            </w:pPr>
            <w:r>
              <w:rPr>
                <w:rFonts w:cs="Arial"/>
                <w:i/>
                <w:iCs/>
                <w:sz w:val="18"/>
                <w:szCs w:val="22"/>
              </w:rPr>
              <w:t>услугами</w:t>
            </w:r>
          </w:p>
        </w:tc>
        <w:tc>
          <w:tcPr>
            <w:tcW w:w="754" w:type="pct"/>
            <w:tcBorders>
              <w:top w:val="single" w:sz="4" w:space="0" w:color="auto"/>
              <w:bottom w:val="single" w:sz="4" w:space="0" w:color="auto"/>
            </w:tcBorders>
            <w:vAlign w:val="center"/>
          </w:tcPr>
          <w:p w:rsidR="00000000" w:rsidRDefault="00000000">
            <w:pPr>
              <w:spacing w:before="20"/>
              <w:jc w:val="center"/>
              <w:rPr>
                <w:rFonts w:cs="Arial"/>
                <w:i/>
                <w:iCs/>
                <w:sz w:val="18"/>
                <w:szCs w:val="22"/>
              </w:rPr>
            </w:pPr>
            <w:r>
              <w:rPr>
                <w:rFonts w:cs="Arial"/>
                <w:i/>
                <w:iCs/>
                <w:sz w:val="18"/>
                <w:szCs w:val="22"/>
              </w:rPr>
              <w:t>Не указано</w:t>
            </w:r>
          </w:p>
        </w:tc>
      </w:tr>
      <w:tr w:rsidR="00000000">
        <w:trPr>
          <w:jc w:val="center"/>
        </w:trPr>
        <w:tc>
          <w:tcPr>
            <w:tcW w:w="1272" w:type="pct"/>
            <w:tcBorders>
              <w:top w:val="single" w:sz="4" w:space="0" w:color="auto"/>
            </w:tcBorders>
          </w:tcPr>
          <w:p w:rsidR="00000000" w:rsidRDefault="00000000">
            <w:pPr>
              <w:spacing w:before="20"/>
              <w:rPr>
                <w:rFonts w:cs="Arial"/>
                <w:sz w:val="18"/>
                <w:szCs w:val="22"/>
              </w:rPr>
            </w:pPr>
            <w:r>
              <w:rPr>
                <w:rFonts w:cs="Arial"/>
                <w:sz w:val="18"/>
                <w:szCs w:val="22"/>
              </w:rPr>
              <w:t>Мужчины</w:t>
            </w:r>
          </w:p>
        </w:tc>
        <w:tc>
          <w:tcPr>
            <w:tcW w:w="718" w:type="pct"/>
            <w:tcBorders>
              <w:top w:val="single" w:sz="4" w:space="0" w:color="auto"/>
            </w:tcBorders>
          </w:tcPr>
          <w:p w:rsidR="00000000" w:rsidRDefault="00000000">
            <w:pPr>
              <w:tabs>
                <w:tab w:val="clear" w:pos="1134"/>
              </w:tabs>
              <w:spacing w:before="20"/>
              <w:ind w:right="321"/>
              <w:jc w:val="right"/>
              <w:rPr>
                <w:rFonts w:cs="Arial"/>
                <w:sz w:val="18"/>
                <w:szCs w:val="22"/>
                <w:lang w:val="en-US"/>
              </w:rPr>
            </w:pPr>
            <w:r>
              <w:rPr>
                <w:rFonts w:cs="Arial"/>
                <w:sz w:val="18"/>
                <w:szCs w:val="22"/>
                <w:lang w:val="en-US"/>
              </w:rPr>
              <w:t>47 258 265</w:t>
            </w:r>
          </w:p>
        </w:tc>
        <w:tc>
          <w:tcPr>
            <w:tcW w:w="1030" w:type="pct"/>
            <w:tcBorders>
              <w:top w:val="single" w:sz="4" w:space="0" w:color="auto"/>
            </w:tcBorders>
          </w:tcPr>
          <w:p w:rsidR="00000000" w:rsidRDefault="00000000">
            <w:pPr>
              <w:spacing w:before="20"/>
              <w:jc w:val="center"/>
              <w:rPr>
                <w:rFonts w:cs="Arial"/>
                <w:sz w:val="18"/>
                <w:szCs w:val="22"/>
                <w:lang w:val="en-US"/>
              </w:rPr>
            </w:pPr>
            <w:r>
              <w:rPr>
                <w:rFonts w:cs="Arial"/>
                <w:sz w:val="18"/>
                <w:szCs w:val="22"/>
                <w:lang w:val="en-US"/>
              </w:rPr>
              <w:t>96</w:t>
            </w:r>
            <w:r>
              <w:rPr>
                <w:rFonts w:cs="Arial"/>
                <w:sz w:val="18"/>
                <w:szCs w:val="22"/>
              </w:rPr>
              <w:t>,</w:t>
            </w:r>
            <w:r>
              <w:rPr>
                <w:rFonts w:cs="Arial"/>
                <w:sz w:val="18"/>
                <w:szCs w:val="22"/>
                <w:lang w:val="en-US"/>
              </w:rPr>
              <w:t>0</w:t>
            </w:r>
          </w:p>
        </w:tc>
        <w:tc>
          <w:tcPr>
            <w:tcW w:w="1225" w:type="pct"/>
            <w:tcBorders>
              <w:top w:val="single" w:sz="4" w:space="0" w:color="auto"/>
            </w:tcBorders>
          </w:tcPr>
          <w:p w:rsidR="00000000" w:rsidRDefault="00000000">
            <w:pPr>
              <w:spacing w:before="20"/>
              <w:jc w:val="center"/>
              <w:rPr>
                <w:rFonts w:cs="Arial"/>
                <w:sz w:val="18"/>
                <w:szCs w:val="22"/>
                <w:lang w:val="en-US"/>
              </w:rPr>
            </w:pPr>
            <w:r>
              <w:rPr>
                <w:rFonts w:cs="Arial"/>
                <w:sz w:val="18"/>
                <w:szCs w:val="22"/>
                <w:lang w:val="en-US"/>
              </w:rPr>
              <w:t>3</w:t>
            </w:r>
            <w:r>
              <w:rPr>
                <w:rFonts w:cs="Arial"/>
                <w:sz w:val="18"/>
                <w:szCs w:val="22"/>
              </w:rPr>
              <w:t>,</w:t>
            </w:r>
            <w:r>
              <w:rPr>
                <w:rFonts w:cs="Arial"/>
                <w:sz w:val="18"/>
                <w:szCs w:val="22"/>
                <w:lang w:val="en-US"/>
              </w:rPr>
              <w:t>0</w:t>
            </w:r>
          </w:p>
        </w:tc>
        <w:tc>
          <w:tcPr>
            <w:tcW w:w="754" w:type="pct"/>
            <w:tcBorders>
              <w:top w:val="single" w:sz="4" w:space="0" w:color="auto"/>
            </w:tcBorders>
          </w:tcPr>
          <w:p w:rsidR="00000000" w:rsidRDefault="00000000">
            <w:pPr>
              <w:spacing w:before="20"/>
              <w:jc w:val="center"/>
              <w:rPr>
                <w:rFonts w:cs="Arial"/>
                <w:sz w:val="18"/>
                <w:szCs w:val="22"/>
                <w:lang w:val="en-US"/>
              </w:rPr>
            </w:pPr>
            <w:r>
              <w:rPr>
                <w:rFonts w:cs="Arial"/>
                <w:sz w:val="18"/>
                <w:szCs w:val="22"/>
                <w:lang w:val="en-US"/>
              </w:rPr>
              <w:t>1</w:t>
            </w:r>
            <w:r>
              <w:rPr>
                <w:rFonts w:cs="Arial"/>
                <w:sz w:val="18"/>
                <w:szCs w:val="22"/>
              </w:rPr>
              <w:t>,</w:t>
            </w:r>
            <w:r>
              <w:rPr>
                <w:rFonts w:cs="Arial"/>
                <w:sz w:val="18"/>
                <w:szCs w:val="22"/>
                <w:lang w:val="en-US"/>
              </w:rPr>
              <w:t>0</w:t>
            </w:r>
          </w:p>
        </w:tc>
      </w:tr>
      <w:tr w:rsidR="00000000">
        <w:trPr>
          <w:jc w:val="center"/>
        </w:trPr>
        <w:tc>
          <w:tcPr>
            <w:tcW w:w="1272" w:type="pct"/>
          </w:tcPr>
          <w:p w:rsidR="00000000" w:rsidRDefault="00000000">
            <w:pPr>
              <w:spacing w:before="20"/>
              <w:rPr>
                <w:rFonts w:cs="Arial"/>
                <w:sz w:val="18"/>
                <w:szCs w:val="22"/>
              </w:rPr>
            </w:pPr>
            <w:r>
              <w:rPr>
                <w:rFonts w:cs="Arial"/>
                <w:sz w:val="18"/>
                <w:szCs w:val="22"/>
                <w:lang w:val="en-US"/>
              </w:rPr>
              <w:t>   </w:t>
            </w:r>
            <w:r>
              <w:rPr>
                <w:rFonts w:cs="Arial"/>
                <w:sz w:val="18"/>
                <w:szCs w:val="22"/>
              </w:rPr>
              <w:t>0-4 года</w:t>
            </w:r>
          </w:p>
        </w:tc>
        <w:tc>
          <w:tcPr>
            <w:tcW w:w="718" w:type="pct"/>
          </w:tcPr>
          <w:p w:rsidR="00000000" w:rsidRDefault="00000000">
            <w:pPr>
              <w:tabs>
                <w:tab w:val="clear" w:pos="1134"/>
              </w:tabs>
              <w:spacing w:before="20"/>
              <w:ind w:right="321"/>
              <w:jc w:val="right"/>
              <w:rPr>
                <w:rFonts w:cs="Arial"/>
                <w:sz w:val="18"/>
                <w:szCs w:val="22"/>
                <w:lang w:val="en-US"/>
              </w:rPr>
            </w:pPr>
            <w:r>
              <w:rPr>
                <w:rFonts w:cs="Arial"/>
                <w:sz w:val="18"/>
                <w:szCs w:val="22"/>
                <w:lang w:val="en-US"/>
              </w:rPr>
              <w:t>5 485 973</w:t>
            </w:r>
          </w:p>
        </w:tc>
        <w:tc>
          <w:tcPr>
            <w:tcW w:w="1030" w:type="pct"/>
          </w:tcPr>
          <w:p w:rsidR="00000000" w:rsidRDefault="00000000">
            <w:pPr>
              <w:spacing w:before="20"/>
              <w:jc w:val="center"/>
              <w:rPr>
                <w:rFonts w:cs="Arial"/>
                <w:sz w:val="18"/>
                <w:szCs w:val="22"/>
                <w:lang w:val="en-US"/>
              </w:rPr>
            </w:pPr>
            <w:r>
              <w:rPr>
                <w:rFonts w:cs="Arial"/>
                <w:sz w:val="18"/>
                <w:szCs w:val="22"/>
                <w:lang w:val="en-US"/>
              </w:rPr>
              <w:t>95</w:t>
            </w:r>
            <w:r>
              <w:rPr>
                <w:rFonts w:cs="Arial"/>
                <w:sz w:val="18"/>
                <w:szCs w:val="22"/>
              </w:rPr>
              <w:t>,</w:t>
            </w:r>
            <w:r>
              <w:rPr>
                <w:rFonts w:cs="Arial"/>
                <w:sz w:val="18"/>
                <w:szCs w:val="22"/>
                <w:lang w:val="en-US"/>
              </w:rPr>
              <w:t>8</w:t>
            </w:r>
          </w:p>
        </w:tc>
        <w:tc>
          <w:tcPr>
            <w:tcW w:w="1225" w:type="pct"/>
          </w:tcPr>
          <w:p w:rsidR="00000000" w:rsidRDefault="00000000">
            <w:pPr>
              <w:spacing w:before="20"/>
              <w:jc w:val="center"/>
              <w:rPr>
                <w:rFonts w:cs="Arial"/>
                <w:sz w:val="18"/>
                <w:szCs w:val="22"/>
                <w:lang w:val="en-US"/>
              </w:rPr>
            </w:pPr>
            <w:r>
              <w:rPr>
                <w:rFonts w:cs="Arial"/>
                <w:sz w:val="18"/>
                <w:szCs w:val="22"/>
                <w:lang w:val="en-US"/>
              </w:rPr>
              <w:t>2</w:t>
            </w:r>
            <w:r>
              <w:rPr>
                <w:rFonts w:cs="Arial"/>
                <w:sz w:val="18"/>
                <w:szCs w:val="22"/>
              </w:rPr>
              <w:t>,</w:t>
            </w:r>
            <w:r>
              <w:rPr>
                <w:rFonts w:cs="Arial"/>
                <w:sz w:val="18"/>
                <w:szCs w:val="22"/>
                <w:lang w:val="en-US"/>
              </w:rPr>
              <w:t>0</w:t>
            </w:r>
          </w:p>
        </w:tc>
        <w:tc>
          <w:tcPr>
            <w:tcW w:w="754" w:type="pct"/>
          </w:tcPr>
          <w:p w:rsidR="00000000" w:rsidRDefault="00000000">
            <w:pPr>
              <w:spacing w:before="20"/>
              <w:jc w:val="center"/>
              <w:rPr>
                <w:rFonts w:cs="Arial"/>
                <w:sz w:val="18"/>
                <w:szCs w:val="22"/>
                <w:lang w:val="en-US"/>
              </w:rPr>
            </w:pPr>
            <w:r>
              <w:rPr>
                <w:rFonts w:cs="Arial"/>
                <w:sz w:val="18"/>
                <w:szCs w:val="22"/>
                <w:lang w:val="en-US"/>
              </w:rPr>
              <w:t>2</w:t>
            </w:r>
            <w:r>
              <w:rPr>
                <w:rFonts w:cs="Arial"/>
                <w:sz w:val="18"/>
                <w:szCs w:val="22"/>
              </w:rPr>
              <w:t>,</w:t>
            </w:r>
            <w:r>
              <w:rPr>
                <w:rFonts w:cs="Arial"/>
                <w:sz w:val="18"/>
                <w:szCs w:val="22"/>
                <w:lang w:val="en-US"/>
              </w:rPr>
              <w:t>2</w:t>
            </w:r>
          </w:p>
        </w:tc>
      </w:tr>
      <w:tr w:rsidR="00000000">
        <w:trPr>
          <w:jc w:val="center"/>
        </w:trPr>
        <w:tc>
          <w:tcPr>
            <w:tcW w:w="1272" w:type="pct"/>
          </w:tcPr>
          <w:p w:rsidR="00000000" w:rsidRDefault="00000000">
            <w:pPr>
              <w:spacing w:before="20"/>
              <w:rPr>
                <w:rFonts w:cs="Arial"/>
                <w:sz w:val="18"/>
                <w:szCs w:val="22"/>
              </w:rPr>
            </w:pPr>
            <w:r>
              <w:rPr>
                <w:rFonts w:cs="Arial"/>
                <w:sz w:val="18"/>
                <w:szCs w:val="22"/>
                <w:lang w:val="en-US"/>
              </w:rPr>
              <w:t>  </w:t>
            </w:r>
            <w:r>
              <w:rPr>
                <w:rFonts w:cs="Arial"/>
                <w:sz w:val="18"/>
                <w:szCs w:val="22"/>
              </w:rPr>
              <w:t> 6-14 лет</w:t>
            </w:r>
          </w:p>
        </w:tc>
        <w:tc>
          <w:tcPr>
            <w:tcW w:w="718" w:type="pct"/>
          </w:tcPr>
          <w:p w:rsidR="00000000" w:rsidRDefault="00000000">
            <w:pPr>
              <w:tabs>
                <w:tab w:val="clear" w:pos="1134"/>
              </w:tabs>
              <w:spacing w:before="20"/>
              <w:ind w:right="321"/>
              <w:jc w:val="right"/>
              <w:rPr>
                <w:rFonts w:cs="Arial"/>
                <w:sz w:val="18"/>
                <w:szCs w:val="22"/>
                <w:lang w:val="en-US"/>
              </w:rPr>
            </w:pPr>
            <w:r>
              <w:rPr>
                <w:rFonts w:cs="Arial"/>
                <w:sz w:val="18"/>
                <w:szCs w:val="22"/>
                <w:lang w:val="en-US"/>
              </w:rPr>
              <w:t>11 268 967</w:t>
            </w:r>
          </w:p>
        </w:tc>
        <w:tc>
          <w:tcPr>
            <w:tcW w:w="1030" w:type="pct"/>
          </w:tcPr>
          <w:p w:rsidR="00000000" w:rsidRDefault="00000000">
            <w:pPr>
              <w:spacing w:before="20"/>
              <w:jc w:val="center"/>
              <w:rPr>
                <w:rFonts w:cs="Arial"/>
                <w:sz w:val="18"/>
                <w:szCs w:val="22"/>
                <w:lang w:val="en-US"/>
              </w:rPr>
            </w:pPr>
            <w:r>
              <w:rPr>
                <w:rFonts w:cs="Arial"/>
                <w:sz w:val="18"/>
                <w:szCs w:val="22"/>
                <w:lang w:val="en-US"/>
              </w:rPr>
              <w:t>96</w:t>
            </w:r>
            <w:r>
              <w:rPr>
                <w:rFonts w:cs="Arial"/>
                <w:sz w:val="18"/>
                <w:szCs w:val="22"/>
              </w:rPr>
              <w:t>,</w:t>
            </w:r>
            <w:r>
              <w:rPr>
                <w:rFonts w:cs="Arial"/>
                <w:sz w:val="18"/>
                <w:szCs w:val="22"/>
                <w:lang w:val="en-US"/>
              </w:rPr>
              <w:t>7</w:t>
            </w:r>
          </w:p>
        </w:tc>
        <w:tc>
          <w:tcPr>
            <w:tcW w:w="1225" w:type="pct"/>
          </w:tcPr>
          <w:p w:rsidR="00000000" w:rsidRDefault="00000000">
            <w:pPr>
              <w:spacing w:before="20"/>
              <w:jc w:val="center"/>
              <w:rPr>
                <w:rFonts w:cs="Arial"/>
                <w:sz w:val="18"/>
                <w:szCs w:val="22"/>
                <w:lang w:val="en-US"/>
              </w:rPr>
            </w:pPr>
            <w:r>
              <w:rPr>
                <w:rFonts w:cs="Arial"/>
                <w:sz w:val="18"/>
                <w:szCs w:val="22"/>
                <w:lang w:val="en-US"/>
              </w:rPr>
              <w:t>2</w:t>
            </w:r>
            <w:r>
              <w:rPr>
                <w:rFonts w:cs="Arial"/>
                <w:sz w:val="18"/>
                <w:szCs w:val="22"/>
              </w:rPr>
              <w:t>,</w:t>
            </w:r>
            <w:r>
              <w:rPr>
                <w:rFonts w:cs="Arial"/>
                <w:sz w:val="18"/>
                <w:szCs w:val="22"/>
                <w:lang w:val="en-US"/>
              </w:rPr>
              <w:t>4</w:t>
            </w:r>
          </w:p>
        </w:tc>
        <w:tc>
          <w:tcPr>
            <w:tcW w:w="754" w:type="pct"/>
          </w:tcPr>
          <w:p w:rsidR="00000000" w:rsidRDefault="00000000">
            <w:pPr>
              <w:spacing w:before="20"/>
              <w:jc w:val="center"/>
              <w:rPr>
                <w:rFonts w:cs="Arial"/>
                <w:sz w:val="18"/>
                <w:szCs w:val="22"/>
                <w:lang w:val="en-US"/>
              </w:rPr>
            </w:pPr>
            <w:r>
              <w:rPr>
                <w:rFonts w:cs="Arial"/>
                <w:sz w:val="18"/>
                <w:szCs w:val="22"/>
                <w:lang w:val="en-US"/>
              </w:rPr>
              <w:t>0</w:t>
            </w:r>
            <w:r>
              <w:rPr>
                <w:rFonts w:cs="Arial"/>
                <w:sz w:val="18"/>
                <w:szCs w:val="22"/>
              </w:rPr>
              <w:t>,</w:t>
            </w:r>
            <w:r>
              <w:rPr>
                <w:rFonts w:cs="Arial"/>
                <w:sz w:val="18"/>
                <w:szCs w:val="22"/>
                <w:lang w:val="en-US"/>
              </w:rPr>
              <w:t>9</w:t>
            </w:r>
          </w:p>
        </w:tc>
      </w:tr>
      <w:tr w:rsidR="00000000">
        <w:trPr>
          <w:jc w:val="center"/>
        </w:trPr>
        <w:tc>
          <w:tcPr>
            <w:tcW w:w="1272" w:type="pct"/>
          </w:tcPr>
          <w:p w:rsidR="00000000" w:rsidRDefault="00000000">
            <w:pPr>
              <w:spacing w:before="20"/>
              <w:rPr>
                <w:rFonts w:cs="Arial"/>
                <w:sz w:val="18"/>
                <w:szCs w:val="22"/>
              </w:rPr>
            </w:pPr>
            <w:r>
              <w:rPr>
                <w:rFonts w:cs="Arial"/>
                <w:sz w:val="18"/>
                <w:szCs w:val="22"/>
                <w:lang w:val="en-US"/>
              </w:rPr>
              <w:t>  </w:t>
            </w:r>
            <w:r>
              <w:rPr>
                <w:rFonts w:cs="Arial"/>
                <w:sz w:val="18"/>
                <w:szCs w:val="22"/>
              </w:rPr>
              <w:t> 15-64 года</w:t>
            </w:r>
          </w:p>
        </w:tc>
        <w:tc>
          <w:tcPr>
            <w:tcW w:w="718" w:type="pct"/>
          </w:tcPr>
          <w:p w:rsidR="00000000" w:rsidRDefault="00000000">
            <w:pPr>
              <w:tabs>
                <w:tab w:val="clear" w:pos="1134"/>
              </w:tabs>
              <w:spacing w:before="20"/>
              <w:ind w:right="321"/>
              <w:jc w:val="right"/>
              <w:rPr>
                <w:rFonts w:cs="Arial"/>
                <w:sz w:val="18"/>
                <w:szCs w:val="22"/>
                <w:lang w:val="fr-FR"/>
              </w:rPr>
            </w:pPr>
            <w:r>
              <w:rPr>
                <w:rFonts w:cs="Arial"/>
                <w:sz w:val="18"/>
                <w:szCs w:val="22"/>
                <w:lang w:val="fr-FR"/>
              </w:rPr>
              <w:t>28 105 440</w:t>
            </w:r>
          </w:p>
        </w:tc>
        <w:tc>
          <w:tcPr>
            <w:tcW w:w="1030" w:type="pct"/>
          </w:tcPr>
          <w:p w:rsidR="00000000" w:rsidRDefault="00000000">
            <w:pPr>
              <w:spacing w:before="20"/>
              <w:jc w:val="center"/>
              <w:rPr>
                <w:rFonts w:cs="Arial"/>
                <w:sz w:val="18"/>
                <w:szCs w:val="22"/>
                <w:lang w:val="fr-FR"/>
              </w:rPr>
            </w:pPr>
            <w:r>
              <w:rPr>
                <w:rFonts w:cs="Arial"/>
                <w:sz w:val="18"/>
                <w:szCs w:val="22"/>
                <w:lang w:val="fr-FR"/>
              </w:rPr>
              <w:t>95</w:t>
            </w:r>
            <w:r>
              <w:rPr>
                <w:rFonts w:cs="Arial"/>
                <w:sz w:val="18"/>
                <w:szCs w:val="22"/>
              </w:rPr>
              <w:t>,</w:t>
            </w:r>
            <w:r>
              <w:rPr>
                <w:rFonts w:cs="Arial"/>
                <w:sz w:val="18"/>
                <w:szCs w:val="22"/>
                <w:lang w:val="fr-FR"/>
              </w:rPr>
              <w:t>8</w:t>
            </w:r>
          </w:p>
        </w:tc>
        <w:tc>
          <w:tcPr>
            <w:tcW w:w="1225" w:type="pct"/>
          </w:tcPr>
          <w:p w:rsidR="00000000" w:rsidRDefault="00000000">
            <w:pPr>
              <w:spacing w:before="20"/>
              <w:jc w:val="center"/>
              <w:rPr>
                <w:rFonts w:cs="Arial"/>
                <w:sz w:val="18"/>
                <w:szCs w:val="22"/>
                <w:lang w:val="fr-FR"/>
              </w:rPr>
            </w:pPr>
            <w:r>
              <w:rPr>
                <w:rFonts w:cs="Arial"/>
                <w:sz w:val="18"/>
                <w:szCs w:val="22"/>
                <w:lang w:val="fr-FR"/>
              </w:rPr>
              <w:t>3</w:t>
            </w:r>
            <w:r>
              <w:rPr>
                <w:rFonts w:cs="Arial"/>
                <w:sz w:val="18"/>
                <w:szCs w:val="22"/>
              </w:rPr>
              <w:t>,</w:t>
            </w:r>
            <w:r>
              <w:rPr>
                <w:rFonts w:cs="Arial"/>
                <w:sz w:val="18"/>
                <w:szCs w:val="22"/>
                <w:lang w:val="fr-FR"/>
              </w:rPr>
              <w:t>4</w:t>
            </w:r>
          </w:p>
        </w:tc>
        <w:tc>
          <w:tcPr>
            <w:tcW w:w="754" w:type="pct"/>
          </w:tcPr>
          <w:p w:rsidR="00000000" w:rsidRDefault="00000000">
            <w:pPr>
              <w:spacing w:before="20"/>
              <w:jc w:val="center"/>
              <w:rPr>
                <w:rFonts w:cs="Arial"/>
                <w:sz w:val="18"/>
                <w:szCs w:val="22"/>
                <w:lang w:val="fr-FR"/>
              </w:rPr>
            </w:pPr>
            <w:r>
              <w:rPr>
                <w:rFonts w:cs="Arial"/>
                <w:sz w:val="18"/>
                <w:szCs w:val="22"/>
                <w:lang w:val="fr-FR"/>
              </w:rPr>
              <w:t>0</w:t>
            </w:r>
            <w:r>
              <w:rPr>
                <w:rFonts w:cs="Arial"/>
                <w:sz w:val="18"/>
                <w:szCs w:val="22"/>
              </w:rPr>
              <w:t>,</w:t>
            </w:r>
            <w:r>
              <w:rPr>
                <w:rFonts w:cs="Arial"/>
                <w:sz w:val="18"/>
                <w:szCs w:val="22"/>
                <w:lang w:val="fr-FR"/>
              </w:rPr>
              <w:t>8</w:t>
            </w:r>
          </w:p>
        </w:tc>
      </w:tr>
      <w:tr w:rsidR="00000000">
        <w:trPr>
          <w:jc w:val="center"/>
        </w:trPr>
        <w:tc>
          <w:tcPr>
            <w:tcW w:w="1272" w:type="pct"/>
          </w:tcPr>
          <w:p w:rsidR="00000000" w:rsidRDefault="00000000">
            <w:pPr>
              <w:spacing w:before="20"/>
              <w:rPr>
                <w:rFonts w:cs="Arial"/>
                <w:sz w:val="18"/>
                <w:szCs w:val="22"/>
              </w:rPr>
            </w:pPr>
            <w:r>
              <w:rPr>
                <w:rFonts w:cs="Arial"/>
                <w:sz w:val="18"/>
                <w:szCs w:val="22"/>
                <w:lang w:val="fr-FR"/>
              </w:rPr>
              <w:t>  </w:t>
            </w:r>
            <w:r>
              <w:rPr>
                <w:rFonts w:cs="Arial"/>
                <w:sz w:val="18"/>
                <w:szCs w:val="22"/>
              </w:rPr>
              <w:t> 65 лет и более</w:t>
            </w:r>
          </w:p>
        </w:tc>
        <w:tc>
          <w:tcPr>
            <w:tcW w:w="718" w:type="pct"/>
          </w:tcPr>
          <w:p w:rsidR="00000000" w:rsidRDefault="00000000">
            <w:pPr>
              <w:tabs>
                <w:tab w:val="clear" w:pos="1134"/>
              </w:tabs>
              <w:spacing w:before="20"/>
              <w:ind w:right="321"/>
              <w:jc w:val="right"/>
              <w:rPr>
                <w:rFonts w:cs="Arial"/>
                <w:sz w:val="18"/>
                <w:szCs w:val="22"/>
                <w:lang w:val="en-US"/>
              </w:rPr>
            </w:pPr>
            <w:r>
              <w:rPr>
                <w:rFonts w:cs="Arial"/>
                <w:sz w:val="18"/>
                <w:szCs w:val="22"/>
                <w:lang w:val="en-US"/>
              </w:rPr>
              <w:t>2 246 999</w:t>
            </w:r>
          </w:p>
        </w:tc>
        <w:tc>
          <w:tcPr>
            <w:tcW w:w="1030" w:type="pct"/>
          </w:tcPr>
          <w:p w:rsidR="00000000" w:rsidRDefault="00000000">
            <w:pPr>
              <w:spacing w:before="20"/>
              <w:jc w:val="center"/>
              <w:rPr>
                <w:rFonts w:cs="Arial"/>
                <w:sz w:val="18"/>
                <w:szCs w:val="22"/>
                <w:lang w:val="en-US"/>
              </w:rPr>
            </w:pPr>
            <w:r>
              <w:rPr>
                <w:rFonts w:cs="Arial"/>
                <w:sz w:val="18"/>
                <w:szCs w:val="22"/>
                <w:lang w:val="en-US"/>
              </w:rPr>
              <w:t>95</w:t>
            </w:r>
            <w:r>
              <w:rPr>
                <w:rFonts w:cs="Arial"/>
                <w:sz w:val="18"/>
                <w:szCs w:val="22"/>
              </w:rPr>
              <w:t>,</w:t>
            </w:r>
            <w:r>
              <w:rPr>
                <w:rFonts w:cs="Arial"/>
                <w:sz w:val="18"/>
                <w:szCs w:val="22"/>
                <w:lang w:val="en-US"/>
              </w:rPr>
              <w:t>2</w:t>
            </w:r>
          </w:p>
        </w:tc>
        <w:tc>
          <w:tcPr>
            <w:tcW w:w="1225" w:type="pct"/>
          </w:tcPr>
          <w:p w:rsidR="00000000" w:rsidRDefault="00000000">
            <w:pPr>
              <w:spacing w:before="20"/>
              <w:jc w:val="center"/>
              <w:rPr>
                <w:rFonts w:cs="Arial"/>
                <w:sz w:val="18"/>
                <w:szCs w:val="22"/>
                <w:lang w:val="en-US"/>
              </w:rPr>
            </w:pPr>
            <w:r>
              <w:rPr>
                <w:rFonts w:cs="Arial"/>
                <w:sz w:val="18"/>
                <w:szCs w:val="22"/>
                <w:lang w:val="en-US"/>
              </w:rPr>
              <w:t>4</w:t>
            </w:r>
            <w:r>
              <w:rPr>
                <w:rFonts w:cs="Arial"/>
                <w:sz w:val="18"/>
                <w:szCs w:val="22"/>
              </w:rPr>
              <w:t>,</w:t>
            </w:r>
            <w:r>
              <w:rPr>
                <w:rFonts w:cs="Arial"/>
                <w:sz w:val="18"/>
                <w:szCs w:val="22"/>
                <w:lang w:val="en-US"/>
              </w:rPr>
              <w:t>0</w:t>
            </w:r>
          </w:p>
        </w:tc>
        <w:tc>
          <w:tcPr>
            <w:tcW w:w="754" w:type="pct"/>
          </w:tcPr>
          <w:p w:rsidR="00000000" w:rsidRDefault="00000000">
            <w:pPr>
              <w:spacing w:before="20"/>
              <w:jc w:val="center"/>
              <w:rPr>
                <w:rFonts w:cs="Arial"/>
                <w:sz w:val="18"/>
                <w:szCs w:val="22"/>
                <w:lang w:val="en-US"/>
              </w:rPr>
            </w:pPr>
            <w:r>
              <w:rPr>
                <w:rFonts w:cs="Arial"/>
                <w:sz w:val="18"/>
                <w:szCs w:val="22"/>
                <w:lang w:val="en-US"/>
              </w:rPr>
              <w:t>0</w:t>
            </w:r>
            <w:r>
              <w:rPr>
                <w:rFonts w:cs="Arial"/>
                <w:sz w:val="18"/>
                <w:szCs w:val="22"/>
              </w:rPr>
              <w:t>,</w:t>
            </w:r>
            <w:r>
              <w:rPr>
                <w:rFonts w:cs="Arial"/>
                <w:sz w:val="18"/>
                <w:szCs w:val="22"/>
                <w:lang w:val="en-US"/>
              </w:rPr>
              <w:t>8</w:t>
            </w:r>
          </w:p>
        </w:tc>
      </w:tr>
      <w:tr w:rsidR="00000000">
        <w:trPr>
          <w:jc w:val="center"/>
        </w:trPr>
        <w:tc>
          <w:tcPr>
            <w:tcW w:w="1272" w:type="pct"/>
          </w:tcPr>
          <w:p w:rsidR="00000000" w:rsidRDefault="00000000">
            <w:pPr>
              <w:spacing w:before="20"/>
              <w:rPr>
                <w:rFonts w:cs="Arial"/>
                <w:sz w:val="18"/>
                <w:szCs w:val="22"/>
              </w:rPr>
            </w:pPr>
            <w:r>
              <w:rPr>
                <w:rFonts w:cs="Arial"/>
                <w:sz w:val="18"/>
                <w:szCs w:val="22"/>
                <w:lang w:val="en-US"/>
              </w:rPr>
              <w:t>  </w:t>
            </w:r>
            <w:r>
              <w:rPr>
                <w:rFonts w:cs="Arial"/>
                <w:sz w:val="18"/>
                <w:szCs w:val="22"/>
              </w:rPr>
              <w:t> Не указано</w:t>
            </w:r>
          </w:p>
        </w:tc>
        <w:tc>
          <w:tcPr>
            <w:tcW w:w="718" w:type="pct"/>
          </w:tcPr>
          <w:p w:rsidR="00000000" w:rsidRDefault="00000000">
            <w:pPr>
              <w:tabs>
                <w:tab w:val="clear" w:pos="1134"/>
              </w:tabs>
              <w:spacing w:before="20"/>
              <w:ind w:right="321"/>
              <w:jc w:val="right"/>
              <w:rPr>
                <w:rFonts w:cs="Arial"/>
                <w:sz w:val="18"/>
                <w:szCs w:val="22"/>
                <w:lang w:val="en-US"/>
              </w:rPr>
            </w:pPr>
            <w:r>
              <w:rPr>
                <w:rFonts w:cs="Arial"/>
                <w:sz w:val="18"/>
                <w:szCs w:val="22"/>
                <w:lang w:val="en-US"/>
              </w:rPr>
              <w:t>150 886</w:t>
            </w:r>
          </w:p>
        </w:tc>
        <w:tc>
          <w:tcPr>
            <w:tcW w:w="1030" w:type="pct"/>
          </w:tcPr>
          <w:p w:rsidR="00000000" w:rsidRDefault="00000000">
            <w:pPr>
              <w:spacing w:before="20"/>
              <w:jc w:val="center"/>
              <w:rPr>
                <w:rFonts w:cs="Arial"/>
                <w:sz w:val="18"/>
                <w:szCs w:val="22"/>
                <w:lang w:val="en-US"/>
              </w:rPr>
            </w:pPr>
            <w:r>
              <w:rPr>
                <w:rFonts w:cs="Arial"/>
                <w:sz w:val="18"/>
                <w:szCs w:val="22"/>
                <w:lang w:val="en-US"/>
              </w:rPr>
              <w:t>86</w:t>
            </w:r>
            <w:r>
              <w:rPr>
                <w:rFonts w:cs="Arial"/>
                <w:sz w:val="18"/>
                <w:szCs w:val="22"/>
              </w:rPr>
              <w:t>,</w:t>
            </w:r>
            <w:r>
              <w:rPr>
                <w:rFonts w:cs="Arial"/>
                <w:sz w:val="18"/>
                <w:szCs w:val="22"/>
                <w:lang w:val="en-US"/>
              </w:rPr>
              <w:t>1</w:t>
            </w:r>
          </w:p>
        </w:tc>
        <w:tc>
          <w:tcPr>
            <w:tcW w:w="1225" w:type="pct"/>
          </w:tcPr>
          <w:p w:rsidR="00000000" w:rsidRDefault="00000000">
            <w:pPr>
              <w:spacing w:before="20"/>
              <w:jc w:val="center"/>
              <w:rPr>
                <w:rFonts w:cs="Arial"/>
                <w:sz w:val="18"/>
                <w:szCs w:val="22"/>
                <w:lang w:val="en-US"/>
              </w:rPr>
            </w:pPr>
            <w:r>
              <w:rPr>
                <w:rFonts w:cs="Arial"/>
                <w:sz w:val="18"/>
                <w:szCs w:val="22"/>
                <w:lang w:val="en-US"/>
              </w:rPr>
              <w:t>6</w:t>
            </w:r>
            <w:r>
              <w:rPr>
                <w:rFonts w:cs="Arial"/>
                <w:sz w:val="18"/>
                <w:szCs w:val="22"/>
              </w:rPr>
              <w:t>,</w:t>
            </w:r>
            <w:r>
              <w:rPr>
                <w:rFonts w:cs="Arial"/>
                <w:sz w:val="18"/>
                <w:szCs w:val="22"/>
                <w:lang w:val="en-US"/>
              </w:rPr>
              <w:t>7</w:t>
            </w:r>
          </w:p>
        </w:tc>
        <w:tc>
          <w:tcPr>
            <w:tcW w:w="754" w:type="pct"/>
          </w:tcPr>
          <w:p w:rsidR="00000000" w:rsidRDefault="00000000">
            <w:pPr>
              <w:spacing w:before="20"/>
              <w:jc w:val="center"/>
              <w:rPr>
                <w:rFonts w:cs="Arial"/>
                <w:sz w:val="18"/>
                <w:szCs w:val="22"/>
                <w:lang w:val="en-US"/>
              </w:rPr>
            </w:pPr>
            <w:r>
              <w:rPr>
                <w:rFonts w:cs="Arial"/>
                <w:sz w:val="18"/>
                <w:szCs w:val="22"/>
                <w:lang w:val="en-US"/>
              </w:rPr>
              <w:t>7</w:t>
            </w:r>
            <w:r>
              <w:rPr>
                <w:rFonts w:cs="Arial"/>
                <w:sz w:val="18"/>
                <w:szCs w:val="22"/>
              </w:rPr>
              <w:t>,</w:t>
            </w:r>
            <w:r>
              <w:rPr>
                <w:rFonts w:cs="Arial"/>
                <w:sz w:val="18"/>
                <w:szCs w:val="22"/>
                <w:lang w:val="en-US"/>
              </w:rPr>
              <w:t>2</w:t>
            </w:r>
          </w:p>
        </w:tc>
      </w:tr>
      <w:tr w:rsidR="00000000">
        <w:trPr>
          <w:jc w:val="center"/>
        </w:trPr>
        <w:tc>
          <w:tcPr>
            <w:tcW w:w="1272" w:type="pct"/>
          </w:tcPr>
          <w:p w:rsidR="00000000" w:rsidRDefault="00000000">
            <w:pPr>
              <w:spacing w:before="20"/>
              <w:rPr>
                <w:rFonts w:cs="Arial"/>
                <w:sz w:val="18"/>
                <w:szCs w:val="22"/>
              </w:rPr>
            </w:pPr>
            <w:r>
              <w:rPr>
                <w:rFonts w:cs="Arial"/>
                <w:sz w:val="18"/>
                <w:szCs w:val="22"/>
              </w:rPr>
              <w:t>Женщины</w:t>
            </w:r>
          </w:p>
        </w:tc>
        <w:tc>
          <w:tcPr>
            <w:tcW w:w="718" w:type="pct"/>
          </w:tcPr>
          <w:p w:rsidR="00000000" w:rsidRDefault="00000000">
            <w:pPr>
              <w:tabs>
                <w:tab w:val="clear" w:pos="1134"/>
              </w:tabs>
              <w:spacing w:before="20"/>
              <w:ind w:right="321"/>
              <w:jc w:val="right"/>
              <w:rPr>
                <w:rFonts w:cs="Arial"/>
                <w:sz w:val="18"/>
                <w:szCs w:val="22"/>
                <w:lang w:val="en-US"/>
              </w:rPr>
            </w:pPr>
            <w:r>
              <w:rPr>
                <w:rFonts w:cs="Arial"/>
                <w:sz w:val="18"/>
                <w:szCs w:val="22"/>
                <w:lang w:val="en-US"/>
              </w:rPr>
              <w:t>49 756 602</w:t>
            </w:r>
          </w:p>
        </w:tc>
        <w:tc>
          <w:tcPr>
            <w:tcW w:w="1030" w:type="pct"/>
          </w:tcPr>
          <w:p w:rsidR="00000000" w:rsidRDefault="00000000">
            <w:pPr>
              <w:spacing w:before="20"/>
              <w:jc w:val="center"/>
              <w:rPr>
                <w:rFonts w:cs="Arial"/>
                <w:sz w:val="18"/>
                <w:szCs w:val="22"/>
              </w:rPr>
            </w:pPr>
            <w:r>
              <w:rPr>
                <w:rFonts w:cs="Arial"/>
                <w:sz w:val="18"/>
                <w:szCs w:val="22"/>
              </w:rPr>
              <w:t>96,7</w:t>
            </w:r>
          </w:p>
        </w:tc>
        <w:tc>
          <w:tcPr>
            <w:tcW w:w="1225" w:type="pct"/>
          </w:tcPr>
          <w:p w:rsidR="00000000" w:rsidRDefault="00000000">
            <w:pPr>
              <w:spacing w:before="20"/>
              <w:jc w:val="center"/>
              <w:rPr>
                <w:rFonts w:cs="Arial"/>
                <w:sz w:val="18"/>
                <w:szCs w:val="22"/>
              </w:rPr>
            </w:pPr>
            <w:r>
              <w:rPr>
                <w:rFonts w:cs="Arial"/>
                <w:sz w:val="18"/>
                <w:szCs w:val="22"/>
              </w:rPr>
              <w:t>2,3</w:t>
            </w:r>
          </w:p>
        </w:tc>
        <w:tc>
          <w:tcPr>
            <w:tcW w:w="754" w:type="pct"/>
          </w:tcPr>
          <w:p w:rsidR="00000000" w:rsidRDefault="00000000">
            <w:pPr>
              <w:spacing w:before="20"/>
              <w:jc w:val="center"/>
              <w:rPr>
                <w:rFonts w:cs="Arial"/>
                <w:sz w:val="18"/>
                <w:szCs w:val="22"/>
              </w:rPr>
            </w:pPr>
            <w:r>
              <w:rPr>
                <w:rFonts w:cs="Arial"/>
                <w:sz w:val="18"/>
                <w:szCs w:val="22"/>
              </w:rPr>
              <w:t>1,0</w:t>
            </w:r>
          </w:p>
        </w:tc>
      </w:tr>
      <w:tr w:rsidR="00000000">
        <w:trPr>
          <w:jc w:val="center"/>
        </w:trPr>
        <w:tc>
          <w:tcPr>
            <w:tcW w:w="1272" w:type="pct"/>
          </w:tcPr>
          <w:p w:rsidR="00000000" w:rsidRDefault="00000000">
            <w:pPr>
              <w:spacing w:before="20"/>
              <w:rPr>
                <w:rFonts w:cs="Arial"/>
                <w:sz w:val="18"/>
                <w:szCs w:val="22"/>
              </w:rPr>
            </w:pPr>
            <w:r>
              <w:rPr>
                <w:rFonts w:cs="Arial"/>
                <w:sz w:val="18"/>
                <w:szCs w:val="22"/>
                <w:lang w:val="en-US"/>
              </w:rPr>
              <w:t>   </w:t>
            </w:r>
            <w:r>
              <w:rPr>
                <w:rFonts w:cs="Arial"/>
                <w:sz w:val="18"/>
                <w:szCs w:val="22"/>
              </w:rPr>
              <w:t>0-4 года</w:t>
            </w:r>
          </w:p>
        </w:tc>
        <w:tc>
          <w:tcPr>
            <w:tcW w:w="718" w:type="pct"/>
          </w:tcPr>
          <w:p w:rsidR="00000000" w:rsidRDefault="00000000">
            <w:pPr>
              <w:tabs>
                <w:tab w:val="clear" w:pos="1134"/>
              </w:tabs>
              <w:spacing w:before="20"/>
              <w:ind w:right="321"/>
              <w:jc w:val="right"/>
              <w:rPr>
                <w:rFonts w:cs="Arial"/>
                <w:sz w:val="18"/>
                <w:szCs w:val="22"/>
              </w:rPr>
            </w:pPr>
            <w:r>
              <w:rPr>
                <w:rFonts w:cs="Arial"/>
                <w:sz w:val="18"/>
                <w:szCs w:val="22"/>
              </w:rPr>
              <w:t>5 305 420</w:t>
            </w:r>
          </w:p>
        </w:tc>
        <w:tc>
          <w:tcPr>
            <w:tcW w:w="1030" w:type="pct"/>
          </w:tcPr>
          <w:p w:rsidR="00000000" w:rsidRDefault="00000000">
            <w:pPr>
              <w:spacing w:before="20"/>
              <w:jc w:val="center"/>
              <w:rPr>
                <w:rFonts w:cs="Arial"/>
                <w:sz w:val="18"/>
                <w:szCs w:val="22"/>
              </w:rPr>
            </w:pPr>
            <w:r>
              <w:rPr>
                <w:rFonts w:cs="Arial"/>
                <w:sz w:val="18"/>
                <w:szCs w:val="22"/>
              </w:rPr>
              <w:t>95,8</w:t>
            </w:r>
          </w:p>
        </w:tc>
        <w:tc>
          <w:tcPr>
            <w:tcW w:w="1225" w:type="pct"/>
          </w:tcPr>
          <w:p w:rsidR="00000000" w:rsidRDefault="00000000">
            <w:pPr>
              <w:spacing w:before="20"/>
              <w:jc w:val="center"/>
              <w:rPr>
                <w:rFonts w:cs="Arial"/>
                <w:sz w:val="18"/>
                <w:szCs w:val="22"/>
              </w:rPr>
            </w:pPr>
            <w:r>
              <w:rPr>
                <w:rFonts w:cs="Arial"/>
                <w:sz w:val="18"/>
                <w:szCs w:val="22"/>
              </w:rPr>
              <w:t>2,0</w:t>
            </w:r>
          </w:p>
        </w:tc>
        <w:tc>
          <w:tcPr>
            <w:tcW w:w="754" w:type="pct"/>
          </w:tcPr>
          <w:p w:rsidR="00000000" w:rsidRDefault="00000000">
            <w:pPr>
              <w:spacing w:before="20"/>
              <w:jc w:val="center"/>
              <w:rPr>
                <w:rFonts w:cs="Arial"/>
                <w:sz w:val="18"/>
                <w:szCs w:val="22"/>
              </w:rPr>
            </w:pPr>
            <w:r>
              <w:rPr>
                <w:rFonts w:cs="Arial"/>
                <w:sz w:val="18"/>
                <w:szCs w:val="22"/>
              </w:rPr>
              <w:t>2,2</w:t>
            </w:r>
          </w:p>
        </w:tc>
      </w:tr>
      <w:tr w:rsidR="00000000">
        <w:trPr>
          <w:jc w:val="center"/>
        </w:trPr>
        <w:tc>
          <w:tcPr>
            <w:tcW w:w="1272" w:type="pct"/>
          </w:tcPr>
          <w:p w:rsidR="00000000" w:rsidRDefault="00000000">
            <w:pPr>
              <w:spacing w:before="20"/>
              <w:rPr>
                <w:rFonts w:cs="Arial"/>
                <w:sz w:val="18"/>
                <w:szCs w:val="22"/>
              </w:rPr>
            </w:pPr>
            <w:r>
              <w:rPr>
                <w:rFonts w:cs="Arial"/>
                <w:sz w:val="18"/>
                <w:szCs w:val="22"/>
                <w:lang w:val="en-US"/>
              </w:rPr>
              <w:t>   </w:t>
            </w:r>
            <w:r>
              <w:rPr>
                <w:rFonts w:cs="Arial"/>
                <w:sz w:val="18"/>
                <w:szCs w:val="22"/>
              </w:rPr>
              <w:t>6-14 лет</w:t>
            </w:r>
          </w:p>
        </w:tc>
        <w:tc>
          <w:tcPr>
            <w:tcW w:w="718" w:type="pct"/>
          </w:tcPr>
          <w:p w:rsidR="00000000" w:rsidRDefault="00000000">
            <w:pPr>
              <w:tabs>
                <w:tab w:val="clear" w:pos="1134"/>
              </w:tabs>
              <w:spacing w:before="20"/>
              <w:ind w:right="321"/>
              <w:jc w:val="right"/>
              <w:rPr>
                <w:rFonts w:cs="Arial"/>
                <w:sz w:val="18"/>
                <w:szCs w:val="22"/>
              </w:rPr>
            </w:pPr>
            <w:r>
              <w:rPr>
                <w:rFonts w:cs="Arial"/>
                <w:sz w:val="18"/>
                <w:szCs w:val="22"/>
              </w:rPr>
              <w:t>10 989 851</w:t>
            </w:r>
          </w:p>
        </w:tc>
        <w:tc>
          <w:tcPr>
            <w:tcW w:w="1030" w:type="pct"/>
          </w:tcPr>
          <w:p w:rsidR="00000000" w:rsidRDefault="00000000">
            <w:pPr>
              <w:spacing w:before="20"/>
              <w:jc w:val="center"/>
              <w:rPr>
                <w:rFonts w:cs="Arial"/>
                <w:sz w:val="18"/>
                <w:szCs w:val="22"/>
              </w:rPr>
            </w:pPr>
            <w:r>
              <w:rPr>
                <w:rFonts w:cs="Arial"/>
                <w:sz w:val="18"/>
                <w:szCs w:val="22"/>
              </w:rPr>
              <w:t>96,8</w:t>
            </w:r>
          </w:p>
        </w:tc>
        <w:tc>
          <w:tcPr>
            <w:tcW w:w="1225" w:type="pct"/>
          </w:tcPr>
          <w:p w:rsidR="00000000" w:rsidRDefault="00000000">
            <w:pPr>
              <w:spacing w:before="20"/>
              <w:jc w:val="center"/>
              <w:rPr>
                <w:rFonts w:cs="Arial"/>
                <w:sz w:val="18"/>
                <w:szCs w:val="22"/>
              </w:rPr>
            </w:pPr>
            <w:r>
              <w:rPr>
                <w:rFonts w:cs="Arial"/>
                <w:sz w:val="18"/>
                <w:szCs w:val="22"/>
              </w:rPr>
              <w:t>2,3</w:t>
            </w:r>
          </w:p>
        </w:tc>
        <w:tc>
          <w:tcPr>
            <w:tcW w:w="754" w:type="pct"/>
          </w:tcPr>
          <w:p w:rsidR="00000000" w:rsidRDefault="00000000">
            <w:pPr>
              <w:spacing w:before="20"/>
              <w:jc w:val="center"/>
              <w:rPr>
                <w:rFonts w:cs="Arial"/>
                <w:sz w:val="18"/>
                <w:szCs w:val="22"/>
              </w:rPr>
            </w:pPr>
            <w:r>
              <w:rPr>
                <w:rFonts w:cs="Arial"/>
                <w:sz w:val="18"/>
                <w:szCs w:val="22"/>
              </w:rPr>
              <w:t>0,9</w:t>
            </w:r>
          </w:p>
        </w:tc>
      </w:tr>
      <w:tr w:rsidR="00000000">
        <w:trPr>
          <w:jc w:val="center"/>
        </w:trPr>
        <w:tc>
          <w:tcPr>
            <w:tcW w:w="1272" w:type="pct"/>
          </w:tcPr>
          <w:p w:rsidR="00000000" w:rsidRDefault="00000000">
            <w:pPr>
              <w:spacing w:before="20"/>
              <w:rPr>
                <w:rFonts w:cs="Arial"/>
                <w:sz w:val="18"/>
                <w:szCs w:val="22"/>
              </w:rPr>
            </w:pPr>
            <w:r>
              <w:rPr>
                <w:rFonts w:cs="Arial"/>
                <w:sz w:val="18"/>
                <w:szCs w:val="22"/>
                <w:lang w:val="fr-FR"/>
              </w:rPr>
              <w:t>   </w:t>
            </w:r>
            <w:r>
              <w:rPr>
                <w:rFonts w:cs="Arial"/>
                <w:sz w:val="18"/>
                <w:szCs w:val="22"/>
              </w:rPr>
              <w:t>15-64 года</w:t>
            </w:r>
          </w:p>
        </w:tc>
        <w:tc>
          <w:tcPr>
            <w:tcW w:w="718" w:type="pct"/>
          </w:tcPr>
          <w:p w:rsidR="00000000" w:rsidRDefault="00000000">
            <w:pPr>
              <w:tabs>
                <w:tab w:val="clear" w:pos="1134"/>
              </w:tabs>
              <w:spacing w:before="20"/>
              <w:ind w:right="321"/>
              <w:jc w:val="right"/>
              <w:rPr>
                <w:rFonts w:cs="Arial"/>
                <w:sz w:val="18"/>
                <w:szCs w:val="22"/>
              </w:rPr>
            </w:pPr>
            <w:r>
              <w:rPr>
                <w:rFonts w:cs="Arial"/>
                <w:sz w:val="18"/>
                <w:szCs w:val="22"/>
              </w:rPr>
              <w:t>30 721 961</w:t>
            </w:r>
          </w:p>
        </w:tc>
        <w:tc>
          <w:tcPr>
            <w:tcW w:w="1030" w:type="pct"/>
          </w:tcPr>
          <w:p w:rsidR="00000000" w:rsidRDefault="00000000">
            <w:pPr>
              <w:spacing w:before="20"/>
              <w:jc w:val="center"/>
              <w:rPr>
                <w:rFonts w:cs="Arial"/>
                <w:sz w:val="18"/>
                <w:szCs w:val="22"/>
              </w:rPr>
            </w:pPr>
            <w:r>
              <w:rPr>
                <w:rFonts w:cs="Arial"/>
                <w:sz w:val="18"/>
                <w:szCs w:val="22"/>
              </w:rPr>
              <w:t>97,0</w:t>
            </w:r>
          </w:p>
        </w:tc>
        <w:tc>
          <w:tcPr>
            <w:tcW w:w="1225" w:type="pct"/>
          </w:tcPr>
          <w:p w:rsidR="00000000" w:rsidRDefault="00000000">
            <w:pPr>
              <w:spacing w:before="20"/>
              <w:jc w:val="center"/>
              <w:rPr>
                <w:rFonts w:cs="Arial"/>
                <w:sz w:val="18"/>
                <w:szCs w:val="22"/>
              </w:rPr>
            </w:pPr>
            <w:r>
              <w:rPr>
                <w:rFonts w:cs="Arial"/>
                <w:sz w:val="18"/>
                <w:szCs w:val="22"/>
              </w:rPr>
              <w:t>2,3</w:t>
            </w:r>
          </w:p>
        </w:tc>
        <w:tc>
          <w:tcPr>
            <w:tcW w:w="754" w:type="pct"/>
          </w:tcPr>
          <w:p w:rsidR="00000000" w:rsidRDefault="00000000">
            <w:pPr>
              <w:spacing w:before="20"/>
              <w:jc w:val="center"/>
              <w:rPr>
                <w:rFonts w:cs="Arial"/>
                <w:sz w:val="18"/>
                <w:szCs w:val="22"/>
              </w:rPr>
            </w:pPr>
            <w:r>
              <w:rPr>
                <w:rFonts w:cs="Arial"/>
                <w:sz w:val="18"/>
                <w:szCs w:val="22"/>
              </w:rPr>
              <w:t>0,7</w:t>
            </w:r>
          </w:p>
        </w:tc>
      </w:tr>
      <w:tr w:rsidR="00000000">
        <w:trPr>
          <w:jc w:val="center"/>
        </w:trPr>
        <w:tc>
          <w:tcPr>
            <w:tcW w:w="1272" w:type="pct"/>
          </w:tcPr>
          <w:p w:rsidR="00000000" w:rsidRDefault="00000000">
            <w:pPr>
              <w:spacing w:before="20"/>
              <w:rPr>
                <w:rFonts w:cs="Arial"/>
                <w:sz w:val="18"/>
                <w:szCs w:val="22"/>
              </w:rPr>
            </w:pPr>
            <w:r>
              <w:rPr>
                <w:rFonts w:cs="Arial"/>
                <w:sz w:val="18"/>
                <w:szCs w:val="22"/>
                <w:lang w:val="fr-FR"/>
              </w:rPr>
              <w:t>  </w:t>
            </w:r>
            <w:r>
              <w:rPr>
                <w:rFonts w:cs="Arial"/>
                <w:sz w:val="18"/>
                <w:szCs w:val="22"/>
              </w:rPr>
              <w:t> 65 лет и более</w:t>
            </w:r>
          </w:p>
        </w:tc>
        <w:tc>
          <w:tcPr>
            <w:tcW w:w="718" w:type="pct"/>
          </w:tcPr>
          <w:p w:rsidR="00000000" w:rsidRDefault="00000000">
            <w:pPr>
              <w:tabs>
                <w:tab w:val="clear" w:pos="1134"/>
              </w:tabs>
              <w:spacing w:before="20"/>
              <w:ind w:right="321"/>
              <w:jc w:val="right"/>
              <w:rPr>
                <w:rFonts w:cs="Arial"/>
                <w:sz w:val="18"/>
                <w:szCs w:val="22"/>
                <w:lang w:val="en-US"/>
              </w:rPr>
            </w:pPr>
            <w:r>
              <w:rPr>
                <w:rFonts w:cs="Arial"/>
                <w:sz w:val="18"/>
                <w:szCs w:val="22"/>
                <w:lang w:val="en-US"/>
              </w:rPr>
              <w:t>2 598 697</w:t>
            </w:r>
          </w:p>
        </w:tc>
        <w:tc>
          <w:tcPr>
            <w:tcW w:w="1030" w:type="pct"/>
          </w:tcPr>
          <w:p w:rsidR="00000000" w:rsidRDefault="00000000">
            <w:pPr>
              <w:spacing w:before="20"/>
              <w:jc w:val="center"/>
              <w:rPr>
                <w:rFonts w:cs="Arial"/>
                <w:sz w:val="18"/>
                <w:szCs w:val="22"/>
                <w:lang w:val="en-US"/>
              </w:rPr>
            </w:pPr>
            <w:r>
              <w:rPr>
                <w:rFonts w:cs="Arial"/>
                <w:sz w:val="18"/>
                <w:szCs w:val="22"/>
                <w:lang w:val="en-US"/>
              </w:rPr>
              <w:t>96</w:t>
            </w:r>
            <w:r>
              <w:rPr>
                <w:rFonts w:cs="Arial"/>
                <w:sz w:val="18"/>
                <w:szCs w:val="22"/>
              </w:rPr>
              <w:t>,</w:t>
            </w:r>
            <w:r>
              <w:rPr>
                <w:rFonts w:cs="Arial"/>
                <w:sz w:val="18"/>
                <w:szCs w:val="22"/>
                <w:lang w:val="en-US"/>
              </w:rPr>
              <w:t>1</w:t>
            </w:r>
          </w:p>
        </w:tc>
        <w:tc>
          <w:tcPr>
            <w:tcW w:w="1225" w:type="pct"/>
          </w:tcPr>
          <w:p w:rsidR="00000000" w:rsidRDefault="00000000">
            <w:pPr>
              <w:spacing w:before="20"/>
              <w:jc w:val="center"/>
              <w:rPr>
                <w:rFonts w:cs="Arial"/>
                <w:sz w:val="18"/>
                <w:szCs w:val="22"/>
                <w:lang w:val="en-US"/>
              </w:rPr>
            </w:pPr>
            <w:r>
              <w:rPr>
                <w:rFonts w:cs="Arial"/>
                <w:sz w:val="18"/>
                <w:szCs w:val="22"/>
                <w:lang w:val="en-US"/>
              </w:rPr>
              <w:t>3</w:t>
            </w:r>
            <w:r>
              <w:rPr>
                <w:rFonts w:cs="Arial"/>
                <w:sz w:val="18"/>
                <w:szCs w:val="22"/>
              </w:rPr>
              <w:t>,</w:t>
            </w:r>
            <w:r>
              <w:rPr>
                <w:rFonts w:cs="Arial"/>
                <w:sz w:val="18"/>
                <w:szCs w:val="22"/>
                <w:lang w:val="en-US"/>
              </w:rPr>
              <w:t>2</w:t>
            </w:r>
          </w:p>
        </w:tc>
        <w:tc>
          <w:tcPr>
            <w:tcW w:w="754" w:type="pct"/>
          </w:tcPr>
          <w:p w:rsidR="00000000" w:rsidRDefault="00000000">
            <w:pPr>
              <w:spacing w:before="20"/>
              <w:jc w:val="center"/>
              <w:rPr>
                <w:rFonts w:cs="Arial"/>
                <w:sz w:val="18"/>
                <w:szCs w:val="22"/>
                <w:lang w:val="en-US"/>
              </w:rPr>
            </w:pPr>
            <w:r>
              <w:rPr>
                <w:rFonts w:cs="Arial"/>
                <w:sz w:val="18"/>
                <w:szCs w:val="22"/>
                <w:lang w:val="en-US"/>
              </w:rPr>
              <w:t>0</w:t>
            </w:r>
            <w:r>
              <w:rPr>
                <w:rFonts w:cs="Arial"/>
                <w:sz w:val="18"/>
                <w:szCs w:val="22"/>
              </w:rPr>
              <w:t>,</w:t>
            </w:r>
            <w:r>
              <w:rPr>
                <w:rFonts w:cs="Arial"/>
                <w:sz w:val="18"/>
                <w:szCs w:val="22"/>
                <w:lang w:val="en-US"/>
              </w:rPr>
              <w:t>7</w:t>
            </w:r>
          </w:p>
        </w:tc>
      </w:tr>
      <w:tr w:rsidR="00000000">
        <w:trPr>
          <w:jc w:val="center"/>
        </w:trPr>
        <w:tc>
          <w:tcPr>
            <w:tcW w:w="1272" w:type="pct"/>
            <w:tcBorders>
              <w:bottom w:val="single" w:sz="4" w:space="0" w:color="auto"/>
            </w:tcBorders>
          </w:tcPr>
          <w:p w:rsidR="00000000" w:rsidRDefault="00000000">
            <w:pPr>
              <w:spacing w:before="20"/>
              <w:rPr>
                <w:rFonts w:cs="Arial"/>
                <w:sz w:val="18"/>
                <w:szCs w:val="22"/>
              </w:rPr>
            </w:pPr>
            <w:r>
              <w:rPr>
                <w:rFonts w:cs="Arial"/>
                <w:sz w:val="18"/>
                <w:szCs w:val="22"/>
                <w:lang w:val="en-US"/>
              </w:rPr>
              <w:t>  </w:t>
            </w:r>
            <w:r>
              <w:rPr>
                <w:rFonts w:cs="Arial"/>
                <w:sz w:val="18"/>
                <w:szCs w:val="22"/>
              </w:rPr>
              <w:t> Не указано</w:t>
            </w:r>
          </w:p>
        </w:tc>
        <w:tc>
          <w:tcPr>
            <w:tcW w:w="718" w:type="pct"/>
            <w:tcBorders>
              <w:bottom w:val="single" w:sz="4" w:space="0" w:color="auto"/>
            </w:tcBorders>
          </w:tcPr>
          <w:p w:rsidR="00000000" w:rsidRDefault="00000000">
            <w:pPr>
              <w:tabs>
                <w:tab w:val="clear" w:pos="1134"/>
              </w:tabs>
              <w:spacing w:before="20"/>
              <w:ind w:right="321"/>
              <w:jc w:val="right"/>
              <w:rPr>
                <w:rFonts w:cs="Arial"/>
                <w:sz w:val="18"/>
                <w:szCs w:val="22"/>
                <w:lang w:val="en-US"/>
              </w:rPr>
            </w:pPr>
            <w:r>
              <w:rPr>
                <w:rFonts w:cs="Arial"/>
                <w:sz w:val="18"/>
                <w:szCs w:val="22"/>
                <w:lang w:val="en-US"/>
              </w:rPr>
              <w:t>140 673</w:t>
            </w:r>
          </w:p>
        </w:tc>
        <w:tc>
          <w:tcPr>
            <w:tcW w:w="1030" w:type="pct"/>
            <w:tcBorders>
              <w:bottom w:val="single" w:sz="4" w:space="0" w:color="auto"/>
            </w:tcBorders>
          </w:tcPr>
          <w:p w:rsidR="00000000" w:rsidRDefault="00000000">
            <w:pPr>
              <w:spacing w:before="20"/>
              <w:jc w:val="center"/>
              <w:rPr>
                <w:rFonts w:cs="Arial"/>
                <w:sz w:val="18"/>
                <w:szCs w:val="22"/>
              </w:rPr>
            </w:pPr>
            <w:r>
              <w:rPr>
                <w:rFonts w:cs="Arial"/>
                <w:sz w:val="18"/>
                <w:szCs w:val="22"/>
              </w:rPr>
              <w:t>88,5</w:t>
            </w:r>
          </w:p>
        </w:tc>
        <w:tc>
          <w:tcPr>
            <w:tcW w:w="1225" w:type="pct"/>
            <w:tcBorders>
              <w:bottom w:val="single" w:sz="4" w:space="0" w:color="auto"/>
            </w:tcBorders>
          </w:tcPr>
          <w:p w:rsidR="00000000" w:rsidRDefault="00000000">
            <w:pPr>
              <w:spacing w:before="20"/>
              <w:jc w:val="center"/>
              <w:rPr>
                <w:rFonts w:cs="Arial"/>
                <w:sz w:val="18"/>
                <w:szCs w:val="22"/>
              </w:rPr>
            </w:pPr>
            <w:r>
              <w:rPr>
                <w:rFonts w:cs="Arial"/>
                <w:sz w:val="18"/>
                <w:szCs w:val="22"/>
              </w:rPr>
              <w:t>5,8</w:t>
            </w:r>
          </w:p>
        </w:tc>
        <w:tc>
          <w:tcPr>
            <w:tcW w:w="754" w:type="pct"/>
            <w:tcBorders>
              <w:bottom w:val="single" w:sz="4" w:space="0" w:color="auto"/>
            </w:tcBorders>
          </w:tcPr>
          <w:p w:rsidR="00000000" w:rsidRDefault="00000000">
            <w:pPr>
              <w:spacing w:before="20"/>
              <w:jc w:val="center"/>
              <w:rPr>
                <w:rFonts w:cs="Arial"/>
                <w:sz w:val="18"/>
                <w:szCs w:val="22"/>
              </w:rPr>
            </w:pPr>
            <w:r>
              <w:rPr>
                <w:rFonts w:cs="Arial"/>
                <w:sz w:val="18"/>
                <w:szCs w:val="22"/>
              </w:rPr>
              <w:t>5,7</w:t>
            </w:r>
          </w:p>
        </w:tc>
      </w:tr>
    </w:tbl>
    <w:p w:rsidR="00000000" w:rsidRDefault="00000000">
      <w:pPr>
        <w:spacing w:line="216" w:lineRule="auto"/>
        <w:rPr>
          <w:b/>
          <w:bCs/>
          <w:sz w:val="18"/>
        </w:rPr>
      </w:pPr>
    </w:p>
    <w:p w:rsidR="00000000" w:rsidRDefault="00000000">
      <w:pPr>
        <w:spacing w:line="240" w:lineRule="auto"/>
        <w:rPr>
          <w:i/>
          <w:iCs/>
          <w:sz w:val="18"/>
        </w:rPr>
      </w:pPr>
      <w:r>
        <w:rPr>
          <w:i/>
          <w:iCs/>
          <w:sz w:val="18"/>
        </w:rPr>
        <w:t xml:space="preserve">Источник:  </w:t>
      </w:r>
      <w:r>
        <w:rPr>
          <w:sz w:val="18"/>
        </w:rPr>
        <w:t>НИСГИ, база данных выборки переписи.  "</w:t>
      </w:r>
      <w:r>
        <w:rPr>
          <w:sz w:val="18"/>
          <w:lang w:val="en-US"/>
        </w:rPr>
        <w:t>XII</w:t>
      </w:r>
      <w:r>
        <w:rPr>
          <w:sz w:val="18"/>
        </w:rPr>
        <w:t xml:space="preserve"> всеобщая перепись населения и жилого фонда 2000 года".</w:t>
      </w:r>
    </w:p>
    <w:p w:rsidR="00000000" w:rsidRDefault="00000000">
      <w:pPr>
        <w:rPr>
          <w:i/>
          <w:iCs/>
        </w:rPr>
      </w:pPr>
    </w:p>
    <w:p w:rsidR="00000000" w:rsidRDefault="00000000">
      <w:pPr>
        <w:rPr>
          <w:i/>
          <w:iCs/>
        </w:rPr>
      </w:pPr>
    </w:p>
    <w:p w:rsidR="00000000" w:rsidRDefault="00000000">
      <w:pPr>
        <w:spacing w:before="20"/>
        <w:jc w:val="center"/>
        <w:rPr>
          <w:b/>
          <w:bCs/>
          <w:szCs w:val="22"/>
        </w:rPr>
      </w:pPr>
      <w:r>
        <w:rPr>
          <w:b/>
          <w:bCs/>
          <w:szCs w:val="22"/>
        </w:rPr>
        <w:t>Распределение населения, пользующегося медицинскими услугами,</w:t>
      </w:r>
    </w:p>
    <w:p w:rsidR="00000000" w:rsidRDefault="00000000">
      <w:pPr>
        <w:spacing w:before="20"/>
        <w:jc w:val="center"/>
        <w:rPr>
          <w:b/>
          <w:bCs/>
          <w:szCs w:val="22"/>
        </w:rPr>
      </w:pPr>
      <w:r>
        <w:rPr>
          <w:b/>
          <w:bCs/>
          <w:szCs w:val="22"/>
        </w:rPr>
        <w:t>с разбивкой по типу учреждения, полу и возрасту, 2000 год</w:t>
      </w:r>
    </w:p>
    <w:p w:rsidR="00000000" w:rsidRDefault="00000000">
      <w:pPr>
        <w:spacing w:before="20"/>
        <w:jc w:val="center"/>
        <w:rPr>
          <w:sz w:val="18"/>
        </w:rPr>
      </w:pPr>
    </w:p>
    <w:tbl>
      <w:tblPr>
        <w:tblW w:w="5004" w:type="pct"/>
        <w:jc w:val="center"/>
        <w:tblInd w:w="-34" w:type="dxa"/>
        <w:tblCellMar>
          <w:left w:w="0" w:type="dxa"/>
          <w:right w:w="0" w:type="dxa"/>
        </w:tblCellMar>
        <w:tblLook w:val="00A0" w:firstRow="1" w:lastRow="0" w:firstColumn="1" w:lastColumn="0" w:noHBand="0" w:noVBand="0"/>
      </w:tblPr>
      <w:tblGrid>
        <w:gridCol w:w="2179"/>
        <w:gridCol w:w="2018"/>
        <w:gridCol w:w="1611"/>
        <w:gridCol w:w="1665"/>
        <w:gridCol w:w="1904"/>
      </w:tblGrid>
      <w:tr w:rsidR="00000000">
        <w:trPr>
          <w:jc w:val="center"/>
        </w:trPr>
        <w:tc>
          <w:tcPr>
            <w:tcW w:w="1162" w:type="pct"/>
            <w:tcBorders>
              <w:top w:val="single" w:sz="4" w:space="0" w:color="auto"/>
              <w:bottom w:val="single" w:sz="4" w:space="0" w:color="auto"/>
            </w:tcBorders>
            <w:vAlign w:val="center"/>
          </w:tcPr>
          <w:p w:rsidR="00000000" w:rsidRDefault="00000000">
            <w:pPr>
              <w:spacing w:before="60" w:line="240" w:lineRule="auto"/>
              <w:jc w:val="center"/>
              <w:rPr>
                <w:i/>
                <w:iCs/>
                <w:sz w:val="18"/>
              </w:rPr>
            </w:pPr>
            <w:r>
              <w:rPr>
                <w:i/>
                <w:iCs/>
                <w:sz w:val="18"/>
              </w:rPr>
              <w:t>Пол</w:t>
            </w:r>
            <w:r>
              <w:rPr>
                <w:i/>
                <w:iCs/>
                <w:sz w:val="18"/>
              </w:rPr>
              <w:br/>
              <w:t>Возрастная группа</w:t>
            </w:r>
          </w:p>
        </w:tc>
        <w:tc>
          <w:tcPr>
            <w:tcW w:w="1076" w:type="pct"/>
            <w:tcBorders>
              <w:top w:val="single" w:sz="4" w:space="0" w:color="auto"/>
              <w:bottom w:val="single" w:sz="4" w:space="0" w:color="auto"/>
            </w:tcBorders>
            <w:vAlign w:val="center"/>
          </w:tcPr>
          <w:p w:rsidR="00000000" w:rsidRDefault="00000000">
            <w:pPr>
              <w:spacing w:before="60" w:line="240" w:lineRule="auto"/>
              <w:jc w:val="center"/>
              <w:rPr>
                <w:i/>
                <w:iCs/>
                <w:sz w:val="18"/>
              </w:rPr>
            </w:pPr>
            <w:r>
              <w:rPr>
                <w:i/>
                <w:iCs/>
                <w:sz w:val="18"/>
              </w:rPr>
              <w:t>Численность пользующихся услугами здравоохранения</w:t>
            </w:r>
          </w:p>
        </w:tc>
        <w:tc>
          <w:tcPr>
            <w:tcW w:w="859" w:type="pct"/>
            <w:tcBorders>
              <w:top w:val="single" w:sz="4" w:space="0" w:color="auto"/>
              <w:bottom w:val="single" w:sz="4" w:space="0" w:color="auto"/>
            </w:tcBorders>
            <w:vAlign w:val="center"/>
          </w:tcPr>
          <w:p w:rsidR="00000000" w:rsidRDefault="00000000">
            <w:pPr>
              <w:spacing w:before="60" w:line="240" w:lineRule="auto"/>
              <w:jc w:val="center"/>
              <w:rPr>
                <w:i/>
                <w:iCs/>
                <w:sz w:val="18"/>
                <w:vertAlign w:val="superscript"/>
              </w:rPr>
            </w:pPr>
            <w:r>
              <w:rPr>
                <w:i/>
                <w:iCs/>
                <w:sz w:val="18"/>
              </w:rPr>
              <w:t>Социальное обеспечение</w:t>
            </w:r>
            <w:r>
              <w:rPr>
                <w:i/>
                <w:iCs/>
                <w:sz w:val="18"/>
                <w:vertAlign w:val="superscript"/>
                <w:lang w:val="en-US"/>
              </w:rPr>
              <w:t>a</w:t>
            </w:r>
          </w:p>
        </w:tc>
        <w:tc>
          <w:tcPr>
            <w:tcW w:w="888" w:type="pct"/>
            <w:tcBorders>
              <w:top w:val="single" w:sz="4" w:space="0" w:color="auto"/>
              <w:bottom w:val="single" w:sz="4" w:space="0" w:color="auto"/>
            </w:tcBorders>
            <w:vAlign w:val="center"/>
          </w:tcPr>
          <w:p w:rsidR="00000000" w:rsidRDefault="00000000">
            <w:pPr>
              <w:spacing w:before="60" w:line="240" w:lineRule="auto"/>
              <w:jc w:val="center"/>
              <w:rPr>
                <w:i/>
                <w:iCs/>
                <w:sz w:val="18"/>
                <w:vertAlign w:val="superscript"/>
              </w:rPr>
            </w:pPr>
            <w:r>
              <w:rPr>
                <w:i/>
                <w:iCs/>
                <w:sz w:val="18"/>
              </w:rPr>
              <w:t>Частные медицинские услуги</w:t>
            </w:r>
            <w:r>
              <w:rPr>
                <w:i/>
                <w:iCs/>
                <w:sz w:val="18"/>
                <w:vertAlign w:val="superscript"/>
                <w:lang w:val="en-US"/>
              </w:rPr>
              <w:t>b</w:t>
            </w:r>
          </w:p>
        </w:tc>
        <w:tc>
          <w:tcPr>
            <w:tcW w:w="1015" w:type="pct"/>
            <w:tcBorders>
              <w:top w:val="single" w:sz="4" w:space="0" w:color="auto"/>
              <w:bottom w:val="single" w:sz="4" w:space="0" w:color="auto"/>
            </w:tcBorders>
            <w:vAlign w:val="center"/>
          </w:tcPr>
          <w:p w:rsidR="00000000" w:rsidRDefault="00000000">
            <w:pPr>
              <w:spacing w:before="60" w:line="240" w:lineRule="auto"/>
              <w:jc w:val="center"/>
              <w:rPr>
                <w:i/>
                <w:iCs/>
                <w:sz w:val="18"/>
              </w:rPr>
            </w:pPr>
            <w:r>
              <w:rPr>
                <w:i/>
                <w:iCs/>
                <w:sz w:val="18"/>
              </w:rPr>
              <w:t>Услуги, открытые для всего населения</w:t>
            </w:r>
          </w:p>
        </w:tc>
      </w:tr>
      <w:tr w:rsidR="00000000">
        <w:trPr>
          <w:jc w:val="center"/>
        </w:trPr>
        <w:tc>
          <w:tcPr>
            <w:tcW w:w="1162" w:type="pct"/>
            <w:tcBorders>
              <w:top w:val="single" w:sz="4" w:space="0" w:color="auto"/>
            </w:tcBorders>
          </w:tcPr>
          <w:p w:rsidR="00000000" w:rsidRDefault="00000000">
            <w:pPr>
              <w:spacing w:before="60" w:line="240" w:lineRule="auto"/>
              <w:rPr>
                <w:sz w:val="18"/>
              </w:rPr>
            </w:pPr>
            <w:r>
              <w:rPr>
                <w:sz w:val="18"/>
              </w:rPr>
              <w:t>Мужчины</w:t>
            </w:r>
          </w:p>
        </w:tc>
        <w:tc>
          <w:tcPr>
            <w:tcW w:w="1076" w:type="pct"/>
            <w:tcBorders>
              <w:top w:val="single" w:sz="4" w:space="0" w:color="auto"/>
            </w:tcBorders>
          </w:tcPr>
          <w:p w:rsidR="00000000" w:rsidRDefault="00000000">
            <w:pPr>
              <w:tabs>
                <w:tab w:val="clear" w:pos="1701"/>
                <w:tab w:val="left" w:pos="1170"/>
              </w:tabs>
              <w:spacing w:before="60" w:line="240" w:lineRule="auto"/>
              <w:ind w:right="499"/>
              <w:jc w:val="right"/>
              <w:rPr>
                <w:sz w:val="18"/>
              </w:rPr>
            </w:pPr>
            <w:r>
              <w:rPr>
                <w:sz w:val="18"/>
              </w:rPr>
              <w:t>45 352 031</w:t>
            </w:r>
          </w:p>
        </w:tc>
        <w:tc>
          <w:tcPr>
            <w:tcW w:w="859" w:type="pct"/>
            <w:tcBorders>
              <w:top w:val="single" w:sz="4" w:space="0" w:color="auto"/>
            </w:tcBorders>
          </w:tcPr>
          <w:p w:rsidR="00000000" w:rsidRDefault="00000000">
            <w:pPr>
              <w:tabs>
                <w:tab w:val="clear" w:pos="1701"/>
                <w:tab w:val="left" w:pos="1170"/>
              </w:tabs>
              <w:spacing w:before="60" w:line="240" w:lineRule="auto"/>
              <w:ind w:right="510"/>
              <w:jc w:val="right"/>
              <w:rPr>
                <w:sz w:val="18"/>
              </w:rPr>
            </w:pPr>
            <w:r>
              <w:rPr>
                <w:sz w:val="18"/>
              </w:rPr>
              <w:t>38,5</w:t>
            </w:r>
          </w:p>
        </w:tc>
        <w:tc>
          <w:tcPr>
            <w:tcW w:w="888" w:type="pct"/>
            <w:tcBorders>
              <w:top w:val="single" w:sz="4" w:space="0" w:color="auto"/>
            </w:tcBorders>
          </w:tcPr>
          <w:p w:rsidR="00000000" w:rsidRDefault="00000000">
            <w:pPr>
              <w:tabs>
                <w:tab w:val="clear" w:pos="1701"/>
                <w:tab w:val="left" w:pos="1170"/>
              </w:tabs>
              <w:spacing w:before="60" w:line="240" w:lineRule="auto"/>
              <w:ind w:right="510"/>
              <w:jc w:val="right"/>
              <w:rPr>
                <w:sz w:val="18"/>
              </w:rPr>
            </w:pPr>
            <w:r>
              <w:rPr>
                <w:sz w:val="18"/>
              </w:rPr>
              <w:t>34,7</w:t>
            </w:r>
          </w:p>
        </w:tc>
        <w:tc>
          <w:tcPr>
            <w:tcW w:w="1015" w:type="pct"/>
            <w:tcBorders>
              <w:top w:val="single" w:sz="4" w:space="0" w:color="auto"/>
            </w:tcBorders>
          </w:tcPr>
          <w:p w:rsidR="00000000" w:rsidRDefault="00000000">
            <w:pPr>
              <w:tabs>
                <w:tab w:val="clear" w:pos="1701"/>
                <w:tab w:val="left" w:pos="1170"/>
              </w:tabs>
              <w:spacing w:before="60" w:line="240" w:lineRule="auto"/>
              <w:ind w:right="907"/>
              <w:jc w:val="right"/>
              <w:rPr>
                <w:sz w:val="18"/>
              </w:rPr>
            </w:pPr>
            <w:r>
              <w:rPr>
                <w:sz w:val="18"/>
              </w:rPr>
              <w:t>26,8</w:t>
            </w:r>
          </w:p>
        </w:tc>
      </w:tr>
      <w:tr w:rsidR="00000000">
        <w:trPr>
          <w:jc w:val="center"/>
        </w:trPr>
        <w:tc>
          <w:tcPr>
            <w:tcW w:w="1162" w:type="pct"/>
          </w:tcPr>
          <w:p w:rsidR="00000000" w:rsidRDefault="00000000">
            <w:pPr>
              <w:spacing w:before="60" w:line="240" w:lineRule="auto"/>
              <w:rPr>
                <w:sz w:val="18"/>
              </w:rPr>
            </w:pPr>
            <w:r>
              <w:rPr>
                <w:sz w:val="18"/>
                <w:lang w:val="en-US"/>
              </w:rPr>
              <w:t>   </w:t>
            </w:r>
            <w:r>
              <w:rPr>
                <w:sz w:val="18"/>
              </w:rPr>
              <w:t>0-4 года</w:t>
            </w:r>
          </w:p>
        </w:tc>
        <w:tc>
          <w:tcPr>
            <w:tcW w:w="1076" w:type="pct"/>
          </w:tcPr>
          <w:p w:rsidR="00000000" w:rsidRDefault="00000000">
            <w:pPr>
              <w:tabs>
                <w:tab w:val="clear" w:pos="1701"/>
                <w:tab w:val="left" w:pos="1170"/>
              </w:tabs>
              <w:spacing w:before="60" w:line="240" w:lineRule="auto"/>
              <w:ind w:right="499"/>
              <w:jc w:val="right"/>
              <w:rPr>
                <w:sz w:val="18"/>
              </w:rPr>
            </w:pPr>
            <w:r>
              <w:rPr>
                <w:sz w:val="18"/>
              </w:rPr>
              <w:t>5 256 931</w:t>
            </w:r>
          </w:p>
        </w:tc>
        <w:tc>
          <w:tcPr>
            <w:tcW w:w="859" w:type="pct"/>
          </w:tcPr>
          <w:p w:rsidR="00000000" w:rsidRDefault="00000000">
            <w:pPr>
              <w:tabs>
                <w:tab w:val="clear" w:pos="1701"/>
                <w:tab w:val="left" w:pos="1170"/>
              </w:tabs>
              <w:spacing w:before="60" w:line="240" w:lineRule="auto"/>
              <w:ind w:right="510"/>
              <w:jc w:val="right"/>
              <w:rPr>
                <w:sz w:val="18"/>
              </w:rPr>
            </w:pPr>
            <w:r>
              <w:rPr>
                <w:sz w:val="18"/>
              </w:rPr>
              <w:t>35,6</w:t>
            </w:r>
          </w:p>
        </w:tc>
        <w:tc>
          <w:tcPr>
            <w:tcW w:w="888" w:type="pct"/>
          </w:tcPr>
          <w:p w:rsidR="00000000" w:rsidRDefault="00000000">
            <w:pPr>
              <w:tabs>
                <w:tab w:val="clear" w:pos="1701"/>
                <w:tab w:val="left" w:pos="1170"/>
              </w:tabs>
              <w:spacing w:before="60" w:line="240" w:lineRule="auto"/>
              <w:ind w:right="510"/>
              <w:jc w:val="right"/>
              <w:rPr>
                <w:sz w:val="18"/>
              </w:rPr>
            </w:pPr>
            <w:r>
              <w:rPr>
                <w:sz w:val="18"/>
              </w:rPr>
              <w:t>32,6</w:t>
            </w:r>
          </w:p>
        </w:tc>
        <w:tc>
          <w:tcPr>
            <w:tcW w:w="1015" w:type="pct"/>
          </w:tcPr>
          <w:p w:rsidR="00000000" w:rsidRDefault="00000000">
            <w:pPr>
              <w:tabs>
                <w:tab w:val="clear" w:pos="1701"/>
                <w:tab w:val="left" w:pos="1170"/>
              </w:tabs>
              <w:spacing w:before="60" w:line="240" w:lineRule="auto"/>
              <w:ind w:right="907"/>
              <w:jc w:val="right"/>
              <w:rPr>
                <w:sz w:val="18"/>
              </w:rPr>
            </w:pPr>
            <w:r>
              <w:rPr>
                <w:sz w:val="18"/>
              </w:rPr>
              <w:t>31,8</w:t>
            </w:r>
          </w:p>
        </w:tc>
      </w:tr>
      <w:tr w:rsidR="00000000">
        <w:trPr>
          <w:jc w:val="center"/>
        </w:trPr>
        <w:tc>
          <w:tcPr>
            <w:tcW w:w="1162" w:type="pct"/>
          </w:tcPr>
          <w:p w:rsidR="00000000" w:rsidRDefault="00000000">
            <w:pPr>
              <w:spacing w:before="60" w:line="240" w:lineRule="auto"/>
              <w:rPr>
                <w:sz w:val="18"/>
              </w:rPr>
            </w:pPr>
            <w:r>
              <w:rPr>
                <w:sz w:val="18"/>
                <w:lang w:val="en-US"/>
              </w:rPr>
              <w:t>   </w:t>
            </w:r>
            <w:r>
              <w:rPr>
                <w:sz w:val="18"/>
              </w:rPr>
              <w:t>6-14 лет</w:t>
            </w:r>
          </w:p>
        </w:tc>
        <w:tc>
          <w:tcPr>
            <w:tcW w:w="1076" w:type="pct"/>
          </w:tcPr>
          <w:p w:rsidR="00000000" w:rsidRDefault="00000000">
            <w:pPr>
              <w:tabs>
                <w:tab w:val="clear" w:pos="1701"/>
                <w:tab w:val="left" w:pos="1170"/>
              </w:tabs>
              <w:spacing w:before="60" w:line="240" w:lineRule="auto"/>
              <w:ind w:right="499"/>
              <w:jc w:val="right"/>
              <w:rPr>
                <w:sz w:val="18"/>
              </w:rPr>
            </w:pPr>
            <w:r>
              <w:rPr>
                <w:sz w:val="18"/>
              </w:rPr>
              <w:t>10 898 810</w:t>
            </w:r>
          </w:p>
        </w:tc>
        <w:tc>
          <w:tcPr>
            <w:tcW w:w="859" w:type="pct"/>
          </w:tcPr>
          <w:p w:rsidR="00000000" w:rsidRDefault="00000000">
            <w:pPr>
              <w:tabs>
                <w:tab w:val="clear" w:pos="1701"/>
                <w:tab w:val="left" w:pos="1170"/>
              </w:tabs>
              <w:spacing w:before="60" w:line="240" w:lineRule="auto"/>
              <w:ind w:right="510"/>
              <w:jc w:val="right"/>
              <w:rPr>
                <w:sz w:val="18"/>
              </w:rPr>
            </w:pPr>
            <w:r>
              <w:rPr>
                <w:sz w:val="18"/>
              </w:rPr>
              <w:t>35,4</w:t>
            </w:r>
          </w:p>
        </w:tc>
        <w:tc>
          <w:tcPr>
            <w:tcW w:w="888" w:type="pct"/>
          </w:tcPr>
          <w:p w:rsidR="00000000" w:rsidRDefault="00000000">
            <w:pPr>
              <w:tabs>
                <w:tab w:val="clear" w:pos="1701"/>
                <w:tab w:val="left" w:pos="1170"/>
              </w:tabs>
              <w:spacing w:before="60" w:line="240" w:lineRule="auto"/>
              <w:ind w:right="510"/>
              <w:jc w:val="right"/>
              <w:rPr>
                <w:sz w:val="18"/>
              </w:rPr>
            </w:pPr>
            <w:r>
              <w:rPr>
                <w:sz w:val="18"/>
              </w:rPr>
              <w:t>31,2</w:t>
            </w:r>
          </w:p>
        </w:tc>
        <w:tc>
          <w:tcPr>
            <w:tcW w:w="1015" w:type="pct"/>
          </w:tcPr>
          <w:p w:rsidR="00000000" w:rsidRDefault="00000000">
            <w:pPr>
              <w:tabs>
                <w:tab w:val="clear" w:pos="1701"/>
                <w:tab w:val="left" w:pos="1170"/>
              </w:tabs>
              <w:spacing w:before="60" w:line="240" w:lineRule="auto"/>
              <w:ind w:right="907"/>
              <w:jc w:val="right"/>
              <w:rPr>
                <w:sz w:val="18"/>
              </w:rPr>
            </w:pPr>
            <w:r>
              <w:rPr>
                <w:sz w:val="18"/>
              </w:rPr>
              <w:t>33,4</w:t>
            </w:r>
          </w:p>
        </w:tc>
      </w:tr>
      <w:tr w:rsidR="00000000">
        <w:trPr>
          <w:jc w:val="center"/>
        </w:trPr>
        <w:tc>
          <w:tcPr>
            <w:tcW w:w="1162" w:type="pct"/>
          </w:tcPr>
          <w:p w:rsidR="00000000" w:rsidRDefault="00000000">
            <w:pPr>
              <w:spacing w:before="60" w:line="240" w:lineRule="auto"/>
              <w:rPr>
                <w:sz w:val="18"/>
              </w:rPr>
            </w:pPr>
            <w:r>
              <w:rPr>
                <w:sz w:val="18"/>
                <w:lang w:val="fr-FR"/>
              </w:rPr>
              <w:t>   </w:t>
            </w:r>
            <w:r>
              <w:rPr>
                <w:sz w:val="18"/>
              </w:rPr>
              <w:t>15-64 года</w:t>
            </w:r>
          </w:p>
        </w:tc>
        <w:tc>
          <w:tcPr>
            <w:tcW w:w="1076" w:type="pct"/>
          </w:tcPr>
          <w:p w:rsidR="00000000" w:rsidRDefault="00000000">
            <w:pPr>
              <w:tabs>
                <w:tab w:val="clear" w:pos="1701"/>
                <w:tab w:val="left" w:pos="1170"/>
              </w:tabs>
              <w:spacing w:before="60" w:line="240" w:lineRule="auto"/>
              <w:ind w:right="499"/>
              <w:jc w:val="right"/>
              <w:rPr>
                <w:sz w:val="18"/>
              </w:rPr>
            </w:pPr>
            <w:r>
              <w:rPr>
                <w:sz w:val="18"/>
              </w:rPr>
              <w:t>26 925 920</w:t>
            </w:r>
          </w:p>
        </w:tc>
        <w:tc>
          <w:tcPr>
            <w:tcW w:w="859" w:type="pct"/>
          </w:tcPr>
          <w:p w:rsidR="00000000" w:rsidRDefault="00000000">
            <w:pPr>
              <w:tabs>
                <w:tab w:val="clear" w:pos="1701"/>
                <w:tab w:val="left" w:pos="1170"/>
              </w:tabs>
              <w:spacing w:before="60" w:line="240" w:lineRule="auto"/>
              <w:ind w:right="510"/>
              <w:jc w:val="right"/>
              <w:rPr>
                <w:sz w:val="18"/>
              </w:rPr>
            </w:pPr>
            <w:r>
              <w:rPr>
                <w:sz w:val="18"/>
              </w:rPr>
              <w:t>39,6</w:t>
            </w:r>
          </w:p>
        </w:tc>
        <w:tc>
          <w:tcPr>
            <w:tcW w:w="888" w:type="pct"/>
          </w:tcPr>
          <w:p w:rsidR="00000000" w:rsidRDefault="00000000">
            <w:pPr>
              <w:tabs>
                <w:tab w:val="clear" w:pos="1701"/>
                <w:tab w:val="left" w:pos="1170"/>
              </w:tabs>
              <w:spacing w:before="60" w:line="240" w:lineRule="auto"/>
              <w:ind w:right="510"/>
              <w:jc w:val="right"/>
              <w:rPr>
                <w:sz w:val="18"/>
              </w:rPr>
            </w:pPr>
            <w:r>
              <w:rPr>
                <w:sz w:val="18"/>
              </w:rPr>
              <w:t>36,7</w:t>
            </w:r>
          </w:p>
        </w:tc>
        <w:tc>
          <w:tcPr>
            <w:tcW w:w="1015" w:type="pct"/>
          </w:tcPr>
          <w:p w:rsidR="00000000" w:rsidRDefault="00000000">
            <w:pPr>
              <w:tabs>
                <w:tab w:val="clear" w:pos="1701"/>
                <w:tab w:val="left" w:pos="1170"/>
              </w:tabs>
              <w:spacing w:before="60" w:line="240" w:lineRule="auto"/>
              <w:ind w:right="907"/>
              <w:jc w:val="right"/>
              <w:rPr>
                <w:sz w:val="18"/>
              </w:rPr>
            </w:pPr>
            <w:r>
              <w:rPr>
                <w:sz w:val="18"/>
              </w:rPr>
              <w:t>23,7</w:t>
            </w:r>
          </w:p>
        </w:tc>
      </w:tr>
      <w:tr w:rsidR="00000000">
        <w:trPr>
          <w:jc w:val="center"/>
        </w:trPr>
        <w:tc>
          <w:tcPr>
            <w:tcW w:w="1162" w:type="pct"/>
          </w:tcPr>
          <w:p w:rsidR="00000000" w:rsidRDefault="00000000">
            <w:pPr>
              <w:spacing w:before="60" w:line="240" w:lineRule="auto"/>
              <w:rPr>
                <w:sz w:val="18"/>
              </w:rPr>
            </w:pPr>
            <w:r>
              <w:rPr>
                <w:sz w:val="18"/>
                <w:lang w:val="fr-FR"/>
              </w:rPr>
              <w:t>   </w:t>
            </w:r>
            <w:r>
              <w:rPr>
                <w:sz w:val="18"/>
              </w:rPr>
              <w:t>65 лет и более</w:t>
            </w:r>
          </w:p>
        </w:tc>
        <w:tc>
          <w:tcPr>
            <w:tcW w:w="1076" w:type="pct"/>
          </w:tcPr>
          <w:p w:rsidR="00000000" w:rsidRDefault="00000000">
            <w:pPr>
              <w:tabs>
                <w:tab w:val="clear" w:pos="1701"/>
                <w:tab w:val="left" w:pos="1170"/>
              </w:tabs>
              <w:spacing w:before="60" w:line="240" w:lineRule="auto"/>
              <w:ind w:right="499"/>
              <w:jc w:val="right"/>
              <w:rPr>
                <w:sz w:val="18"/>
              </w:rPr>
            </w:pPr>
            <w:r>
              <w:rPr>
                <w:sz w:val="18"/>
              </w:rPr>
              <w:t>2 140 382</w:t>
            </w:r>
          </w:p>
        </w:tc>
        <w:tc>
          <w:tcPr>
            <w:tcW w:w="859" w:type="pct"/>
          </w:tcPr>
          <w:p w:rsidR="00000000" w:rsidRDefault="00000000">
            <w:pPr>
              <w:tabs>
                <w:tab w:val="clear" w:pos="1701"/>
                <w:tab w:val="left" w:pos="1170"/>
              </w:tabs>
              <w:spacing w:before="60" w:line="240" w:lineRule="auto"/>
              <w:ind w:right="510"/>
              <w:jc w:val="right"/>
              <w:rPr>
                <w:sz w:val="18"/>
              </w:rPr>
            </w:pPr>
            <w:r>
              <w:rPr>
                <w:sz w:val="18"/>
              </w:rPr>
              <w:t>46,5</w:t>
            </w:r>
          </w:p>
        </w:tc>
        <w:tc>
          <w:tcPr>
            <w:tcW w:w="888" w:type="pct"/>
          </w:tcPr>
          <w:p w:rsidR="00000000" w:rsidRDefault="00000000">
            <w:pPr>
              <w:tabs>
                <w:tab w:val="clear" w:pos="1701"/>
                <w:tab w:val="left" w:pos="1170"/>
              </w:tabs>
              <w:spacing w:before="60" w:line="240" w:lineRule="auto"/>
              <w:ind w:right="510"/>
              <w:jc w:val="right"/>
              <w:rPr>
                <w:sz w:val="18"/>
              </w:rPr>
            </w:pPr>
            <w:r>
              <w:rPr>
                <w:sz w:val="18"/>
              </w:rPr>
              <w:t>32,7</w:t>
            </w:r>
          </w:p>
        </w:tc>
        <w:tc>
          <w:tcPr>
            <w:tcW w:w="1015" w:type="pct"/>
          </w:tcPr>
          <w:p w:rsidR="00000000" w:rsidRDefault="00000000">
            <w:pPr>
              <w:tabs>
                <w:tab w:val="clear" w:pos="1701"/>
                <w:tab w:val="left" w:pos="1170"/>
              </w:tabs>
              <w:spacing w:before="60" w:line="240" w:lineRule="auto"/>
              <w:ind w:right="907"/>
              <w:jc w:val="right"/>
              <w:rPr>
                <w:sz w:val="18"/>
              </w:rPr>
            </w:pPr>
            <w:r>
              <w:rPr>
                <w:sz w:val="18"/>
              </w:rPr>
              <w:t>20,8</w:t>
            </w:r>
          </w:p>
        </w:tc>
      </w:tr>
      <w:tr w:rsidR="00000000">
        <w:trPr>
          <w:jc w:val="center"/>
        </w:trPr>
        <w:tc>
          <w:tcPr>
            <w:tcW w:w="1162" w:type="pct"/>
          </w:tcPr>
          <w:p w:rsidR="00000000" w:rsidRDefault="00000000">
            <w:pPr>
              <w:spacing w:before="60" w:line="240" w:lineRule="auto"/>
              <w:rPr>
                <w:sz w:val="18"/>
              </w:rPr>
            </w:pPr>
            <w:r>
              <w:rPr>
                <w:sz w:val="18"/>
                <w:lang w:val="en-US"/>
              </w:rPr>
              <w:t>   </w:t>
            </w:r>
            <w:r>
              <w:rPr>
                <w:sz w:val="18"/>
              </w:rPr>
              <w:t>Не указано</w:t>
            </w:r>
          </w:p>
        </w:tc>
        <w:tc>
          <w:tcPr>
            <w:tcW w:w="1076" w:type="pct"/>
          </w:tcPr>
          <w:p w:rsidR="00000000" w:rsidRDefault="00000000">
            <w:pPr>
              <w:tabs>
                <w:tab w:val="clear" w:pos="1701"/>
                <w:tab w:val="left" w:pos="1170"/>
              </w:tabs>
              <w:spacing w:before="60" w:line="240" w:lineRule="auto"/>
              <w:ind w:right="499"/>
              <w:jc w:val="right"/>
              <w:rPr>
                <w:sz w:val="18"/>
              </w:rPr>
            </w:pPr>
            <w:r>
              <w:rPr>
                <w:sz w:val="18"/>
              </w:rPr>
              <w:t>129 988</w:t>
            </w:r>
          </w:p>
        </w:tc>
        <w:tc>
          <w:tcPr>
            <w:tcW w:w="859" w:type="pct"/>
          </w:tcPr>
          <w:p w:rsidR="00000000" w:rsidRDefault="00000000">
            <w:pPr>
              <w:tabs>
                <w:tab w:val="clear" w:pos="1701"/>
                <w:tab w:val="left" w:pos="1170"/>
              </w:tabs>
              <w:spacing w:before="60" w:line="240" w:lineRule="auto"/>
              <w:ind w:right="510"/>
              <w:jc w:val="right"/>
              <w:rPr>
                <w:sz w:val="18"/>
              </w:rPr>
            </w:pPr>
            <w:r>
              <w:rPr>
                <w:sz w:val="18"/>
              </w:rPr>
              <w:t>31,3</w:t>
            </w:r>
          </w:p>
        </w:tc>
        <w:tc>
          <w:tcPr>
            <w:tcW w:w="888" w:type="pct"/>
          </w:tcPr>
          <w:p w:rsidR="00000000" w:rsidRDefault="00000000">
            <w:pPr>
              <w:tabs>
                <w:tab w:val="clear" w:pos="1701"/>
                <w:tab w:val="left" w:pos="1170"/>
              </w:tabs>
              <w:spacing w:before="60" w:line="240" w:lineRule="auto"/>
              <w:ind w:right="510"/>
              <w:jc w:val="right"/>
              <w:rPr>
                <w:sz w:val="18"/>
              </w:rPr>
            </w:pPr>
            <w:r>
              <w:rPr>
                <w:sz w:val="18"/>
              </w:rPr>
              <w:t>36,9</w:t>
            </w:r>
          </w:p>
        </w:tc>
        <w:tc>
          <w:tcPr>
            <w:tcW w:w="1015" w:type="pct"/>
          </w:tcPr>
          <w:p w:rsidR="00000000" w:rsidRDefault="00000000">
            <w:pPr>
              <w:tabs>
                <w:tab w:val="clear" w:pos="1701"/>
                <w:tab w:val="left" w:pos="1170"/>
              </w:tabs>
              <w:spacing w:before="60" w:line="240" w:lineRule="auto"/>
              <w:ind w:right="907"/>
              <w:jc w:val="right"/>
              <w:rPr>
                <w:sz w:val="18"/>
              </w:rPr>
            </w:pPr>
            <w:r>
              <w:rPr>
                <w:sz w:val="18"/>
              </w:rPr>
              <w:t>31,8</w:t>
            </w:r>
          </w:p>
        </w:tc>
      </w:tr>
      <w:tr w:rsidR="00000000">
        <w:trPr>
          <w:jc w:val="center"/>
        </w:trPr>
        <w:tc>
          <w:tcPr>
            <w:tcW w:w="1162" w:type="pct"/>
          </w:tcPr>
          <w:p w:rsidR="00000000" w:rsidRDefault="00000000">
            <w:pPr>
              <w:spacing w:before="60" w:line="240" w:lineRule="auto"/>
              <w:rPr>
                <w:sz w:val="18"/>
              </w:rPr>
            </w:pPr>
            <w:r>
              <w:rPr>
                <w:sz w:val="18"/>
              </w:rPr>
              <w:t>Женщины</w:t>
            </w:r>
          </w:p>
        </w:tc>
        <w:tc>
          <w:tcPr>
            <w:tcW w:w="1076" w:type="pct"/>
          </w:tcPr>
          <w:p w:rsidR="00000000" w:rsidRDefault="00000000">
            <w:pPr>
              <w:tabs>
                <w:tab w:val="clear" w:pos="1701"/>
                <w:tab w:val="left" w:pos="1170"/>
              </w:tabs>
              <w:spacing w:before="60" w:line="240" w:lineRule="auto"/>
              <w:ind w:right="499"/>
              <w:jc w:val="right"/>
              <w:rPr>
                <w:sz w:val="18"/>
              </w:rPr>
            </w:pPr>
            <w:r>
              <w:rPr>
                <w:sz w:val="18"/>
              </w:rPr>
              <w:t>48 119 229</w:t>
            </w:r>
          </w:p>
        </w:tc>
        <w:tc>
          <w:tcPr>
            <w:tcW w:w="859" w:type="pct"/>
          </w:tcPr>
          <w:p w:rsidR="00000000" w:rsidRDefault="00000000">
            <w:pPr>
              <w:tabs>
                <w:tab w:val="clear" w:pos="1701"/>
                <w:tab w:val="left" w:pos="1170"/>
              </w:tabs>
              <w:spacing w:before="60" w:line="240" w:lineRule="auto"/>
              <w:ind w:right="510"/>
              <w:jc w:val="right"/>
              <w:rPr>
                <w:sz w:val="18"/>
              </w:rPr>
            </w:pPr>
            <w:r>
              <w:rPr>
                <w:sz w:val="18"/>
              </w:rPr>
              <w:t>39,4</w:t>
            </w:r>
          </w:p>
        </w:tc>
        <w:tc>
          <w:tcPr>
            <w:tcW w:w="888" w:type="pct"/>
          </w:tcPr>
          <w:p w:rsidR="00000000" w:rsidRDefault="00000000">
            <w:pPr>
              <w:tabs>
                <w:tab w:val="clear" w:pos="1701"/>
                <w:tab w:val="left" w:pos="1170"/>
              </w:tabs>
              <w:spacing w:before="60" w:line="240" w:lineRule="auto"/>
              <w:ind w:right="510"/>
              <w:jc w:val="right"/>
              <w:rPr>
                <w:sz w:val="18"/>
              </w:rPr>
            </w:pPr>
            <w:r>
              <w:rPr>
                <w:sz w:val="18"/>
              </w:rPr>
              <w:t>33,7</w:t>
            </w:r>
          </w:p>
        </w:tc>
        <w:tc>
          <w:tcPr>
            <w:tcW w:w="1015" w:type="pct"/>
          </w:tcPr>
          <w:p w:rsidR="00000000" w:rsidRDefault="00000000">
            <w:pPr>
              <w:tabs>
                <w:tab w:val="clear" w:pos="1701"/>
                <w:tab w:val="left" w:pos="1170"/>
              </w:tabs>
              <w:spacing w:before="60" w:line="240" w:lineRule="auto"/>
              <w:ind w:right="907"/>
              <w:jc w:val="right"/>
              <w:rPr>
                <w:sz w:val="18"/>
              </w:rPr>
            </w:pPr>
            <w:r>
              <w:rPr>
                <w:sz w:val="18"/>
              </w:rPr>
              <w:t>26,9</w:t>
            </w:r>
          </w:p>
        </w:tc>
      </w:tr>
      <w:tr w:rsidR="00000000">
        <w:trPr>
          <w:jc w:val="center"/>
        </w:trPr>
        <w:tc>
          <w:tcPr>
            <w:tcW w:w="1162" w:type="pct"/>
          </w:tcPr>
          <w:p w:rsidR="00000000" w:rsidRDefault="00000000">
            <w:pPr>
              <w:spacing w:before="60" w:line="240" w:lineRule="auto"/>
              <w:rPr>
                <w:sz w:val="18"/>
              </w:rPr>
            </w:pPr>
            <w:r>
              <w:rPr>
                <w:sz w:val="18"/>
                <w:lang w:val="en-US"/>
              </w:rPr>
              <w:t>   </w:t>
            </w:r>
            <w:r>
              <w:rPr>
                <w:sz w:val="18"/>
              </w:rPr>
              <w:t>0- 4 года</w:t>
            </w:r>
          </w:p>
        </w:tc>
        <w:tc>
          <w:tcPr>
            <w:tcW w:w="1076" w:type="pct"/>
          </w:tcPr>
          <w:p w:rsidR="00000000" w:rsidRDefault="00000000">
            <w:pPr>
              <w:tabs>
                <w:tab w:val="clear" w:pos="1701"/>
                <w:tab w:val="left" w:pos="1170"/>
              </w:tabs>
              <w:spacing w:before="60" w:line="240" w:lineRule="auto"/>
              <w:ind w:right="499"/>
              <w:jc w:val="right"/>
              <w:rPr>
                <w:sz w:val="18"/>
              </w:rPr>
            </w:pPr>
            <w:r>
              <w:rPr>
                <w:sz w:val="18"/>
              </w:rPr>
              <w:t>5 080 100</w:t>
            </w:r>
          </w:p>
        </w:tc>
        <w:tc>
          <w:tcPr>
            <w:tcW w:w="859" w:type="pct"/>
          </w:tcPr>
          <w:p w:rsidR="00000000" w:rsidRDefault="00000000">
            <w:pPr>
              <w:tabs>
                <w:tab w:val="clear" w:pos="1701"/>
                <w:tab w:val="left" w:pos="1170"/>
              </w:tabs>
              <w:spacing w:before="60" w:line="240" w:lineRule="auto"/>
              <w:ind w:right="510"/>
              <w:jc w:val="right"/>
              <w:rPr>
                <w:sz w:val="18"/>
              </w:rPr>
            </w:pPr>
            <w:r>
              <w:rPr>
                <w:sz w:val="18"/>
              </w:rPr>
              <w:t>35,5</w:t>
            </w:r>
          </w:p>
        </w:tc>
        <w:tc>
          <w:tcPr>
            <w:tcW w:w="888" w:type="pct"/>
          </w:tcPr>
          <w:p w:rsidR="00000000" w:rsidRDefault="00000000">
            <w:pPr>
              <w:tabs>
                <w:tab w:val="clear" w:pos="1701"/>
                <w:tab w:val="left" w:pos="1170"/>
              </w:tabs>
              <w:spacing w:before="60" w:line="240" w:lineRule="auto"/>
              <w:ind w:right="510"/>
              <w:jc w:val="right"/>
              <w:rPr>
                <w:sz w:val="18"/>
              </w:rPr>
            </w:pPr>
            <w:r>
              <w:rPr>
                <w:sz w:val="18"/>
              </w:rPr>
              <w:t>32,6</w:t>
            </w:r>
          </w:p>
        </w:tc>
        <w:tc>
          <w:tcPr>
            <w:tcW w:w="1015" w:type="pct"/>
          </w:tcPr>
          <w:p w:rsidR="00000000" w:rsidRDefault="00000000">
            <w:pPr>
              <w:tabs>
                <w:tab w:val="clear" w:pos="1701"/>
                <w:tab w:val="left" w:pos="1170"/>
              </w:tabs>
              <w:spacing w:before="60" w:line="240" w:lineRule="auto"/>
              <w:ind w:right="907"/>
              <w:jc w:val="right"/>
              <w:rPr>
                <w:sz w:val="18"/>
              </w:rPr>
            </w:pPr>
            <w:r>
              <w:rPr>
                <w:sz w:val="18"/>
              </w:rPr>
              <w:t>31,9</w:t>
            </w:r>
          </w:p>
        </w:tc>
      </w:tr>
      <w:tr w:rsidR="00000000">
        <w:trPr>
          <w:jc w:val="center"/>
        </w:trPr>
        <w:tc>
          <w:tcPr>
            <w:tcW w:w="1162" w:type="pct"/>
          </w:tcPr>
          <w:p w:rsidR="00000000" w:rsidRDefault="00000000">
            <w:pPr>
              <w:spacing w:before="60" w:line="240" w:lineRule="auto"/>
              <w:rPr>
                <w:sz w:val="18"/>
              </w:rPr>
            </w:pPr>
            <w:r>
              <w:rPr>
                <w:sz w:val="18"/>
                <w:lang w:val="en-US"/>
              </w:rPr>
              <w:t>   </w:t>
            </w:r>
            <w:r>
              <w:rPr>
                <w:sz w:val="18"/>
              </w:rPr>
              <w:t>6-14 лет</w:t>
            </w:r>
          </w:p>
        </w:tc>
        <w:tc>
          <w:tcPr>
            <w:tcW w:w="1076" w:type="pct"/>
          </w:tcPr>
          <w:p w:rsidR="00000000" w:rsidRDefault="00000000">
            <w:pPr>
              <w:tabs>
                <w:tab w:val="clear" w:pos="1701"/>
                <w:tab w:val="left" w:pos="1170"/>
              </w:tabs>
              <w:spacing w:before="60" w:line="240" w:lineRule="auto"/>
              <w:ind w:right="499"/>
              <w:jc w:val="right"/>
              <w:rPr>
                <w:sz w:val="18"/>
              </w:rPr>
            </w:pPr>
            <w:r>
              <w:rPr>
                <w:sz w:val="18"/>
              </w:rPr>
              <w:t>10 632 394</w:t>
            </w:r>
          </w:p>
        </w:tc>
        <w:tc>
          <w:tcPr>
            <w:tcW w:w="859" w:type="pct"/>
          </w:tcPr>
          <w:p w:rsidR="00000000" w:rsidRDefault="00000000">
            <w:pPr>
              <w:tabs>
                <w:tab w:val="clear" w:pos="1701"/>
                <w:tab w:val="left" w:pos="1170"/>
              </w:tabs>
              <w:spacing w:before="60" w:line="240" w:lineRule="auto"/>
              <w:ind w:right="510"/>
              <w:jc w:val="right"/>
              <w:rPr>
                <w:sz w:val="18"/>
              </w:rPr>
            </w:pPr>
            <w:r>
              <w:rPr>
                <w:sz w:val="18"/>
              </w:rPr>
              <w:t>35,1</w:t>
            </w:r>
          </w:p>
        </w:tc>
        <w:tc>
          <w:tcPr>
            <w:tcW w:w="888" w:type="pct"/>
          </w:tcPr>
          <w:p w:rsidR="00000000" w:rsidRDefault="00000000">
            <w:pPr>
              <w:tabs>
                <w:tab w:val="clear" w:pos="1701"/>
                <w:tab w:val="left" w:pos="1170"/>
              </w:tabs>
              <w:spacing w:before="60" w:line="240" w:lineRule="auto"/>
              <w:ind w:right="510"/>
              <w:jc w:val="right"/>
              <w:rPr>
                <w:sz w:val="18"/>
              </w:rPr>
            </w:pPr>
            <w:r>
              <w:rPr>
                <w:sz w:val="18"/>
              </w:rPr>
              <w:t>31,5</w:t>
            </w:r>
          </w:p>
        </w:tc>
        <w:tc>
          <w:tcPr>
            <w:tcW w:w="1015" w:type="pct"/>
          </w:tcPr>
          <w:p w:rsidR="00000000" w:rsidRDefault="00000000">
            <w:pPr>
              <w:tabs>
                <w:tab w:val="clear" w:pos="1701"/>
                <w:tab w:val="left" w:pos="1170"/>
              </w:tabs>
              <w:spacing w:before="60" w:line="240" w:lineRule="auto"/>
              <w:ind w:right="907"/>
              <w:jc w:val="right"/>
              <w:rPr>
                <w:sz w:val="18"/>
              </w:rPr>
            </w:pPr>
            <w:r>
              <w:rPr>
                <w:sz w:val="18"/>
              </w:rPr>
              <w:t>33,4</w:t>
            </w:r>
          </w:p>
        </w:tc>
      </w:tr>
      <w:tr w:rsidR="00000000">
        <w:trPr>
          <w:jc w:val="center"/>
        </w:trPr>
        <w:tc>
          <w:tcPr>
            <w:tcW w:w="1162" w:type="pct"/>
          </w:tcPr>
          <w:p w:rsidR="00000000" w:rsidRDefault="00000000">
            <w:pPr>
              <w:spacing w:before="60" w:line="240" w:lineRule="auto"/>
              <w:rPr>
                <w:sz w:val="18"/>
              </w:rPr>
            </w:pPr>
            <w:r>
              <w:rPr>
                <w:sz w:val="18"/>
                <w:lang w:val="fr-FR"/>
              </w:rPr>
              <w:t>   </w:t>
            </w:r>
            <w:r>
              <w:rPr>
                <w:sz w:val="18"/>
              </w:rPr>
              <w:t>15-64 года</w:t>
            </w:r>
          </w:p>
        </w:tc>
        <w:tc>
          <w:tcPr>
            <w:tcW w:w="1076" w:type="pct"/>
          </w:tcPr>
          <w:p w:rsidR="00000000" w:rsidRDefault="00000000">
            <w:pPr>
              <w:tabs>
                <w:tab w:val="clear" w:pos="1701"/>
                <w:tab w:val="left" w:pos="1170"/>
              </w:tabs>
              <w:spacing w:before="60" w:line="240" w:lineRule="auto"/>
              <w:ind w:right="499"/>
              <w:jc w:val="right"/>
              <w:rPr>
                <w:sz w:val="18"/>
              </w:rPr>
            </w:pPr>
            <w:r>
              <w:rPr>
                <w:sz w:val="18"/>
              </w:rPr>
              <w:t>29 785 096</w:t>
            </w:r>
          </w:p>
        </w:tc>
        <w:tc>
          <w:tcPr>
            <w:tcW w:w="859" w:type="pct"/>
          </w:tcPr>
          <w:p w:rsidR="00000000" w:rsidRDefault="00000000">
            <w:pPr>
              <w:tabs>
                <w:tab w:val="clear" w:pos="1701"/>
                <w:tab w:val="left" w:pos="1170"/>
              </w:tabs>
              <w:spacing w:before="60" w:line="240" w:lineRule="auto"/>
              <w:ind w:right="510"/>
              <w:jc w:val="right"/>
              <w:rPr>
                <w:sz w:val="18"/>
              </w:rPr>
            </w:pPr>
            <w:r>
              <w:rPr>
                <w:sz w:val="18"/>
              </w:rPr>
              <w:t>41,0</w:t>
            </w:r>
          </w:p>
        </w:tc>
        <w:tc>
          <w:tcPr>
            <w:tcW w:w="888" w:type="pct"/>
          </w:tcPr>
          <w:p w:rsidR="00000000" w:rsidRDefault="00000000">
            <w:pPr>
              <w:tabs>
                <w:tab w:val="clear" w:pos="1701"/>
                <w:tab w:val="left" w:pos="1170"/>
              </w:tabs>
              <w:spacing w:before="60" w:line="240" w:lineRule="auto"/>
              <w:ind w:right="510"/>
              <w:jc w:val="right"/>
              <w:rPr>
                <w:sz w:val="18"/>
              </w:rPr>
            </w:pPr>
            <w:r>
              <w:rPr>
                <w:sz w:val="18"/>
              </w:rPr>
              <w:t>34,6</w:t>
            </w:r>
          </w:p>
        </w:tc>
        <w:tc>
          <w:tcPr>
            <w:tcW w:w="1015" w:type="pct"/>
          </w:tcPr>
          <w:p w:rsidR="00000000" w:rsidRDefault="00000000">
            <w:pPr>
              <w:tabs>
                <w:tab w:val="clear" w:pos="1701"/>
                <w:tab w:val="left" w:pos="1170"/>
              </w:tabs>
              <w:spacing w:before="60" w:line="240" w:lineRule="auto"/>
              <w:ind w:right="907"/>
              <w:jc w:val="right"/>
              <w:rPr>
                <w:sz w:val="18"/>
              </w:rPr>
            </w:pPr>
            <w:r>
              <w:rPr>
                <w:sz w:val="18"/>
              </w:rPr>
              <w:t>24,4</w:t>
            </w:r>
          </w:p>
        </w:tc>
      </w:tr>
      <w:tr w:rsidR="00000000">
        <w:trPr>
          <w:jc w:val="center"/>
        </w:trPr>
        <w:tc>
          <w:tcPr>
            <w:tcW w:w="1162" w:type="pct"/>
          </w:tcPr>
          <w:p w:rsidR="00000000" w:rsidRDefault="00000000">
            <w:pPr>
              <w:spacing w:before="60" w:line="240" w:lineRule="auto"/>
              <w:rPr>
                <w:sz w:val="18"/>
              </w:rPr>
            </w:pPr>
            <w:r>
              <w:rPr>
                <w:sz w:val="18"/>
                <w:lang w:val="fr-FR"/>
              </w:rPr>
              <w:t>   </w:t>
            </w:r>
            <w:r>
              <w:rPr>
                <w:sz w:val="18"/>
              </w:rPr>
              <w:t>65 лет и более</w:t>
            </w:r>
          </w:p>
        </w:tc>
        <w:tc>
          <w:tcPr>
            <w:tcW w:w="1076" w:type="pct"/>
          </w:tcPr>
          <w:p w:rsidR="00000000" w:rsidRDefault="00000000">
            <w:pPr>
              <w:tabs>
                <w:tab w:val="clear" w:pos="1701"/>
                <w:tab w:val="left" w:pos="1170"/>
              </w:tabs>
              <w:spacing w:before="60" w:line="240" w:lineRule="auto"/>
              <w:ind w:right="499"/>
              <w:jc w:val="right"/>
              <w:rPr>
                <w:sz w:val="18"/>
              </w:rPr>
            </w:pPr>
            <w:r>
              <w:rPr>
                <w:sz w:val="18"/>
              </w:rPr>
              <w:t>2 497 122</w:t>
            </w:r>
          </w:p>
        </w:tc>
        <w:tc>
          <w:tcPr>
            <w:tcW w:w="859" w:type="pct"/>
          </w:tcPr>
          <w:p w:rsidR="00000000" w:rsidRDefault="00000000">
            <w:pPr>
              <w:tabs>
                <w:tab w:val="clear" w:pos="1701"/>
                <w:tab w:val="left" w:pos="1170"/>
              </w:tabs>
              <w:spacing w:before="60" w:line="240" w:lineRule="auto"/>
              <w:ind w:right="510"/>
              <w:jc w:val="right"/>
              <w:rPr>
                <w:sz w:val="18"/>
              </w:rPr>
            </w:pPr>
            <w:r>
              <w:rPr>
                <w:sz w:val="18"/>
              </w:rPr>
              <w:t>45,8</w:t>
            </w:r>
          </w:p>
        </w:tc>
        <w:tc>
          <w:tcPr>
            <w:tcW w:w="888" w:type="pct"/>
          </w:tcPr>
          <w:p w:rsidR="00000000" w:rsidRDefault="00000000">
            <w:pPr>
              <w:tabs>
                <w:tab w:val="clear" w:pos="1701"/>
                <w:tab w:val="left" w:pos="1170"/>
              </w:tabs>
              <w:spacing w:before="60" w:line="240" w:lineRule="auto"/>
              <w:ind w:right="510"/>
              <w:jc w:val="right"/>
              <w:rPr>
                <w:sz w:val="18"/>
              </w:rPr>
            </w:pPr>
            <w:r>
              <w:rPr>
                <w:sz w:val="18"/>
              </w:rPr>
              <w:t>34,5</w:t>
            </w:r>
          </w:p>
        </w:tc>
        <w:tc>
          <w:tcPr>
            <w:tcW w:w="1015" w:type="pct"/>
          </w:tcPr>
          <w:p w:rsidR="00000000" w:rsidRDefault="00000000">
            <w:pPr>
              <w:tabs>
                <w:tab w:val="clear" w:pos="1701"/>
                <w:tab w:val="left" w:pos="1170"/>
              </w:tabs>
              <w:spacing w:before="60" w:line="240" w:lineRule="auto"/>
              <w:ind w:right="907"/>
              <w:jc w:val="right"/>
              <w:rPr>
                <w:sz w:val="18"/>
              </w:rPr>
            </w:pPr>
            <w:r>
              <w:rPr>
                <w:sz w:val="18"/>
              </w:rPr>
              <w:t>19,7</w:t>
            </w:r>
          </w:p>
        </w:tc>
      </w:tr>
      <w:tr w:rsidR="00000000">
        <w:trPr>
          <w:jc w:val="center"/>
        </w:trPr>
        <w:tc>
          <w:tcPr>
            <w:tcW w:w="1162" w:type="pct"/>
            <w:tcBorders>
              <w:bottom w:val="single" w:sz="4" w:space="0" w:color="auto"/>
            </w:tcBorders>
          </w:tcPr>
          <w:p w:rsidR="00000000" w:rsidRDefault="00000000">
            <w:pPr>
              <w:spacing w:before="60" w:line="240" w:lineRule="auto"/>
              <w:rPr>
                <w:sz w:val="18"/>
              </w:rPr>
            </w:pPr>
            <w:r>
              <w:rPr>
                <w:sz w:val="18"/>
              </w:rPr>
              <w:t>   Не указано</w:t>
            </w:r>
          </w:p>
        </w:tc>
        <w:tc>
          <w:tcPr>
            <w:tcW w:w="1076" w:type="pct"/>
            <w:tcBorders>
              <w:bottom w:val="single" w:sz="4" w:space="0" w:color="auto"/>
            </w:tcBorders>
          </w:tcPr>
          <w:p w:rsidR="00000000" w:rsidRDefault="00000000">
            <w:pPr>
              <w:tabs>
                <w:tab w:val="clear" w:pos="1701"/>
                <w:tab w:val="left" w:pos="1170"/>
              </w:tabs>
              <w:spacing w:before="60" w:line="240" w:lineRule="auto"/>
              <w:ind w:right="499"/>
              <w:jc w:val="right"/>
              <w:rPr>
                <w:sz w:val="18"/>
              </w:rPr>
            </w:pPr>
            <w:r>
              <w:rPr>
                <w:sz w:val="18"/>
              </w:rPr>
              <w:t>124 517</w:t>
            </w:r>
          </w:p>
        </w:tc>
        <w:tc>
          <w:tcPr>
            <w:tcW w:w="859" w:type="pct"/>
            <w:tcBorders>
              <w:bottom w:val="single" w:sz="4" w:space="0" w:color="auto"/>
            </w:tcBorders>
          </w:tcPr>
          <w:p w:rsidR="00000000" w:rsidRDefault="00000000">
            <w:pPr>
              <w:tabs>
                <w:tab w:val="clear" w:pos="1701"/>
                <w:tab w:val="left" w:pos="1170"/>
              </w:tabs>
              <w:spacing w:before="60" w:line="240" w:lineRule="auto"/>
              <w:ind w:right="510"/>
              <w:jc w:val="right"/>
              <w:rPr>
                <w:sz w:val="18"/>
              </w:rPr>
            </w:pPr>
            <w:r>
              <w:rPr>
                <w:sz w:val="18"/>
              </w:rPr>
              <w:t>32,4</w:t>
            </w:r>
          </w:p>
        </w:tc>
        <w:tc>
          <w:tcPr>
            <w:tcW w:w="888" w:type="pct"/>
            <w:tcBorders>
              <w:bottom w:val="single" w:sz="4" w:space="0" w:color="auto"/>
            </w:tcBorders>
          </w:tcPr>
          <w:p w:rsidR="00000000" w:rsidRDefault="00000000">
            <w:pPr>
              <w:tabs>
                <w:tab w:val="clear" w:pos="1701"/>
                <w:tab w:val="left" w:pos="1170"/>
              </w:tabs>
              <w:spacing w:before="60" w:line="240" w:lineRule="auto"/>
              <w:ind w:right="510"/>
              <w:jc w:val="right"/>
              <w:rPr>
                <w:sz w:val="18"/>
              </w:rPr>
            </w:pPr>
            <w:r>
              <w:rPr>
                <w:sz w:val="18"/>
              </w:rPr>
              <w:t>37,3</w:t>
            </w:r>
          </w:p>
        </w:tc>
        <w:tc>
          <w:tcPr>
            <w:tcW w:w="1015" w:type="pct"/>
            <w:tcBorders>
              <w:bottom w:val="single" w:sz="4" w:space="0" w:color="auto"/>
            </w:tcBorders>
          </w:tcPr>
          <w:p w:rsidR="00000000" w:rsidRDefault="00000000">
            <w:pPr>
              <w:tabs>
                <w:tab w:val="clear" w:pos="1701"/>
                <w:tab w:val="left" w:pos="1170"/>
              </w:tabs>
              <w:spacing w:before="60" w:line="240" w:lineRule="auto"/>
              <w:ind w:right="907"/>
              <w:jc w:val="right"/>
              <w:rPr>
                <w:sz w:val="18"/>
              </w:rPr>
            </w:pPr>
            <w:r>
              <w:rPr>
                <w:sz w:val="18"/>
              </w:rPr>
              <w:t>30,3</w:t>
            </w:r>
          </w:p>
        </w:tc>
      </w:tr>
    </w:tbl>
    <w:p w:rsidR="00000000" w:rsidRDefault="00000000">
      <w:pPr>
        <w:rPr>
          <w:i/>
          <w:iCs/>
          <w:sz w:val="22"/>
        </w:rPr>
      </w:pPr>
    </w:p>
    <w:p w:rsidR="00000000" w:rsidRDefault="00000000">
      <w:pPr>
        <w:spacing w:line="216" w:lineRule="auto"/>
        <w:rPr>
          <w:sz w:val="18"/>
        </w:rPr>
      </w:pPr>
      <w:r>
        <w:rPr>
          <w:i/>
          <w:iCs/>
          <w:sz w:val="18"/>
        </w:rPr>
        <w:t xml:space="preserve">Источник:  </w:t>
      </w:r>
      <w:r>
        <w:rPr>
          <w:sz w:val="18"/>
        </w:rPr>
        <w:t>НИСГИ,</w:t>
      </w:r>
      <w:r>
        <w:rPr>
          <w:i/>
          <w:iCs/>
          <w:sz w:val="18"/>
        </w:rPr>
        <w:t xml:space="preserve"> </w:t>
      </w:r>
      <w:r>
        <w:rPr>
          <w:sz w:val="18"/>
        </w:rPr>
        <w:t>база данных переписной выборки.  "</w:t>
      </w:r>
      <w:r>
        <w:rPr>
          <w:sz w:val="18"/>
          <w:lang w:val="en-US"/>
        </w:rPr>
        <w:t>XII</w:t>
      </w:r>
      <w:r>
        <w:rPr>
          <w:sz w:val="18"/>
        </w:rPr>
        <w:t xml:space="preserve"> всеобщая перепись населения и жилого фонда 2000 года".</w:t>
      </w:r>
    </w:p>
    <w:p w:rsidR="00000000" w:rsidRDefault="00000000">
      <w:pPr>
        <w:spacing w:line="216" w:lineRule="auto"/>
        <w:rPr>
          <w:sz w:val="18"/>
        </w:rPr>
      </w:pPr>
    </w:p>
    <w:p w:rsidR="00000000" w:rsidRDefault="00000000">
      <w:pPr>
        <w:spacing w:line="216" w:lineRule="auto"/>
        <w:rPr>
          <w:sz w:val="18"/>
        </w:rPr>
      </w:pPr>
      <w:r>
        <w:rPr>
          <w:b/>
          <w:bCs/>
          <w:sz w:val="18"/>
          <w:vertAlign w:val="superscript"/>
        </w:rPr>
        <w:t>а</w:t>
      </w:r>
      <w:r>
        <w:rPr>
          <w:sz w:val="18"/>
        </w:rPr>
        <w:tab/>
        <w:t>Включая социальное страхование по линии правительств штатов.</w:t>
      </w:r>
    </w:p>
    <w:p w:rsidR="00000000" w:rsidRDefault="00000000">
      <w:pPr>
        <w:spacing w:line="216" w:lineRule="auto"/>
        <w:rPr>
          <w:sz w:val="18"/>
        </w:rPr>
      </w:pPr>
    </w:p>
    <w:p w:rsidR="00000000" w:rsidRDefault="00000000">
      <w:pPr>
        <w:spacing w:line="216" w:lineRule="auto"/>
        <w:rPr>
          <w:sz w:val="18"/>
        </w:rPr>
      </w:pPr>
      <w:r>
        <w:rPr>
          <w:b/>
          <w:bCs/>
          <w:sz w:val="18"/>
          <w:vertAlign w:val="superscript"/>
          <w:lang w:val="en-US"/>
        </w:rPr>
        <w:t>b</w:t>
      </w:r>
      <w:r>
        <w:rPr>
          <w:sz w:val="18"/>
        </w:rPr>
        <w:tab/>
        <w:t>Включая лиц, пользующихся услугами частных врачей.</w:t>
      </w:r>
    </w:p>
    <w:p w:rsidR="00000000" w:rsidRDefault="00000000">
      <w:pPr>
        <w:pageBreakBefore/>
        <w:ind w:left="170"/>
        <w:jc w:val="center"/>
        <w:rPr>
          <w:b/>
          <w:bCs/>
          <w:color w:val="000000"/>
          <w:szCs w:val="22"/>
        </w:rPr>
      </w:pPr>
      <w:r>
        <w:rPr>
          <w:b/>
          <w:bCs/>
          <w:color w:val="000000"/>
          <w:szCs w:val="22"/>
        </w:rPr>
        <w:t>Распределение населения, пользующегося услугами здравоохранения,</w:t>
      </w:r>
    </w:p>
    <w:p w:rsidR="00000000" w:rsidRDefault="00000000">
      <w:pPr>
        <w:spacing w:line="216" w:lineRule="auto"/>
        <w:jc w:val="center"/>
        <w:rPr>
          <w:b/>
          <w:bCs/>
          <w:color w:val="000000"/>
          <w:szCs w:val="22"/>
        </w:rPr>
      </w:pPr>
      <w:r>
        <w:rPr>
          <w:b/>
          <w:bCs/>
          <w:color w:val="000000"/>
          <w:szCs w:val="22"/>
        </w:rPr>
        <w:t>с разбивкой по полу и субъектам федерации, 2000 год (в %)</w:t>
      </w:r>
    </w:p>
    <w:p w:rsidR="00000000" w:rsidRDefault="00000000">
      <w:pPr>
        <w:spacing w:line="216" w:lineRule="auto"/>
        <w:jc w:val="center"/>
        <w:rPr>
          <w:b/>
          <w:bCs/>
          <w:color w:val="000000"/>
          <w:szCs w:val="22"/>
        </w:rPr>
      </w:pPr>
    </w:p>
    <w:p w:rsidR="00000000" w:rsidRDefault="00000000">
      <w:pPr>
        <w:tabs>
          <w:tab w:val="center" w:pos="4677"/>
        </w:tabs>
        <w:rPr>
          <w:b/>
          <w:bCs/>
          <w:color w:val="FFFFFF"/>
          <w:sz w:val="22"/>
          <w:szCs w:val="22"/>
        </w:rPr>
      </w:pPr>
      <w:r>
        <w:rPr>
          <w:b/>
          <w:bCs/>
          <w:color w:val="FFFFFF"/>
          <w:sz w:val="22"/>
          <w:szCs w:val="22"/>
        </w:rPr>
        <w:t>Распределение населения, пользующегося услу</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2"/>
        <w:gridCol w:w="2071"/>
        <w:gridCol w:w="1778"/>
        <w:gridCol w:w="1568"/>
      </w:tblGrid>
      <w:tr w:rsidR="00000000">
        <w:tblPrEx>
          <w:tblCellMar>
            <w:top w:w="0" w:type="dxa"/>
            <w:bottom w:w="0" w:type="dxa"/>
          </w:tblCellMar>
        </w:tblPrEx>
        <w:tc>
          <w:tcPr>
            <w:tcW w:w="3892" w:type="dxa"/>
            <w:tcBorders>
              <w:left w:val="nil"/>
              <w:bottom w:val="single" w:sz="4" w:space="0" w:color="auto"/>
              <w:right w:val="nil"/>
            </w:tcBorders>
            <w:vAlign w:val="center"/>
          </w:tcPr>
          <w:p w:rsidR="00000000" w:rsidRDefault="00000000">
            <w:pPr>
              <w:spacing w:before="40" w:after="40"/>
              <w:ind w:left="170"/>
              <w:jc w:val="center"/>
              <w:rPr>
                <w:i/>
                <w:iCs/>
                <w:sz w:val="18"/>
                <w:szCs w:val="22"/>
              </w:rPr>
            </w:pPr>
            <w:r>
              <w:rPr>
                <w:i/>
                <w:iCs/>
                <w:sz w:val="18"/>
                <w:szCs w:val="22"/>
              </w:rPr>
              <w:t>Субъект федерации</w:t>
            </w:r>
          </w:p>
        </w:tc>
        <w:tc>
          <w:tcPr>
            <w:tcW w:w="2071" w:type="dxa"/>
            <w:tcBorders>
              <w:left w:val="nil"/>
              <w:bottom w:val="single" w:sz="4" w:space="0" w:color="auto"/>
              <w:right w:val="nil"/>
            </w:tcBorders>
            <w:vAlign w:val="center"/>
          </w:tcPr>
          <w:p w:rsidR="00000000" w:rsidRDefault="00000000">
            <w:pPr>
              <w:spacing w:before="40" w:after="40"/>
              <w:ind w:left="170"/>
              <w:jc w:val="center"/>
              <w:rPr>
                <w:i/>
                <w:iCs/>
                <w:sz w:val="18"/>
                <w:szCs w:val="22"/>
              </w:rPr>
            </w:pPr>
            <w:r>
              <w:rPr>
                <w:i/>
                <w:iCs/>
                <w:sz w:val="18"/>
                <w:szCs w:val="22"/>
              </w:rPr>
              <w:t>Всего</w:t>
            </w:r>
          </w:p>
        </w:tc>
        <w:tc>
          <w:tcPr>
            <w:tcW w:w="1778" w:type="dxa"/>
            <w:tcBorders>
              <w:left w:val="nil"/>
              <w:bottom w:val="single" w:sz="4" w:space="0" w:color="auto"/>
              <w:right w:val="nil"/>
            </w:tcBorders>
            <w:vAlign w:val="center"/>
          </w:tcPr>
          <w:p w:rsidR="00000000" w:rsidRDefault="00000000">
            <w:pPr>
              <w:spacing w:before="40" w:after="40"/>
              <w:ind w:left="170"/>
              <w:jc w:val="center"/>
              <w:rPr>
                <w:i/>
                <w:iCs/>
                <w:sz w:val="18"/>
                <w:szCs w:val="22"/>
              </w:rPr>
            </w:pPr>
            <w:r>
              <w:rPr>
                <w:i/>
                <w:iCs/>
                <w:sz w:val="18"/>
                <w:szCs w:val="22"/>
              </w:rPr>
              <w:t>Мужчин</w:t>
            </w:r>
          </w:p>
        </w:tc>
        <w:tc>
          <w:tcPr>
            <w:tcW w:w="1568" w:type="dxa"/>
            <w:tcBorders>
              <w:left w:val="nil"/>
              <w:bottom w:val="single" w:sz="4" w:space="0" w:color="auto"/>
              <w:right w:val="nil"/>
            </w:tcBorders>
            <w:vAlign w:val="center"/>
          </w:tcPr>
          <w:p w:rsidR="00000000" w:rsidRDefault="00000000">
            <w:pPr>
              <w:spacing w:before="40" w:after="40"/>
              <w:ind w:left="170"/>
              <w:jc w:val="center"/>
              <w:rPr>
                <w:i/>
                <w:iCs/>
                <w:sz w:val="18"/>
                <w:szCs w:val="22"/>
              </w:rPr>
            </w:pPr>
            <w:r>
              <w:rPr>
                <w:i/>
                <w:iCs/>
                <w:sz w:val="18"/>
                <w:szCs w:val="22"/>
              </w:rPr>
              <w:t>Женщин</w:t>
            </w:r>
          </w:p>
        </w:tc>
      </w:tr>
      <w:tr w:rsidR="00000000">
        <w:tblPrEx>
          <w:tblCellMar>
            <w:top w:w="0" w:type="dxa"/>
            <w:bottom w:w="0" w:type="dxa"/>
          </w:tblCellMar>
        </w:tblPrEx>
        <w:tc>
          <w:tcPr>
            <w:tcW w:w="3892" w:type="dxa"/>
            <w:tcBorders>
              <w:top w:val="single" w:sz="4" w:space="0" w:color="auto"/>
              <w:left w:val="nil"/>
              <w:bottom w:val="nil"/>
              <w:right w:val="nil"/>
            </w:tcBorders>
          </w:tcPr>
          <w:p w:rsidR="00000000" w:rsidRDefault="00000000">
            <w:pPr>
              <w:spacing w:before="120"/>
              <w:ind w:left="170"/>
              <w:rPr>
                <w:sz w:val="18"/>
                <w:szCs w:val="22"/>
              </w:rPr>
            </w:pPr>
            <w:r>
              <w:rPr>
                <w:sz w:val="18"/>
                <w:szCs w:val="22"/>
              </w:rPr>
              <w:t>Мексиканские Соединенные Штаты</w:t>
            </w:r>
          </w:p>
        </w:tc>
        <w:tc>
          <w:tcPr>
            <w:tcW w:w="2071" w:type="dxa"/>
            <w:tcBorders>
              <w:top w:val="single" w:sz="4" w:space="0" w:color="auto"/>
              <w:left w:val="nil"/>
              <w:bottom w:val="nil"/>
              <w:right w:val="nil"/>
            </w:tcBorders>
          </w:tcPr>
          <w:p w:rsidR="00000000" w:rsidRDefault="00000000">
            <w:pPr>
              <w:spacing w:before="120"/>
              <w:ind w:left="170"/>
              <w:jc w:val="center"/>
              <w:rPr>
                <w:sz w:val="18"/>
                <w:szCs w:val="22"/>
              </w:rPr>
            </w:pPr>
            <w:r>
              <w:rPr>
                <w:sz w:val="18"/>
                <w:szCs w:val="22"/>
              </w:rPr>
              <w:t>100,0</w:t>
            </w:r>
          </w:p>
        </w:tc>
        <w:tc>
          <w:tcPr>
            <w:tcW w:w="1778" w:type="dxa"/>
            <w:tcBorders>
              <w:top w:val="single" w:sz="4" w:space="0" w:color="auto"/>
              <w:left w:val="nil"/>
              <w:bottom w:val="nil"/>
              <w:right w:val="nil"/>
            </w:tcBorders>
          </w:tcPr>
          <w:p w:rsidR="00000000" w:rsidRDefault="00000000">
            <w:pPr>
              <w:spacing w:before="120"/>
              <w:ind w:left="170"/>
              <w:jc w:val="center"/>
              <w:rPr>
                <w:sz w:val="18"/>
                <w:szCs w:val="22"/>
              </w:rPr>
            </w:pPr>
            <w:r>
              <w:rPr>
                <w:sz w:val="18"/>
                <w:szCs w:val="22"/>
              </w:rPr>
              <w:t>48,5</w:t>
            </w:r>
          </w:p>
        </w:tc>
        <w:tc>
          <w:tcPr>
            <w:tcW w:w="1568" w:type="dxa"/>
            <w:tcBorders>
              <w:top w:val="single" w:sz="4" w:space="0" w:color="auto"/>
              <w:left w:val="nil"/>
              <w:bottom w:val="nil"/>
              <w:right w:val="nil"/>
            </w:tcBorders>
          </w:tcPr>
          <w:p w:rsidR="00000000" w:rsidRDefault="00000000">
            <w:pPr>
              <w:spacing w:before="120"/>
              <w:ind w:left="170"/>
              <w:jc w:val="center"/>
              <w:rPr>
                <w:sz w:val="18"/>
                <w:szCs w:val="22"/>
              </w:rPr>
            </w:pPr>
            <w:r>
              <w:rPr>
                <w:sz w:val="18"/>
                <w:szCs w:val="22"/>
              </w:rPr>
              <w:t>51,5</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Агуас-Кальентес</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47,8</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52,2</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Нижняя Калифорния</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50,0</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50,0</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Южная Нижняя Калифорния</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50,8</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49,2</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Кампече</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49,7</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50,3</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Коауила-де-Сарагоса</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49,3</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50,7</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Колима</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48,9</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51,1</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Чьяпас</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49,3</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50,7</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Чуауа</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49,7</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50,3</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Федеральный округ</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47,3</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52,7</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Дуранго</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48,4</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51,6</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Гунахуато</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47,7</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52,3</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Герреро</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48,2</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51,8</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Идальго</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48,3</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51,7</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Халиско</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48,2</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51,8</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Мехико</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48,7</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51,3</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Мичокан-де-Окампо</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47,7</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52,3</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Морелос</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48,0</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52,0</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Наярит</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49,4</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50,6</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Нуэв-Леон</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49,5</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50,5</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Оахака</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47,8</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52,2</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Пуэбла</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48,0</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52,0</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Керетаро-де-Артеага</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48,4</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51,6</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 xml:space="preserve">Кинтана-Роо </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50,9</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49,1</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Сан-Луис-Потаси</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48,5</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51,5</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Синалоа</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49,2</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50,8</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Сонора</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49,6</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50,4</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Табаск</w:t>
            </w:r>
            <w:r>
              <w:rPr>
                <w:sz w:val="18"/>
                <w:szCs w:val="22"/>
                <w:lang w:val="fr-FR"/>
              </w:rPr>
              <w:t>o</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49,1</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50,9</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Тамаулипас</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49,2</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50,8</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Тласкала</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48,8</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51,2</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Веракрус-де-Игнасио-дела-Льяве</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48,2</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51,8</w:t>
            </w:r>
          </w:p>
        </w:tc>
      </w:tr>
      <w:tr w:rsidR="00000000">
        <w:tblPrEx>
          <w:tblCellMar>
            <w:top w:w="0" w:type="dxa"/>
            <w:bottom w:w="0" w:type="dxa"/>
          </w:tblCellMar>
        </w:tblPrEx>
        <w:tc>
          <w:tcPr>
            <w:tcW w:w="3892" w:type="dxa"/>
            <w:tcBorders>
              <w:top w:val="nil"/>
              <w:left w:val="nil"/>
              <w:bottom w:val="nil"/>
              <w:right w:val="nil"/>
            </w:tcBorders>
          </w:tcPr>
          <w:p w:rsidR="00000000" w:rsidRDefault="00000000">
            <w:pPr>
              <w:ind w:left="170"/>
              <w:rPr>
                <w:sz w:val="18"/>
                <w:szCs w:val="22"/>
              </w:rPr>
            </w:pPr>
            <w:r>
              <w:rPr>
                <w:sz w:val="18"/>
                <w:szCs w:val="22"/>
              </w:rPr>
              <w:t>Юкатан</w:t>
            </w:r>
          </w:p>
        </w:tc>
        <w:tc>
          <w:tcPr>
            <w:tcW w:w="2071" w:type="dxa"/>
            <w:tcBorders>
              <w:top w:val="nil"/>
              <w:left w:val="nil"/>
              <w:bottom w:val="nil"/>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nil"/>
              <w:right w:val="nil"/>
            </w:tcBorders>
          </w:tcPr>
          <w:p w:rsidR="00000000" w:rsidRDefault="00000000">
            <w:pPr>
              <w:ind w:left="170"/>
              <w:jc w:val="center"/>
              <w:rPr>
                <w:sz w:val="18"/>
                <w:szCs w:val="22"/>
              </w:rPr>
            </w:pPr>
            <w:r>
              <w:rPr>
                <w:sz w:val="18"/>
                <w:szCs w:val="22"/>
              </w:rPr>
              <w:t>49,2</w:t>
            </w:r>
          </w:p>
        </w:tc>
        <w:tc>
          <w:tcPr>
            <w:tcW w:w="1568" w:type="dxa"/>
            <w:tcBorders>
              <w:top w:val="nil"/>
              <w:left w:val="nil"/>
              <w:bottom w:val="nil"/>
              <w:right w:val="nil"/>
            </w:tcBorders>
          </w:tcPr>
          <w:p w:rsidR="00000000" w:rsidRDefault="00000000">
            <w:pPr>
              <w:ind w:left="170"/>
              <w:jc w:val="center"/>
              <w:rPr>
                <w:sz w:val="18"/>
                <w:szCs w:val="22"/>
              </w:rPr>
            </w:pPr>
            <w:r>
              <w:rPr>
                <w:sz w:val="18"/>
                <w:szCs w:val="22"/>
              </w:rPr>
              <w:t>50,8</w:t>
            </w:r>
          </w:p>
        </w:tc>
      </w:tr>
      <w:tr w:rsidR="00000000">
        <w:tblPrEx>
          <w:tblCellMar>
            <w:top w:w="0" w:type="dxa"/>
            <w:bottom w:w="0" w:type="dxa"/>
          </w:tblCellMar>
        </w:tblPrEx>
        <w:tc>
          <w:tcPr>
            <w:tcW w:w="3892" w:type="dxa"/>
            <w:tcBorders>
              <w:top w:val="nil"/>
              <w:left w:val="nil"/>
              <w:bottom w:val="single" w:sz="4" w:space="0" w:color="auto"/>
              <w:right w:val="nil"/>
            </w:tcBorders>
          </w:tcPr>
          <w:p w:rsidR="00000000" w:rsidRDefault="00000000">
            <w:pPr>
              <w:ind w:left="170"/>
              <w:rPr>
                <w:sz w:val="18"/>
                <w:szCs w:val="22"/>
              </w:rPr>
            </w:pPr>
            <w:r>
              <w:rPr>
                <w:sz w:val="18"/>
                <w:szCs w:val="22"/>
              </w:rPr>
              <w:t>Сакатекас</w:t>
            </w:r>
          </w:p>
        </w:tc>
        <w:tc>
          <w:tcPr>
            <w:tcW w:w="2071" w:type="dxa"/>
            <w:tcBorders>
              <w:top w:val="nil"/>
              <w:left w:val="nil"/>
              <w:bottom w:val="single" w:sz="4" w:space="0" w:color="auto"/>
              <w:right w:val="nil"/>
            </w:tcBorders>
          </w:tcPr>
          <w:p w:rsidR="00000000" w:rsidRDefault="00000000">
            <w:pPr>
              <w:ind w:left="170"/>
              <w:jc w:val="center"/>
              <w:rPr>
                <w:sz w:val="18"/>
                <w:szCs w:val="22"/>
              </w:rPr>
            </w:pPr>
            <w:r>
              <w:rPr>
                <w:sz w:val="18"/>
                <w:szCs w:val="22"/>
              </w:rPr>
              <w:t>100,0</w:t>
            </w:r>
          </w:p>
        </w:tc>
        <w:tc>
          <w:tcPr>
            <w:tcW w:w="1778" w:type="dxa"/>
            <w:tcBorders>
              <w:top w:val="nil"/>
              <w:left w:val="nil"/>
              <w:bottom w:val="single" w:sz="4" w:space="0" w:color="auto"/>
              <w:right w:val="nil"/>
            </w:tcBorders>
          </w:tcPr>
          <w:p w:rsidR="00000000" w:rsidRDefault="00000000">
            <w:pPr>
              <w:ind w:left="170"/>
              <w:jc w:val="center"/>
              <w:rPr>
                <w:sz w:val="18"/>
                <w:szCs w:val="22"/>
              </w:rPr>
            </w:pPr>
            <w:r>
              <w:rPr>
                <w:sz w:val="18"/>
                <w:szCs w:val="22"/>
              </w:rPr>
              <w:t>48,1</w:t>
            </w:r>
          </w:p>
        </w:tc>
        <w:tc>
          <w:tcPr>
            <w:tcW w:w="1568" w:type="dxa"/>
            <w:tcBorders>
              <w:top w:val="nil"/>
              <w:left w:val="nil"/>
              <w:bottom w:val="single" w:sz="4" w:space="0" w:color="auto"/>
              <w:right w:val="nil"/>
            </w:tcBorders>
          </w:tcPr>
          <w:p w:rsidR="00000000" w:rsidRDefault="00000000">
            <w:pPr>
              <w:ind w:left="170"/>
              <w:jc w:val="center"/>
              <w:rPr>
                <w:sz w:val="18"/>
                <w:szCs w:val="22"/>
              </w:rPr>
            </w:pPr>
            <w:r>
              <w:rPr>
                <w:sz w:val="18"/>
                <w:szCs w:val="22"/>
              </w:rPr>
              <w:t>51,9</w:t>
            </w:r>
          </w:p>
        </w:tc>
      </w:tr>
    </w:tbl>
    <w:p w:rsidR="00000000" w:rsidRDefault="00000000">
      <w:pPr>
        <w:tabs>
          <w:tab w:val="center" w:pos="4677"/>
        </w:tabs>
        <w:rPr>
          <w:b/>
          <w:bCs/>
          <w:color w:val="FFFFFF"/>
          <w:sz w:val="22"/>
          <w:szCs w:val="22"/>
        </w:rPr>
      </w:pPr>
      <w:r>
        <w:rPr>
          <w:b/>
          <w:bCs/>
          <w:color w:val="FFFFFF"/>
          <w:sz w:val="22"/>
          <w:szCs w:val="22"/>
        </w:rPr>
        <w:t>гами здравоохранения,</w:t>
      </w:r>
    </w:p>
    <w:p w:rsidR="00000000" w:rsidRDefault="00000000">
      <w:pPr>
        <w:spacing w:line="216" w:lineRule="auto"/>
        <w:rPr>
          <w:sz w:val="18"/>
        </w:rPr>
      </w:pPr>
      <w:r>
        <w:rPr>
          <w:i/>
          <w:iCs/>
          <w:sz w:val="18"/>
        </w:rPr>
        <w:t xml:space="preserve">Источник:  </w:t>
      </w:r>
      <w:r>
        <w:rPr>
          <w:sz w:val="18"/>
        </w:rPr>
        <w:t>НИСГИ, база данных переписной выборки.  "</w:t>
      </w:r>
      <w:r>
        <w:rPr>
          <w:sz w:val="18"/>
          <w:lang w:val="en-US"/>
        </w:rPr>
        <w:t>XII</w:t>
      </w:r>
      <w:r>
        <w:rPr>
          <w:sz w:val="18"/>
        </w:rPr>
        <w:t xml:space="preserve"> всеобщая перепись населения и жилого фонда 2000 года".</w:t>
      </w:r>
    </w:p>
    <w:p w:rsidR="00000000" w:rsidRDefault="00000000">
      <w:pPr>
        <w:spacing w:line="216" w:lineRule="auto"/>
      </w:pPr>
    </w:p>
    <w:p w:rsidR="00000000" w:rsidRDefault="00000000">
      <w:pPr>
        <w:spacing w:line="216" w:lineRule="auto"/>
        <w:rPr>
          <w:sz w:val="18"/>
        </w:rPr>
      </w:pPr>
      <w:r>
        <w:rPr>
          <w:b/>
          <w:bCs/>
          <w:sz w:val="18"/>
          <w:vertAlign w:val="superscript"/>
        </w:rPr>
        <w:t>а</w:t>
      </w:r>
      <w:r>
        <w:rPr>
          <w:sz w:val="18"/>
        </w:rPr>
        <w:tab/>
        <w:t>Цифры по всей стране представляют собой сумму показателей по каждому субъекту федерации.</w:t>
      </w:r>
    </w:p>
    <w:p w:rsidR="00000000" w:rsidRDefault="00000000">
      <w:pPr>
        <w:spacing w:line="216" w:lineRule="auto"/>
        <w:rPr>
          <w:sz w:val="18"/>
        </w:rPr>
      </w:pPr>
    </w:p>
    <w:p w:rsidR="00000000" w:rsidRDefault="00000000">
      <w:pPr>
        <w:spacing w:line="216" w:lineRule="auto"/>
        <w:rPr>
          <w:sz w:val="18"/>
        </w:rPr>
      </w:pPr>
      <w:r>
        <w:rPr>
          <w:b/>
          <w:bCs/>
          <w:sz w:val="18"/>
          <w:vertAlign w:val="superscript"/>
          <w:lang w:val="en-US"/>
        </w:rPr>
        <w:t>b</w:t>
      </w:r>
      <w:r>
        <w:rPr>
          <w:sz w:val="18"/>
        </w:rPr>
        <w:tab/>
        <w:t>Итоговый показатель по соответствующему субъекту федерации состоит из суммы данных по каждому полу.</w:t>
      </w:r>
    </w:p>
    <w:p w:rsidR="00000000" w:rsidRDefault="00000000">
      <w:pPr>
        <w:spacing w:line="216" w:lineRule="auto"/>
      </w:pPr>
    </w:p>
    <w:p w:rsidR="00000000" w:rsidRDefault="00000000">
      <w:pPr>
        <w:spacing w:line="216" w:lineRule="auto"/>
        <w:rPr>
          <w:i/>
          <w:iCs/>
          <w:sz w:val="22"/>
        </w:rPr>
      </w:pPr>
    </w:p>
    <w:p w:rsidR="00000000" w:rsidRDefault="00000000">
      <w:pPr>
        <w:spacing w:line="216" w:lineRule="auto"/>
        <w:rPr>
          <w:i/>
          <w:iCs/>
          <w:sz w:val="22"/>
        </w:rPr>
      </w:pPr>
    </w:p>
    <w:p w:rsidR="00000000" w:rsidRDefault="00000000">
      <w:pPr>
        <w:spacing w:line="216" w:lineRule="auto"/>
        <w:rPr>
          <w:i/>
          <w:iCs/>
          <w:sz w:val="22"/>
        </w:rPr>
      </w:pPr>
    </w:p>
    <w:p w:rsidR="00000000" w:rsidRDefault="00000000">
      <w:pPr>
        <w:spacing w:line="216" w:lineRule="auto"/>
        <w:rPr>
          <w:i/>
          <w:iCs/>
          <w:sz w:val="22"/>
        </w:rPr>
      </w:pPr>
    </w:p>
    <w:p w:rsidR="00000000" w:rsidRDefault="00000000">
      <w:pPr>
        <w:pageBreakBefore/>
        <w:rPr>
          <w:b/>
          <w:bCs/>
        </w:rPr>
      </w:pPr>
      <w:r>
        <w:rPr>
          <w:b/>
          <w:bCs/>
        </w:rPr>
        <w:t xml:space="preserve">Пункт 50 </w:t>
      </w:r>
      <w:r>
        <w:rPr>
          <w:b/>
          <w:bCs/>
          <w:lang w:val="en-US"/>
        </w:rPr>
        <w:t>g</w:t>
      </w:r>
      <w:r>
        <w:rPr>
          <w:b/>
          <w:bCs/>
        </w:rPr>
        <w:t>)</w:t>
      </w:r>
    </w:p>
    <w:p w:rsidR="00000000" w:rsidRDefault="00000000">
      <w:pPr>
        <w:rPr>
          <w:b/>
          <w:bCs/>
        </w:rPr>
      </w:pPr>
    </w:p>
    <w:p w:rsidR="00000000" w:rsidRDefault="00000000">
      <w:pPr>
        <w:jc w:val="center"/>
        <w:rPr>
          <w:b/>
          <w:bCs/>
        </w:rPr>
      </w:pPr>
      <w:r>
        <w:rPr>
          <w:b/>
          <w:bCs/>
        </w:rPr>
        <w:t>Смертность с разбивкой по возрасту и основным причинам,</w:t>
      </w:r>
    </w:p>
    <w:p w:rsidR="00000000" w:rsidRDefault="00000000">
      <w:pPr>
        <w:jc w:val="center"/>
        <w:rPr>
          <w:b/>
          <w:bCs/>
        </w:rPr>
      </w:pPr>
      <w:r>
        <w:rPr>
          <w:b/>
          <w:bCs/>
        </w:rPr>
        <w:t>1990-2002 годы (в %)</w:t>
      </w:r>
    </w:p>
    <w:p w:rsidR="00000000" w:rsidRDefault="00000000">
      <w:pPr>
        <w:spacing w:line="216" w:lineRule="auto"/>
        <w:jc w:val="center"/>
      </w:pPr>
    </w:p>
    <w:tbl>
      <w:tblPr>
        <w:tblW w:w="5015" w:type="pct"/>
        <w:jc w:val="center"/>
        <w:tblInd w:w="-32" w:type="dxa"/>
        <w:tblCellMar>
          <w:left w:w="0" w:type="dxa"/>
          <w:right w:w="0" w:type="dxa"/>
        </w:tblCellMar>
        <w:tblLook w:val="00B0" w:firstRow="1" w:lastRow="0" w:firstColumn="1" w:lastColumn="0" w:noHBand="0" w:noVBand="0"/>
      </w:tblPr>
      <w:tblGrid>
        <w:gridCol w:w="3063"/>
        <w:gridCol w:w="486"/>
        <w:gridCol w:w="486"/>
        <w:gridCol w:w="487"/>
        <w:gridCol w:w="489"/>
        <w:gridCol w:w="487"/>
        <w:gridCol w:w="487"/>
        <w:gridCol w:w="489"/>
        <w:gridCol w:w="487"/>
        <w:gridCol w:w="487"/>
        <w:gridCol w:w="489"/>
        <w:gridCol w:w="487"/>
        <w:gridCol w:w="487"/>
        <w:gridCol w:w="487"/>
      </w:tblGrid>
      <w:tr w:rsidR="00000000">
        <w:trPr>
          <w:tblHeader/>
          <w:jc w:val="center"/>
        </w:trPr>
        <w:tc>
          <w:tcPr>
            <w:tcW w:w="1630"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rPr>
            </w:pPr>
            <w:r>
              <w:rPr>
                <w:i/>
                <w:iCs/>
                <w:sz w:val="16"/>
                <w:szCs w:val="22"/>
              </w:rPr>
              <w:t>Пол/причина</w:t>
            </w:r>
          </w:p>
        </w:tc>
        <w:tc>
          <w:tcPr>
            <w:tcW w:w="259"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1990</w:t>
            </w:r>
          </w:p>
        </w:tc>
        <w:tc>
          <w:tcPr>
            <w:tcW w:w="259"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1991</w:t>
            </w:r>
          </w:p>
        </w:tc>
        <w:tc>
          <w:tcPr>
            <w:tcW w:w="259"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1992</w:t>
            </w:r>
          </w:p>
        </w:tc>
        <w:tc>
          <w:tcPr>
            <w:tcW w:w="260"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1993</w:t>
            </w:r>
          </w:p>
        </w:tc>
        <w:tc>
          <w:tcPr>
            <w:tcW w:w="259"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1994</w:t>
            </w:r>
          </w:p>
        </w:tc>
        <w:tc>
          <w:tcPr>
            <w:tcW w:w="259"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1995</w:t>
            </w:r>
          </w:p>
        </w:tc>
        <w:tc>
          <w:tcPr>
            <w:tcW w:w="260"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1996</w:t>
            </w:r>
          </w:p>
        </w:tc>
        <w:tc>
          <w:tcPr>
            <w:tcW w:w="259"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1997</w:t>
            </w:r>
          </w:p>
        </w:tc>
        <w:tc>
          <w:tcPr>
            <w:tcW w:w="259"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1998</w:t>
            </w:r>
          </w:p>
        </w:tc>
        <w:tc>
          <w:tcPr>
            <w:tcW w:w="260"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1999</w:t>
            </w:r>
          </w:p>
        </w:tc>
        <w:tc>
          <w:tcPr>
            <w:tcW w:w="259"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2000</w:t>
            </w:r>
          </w:p>
        </w:tc>
        <w:tc>
          <w:tcPr>
            <w:tcW w:w="259"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2001</w:t>
            </w:r>
          </w:p>
        </w:tc>
        <w:tc>
          <w:tcPr>
            <w:tcW w:w="259" w:type="pct"/>
            <w:tcBorders>
              <w:top w:val="single" w:sz="4" w:space="0" w:color="auto"/>
              <w:bottom w:val="single" w:sz="4" w:space="0" w:color="auto"/>
            </w:tcBorders>
            <w:vAlign w:val="center"/>
          </w:tcPr>
          <w:p w:rsidR="00000000" w:rsidRDefault="00000000">
            <w:pPr>
              <w:spacing w:before="80" w:line="240" w:lineRule="auto"/>
              <w:jc w:val="center"/>
              <w:rPr>
                <w:i/>
                <w:iCs/>
                <w:sz w:val="16"/>
                <w:szCs w:val="22"/>
                <w:lang w:val="fr-FR"/>
              </w:rPr>
            </w:pPr>
            <w:r>
              <w:rPr>
                <w:i/>
                <w:iCs/>
                <w:sz w:val="16"/>
                <w:szCs w:val="22"/>
                <w:lang w:val="fr-FR"/>
              </w:rPr>
              <w:t>2002</w:t>
            </w:r>
          </w:p>
        </w:tc>
      </w:tr>
      <w:tr w:rsidR="00000000">
        <w:trPr>
          <w:jc w:val="center"/>
        </w:trPr>
        <w:tc>
          <w:tcPr>
            <w:tcW w:w="1630" w:type="pct"/>
            <w:tcBorders>
              <w:top w:val="single" w:sz="4" w:space="0" w:color="auto"/>
            </w:tcBorders>
          </w:tcPr>
          <w:p w:rsidR="00000000" w:rsidRDefault="00000000">
            <w:pPr>
              <w:spacing w:before="80" w:line="240" w:lineRule="auto"/>
              <w:rPr>
                <w:b/>
                <w:bCs/>
                <w:sz w:val="16"/>
                <w:szCs w:val="22"/>
                <w:lang w:val="fr-FR"/>
              </w:rPr>
            </w:pPr>
            <w:r>
              <w:rPr>
                <w:b/>
                <w:bCs/>
                <w:sz w:val="16"/>
                <w:szCs w:val="22"/>
              </w:rPr>
              <w:t>Всего</w:t>
            </w:r>
          </w:p>
        </w:tc>
        <w:tc>
          <w:tcPr>
            <w:tcW w:w="259" w:type="pct"/>
            <w:tcBorders>
              <w:top w:val="single" w:sz="4" w:space="0" w:color="auto"/>
            </w:tcBorders>
          </w:tcPr>
          <w:p w:rsidR="00000000" w:rsidRDefault="00000000">
            <w:pPr>
              <w:spacing w:before="80" w:line="240" w:lineRule="auto"/>
              <w:jc w:val="right"/>
              <w:rPr>
                <w:b/>
                <w:bCs/>
                <w:sz w:val="16"/>
                <w:szCs w:val="22"/>
                <w:lang w:val="fr-FR"/>
              </w:rPr>
            </w:pPr>
            <w:r>
              <w:rPr>
                <w:b/>
                <w:bCs/>
                <w:sz w:val="16"/>
                <w:szCs w:val="22"/>
                <w:lang w:val="fr-FR"/>
              </w:rPr>
              <w:t>100,0</w:t>
            </w:r>
          </w:p>
        </w:tc>
        <w:tc>
          <w:tcPr>
            <w:tcW w:w="259" w:type="pct"/>
            <w:tcBorders>
              <w:top w:val="single" w:sz="4" w:space="0" w:color="auto"/>
            </w:tcBorders>
          </w:tcPr>
          <w:p w:rsidR="00000000" w:rsidRDefault="00000000">
            <w:pPr>
              <w:spacing w:before="80" w:line="240" w:lineRule="auto"/>
              <w:jc w:val="right"/>
              <w:rPr>
                <w:b/>
                <w:bCs/>
                <w:sz w:val="16"/>
                <w:szCs w:val="22"/>
                <w:lang w:val="fr-FR"/>
              </w:rPr>
            </w:pPr>
            <w:r>
              <w:rPr>
                <w:b/>
                <w:bCs/>
                <w:sz w:val="16"/>
                <w:szCs w:val="22"/>
                <w:lang w:val="fr-FR"/>
              </w:rPr>
              <w:t>100,0</w:t>
            </w:r>
          </w:p>
        </w:tc>
        <w:tc>
          <w:tcPr>
            <w:tcW w:w="259" w:type="pct"/>
            <w:tcBorders>
              <w:top w:val="single" w:sz="4" w:space="0" w:color="auto"/>
            </w:tcBorders>
          </w:tcPr>
          <w:p w:rsidR="00000000" w:rsidRDefault="00000000">
            <w:pPr>
              <w:spacing w:before="80" w:line="240" w:lineRule="auto"/>
              <w:jc w:val="right"/>
              <w:rPr>
                <w:b/>
                <w:bCs/>
                <w:sz w:val="16"/>
                <w:szCs w:val="22"/>
              </w:rPr>
            </w:pPr>
            <w:r>
              <w:rPr>
                <w:b/>
                <w:bCs/>
                <w:sz w:val="16"/>
                <w:szCs w:val="22"/>
              </w:rPr>
              <w:t>100,0</w:t>
            </w:r>
          </w:p>
        </w:tc>
        <w:tc>
          <w:tcPr>
            <w:tcW w:w="260" w:type="pct"/>
            <w:tcBorders>
              <w:top w:val="single" w:sz="4" w:space="0" w:color="auto"/>
            </w:tcBorders>
          </w:tcPr>
          <w:p w:rsidR="00000000" w:rsidRDefault="00000000">
            <w:pPr>
              <w:spacing w:before="80" w:line="240" w:lineRule="auto"/>
              <w:jc w:val="right"/>
              <w:rPr>
                <w:b/>
                <w:bCs/>
                <w:sz w:val="16"/>
                <w:szCs w:val="22"/>
              </w:rPr>
            </w:pPr>
            <w:r>
              <w:rPr>
                <w:b/>
                <w:bCs/>
                <w:sz w:val="16"/>
                <w:szCs w:val="22"/>
              </w:rPr>
              <w:t>100,0</w:t>
            </w:r>
          </w:p>
        </w:tc>
        <w:tc>
          <w:tcPr>
            <w:tcW w:w="259" w:type="pct"/>
            <w:tcBorders>
              <w:top w:val="single" w:sz="4" w:space="0" w:color="auto"/>
            </w:tcBorders>
          </w:tcPr>
          <w:p w:rsidR="00000000" w:rsidRDefault="00000000">
            <w:pPr>
              <w:spacing w:before="80" w:line="240" w:lineRule="auto"/>
              <w:jc w:val="right"/>
              <w:rPr>
                <w:b/>
                <w:bCs/>
                <w:sz w:val="16"/>
                <w:szCs w:val="22"/>
              </w:rPr>
            </w:pPr>
            <w:r>
              <w:rPr>
                <w:b/>
                <w:bCs/>
                <w:sz w:val="16"/>
                <w:szCs w:val="22"/>
              </w:rPr>
              <w:t>100,0</w:t>
            </w:r>
          </w:p>
        </w:tc>
        <w:tc>
          <w:tcPr>
            <w:tcW w:w="259" w:type="pct"/>
            <w:tcBorders>
              <w:top w:val="single" w:sz="4" w:space="0" w:color="auto"/>
            </w:tcBorders>
          </w:tcPr>
          <w:p w:rsidR="00000000" w:rsidRDefault="00000000">
            <w:pPr>
              <w:spacing w:before="80" w:line="240" w:lineRule="auto"/>
              <w:jc w:val="right"/>
              <w:rPr>
                <w:b/>
                <w:bCs/>
                <w:sz w:val="16"/>
                <w:szCs w:val="22"/>
              </w:rPr>
            </w:pPr>
            <w:r>
              <w:rPr>
                <w:b/>
                <w:bCs/>
                <w:sz w:val="16"/>
                <w:szCs w:val="22"/>
              </w:rPr>
              <w:t>100,0</w:t>
            </w:r>
          </w:p>
        </w:tc>
        <w:tc>
          <w:tcPr>
            <w:tcW w:w="260" w:type="pct"/>
            <w:tcBorders>
              <w:top w:val="single" w:sz="4" w:space="0" w:color="auto"/>
            </w:tcBorders>
          </w:tcPr>
          <w:p w:rsidR="00000000" w:rsidRDefault="00000000">
            <w:pPr>
              <w:spacing w:before="80" w:line="240" w:lineRule="auto"/>
              <w:jc w:val="right"/>
              <w:rPr>
                <w:b/>
                <w:bCs/>
                <w:sz w:val="16"/>
                <w:szCs w:val="22"/>
              </w:rPr>
            </w:pPr>
            <w:r>
              <w:rPr>
                <w:b/>
                <w:bCs/>
                <w:sz w:val="16"/>
                <w:szCs w:val="22"/>
              </w:rPr>
              <w:t>100,0</w:t>
            </w:r>
          </w:p>
        </w:tc>
        <w:tc>
          <w:tcPr>
            <w:tcW w:w="259" w:type="pct"/>
            <w:tcBorders>
              <w:top w:val="single" w:sz="4" w:space="0" w:color="auto"/>
            </w:tcBorders>
          </w:tcPr>
          <w:p w:rsidR="00000000" w:rsidRDefault="00000000">
            <w:pPr>
              <w:spacing w:before="80" w:line="240" w:lineRule="auto"/>
              <w:jc w:val="right"/>
              <w:rPr>
                <w:b/>
                <w:bCs/>
                <w:sz w:val="16"/>
                <w:szCs w:val="22"/>
              </w:rPr>
            </w:pPr>
            <w:r>
              <w:rPr>
                <w:b/>
                <w:bCs/>
                <w:sz w:val="16"/>
                <w:szCs w:val="22"/>
              </w:rPr>
              <w:t>100,0</w:t>
            </w:r>
          </w:p>
        </w:tc>
        <w:tc>
          <w:tcPr>
            <w:tcW w:w="259" w:type="pct"/>
            <w:tcBorders>
              <w:top w:val="single" w:sz="4" w:space="0" w:color="auto"/>
            </w:tcBorders>
          </w:tcPr>
          <w:p w:rsidR="00000000" w:rsidRDefault="00000000">
            <w:pPr>
              <w:spacing w:before="80" w:line="240" w:lineRule="auto"/>
              <w:jc w:val="right"/>
              <w:rPr>
                <w:b/>
                <w:bCs/>
                <w:sz w:val="16"/>
                <w:szCs w:val="22"/>
              </w:rPr>
            </w:pPr>
            <w:r>
              <w:rPr>
                <w:b/>
                <w:bCs/>
                <w:sz w:val="16"/>
                <w:szCs w:val="22"/>
              </w:rPr>
              <w:t>100,0</w:t>
            </w:r>
          </w:p>
        </w:tc>
        <w:tc>
          <w:tcPr>
            <w:tcW w:w="260" w:type="pct"/>
            <w:tcBorders>
              <w:top w:val="single" w:sz="4" w:space="0" w:color="auto"/>
            </w:tcBorders>
          </w:tcPr>
          <w:p w:rsidR="00000000" w:rsidRDefault="00000000">
            <w:pPr>
              <w:spacing w:before="80" w:line="240" w:lineRule="auto"/>
              <w:jc w:val="right"/>
              <w:rPr>
                <w:b/>
                <w:bCs/>
                <w:sz w:val="16"/>
                <w:szCs w:val="22"/>
              </w:rPr>
            </w:pPr>
            <w:r>
              <w:rPr>
                <w:b/>
                <w:bCs/>
                <w:sz w:val="16"/>
                <w:szCs w:val="22"/>
              </w:rPr>
              <w:t>100,0</w:t>
            </w:r>
          </w:p>
        </w:tc>
        <w:tc>
          <w:tcPr>
            <w:tcW w:w="259" w:type="pct"/>
            <w:tcBorders>
              <w:top w:val="single" w:sz="4" w:space="0" w:color="auto"/>
            </w:tcBorders>
          </w:tcPr>
          <w:p w:rsidR="00000000" w:rsidRDefault="00000000">
            <w:pPr>
              <w:spacing w:before="80" w:line="240" w:lineRule="auto"/>
              <w:jc w:val="right"/>
              <w:rPr>
                <w:b/>
                <w:bCs/>
                <w:sz w:val="16"/>
                <w:szCs w:val="22"/>
              </w:rPr>
            </w:pPr>
            <w:r>
              <w:rPr>
                <w:b/>
                <w:bCs/>
                <w:sz w:val="16"/>
                <w:szCs w:val="22"/>
              </w:rPr>
              <w:t>100,0</w:t>
            </w:r>
          </w:p>
        </w:tc>
        <w:tc>
          <w:tcPr>
            <w:tcW w:w="259" w:type="pct"/>
            <w:tcBorders>
              <w:top w:val="single" w:sz="4" w:space="0" w:color="auto"/>
            </w:tcBorders>
          </w:tcPr>
          <w:p w:rsidR="00000000" w:rsidRDefault="00000000">
            <w:pPr>
              <w:spacing w:before="80" w:line="240" w:lineRule="auto"/>
              <w:jc w:val="right"/>
              <w:rPr>
                <w:b/>
                <w:bCs/>
                <w:sz w:val="16"/>
                <w:szCs w:val="22"/>
              </w:rPr>
            </w:pPr>
            <w:r>
              <w:rPr>
                <w:b/>
                <w:bCs/>
                <w:sz w:val="16"/>
                <w:szCs w:val="22"/>
              </w:rPr>
              <w:t>100,0</w:t>
            </w:r>
          </w:p>
        </w:tc>
        <w:tc>
          <w:tcPr>
            <w:tcW w:w="259" w:type="pct"/>
            <w:tcBorders>
              <w:top w:val="single" w:sz="4" w:space="0" w:color="auto"/>
            </w:tcBorders>
          </w:tcPr>
          <w:p w:rsidR="00000000" w:rsidRDefault="00000000">
            <w:pPr>
              <w:spacing w:before="80" w:line="240" w:lineRule="auto"/>
              <w:jc w:val="right"/>
              <w:rPr>
                <w:b/>
                <w:bCs/>
                <w:sz w:val="16"/>
                <w:szCs w:val="22"/>
              </w:rPr>
            </w:pPr>
            <w:r>
              <w:rPr>
                <w:b/>
                <w:bCs/>
                <w:sz w:val="16"/>
                <w:szCs w:val="22"/>
              </w:rPr>
              <w:t>100,0</w:t>
            </w:r>
          </w:p>
        </w:tc>
      </w:tr>
      <w:tr w:rsidR="00000000">
        <w:trPr>
          <w:jc w:val="center"/>
        </w:trPr>
        <w:tc>
          <w:tcPr>
            <w:tcW w:w="1630" w:type="pct"/>
          </w:tcPr>
          <w:p w:rsidR="00000000" w:rsidRDefault="00000000">
            <w:pPr>
              <w:spacing w:before="80" w:line="240" w:lineRule="auto"/>
              <w:rPr>
                <w:sz w:val="16"/>
                <w:szCs w:val="22"/>
              </w:rPr>
            </w:pPr>
            <w:r>
              <w:rPr>
                <w:sz w:val="16"/>
                <w:szCs w:val="22"/>
              </w:rPr>
              <w:t>Заболевания сердца</w:t>
            </w:r>
          </w:p>
        </w:tc>
        <w:tc>
          <w:tcPr>
            <w:tcW w:w="259" w:type="pct"/>
          </w:tcPr>
          <w:p w:rsidR="00000000" w:rsidRDefault="00000000">
            <w:pPr>
              <w:spacing w:before="80" w:line="240" w:lineRule="auto"/>
              <w:jc w:val="right"/>
              <w:rPr>
                <w:sz w:val="16"/>
                <w:szCs w:val="22"/>
              </w:rPr>
            </w:pPr>
            <w:r>
              <w:rPr>
                <w:sz w:val="16"/>
                <w:szCs w:val="22"/>
              </w:rPr>
              <w:t>12,5</w:t>
            </w:r>
          </w:p>
        </w:tc>
        <w:tc>
          <w:tcPr>
            <w:tcW w:w="259" w:type="pct"/>
          </w:tcPr>
          <w:p w:rsidR="00000000" w:rsidRDefault="00000000">
            <w:pPr>
              <w:spacing w:before="80" w:line="240" w:lineRule="auto"/>
              <w:jc w:val="right"/>
              <w:rPr>
                <w:sz w:val="16"/>
                <w:szCs w:val="22"/>
              </w:rPr>
            </w:pPr>
            <w:r>
              <w:rPr>
                <w:sz w:val="16"/>
                <w:szCs w:val="22"/>
              </w:rPr>
              <w:t>13,2</w:t>
            </w:r>
          </w:p>
        </w:tc>
        <w:tc>
          <w:tcPr>
            <w:tcW w:w="259" w:type="pct"/>
          </w:tcPr>
          <w:p w:rsidR="00000000" w:rsidRDefault="00000000">
            <w:pPr>
              <w:spacing w:before="80" w:line="240" w:lineRule="auto"/>
              <w:jc w:val="right"/>
              <w:rPr>
                <w:sz w:val="16"/>
                <w:szCs w:val="22"/>
              </w:rPr>
            </w:pPr>
            <w:r>
              <w:rPr>
                <w:sz w:val="16"/>
                <w:szCs w:val="22"/>
              </w:rPr>
              <w:t>13,6</w:t>
            </w:r>
          </w:p>
        </w:tc>
        <w:tc>
          <w:tcPr>
            <w:tcW w:w="260" w:type="pct"/>
          </w:tcPr>
          <w:p w:rsidR="00000000" w:rsidRDefault="00000000">
            <w:pPr>
              <w:spacing w:before="80" w:line="240" w:lineRule="auto"/>
              <w:jc w:val="right"/>
              <w:rPr>
                <w:sz w:val="16"/>
                <w:szCs w:val="22"/>
              </w:rPr>
            </w:pPr>
            <w:r>
              <w:rPr>
                <w:sz w:val="16"/>
                <w:szCs w:val="22"/>
              </w:rPr>
              <w:t>14,0</w:t>
            </w:r>
          </w:p>
        </w:tc>
        <w:tc>
          <w:tcPr>
            <w:tcW w:w="259" w:type="pct"/>
          </w:tcPr>
          <w:p w:rsidR="00000000" w:rsidRDefault="00000000">
            <w:pPr>
              <w:spacing w:before="80" w:line="240" w:lineRule="auto"/>
              <w:jc w:val="right"/>
              <w:rPr>
                <w:sz w:val="16"/>
                <w:szCs w:val="22"/>
              </w:rPr>
            </w:pPr>
            <w:r>
              <w:rPr>
                <w:sz w:val="16"/>
                <w:szCs w:val="22"/>
              </w:rPr>
              <w:t>14,5</w:t>
            </w:r>
          </w:p>
        </w:tc>
        <w:tc>
          <w:tcPr>
            <w:tcW w:w="259" w:type="pct"/>
          </w:tcPr>
          <w:p w:rsidR="00000000" w:rsidRDefault="00000000">
            <w:pPr>
              <w:spacing w:before="80" w:line="240" w:lineRule="auto"/>
              <w:jc w:val="right"/>
              <w:rPr>
                <w:sz w:val="16"/>
                <w:szCs w:val="22"/>
              </w:rPr>
            </w:pPr>
            <w:r>
              <w:rPr>
                <w:sz w:val="16"/>
                <w:szCs w:val="22"/>
              </w:rPr>
              <w:t>14,8</w:t>
            </w:r>
          </w:p>
        </w:tc>
        <w:tc>
          <w:tcPr>
            <w:tcW w:w="260" w:type="pct"/>
          </w:tcPr>
          <w:p w:rsidR="00000000" w:rsidRDefault="00000000">
            <w:pPr>
              <w:spacing w:before="80" w:line="240" w:lineRule="auto"/>
              <w:jc w:val="right"/>
              <w:rPr>
                <w:sz w:val="16"/>
                <w:szCs w:val="22"/>
              </w:rPr>
            </w:pPr>
            <w:r>
              <w:rPr>
                <w:sz w:val="16"/>
                <w:szCs w:val="22"/>
              </w:rPr>
              <w:t>15,0</w:t>
            </w:r>
          </w:p>
        </w:tc>
        <w:tc>
          <w:tcPr>
            <w:tcW w:w="259" w:type="pct"/>
          </w:tcPr>
          <w:p w:rsidR="00000000" w:rsidRDefault="00000000">
            <w:pPr>
              <w:spacing w:before="80" w:line="240" w:lineRule="auto"/>
              <w:jc w:val="right"/>
              <w:rPr>
                <w:sz w:val="16"/>
                <w:szCs w:val="22"/>
              </w:rPr>
            </w:pPr>
            <w:r>
              <w:rPr>
                <w:sz w:val="16"/>
                <w:szCs w:val="22"/>
              </w:rPr>
              <w:t>15,4</w:t>
            </w:r>
          </w:p>
        </w:tc>
        <w:tc>
          <w:tcPr>
            <w:tcW w:w="259" w:type="pct"/>
          </w:tcPr>
          <w:p w:rsidR="00000000" w:rsidRDefault="00000000">
            <w:pPr>
              <w:spacing w:before="80" w:line="240" w:lineRule="auto"/>
              <w:jc w:val="right"/>
              <w:rPr>
                <w:sz w:val="16"/>
                <w:szCs w:val="22"/>
              </w:rPr>
            </w:pPr>
            <w:r>
              <w:rPr>
                <w:sz w:val="16"/>
                <w:szCs w:val="22"/>
              </w:rPr>
              <w:t>15,4</w:t>
            </w:r>
          </w:p>
        </w:tc>
        <w:tc>
          <w:tcPr>
            <w:tcW w:w="260" w:type="pct"/>
          </w:tcPr>
          <w:p w:rsidR="00000000" w:rsidRDefault="00000000">
            <w:pPr>
              <w:spacing w:before="80" w:line="240" w:lineRule="auto"/>
              <w:jc w:val="right"/>
              <w:rPr>
                <w:sz w:val="16"/>
                <w:szCs w:val="22"/>
              </w:rPr>
            </w:pPr>
            <w:r>
              <w:rPr>
                <w:sz w:val="16"/>
                <w:szCs w:val="22"/>
              </w:rPr>
              <w:t>15,6</w:t>
            </w:r>
          </w:p>
        </w:tc>
        <w:tc>
          <w:tcPr>
            <w:tcW w:w="259" w:type="pct"/>
          </w:tcPr>
          <w:p w:rsidR="00000000" w:rsidRDefault="00000000">
            <w:pPr>
              <w:spacing w:before="80" w:line="240" w:lineRule="auto"/>
              <w:jc w:val="right"/>
              <w:rPr>
                <w:sz w:val="16"/>
                <w:szCs w:val="22"/>
              </w:rPr>
            </w:pPr>
            <w:r>
              <w:rPr>
                <w:sz w:val="16"/>
                <w:szCs w:val="22"/>
              </w:rPr>
              <w:t>15,7</w:t>
            </w:r>
          </w:p>
        </w:tc>
        <w:tc>
          <w:tcPr>
            <w:tcW w:w="259" w:type="pct"/>
          </w:tcPr>
          <w:p w:rsidR="00000000" w:rsidRDefault="00000000">
            <w:pPr>
              <w:spacing w:before="80" w:line="240" w:lineRule="auto"/>
              <w:jc w:val="right"/>
              <w:rPr>
                <w:sz w:val="16"/>
                <w:szCs w:val="22"/>
              </w:rPr>
            </w:pPr>
            <w:r>
              <w:rPr>
                <w:sz w:val="16"/>
                <w:szCs w:val="22"/>
              </w:rPr>
              <w:t>15,9</w:t>
            </w:r>
          </w:p>
        </w:tc>
        <w:tc>
          <w:tcPr>
            <w:tcW w:w="259" w:type="pct"/>
          </w:tcPr>
          <w:p w:rsidR="00000000" w:rsidRDefault="00000000">
            <w:pPr>
              <w:spacing w:before="80" w:line="240" w:lineRule="auto"/>
              <w:jc w:val="right"/>
              <w:rPr>
                <w:sz w:val="16"/>
                <w:szCs w:val="22"/>
              </w:rPr>
            </w:pPr>
            <w:r>
              <w:rPr>
                <w:sz w:val="16"/>
                <w:szCs w:val="22"/>
              </w:rPr>
              <w:t>16,2</w:t>
            </w:r>
          </w:p>
        </w:tc>
      </w:tr>
      <w:tr w:rsidR="00000000">
        <w:trPr>
          <w:jc w:val="center"/>
        </w:trPr>
        <w:tc>
          <w:tcPr>
            <w:tcW w:w="1630" w:type="pct"/>
          </w:tcPr>
          <w:p w:rsidR="00000000" w:rsidRDefault="00000000">
            <w:pPr>
              <w:spacing w:before="80" w:line="240" w:lineRule="auto"/>
              <w:rPr>
                <w:sz w:val="16"/>
                <w:szCs w:val="22"/>
              </w:rPr>
            </w:pPr>
            <w:r>
              <w:rPr>
                <w:sz w:val="16"/>
                <w:szCs w:val="22"/>
              </w:rPr>
              <w:t>Злокачественные опухоли</w:t>
            </w:r>
          </w:p>
        </w:tc>
        <w:tc>
          <w:tcPr>
            <w:tcW w:w="259" w:type="pct"/>
          </w:tcPr>
          <w:p w:rsidR="00000000" w:rsidRDefault="00000000">
            <w:pPr>
              <w:spacing w:before="80" w:line="240" w:lineRule="auto"/>
              <w:jc w:val="right"/>
              <w:rPr>
                <w:sz w:val="16"/>
                <w:szCs w:val="22"/>
              </w:rPr>
            </w:pPr>
            <w:r>
              <w:rPr>
                <w:sz w:val="16"/>
                <w:szCs w:val="22"/>
              </w:rPr>
              <w:t>9,7</w:t>
            </w:r>
          </w:p>
        </w:tc>
        <w:tc>
          <w:tcPr>
            <w:tcW w:w="259" w:type="pct"/>
          </w:tcPr>
          <w:p w:rsidR="00000000" w:rsidRDefault="00000000">
            <w:pPr>
              <w:spacing w:before="80" w:line="240" w:lineRule="auto"/>
              <w:jc w:val="right"/>
              <w:rPr>
                <w:sz w:val="16"/>
                <w:szCs w:val="22"/>
              </w:rPr>
            </w:pPr>
            <w:r>
              <w:rPr>
                <w:sz w:val="16"/>
                <w:szCs w:val="22"/>
              </w:rPr>
              <w:t>10,2</w:t>
            </w:r>
          </w:p>
        </w:tc>
        <w:tc>
          <w:tcPr>
            <w:tcW w:w="259" w:type="pct"/>
          </w:tcPr>
          <w:p w:rsidR="00000000" w:rsidRDefault="00000000">
            <w:pPr>
              <w:spacing w:before="80" w:line="240" w:lineRule="auto"/>
              <w:jc w:val="right"/>
              <w:rPr>
                <w:sz w:val="16"/>
                <w:szCs w:val="22"/>
                <w:lang w:val="fr-FR"/>
              </w:rPr>
            </w:pPr>
            <w:r>
              <w:rPr>
                <w:sz w:val="16"/>
                <w:szCs w:val="22"/>
                <w:lang w:val="fr-FR"/>
              </w:rPr>
              <w:t>10,7</w:t>
            </w:r>
          </w:p>
        </w:tc>
        <w:tc>
          <w:tcPr>
            <w:tcW w:w="260" w:type="pct"/>
          </w:tcPr>
          <w:p w:rsidR="00000000" w:rsidRDefault="00000000">
            <w:pPr>
              <w:spacing w:before="80" w:line="240" w:lineRule="auto"/>
              <w:jc w:val="right"/>
              <w:rPr>
                <w:sz w:val="16"/>
                <w:szCs w:val="22"/>
                <w:lang w:val="fr-FR"/>
              </w:rPr>
            </w:pPr>
            <w:r>
              <w:rPr>
                <w:sz w:val="16"/>
                <w:szCs w:val="22"/>
                <w:lang w:val="fr-FR"/>
              </w:rPr>
              <w:t>10,8</w:t>
            </w:r>
          </w:p>
        </w:tc>
        <w:tc>
          <w:tcPr>
            <w:tcW w:w="259" w:type="pct"/>
          </w:tcPr>
          <w:p w:rsidR="00000000" w:rsidRDefault="00000000">
            <w:pPr>
              <w:spacing w:before="80" w:line="240" w:lineRule="auto"/>
              <w:jc w:val="right"/>
              <w:rPr>
                <w:sz w:val="16"/>
                <w:szCs w:val="22"/>
                <w:lang w:val="fr-FR"/>
              </w:rPr>
            </w:pPr>
            <w:r>
              <w:rPr>
                <w:sz w:val="16"/>
                <w:szCs w:val="22"/>
                <w:lang w:val="fr-FR"/>
              </w:rPr>
              <w:t>11,1</w:t>
            </w:r>
          </w:p>
        </w:tc>
        <w:tc>
          <w:tcPr>
            <w:tcW w:w="259" w:type="pct"/>
          </w:tcPr>
          <w:p w:rsidR="00000000" w:rsidRDefault="00000000">
            <w:pPr>
              <w:spacing w:before="80" w:line="240" w:lineRule="auto"/>
              <w:jc w:val="right"/>
              <w:rPr>
                <w:sz w:val="16"/>
                <w:szCs w:val="22"/>
                <w:lang w:val="fr-FR"/>
              </w:rPr>
            </w:pPr>
            <w:r>
              <w:rPr>
                <w:sz w:val="16"/>
                <w:szCs w:val="22"/>
                <w:lang w:val="fr-FR"/>
              </w:rPr>
              <w:t>11,2</w:t>
            </w:r>
          </w:p>
        </w:tc>
        <w:tc>
          <w:tcPr>
            <w:tcW w:w="260" w:type="pct"/>
          </w:tcPr>
          <w:p w:rsidR="00000000" w:rsidRDefault="00000000">
            <w:pPr>
              <w:spacing w:before="80" w:line="240" w:lineRule="auto"/>
              <w:jc w:val="right"/>
              <w:rPr>
                <w:sz w:val="16"/>
                <w:szCs w:val="22"/>
                <w:lang w:val="fr-FR"/>
              </w:rPr>
            </w:pPr>
            <w:r>
              <w:rPr>
                <w:sz w:val="16"/>
                <w:szCs w:val="22"/>
                <w:lang w:val="fr-FR"/>
              </w:rPr>
              <w:t>11,4</w:t>
            </w:r>
          </w:p>
        </w:tc>
        <w:tc>
          <w:tcPr>
            <w:tcW w:w="259" w:type="pct"/>
          </w:tcPr>
          <w:p w:rsidR="00000000" w:rsidRDefault="00000000">
            <w:pPr>
              <w:spacing w:before="80" w:line="240" w:lineRule="auto"/>
              <w:jc w:val="right"/>
              <w:rPr>
                <w:sz w:val="16"/>
                <w:szCs w:val="22"/>
                <w:lang w:val="fr-FR"/>
              </w:rPr>
            </w:pPr>
            <w:r>
              <w:rPr>
                <w:sz w:val="16"/>
                <w:szCs w:val="22"/>
                <w:lang w:val="fr-FR"/>
              </w:rPr>
              <w:t>11,6</w:t>
            </w:r>
          </w:p>
        </w:tc>
        <w:tc>
          <w:tcPr>
            <w:tcW w:w="259" w:type="pct"/>
          </w:tcPr>
          <w:p w:rsidR="00000000" w:rsidRDefault="00000000">
            <w:pPr>
              <w:spacing w:before="80" w:line="240" w:lineRule="auto"/>
              <w:jc w:val="right"/>
              <w:rPr>
                <w:sz w:val="16"/>
                <w:szCs w:val="22"/>
                <w:lang w:val="fr-FR"/>
              </w:rPr>
            </w:pPr>
            <w:r>
              <w:rPr>
                <w:sz w:val="16"/>
                <w:szCs w:val="22"/>
                <w:lang w:val="fr-FR"/>
              </w:rPr>
              <w:t>11,8</w:t>
            </w:r>
          </w:p>
        </w:tc>
        <w:tc>
          <w:tcPr>
            <w:tcW w:w="260" w:type="pct"/>
          </w:tcPr>
          <w:p w:rsidR="00000000" w:rsidRDefault="00000000">
            <w:pPr>
              <w:spacing w:before="80" w:line="240" w:lineRule="auto"/>
              <w:jc w:val="right"/>
              <w:rPr>
                <w:sz w:val="16"/>
                <w:szCs w:val="22"/>
                <w:lang w:val="fr-FR"/>
              </w:rPr>
            </w:pPr>
            <w:r>
              <w:rPr>
                <w:sz w:val="16"/>
                <w:szCs w:val="22"/>
                <w:lang w:val="fr-FR"/>
              </w:rPr>
              <w:t>12,1</w:t>
            </w:r>
          </w:p>
        </w:tc>
        <w:tc>
          <w:tcPr>
            <w:tcW w:w="259" w:type="pct"/>
          </w:tcPr>
          <w:p w:rsidR="00000000" w:rsidRDefault="00000000">
            <w:pPr>
              <w:spacing w:before="80" w:line="240" w:lineRule="auto"/>
              <w:jc w:val="right"/>
              <w:rPr>
                <w:sz w:val="16"/>
                <w:szCs w:val="22"/>
                <w:lang w:val="fr-FR"/>
              </w:rPr>
            </w:pPr>
            <w:r>
              <w:rPr>
                <w:sz w:val="16"/>
                <w:szCs w:val="22"/>
                <w:lang w:val="fr-FR"/>
              </w:rPr>
              <w:t>12,6</w:t>
            </w:r>
          </w:p>
        </w:tc>
        <w:tc>
          <w:tcPr>
            <w:tcW w:w="259" w:type="pct"/>
          </w:tcPr>
          <w:p w:rsidR="00000000" w:rsidRDefault="00000000">
            <w:pPr>
              <w:spacing w:before="80" w:line="240" w:lineRule="auto"/>
              <w:jc w:val="right"/>
              <w:rPr>
                <w:sz w:val="16"/>
                <w:szCs w:val="22"/>
                <w:lang w:val="fr-FR"/>
              </w:rPr>
            </w:pPr>
            <w:r>
              <w:rPr>
                <w:sz w:val="16"/>
                <w:szCs w:val="22"/>
                <w:lang w:val="fr-FR"/>
              </w:rPr>
              <w:t>12,7</w:t>
            </w:r>
          </w:p>
        </w:tc>
        <w:tc>
          <w:tcPr>
            <w:tcW w:w="259" w:type="pct"/>
          </w:tcPr>
          <w:p w:rsidR="00000000" w:rsidRDefault="00000000">
            <w:pPr>
              <w:spacing w:before="80" w:line="240" w:lineRule="auto"/>
              <w:jc w:val="right"/>
              <w:rPr>
                <w:sz w:val="16"/>
                <w:szCs w:val="22"/>
                <w:lang w:val="fr-FR"/>
              </w:rPr>
            </w:pPr>
            <w:r>
              <w:rPr>
                <w:sz w:val="16"/>
                <w:szCs w:val="22"/>
                <w:lang w:val="fr-FR"/>
              </w:rPr>
              <w:t>12,7</w:t>
            </w:r>
          </w:p>
        </w:tc>
      </w:tr>
      <w:tr w:rsidR="00000000">
        <w:trPr>
          <w:jc w:val="center"/>
        </w:trPr>
        <w:tc>
          <w:tcPr>
            <w:tcW w:w="1630" w:type="pct"/>
          </w:tcPr>
          <w:p w:rsidR="00000000" w:rsidRDefault="00000000">
            <w:pPr>
              <w:spacing w:before="80" w:line="240" w:lineRule="auto"/>
              <w:rPr>
                <w:sz w:val="16"/>
                <w:szCs w:val="22"/>
              </w:rPr>
            </w:pPr>
            <w:r>
              <w:rPr>
                <w:sz w:val="16"/>
                <w:szCs w:val="22"/>
              </w:rPr>
              <w:t>Сахарный диабет</w:t>
            </w:r>
          </w:p>
        </w:tc>
        <w:tc>
          <w:tcPr>
            <w:tcW w:w="259" w:type="pct"/>
          </w:tcPr>
          <w:p w:rsidR="00000000" w:rsidRDefault="00000000">
            <w:pPr>
              <w:spacing w:before="80" w:line="240" w:lineRule="auto"/>
              <w:jc w:val="right"/>
              <w:rPr>
                <w:sz w:val="16"/>
                <w:szCs w:val="22"/>
              </w:rPr>
            </w:pPr>
            <w:r>
              <w:rPr>
                <w:sz w:val="16"/>
                <w:szCs w:val="22"/>
              </w:rPr>
              <w:t>6,1</w:t>
            </w:r>
          </w:p>
        </w:tc>
        <w:tc>
          <w:tcPr>
            <w:tcW w:w="259" w:type="pct"/>
          </w:tcPr>
          <w:p w:rsidR="00000000" w:rsidRDefault="00000000">
            <w:pPr>
              <w:spacing w:before="80" w:line="240" w:lineRule="auto"/>
              <w:jc w:val="right"/>
              <w:rPr>
                <w:sz w:val="16"/>
                <w:szCs w:val="22"/>
              </w:rPr>
            </w:pPr>
            <w:r>
              <w:rPr>
                <w:sz w:val="16"/>
                <w:szCs w:val="22"/>
              </w:rPr>
              <w:t>6,6</w:t>
            </w:r>
          </w:p>
        </w:tc>
        <w:tc>
          <w:tcPr>
            <w:tcW w:w="259" w:type="pct"/>
          </w:tcPr>
          <w:p w:rsidR="00000000" w:rsidRDefault="00000000">
            <w:pPr>
              <w:spacing w:before="80" w:line="240" w:lineRule="auto"/>
              <w:jc w:val="right"/>
              <w:rPr>
                <w:sz w:val="16"/>
                <w:szCs w:val="22"/>
              </w:rPr>
            </w:pPr>
            <w:r>
              <w:rPr>
                <w:sz w:val="16"/>
                <w:szCs w:val="22"/>
              </w:rPr>
              <w:t>6,9</w:t>
            </w:r>
          </w:p>
        </w:tc>
        <w:tc>
          <w:tcPr>
            <w:tcW w:w="260" w:type="pct"/>
          </w:tcPr>
          <w:p w:rsidR="00000000" w:rsidRDefault="00000000">
            <w:pPr>
              <w:spacing w:before="80" w:line="240" w:lineRule="auto"/>
              <w:jc w:val="right"/>
              <w:rPr>
                <w:sz w:val="16"/>
                <w:szCs w:val="22"/>
              </w:rPr>
            </w:pPr>
            <w:r>
              <w:rPr>
                <w:sz w:val="16"/>
                <w:szCs w:val="22"/>
              </w:rPr>
              <w:t>7,1</w:t>
            </w:r>
          </w:p>
        </w:tc>
        <w:tc>
          <w:tcPr>
            <w:tcW w:w="259" w:type="pct"/>
          </w:tcPr>
          <w:p w:rsidR="00000000" w:rsidRDefault="00000000">
            <w:pPr>
              <w:spacing w:before="80" w:line="240" w:lineRule="auto"/>
              <w:jc w:val="right"/>
              <w:rPr>
                <w:sz w:val="16"/>
                <w:szCs w:val="22"/>
              </w:rPr>
            </w:pPr>
            <w:r>
              <w:rPr>
                <w:sz w:val="16"/>
                <w:szCs w:val="22"/>
              </w:rPr>
              <w:t>7,2</w:t>
            </w:r>
          </w:p>
        </w:tc>
        <w:tc>
          <w:tcPr>
            <w:tcW w:w="259" w:type="pct"/>
          </w:tcPr>
          <w:p w:rsidR="00000000" w:rsidRDefault="00000000">
            <w:pPr>
              <w:spacing w:before="80" w:line="240" w:lineRule="auto"/>
              <w:jc w:val="right"/>
              <w:rPr>
                <w:sz w:val="16"/>
                <w:szCs w:val="22"/>
              </w:rPr>
            </w:pPr>
            <w:r>
              <w:rPr>
                <w:sz w:val="16"/>
                <w:szCs w:val="22"/>
              </w:rPr>
              <w:t>7,7</w:t>
            </w:r>
          </w:p>
        </w:tc>
        <w:tc>
          <w:tcPr>
            <w:tcW w:w="260" w:type="pct"/>
          </w:tcPr>
          <w:p w:rsidR="00000000" w:rsidRDefault="00000000">
            <w:pPr>
              <w:spacing w:before="80" w:line="240" w:lineRule="auto"/>
              <w:jc w:val="right"/>
              <w:rPr>
                <w:sz w:val="16"/>
                <w:szCs w:val="22"/>
              </w:rPr>
            </w:pPr>
            <w:r>
              <w:rPr>
                <w:sz w:val="16"/>
                <w:szCs w:val="22"/>
              </w:rPr>
              <w:t>8,0</w:t>
            </w:r>
          </w:p>
        </w:tc>
        <w:tc>
          <w:tcPr>
            <w:tcW w:w="259" w:type="pct"/>
          </w:tcPr>
          <w:p w:rsidR="00000000" w:rsidRDefault="00000000">
            <w:pPr>
              <w:spacing w:before="80" w:line="240" w:lineRule="auto"/>
              <w:jc w:val="right"/>
              <w:rPr>
                <w:sz w:val="16"/>
                <w:szCs w:val="22"/>
              </w:rPr>
            </w:pPr>
            <w:r>
              <w:rPr>
                <w:sz w:val="16"/>
                <w:szCs w:val="22"/>
              </w:rPr>
              <w:t>8,2</w:t>
            </w:r>
          </w:p>
        </w:tc>
        <w:tc>
          <w:tcPr>
            <w:tcW w:w="259" w:type="pct"/>
          </w:tcPr>
          <w:p w:rsidR="00000000" w:rsidRDefault="00000000">
            <w:pPr>
              <w:spacing w:before="80" w:line="240" w:lineRule="auto"/>
              <w:jc w:val="right"/>
              <w:rPr>
                <w:sz w:val="16"/>
                <w:szCs w:val="22"/>
              </w:rPr>
            </w:pPr>
            <w:r>
              <w:rPr>
                <w:sz w:val="16"/>
                <w:szCs w:val="22"/>
              </w:rPr>
              <w:t>9,4</w:t>
            </w:r>
          </w:p>
        </w:tc>
        <w:tc>
          <w:tcPr>
            <w:tcW w:w="260" w:type="pct"/>
          </w:tcPr>
          <w:p w:rsidR="00000000" w:rsidRDefault="00000000">
            <w:pPr>
              <w:spacing w:before="80" w:line="240" w:lineRule="auto"/>
              <w:jc w:val="right"/>
              <w:rPr>
                <w:sz w:val="16"/>
                <w:szCs w:val="22"/>
              </w:rPr>
            </w:pPr>
            <w:r>
              <w:rPr>
                <w:sz w:val="16"/>
                <w:szCs w:val="22"/>
              </w:rPr>
              <w:t>10,3</w:t>
            </w:r>
          </w:p>
        </w:tc>
        <w:tc>
          <w:tcPr>
            <w:tcW w:w="259" w:type="pct"/>
          </w:tcPr>
          <w:p w:rsidR="00000000" w:rsidRDefault="00000000">
            <w:pPr>
              <w:spacing w:before="80" w:line="240" w:lineRule="auto"/>
              <w:jc w:val="right"/>
              <w:rPr>
                <w:sz w:val="16"/>
                <w:szCs w:val="22"/>
              </w:rPr>
            </w:pPr>
            <w:r>
              <w:rPr>
                <w:sz w:val="16"/>
                <w:szCs w:val="22"/>
              </w:rPr>
              <w:t>10,7</w:t>
            </w:r>
          </w:p>
        </w:tc>
        <w:tc>
          <w:tcPr>
            <w:tcW w:w="259" w:type="pct"/>
          </w:tcPr>
          <w:p w:rsidR="00000000" w:rsidRDefault="00000000">
            <w:pPr>
              <w:spacing w:before="80" w:line="240" w:lineRule="auto"/>
              <w:jc w:val="right"/>
              <w:rPr>
                <w:sz w:val="16"/>
                <w:szCs w:val="22"/>
              </w:rPr>
            </w:pPr>
            <w:r>
              <w:rPr>
                <w:sz w:val="16"/>
                <w:szCs w:val="22"/>
              </w:rPr>
              <w:t>11,3</w:t>
            </w:r>
          </w:p>
        </w:tc>
        <w:tc>
          <w:tcPr>
            <w:tcW w:w="259" w:type="pct"/>
          </w:tcPr>
          <w:p w:rsidR="00000000" w:rsidRDefault="00000000">
            <w:pPr>
              <w:spacing w:before="80" w:line="240" w:lineRule="auto"/>
              <w:jc w:val="right"/>
              <w:rPr>
                <w:sz w:val="16"/>
                <w:szCs w:val="22"/>
              </w:rPr>
            </w:pPr>
            <w:r>
              <w:rPr>
                <w:sz w:val="16"/>
                <w:szCs w:val="22"/>
              </w:rPr>
              <w:t>11,9</w:t>
            </w:r>
          </w:p>
        </w:tc>
      </w:tr>
      <w:tr w:rsidR="00000000">
        <w:trPr>
          <w:jc w:val="center"/>
        </w:trPr>
        <w:tc>
          <w:tcPr>
            <w:tcW w:w="1630" w:type="pct"/>
          </w:tcPr>
          <w:p w:rsidR="00000000" w:rsidRDefault="00000000">
            <w:pPr>
              <w:spacing w:before="80" w:line="240" w:lineRule="auto"/>
              <w:rPr>
                <w:sz w:val="16"/>
                <w:szCs w:val="22"/>
              </w:rPr>
            </w:pPr>
            <w:r>
              <w:rPr>
                <w:sz w:val="16"/>
                <w:szCs w:val="22"/>
              </w:rPr>
              <w:t>Травмы</w:t>
            </w:r>
          </w:p>
        </w:tc>
        <w:tc>
          <w:tcPr>
            <w:tcW w:w="259" w:type="pct"/>
          </w:tcPr>
          <w:p w:rsidR="00000000" w:rsidRDefault="00000000">
            <w:pPr>
              <w:spacing w:before="80" w:line="240" w:lineRule="auto"/>
              <w:jc w:val="right"/>
              <w:rPr>
                <w:sz w:val="16"/>
                <w:szCs w:val="22"/>
                <w:lang w:val="fr-FR"/>
              </w:rPr>
            </w:pPr>
            <w:r>
              <w:rPr>
                <w:sz w:val="16"/>
                <w:szCs w:val="22"/>
                <w:lang w:val="fr-FR"/>
              </w:rPr>
              <w:t>9,3</w:t>
            </w:r>
          </w:p>
        </w:tc>
        <w:tc>
          <w:tcPr>
            <w:tcW w:w="259" w:type="pct"/>
          </w:tcPr>
          <w:p w:rsidR="00000000" w:rsidRDefault="00000000">
            <w:pPr>
              <w:spacing w:before="80" w:line="240" w:lineRule="auto"/>
              <w:jc w:val="right"/>
              <w:rPr>
                <w:sz w:val="16"/>
                <w:szCs w:val="22"/>
                <w:lang w:val="fr-FR"/>
              </w:rPr>
            </w:pPr>
            <w:r>
              <w:rPr>
                <w:sz w:val="16"/>
                <w:szCs w:val="22"/>
                <w:lang w:val="fr-FR"/>
              </w:rPr>
              <w:t>9,5</w:t>
            </w:r>
          </w:p>
        </w:tc>
        <w:tc>
          <w:tcPr>
            <w:tcW w:w="259" w:type="pct"/>
          </w:tcPr>
          <w:p w:rsidR="00000000" w:rsidRDefault="00000000">
            <w:pPr>
              <w:spacing w:before="80" w:line="240" w:lineRule="auto"/>
              <w:jc w:val="right"/>
              <w:rPr>
                <w:sz w:val="16"/>
                <w:szCs w:val="22"/>
                <w:lang w:val="fr-FR"/>
              </w:rPr>
            </w:pPr>
            <w:r>
              <w:rPr>
                <w:sz w:val="16"/>
                <w:szCs w:val="22"/>
                <w:lang w:val="fr-FR"/>
              </w:rPr>
              <w:t>9,3</w:t>
            </w:r>
          </w:p>
        </w:tc>
        <w:tc>
          <w:tcPr>
            <w:tcW w:w="260" w:type="pct"/>
          </w:tcPr>
          <w:p w:rsidR="00000000" w:rsidRDefault="00000000">
            <w:pPr>
              <w:spacing w:before="80" w:line="240" w:lineRule="auto"/>
              <w:jc w:val="right"/>
              <w:rPr>
                <w:sz w:val="16"/>
                <w:szCs w:val="22"/>
                <w:lang w:val="fr-FR"/>
              </w:rPr>
            </w:pPr>
            <w:r>
              <w:rPr>
                <w:sz w:val="16"/>
                <w:szCs w:val="22"/>
                <w:lang w:val="fr-FR"/>
              </w:rPr>
              <w:t>8,9</w:t>
            </w:r>
          </w:p>
        </w:tc>
        <w:tc>
          <w:tcPr>
            <w:tcW w:w="259" w:type="pct"/>
          </w:tcPr>
          <w:p w:rsidR="00000000" w:rsidRDefault="00000000">
            <w:pPr>
              <w:spacing w:before="80" w:line="240" w:lineRule="auto"/>
              <w:jc w:val="right"/>
              <w:rPr>
                <w:sz w:val="16"/>
                <w:szCs w:val="22"/>
                <w:lang w:val="fr-FR"/>
              </w:rPr>
            </w:pPr>
            <w:r>
              <w:rPr>
                <w:sz w:val="16"/>
                <w:szCs w:val="22"/>
                <w:lang w:val="fr-FR"/>
              </w:rPr>
              <w:t>8,9</w:t>
            </w:r>
          </w:p>
        </w:tc>
        <w:tc>
          <w:tcPr>
            <w:tcW w:w="259" w:type="pct"/>
          </w:tcPr>
          <w:p w:rsidR="00000000" w:rsidRDefault="00000000">
            <w:pPr>
              <w:spacing w:before="80" w:line="240" w:lineRule="auto"/>
              <w:jc w:val="right"/>
              <w:rPr>
                <w:sz w:val="16"/>
                <w:szCs w:val="22"/>
                <w:lang w:val="fr-FR"/>
              </w:rPr>
            </w:pPr>
            <w:r>
              <w:rPr>
                <w:sz w:val="16"/>
                <w:szCs w:val="22"/>
                <w:lang w:val="fr-FR"/>
              </w:rPr>
              <w:t>8,3</w:t>
            </w:r>
          </w:p>
        </w:tc>
        <w:tc>
          <w:tcPr>
            <w:tcW w:w="260" w:type="pct"/>
          </w:tcPr>
          <w:p w:rsidR="00000000" w:rsidRDefault="00000000">
            <w:pPr>
              <w:spacing w:before="80" w:line="240" w:lineRule="auto"/>
              <w:jc w:val="right"/>
              <w:rPr>
                <w:sz w:val="16"/>
                <w:szCs w:val="22"/>
                <w:lang w:val="fr-FR"/>
              </w:rPr>
            </w:pPr>
            <w:r>
              <w:rPr>
                <w:sz w:val="16"/>
                <w:szCs w:val="22"/>
                <w:lang w:val="fr-FR"/>
              </w:rPr>
              <w:t>8,0</w:t>
            </w:r>
          </w:p>
        </w:tc>
        <w:tc>
          <w:tcPr>
            <w:tcW w:w="259" w:type="pct"/>
          </w:tcPr>
          <w:p w:rsidR="00000000" w:rsidRDefault="00000000">
            <w:pPr>
              <w:spacing w:before="80" w:line="240" w:lineRule="auto"/>
              <w:jc w:val="right"/>
              <w:rPr>
                <w:sz w:val="16"/>
                <w:szCs w:val="22"/>
                <w:lang w:val="fr-FR"/>
              </w:rPr>
            </w:pPr>
            <w:r>
              <w:rPr>
                <w:sz w:val="16"/>
                <w:szCs w:val="22"/>
                <w:lang w:val="fr-FR"/>
              </w:rPr>
              <w:t>8,1</w:t>
            </w:r>
          </w:p>
        </w:tc>
        <w:tc>
          <w:tcPr>
            <w:tcW w:w="259" w:type="pct"/>
          </w:tcPr>
          <w:p w:rsidR="00000000" w:rsidRDefault="00000000">
            <w:pPr>
              <w:spacing w:before="80" w:line="240" w:lineRule="auto"/>
              <w:jc w:val="right"/>
              <w:rPr>
                <w:sz w:val="16"/>
                <w:szCs w:val="22"/>
                <w:lang w:val="fr-FR"/>
              </w:rPr>
            </w:pPr>
            <w:r>
              <w:rPr>
                <w:sz w:val="16"/>
                <w:szCs w:val="22"/>
                <w:lang w:val="fr-FR"/>
              </w:rPr>
              <w:t>8,0</w:t>
            </w:r>
          </w:p>
        </w:tc>
        <w:tc>
          <w:tcPr>
            <w:tcW w:w="260" w:type="pct"/>
          </w:tcPr>
          <w:p w:rsidR="00000000" w:rsidRDefault="00000000">
            <w:pPr>
              <w:spacing w:before="80" w:line="240" w:lineRule="auto"/>
              <w:jc w:val="right"/>
              <w:rPr>
                <w:sz w:val="16"/>
                <w:szCs w:val="22"/>
                <w:lang w:val="fr-FR"/>
              </w:rPr>
            </w:pPr>
            <w:r>
              <w:rPr>
                <w:sz w:val="16"/>
                <w:szCs w:val="22"/>
                <w:lang w:val="fr-FR"/>
              </w:rPr>
              <w:t>8,0</w:t>
            </w:r>
          </w:p>
        </w:tc>
        <w:tc>
          <w:tcPr>
            <w:tcW w:w="259" w:type="pct"/>
          </w:tcPr>
          <w:p w:rsidR="00000000" w:rsidRDefault="00000000">
            <w:pPr>
              <w:spacing w:before="80" w:line="240" w:lineRule="auto"/>
              <w:jc w:val="right"/>
              <w:rPr>
                <w:sz w:val="16"/>
                <w:szCs w:val="22"/>
                <w:lang w:val="fr-FR"/>
              </w:rPr>
            </w:pPr>
            <w:r>
              <w:rPr>
                <w:sz w:val="16"/>
                <w:szCs w:val="22"/>
                <w:lang w:val="fr-FR"/>
              </w:rPr>
              <w:t>8,1</w:t>
            </w:r>
          </w:p>
        </w:tc>
        <w:tc>
          <w:tcPr>
            <w:tcW w:w="259" w:type="pct"/>
          </w:tcPr>
          <w:p w:rsidR="00000000" w:rsidRDefault="00000000">
            <w:pPr>
              <w:spacing w:before="80" w:line="240" w:lineRule="auto"/>
              <w:jc w:val="right"/>
              <w:rPr>
                <w:sz w:val="16"/>
                <w:szCs w:val="22"/>
                <w:lang w:val="fr-FR"/>
              </w:rPr>
            </w:pPr>
            <w:r>
              <w:rPr>
                <w:sz w:val="16"/>
                <w:szCs w:val="22"/>
                <w:lang w:val="fr-FR"/>
              </w:rPr>
              <w:t>8,0</w:t>
            </w:r>
          </w:p>
        </w:tc>
        <w:tc>
          <w:tcPr>
            <w:tcW w:w="259" w:type="pct"/>
          </w:tcPr>
          <w:p w:rsidR="00000000" w:rsidRDefault="00000000">
            <w:pPr>
              <w:spacing w:before="80" w:line="240" w:lineRule="auto"/>
              <w:jc w:val="right"/>
              <w:rPr>
                <w:sz w:val="16"/>
                <w:szCs w:val="22"/>
                <w:lang w:val="fr-FR"/>
              </w:rPr>
            </w:pPr>
            <w:r>
              <w:rPr>
                <w:sz w:val="16"/>
                <w:szCs w:val="22"/>
                <w:lang w:val="fr-FR"/>
              </w:rPr>
              <w:t>7,8</w:t>
            </w:r>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Болезни печени</w:t>
            </w:r>
            <w:r>
              <w:rPr>
                <w:b/>
                <w:bCs/>
                <w:sz w:val="16"/>
                <w:szCs w:val="22"/>
                <w:vertAlign w:val="superscript"/>
              </w:rPr>
              <w:t>а</w:t>
            </w:r>
          </w:p>
        </w:tc>
        <w:tc>
          <w:tcPr>
            <w:tcW w:w="259" w:type="pct"/>
          </w:tcPr>
          <w:p w:rsidR="00000000" w:rsidRDefault="00000000">
            <w:pPr>
              <w:spacing w:before="80" w:line="240" w:lineRule="auto"/>
              <w:jc w:val="right"/>
              <w:rPr>
                <w:sz w:val="16"/>
                <w:szCs w:val="22"/>
              </w:rPr>
            </w:pPr>
            <w:r>
              <w:rPr>
                <w:sz w:val="16"/>
                <w:szCs w:val="22"/>
              </w:rPr>
              <w:t>4,2</w:t>
            </w:r>
          </w:p>
        </w:tc>
        <w:tc>
          <w:tcPr>
            <w:tcW w:w="259" w:type="pct"/>
          </w:tcPr>
          <w:p w:rsidR="00000000" w:rsidRDefault="00000000">
            <w:pPr>
              <w:spacing w:before="80" w:line="240" w:lineRule="auto"/>
              <w:jc w:val="right"/>
              <w:rPr>
                <w:sz w:val="16"/>
                <w:szCs w:val="22"/>
              </w:rPr>
            </w:pPr>
            <w:r>
              <w:rPr>
                <w:sz w:val="16"/>
                <w:szCs w:val="22"/>
              </w:rPr>
              <w:t>4,5</w:t>
            </w:r>
          </w:p>
        </w:tc>
        <w:tc>
          <w:tcPr>
            <w:tcW w:w="259" w:type="pct"/>
          </w:tcPr>
          <w:p w:rsidR="00000000" w:rsidRDefault="00000000">
            <w:pPr>
              <w:spacing w:before="80" w:line="240" w:lineRule="auto"/>
              <w:jc w:val="right"/>
              <w:rPr>
                <w:sz w:val="16"/>
                <w:szCs w:val="22"/>
              </w:rPr>
            </w:pPr>
            <w:r>
              <w:rPr>
                <w:sz w:val="16"/>
                <w:szCs w:val="22"/>
              </w:rPr>
              <w:t>4,7</w:t>
            </w:r>
          </w:p>
        </w:tc>
        <w:tc>
          <w:tcPr>
            <w:tcW w:w="260" w:type="pct"/>
          </w:tcPr>
          <w:p w:rsidR="00000000" w:rsidRDefault="00000000">
            <w:pPr>
              <w:spacing w:before="80" w:line="240" w:lineRule="auto"/>
              <w:jc w:val="right"/>
              <w:rPr>
                <w:sz w:val="16"/>
                <w:szCs w:val="22"/>
              </w:rPr>
            </w:pPr>
            <w:r>
              <w:rPr>
                <w:sz w:val="16"/>
                <w:szCs w:val="22"/>
              </w:rPr>
              <w:t>4,9</w:t>
            </w:r>
          </w:p>
        </w:tc>
        <w:tc>
          <w:tcPr>
            <w:tcW w:w="259" w:type="pct"/>
          </w:tcPr>
          <w:p w:rsidR="00000000" w:rsidRDefault="00000000">
            <w:pPr>
              <w:spacing w:before="80" w:line="240" w:lineRule="auto"/>
              <w:jc w:val="right"/>
              <w:rPr>
                <w:sz w:val="16"/>
                <w:szCs w:val="22"/>
              </w:rPr>
            </w:pPr>
            <w:r>
              <w:rPr>
                <w:sz w:val="16"/>
                <w:szCs w:val="22"/>
              </w:rPr>
              <w:t>5,0</w:t>
            </w:r>
          </w:p>
        </w:tc>
        <w:tc>
          <w:tcPr>
            <w:tcW w:w="259" w:type="pct"/>
          </w:tcPr>
          <w:p w:rsidR="00000000" w:rsidRDefault="00000000">
            <w:pPr>
              <w:spacing w:before="80" w:line="240" w:lineRule="auto"/>
              <w:jc w:val="right"/>
              <w:rPr>
                <w:sz w:val="16"/>
                <w:szCs w:val="22"/>
              </w:rPr>
            </w:pPr>
            <w:r>
              <w:rPr>
                <w:sz w:val="16"/>
                <w:szCs w:val="22"/>
              </w:rPr>
              <w:t>4,9</w:t>
            </w:r>
          </w:p>
        </w:tc>
        <w:tc>
          <w:tcPr>
            <w:tcW w:w="260" w:type="pct"/>
          </w:tcPr>
          <w:p w:rsidR="00000000" w:rsidRDefault="00000000">
            <w:pPr>
              <w:spacing w:before="80" w:line="240" w:lineRule="auto"/>
              <w:jc w:val="right"/>
              <w:rPr>
                <w:sz w:val="16"/>
                <w:szCs w:val="22"/>
              </w:rPr>
            </w:pPr>
            <w:r>
              <w:rPr>
                <w:sz w:val="16"/>
                <w:szCs w:val="22"/>
              </w:rPr>
              <w:t>5,0</w:t>
            </w:r>
          </w:p>
        </w:tc>
        <w:tc>
          <w:tcPr>
            <w:tcW w:w="259" w:type="pct"/>
          </w:tcPr>
          <w:p w:rsidR="00000000" w:rsidRDefault="00000000">
            <w:pPr>
              <w:spacing w:before="80" w:line="240" w:lineRule="auto"/>
              <w:jc w:val="right"/>
              <w:rPr>
                <w:sz w:val="16"/>
                <w:szCs w:val="22"/>
              </w:rPr>
            </w:pPr>
            <w:r>
              <w:rPr>
                <w:sz w:val="16"/>
                <w:szCs w:val="22"/>
              </w:rPr>
              <w:t>5,2</w:t>
            </w:r>
          </w:p>
        </w:tc>
        <w:tc>
          <w:tcPr>
            <w:tcW w:w="259" w:type="pct"/>
          </w:tcPr>
          <w:p w:rsidR="00000000" w:rsidRDefault="00000000">
            <w:pPr>
              <w:spacing w:before="80" w:line="240" w:lineRule="auto"/>
              <w:jc w:val="right"/>
              <w:rPr>
                <w:sz w:val="16"/>
                <w:szCs w:val="22"/>
              </w:rPr>
            </w:pPr>
            <w:r>
              <w:rPr>
                <w:sz w:val="16"/>
                <w:szCs w:val="22"/>
              </w:rPr>
              <w:t>6,1</w:t>
            </w:r>
          </w:p>
        </w:tc>
        <w:tc>
          <w:tcPr>
            <w:tcW w:w="260" w:type="pct"/>
          </w:tcPr>
          <w:p w:rsidR="00000000" w:rsidRDefault="00000000">
            <w:pPr>
              <w:spacing w:before="80" w:line="240" w:lineRule="auto"/>
              <w:jc w:val="right"/>
              <w:rPr>
                <w:sz w:val="16"/>
                <w:szCs w:val="22"/>
              </w:rPr>
            </w:pPr>
            <w:r>
              <w:rPr>
                <w:sz w:val="16"/>
                <w:szCs w:val="22"/>
              </w:rPr>
              <w:t>6,1</w:t>
            </w:r>
          </w:p>
        </w:tc>
        <w:tc>
          <w:tcPr>
            <w:tcW w:w="259" w:type="pct"/>
          </w:tcPr>
          <w:p w:rsidR="00000000" w:rsidRDefault="00000000">
            <w:pPr>
              <w:spacing w:before="80" w:line="240" w:lineRule="auto"/>
              <w:jc w:val="right"/>
              <w:rPr>
                <w:sz w:val="16"/>
                <w:szCs w:val="22"/>
              </w:rPr>
            </w:pPr>
            <w:r>
              <w:rPr>
                <w:sz w:val="16"/>
                <w:szCs w:val="22"/>
              </w:rPr>
              <w:t>6,3</w:t>
            </w:r>
          </w:p>
        </w:tc>
        <w:tc>
          <w:tcPr>
            <w:tcW w:w="259" w:type="pct"/>
          </w:tcPr>
          <w:p w:rsidR="00000000" w:rsidRDefault="00000000">
            <w:pPr>
              <w:spacing w:before="80" w:line="240" w:lineRule="auto"/>
              <w:jc w:val="right"/>
              <w:rPr>
                <w:sz w:val="16"/>
                <w:szCs w:val="22"/>
              </w:rPr>
            </w:pPr>
            <w:r>
              <w:rPr>
                <w:sz w:val="16"/>
                <w:szCs w:val="22"/>
              </w:rPr>
              <w:t>6,3</w:t>
            </w:r>
          </w:p>
        </w:tc>
        <w:tc>
          <w:tcPr>
            <w:tcW w:w="259" w:type="pct"/>
          </w:tcPr>
          <w:p w:rsidR="00000000" w:rsidRDefault="00000000">
            <w:pPr>
              <w:spacing w:before="80" w:line="240" w:lineRule="auto"/>
              <w:jc w:val="right"/>
              <w:rPr>
                <w:sz w:val="16"/>
                <w:szCs w:val="22"/>
              </w:rPr>
            </w:pPr>
            <w:r>
              <w:rPr>
                <w:sz w:val="16"/>
                <w:szCs w:val="22"/>
              </w:rPr>
              <w:t>6,2</w:t>
            </w:r>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Сердечно-сосудистые заболевания</w:t>
            </w:r>
            <w:r>
              <w:rPr>
                <w:b/>
                <w:bCs/>
                <w:sz w:val="16"/>
                <w:szCs w:val="22"/>
                <w:vertAlign w:val="superscript"/>
                <w:lang w:val="en-US"/>
              </w:rPr>
              <w:t>b</w:t>
            </w:r>
          </w:p>
        </w:tc>
        <w:tc>
          <w:tcPr>
            <w:tcW w:w="259" w:type="pct"/>
          </w:tcPr>
          <w:p w:rsidR="00000000" w:rsidRDefault="00000000">
            <w:pPr>
              <w:spacing w:before="80" w:line="240" w:lineRule="auto"/>
              <w:jc w:val="right"/>
              <w:rPr>
                <w:sz w:val="16"/>
                <w:szCs w:val="22"/>
              </w:rPr>
            </w:pPr>
            <w:r>
              <w:rPr>
                <w:sz w:val="16"/>
                <w:szCs w:val="22"/>
              </w:rPr>
              <w:t>4,7</w:t>
            </w:r>
          </w:p>
        </w:tc>
        <w:tc>
          <w:tcPr>
            <w:tcW w:w="259" w:type="pct"/>
          </w:tcPr>
          <w:p w:rsidR="00000000" w:rsidRDefault="00000000">
            <w:pPr>
              <w:spacing w:before="80" w:line="240" w:lineRule="auto"/>
              <w:jc w:val="right"/>
              <w:rPr>
                <w:sz w:val="16"/>
                <w:szCs w:val="22"/>
                <w:lang w:val="fr-FR"/>
              </w:rPr>
            </w:pPr>
            <w:r>
              <w:rPr>
                <w:sz w:val="16"/>
                <w:szCs w:val="22"/>
                <w:lang w:val="fr-FR"/>
              </w:rPr>
              <w:t>5,1</w:t>
            </w:r>
          </w:p>
        </w:tc>
        <w:tc>
          <w:tcPr>
            <w:tcW w:w="259" w:type="pct"/>
          </w:tcPr>
          <w:p w:rsidR="00000000" w:rsidRDefault="00000000">
            <w:pPr>
              <w:spacing w:before="80" w:line="240" w:lineRule="auto"/>
              <w:jc w:val="right"/>
              <w:rPr>
                <w:sz w:val="16"/>
                <w:szCs w:val="22"/>
                <w:lang w:val="fr-FR"/>
              </w:rPr>
            </w:pPr>
            <w:r>
              <w:rPr>
                <w:sz w:val="16"/>
                <w:szCs w:val="22"/>
                <w:lang w:val="fr-FR"/>
              </w:rPr>
              <w:t>5,2</w:t>
            </w:r>
          </w:p>
        </w:tc>
        <w:tc>
          <w:tcPr>
            <w:tcW w:w="260" w:type="pct"/>
          </w:tcPr>
          <w:p w:rsidR="00000000" w:rsidRDefault="00000000">
            <w:pPr>
              <w:spacing w:before="80" w:line="240" w:lineRule="auto"/>
              <w:jc w:val="right"/>
              <w:rPr>
                <w:sz w:val="16"/>
                <w:szCs w:val="22"/>
                <w:lang w:val="fr-FR"/>
              </w:rPr>
            </w:pPr>
            <w:r>
              <w:rPr>
                <w:sz w:val="16"/>
                <w:szCs w:val="22"/>
                <w:lang w:val="fr-FR"/>
              </w:rPr>
              <w:t>5,2</w:t>
            </w:r>
          </w:p>
        </w:tc>
        <w:tc>
          <w:tcPr>
            <w:tcW w:w="259" w:type="pct"/>
          </w:tcPr>
          <w:p w:rsidR="00000000" w:rsidRDefault="00000000">
            <w:pPr>
              <w:spacing w:before="80" w:line="240" w:lineRule="auto"/>
              <w:jc w:val="right"/>
              <w:rPr>
                <w:sz w:val="16"/>
                <w:szCs w:val="22"/>
                <w:lang w:val="fr-FR"/>
              </w:rPr>
            </w:pPr>
            <w:r>
              <w:rPr>
                <w:sz w:val="16"/>
                <w:szCs w:val="22"/>
                <w:lang w:val="fr-FR"/>
              </w:rPr>
              <w:t>5,4</w:t>
            </w:r>
          </w:p>
        </w:tc>
        <w:tc>
          <w:tcPr>
            <w:tcW w:w="259" w:type="pct"/>
          </w:tcPr>
          <w:p w:rsidR="00000000" w:rsidRDefault="00000000">
            <w:pPr>
              <w:spacing w:before="80" w:line="240" w:lineRule="auto"/>
              <w:jc w:val="right"/>
              <w:rPr>
                <w:sz w:val="16"/>
                <w:szCs w:val="22"/>
                <w:lang w:val="fr-FR"/>
              </w:rPr>
            </w:pPr>
            <w:r>
              <w:rPr>
                <w:sz w:val="16"/>
                <w:szCs w:val="22"/>
                <w:lang w:val="fr-FR"/>
              </w:rPr>
              <w:t>5,4</w:t>
            </w:r>
          </w:p>
        </w:tc>
        <w:tc>
          <w:tcPr>
            <w:tcW w:w="260" w:type="pct"/>
          </w:tcPr>
          <w:p w:rsidR="00000000" w:rsidRDefault="00000000">
            <w:pPr>
              <w:spacing w:before="80" w:line="240" w:lineRule="auto"/>
              <w:jc w:val="right"/>
              <w:rPr>
                <w:sz w:val="16"/>
                <w:szCs w:val="22"/>
                <w:lang w:val="fr-FR"/>
              </w:rPr>
            </w:pPr>
            <w:r>
              <w:rPr>
                <w:sz w:val="16"/>
                <w:szCs w:val="22"/>
                <w:lang w:val="fr-FR"/>
              </w:rPr>
              <w:t>5,6</w:t>
            </w:r>
          </w:p>
        </w:tc>
        <w:tc>
          <w:tcPr>
            <w:tcW w:w="259" w:type="pct"/>
          </w:tcPr>
          <w:p w:rsidR="00000000" w:rsidRDefault="00000000">
            <w:pPr>
              <w:spacing w:before="80" w:line="240" w:lineRule="auto"/>
              <w:jc w:val="right"/>
              <w:rPr>
                <w:sz w:val="16"/>
                <w:szCs w:val="22"/>
                <w:lang w:val="fr-FR"/>
              </w:rPr>
            </w:pPr>
            <w:r>
              <w:rPr>
                <w:sz w:val="16"/>
                <w:szCs w:val="22"/>
                <w:lang w:val="fr-FR"/>
              </w:rPr>
              <w:t>5,6</w:t>
            </w:r>
          </w:p>
        </w:tc>
        <w:tc>
          <w:tcPr>
            <w:tcW w:w="259" w:type="pct"/>
          </w:tcPr>
          <w:p w:rsidR="00000000" w:rsidRDefault="00000000">
            <w:pPr>
              <w:spacing w:before="80" w:line="240" w:lineRule="auto"/>
              <w:jc w:val="right"/>
              <w:rPr>
                <w:sz w:val="16"/>
                <w:szCs w:val="22"/>
                <w:lang w:val="fr-FR"/>
              </w:rPr>
            </w:pPr>
            <w:r>
              <w:rPr>
                <w:sz w:val="16"/>
                <w:szCs w:val="22"/>
                <w:lang w:val="fr-FR"/>
              </w:rPr>
              <w:t>5,6</w:t>
            </w:r>
          </w:p>
        </w:tc>
        <w:tc>
          <w:tcPr>
            <w:tcW w:w="260" w:type="pct"/>
          </w:tcPr>
          <w:p w:rsidR="00000000" w:rsidRDefault="00000000">
            <w:pPr>
              <w:spacing w:before="80" w:line="240" w:lineRule="auto"/>
              <w:jc w:val="right"/>
              <w:rPr>
                <w:sz w:val="16"/>
                <w:szCs w:val="22"/>
                <w:lang w:val="fr-FR"/>
              </w:rPr>
            </w:pPr>
            <w:r>
              <w:rPr>
                <w:sz w:val="16"/>
                <w:szCs w:val="22"/>
                <w:lang w:val="fr-FR"/>
              </w:rPr>
              <w:t>5,8</w:t>
            </w:r>
          </w:p>
        </w:tc>
        <w:tc>
          <w:tcPr>
            <w:tcW w:w="259" w:type="pct"/>
          </w:tcPr>
          <w:p w:rsidR="00000000" w:rsidRDefault="00000000">
            <w:pPr>
              <w:spacing w:before="80" w:line="240" w:lineRule="auto"/>
              <w:jc w:val="right"/>
              <w:rPr>
                <w:sz w:val="16"/>
                <w:szCs w:val="22"/>
                <w:lang w:val="fr-FR"/>
              </w:rPr>
            </w:pPr>
            <w:r>
              <w:rPr>
                <w:sz w:val="16"/>
                <w:szCs w:val="22"/>
                <w:lang w:val="fr-FR"/>
              </w:rPr>
              <w:t>5,8</w:t>
            </w:r>
          </w:p>
        </w:tc>
        <w:tc>
          <w:tcPr>
            <w:tcW w:w="259" w:type="pct"/>
          </w:tcPr>
          <w:p w:rsidR="00000000" w:rsidRDefault="00000000">
            <w:pPr>
              <w:spacing w:before="80" w:line="240" w:lineRule="auto"/>
              <w:jc w:val="right"/>
              <w:rPr>
                <w:sz w:val="16"/>
                <w:szCs w:val="22"/>
                <w:lang w:val="fr-FR"/>
              </w:rPr>
            </w:pPr>
            <w:r>
              <w:rPr>
                <w:sz w:val="16"/>
                <w:szCs w:val="22"/>
                <w:lang w:val="fr-FR"/>
              </w:rPr>
              <w:t>5,8</w:t>
            </w:r>
          </w:p>
        </w:tc>
        <w:tc>
          <w:tcPr>
            <w:tcW w:w="259" w:type="pct"/>
          </w:tcPr>
          <w:p w:rsidR="00000000" w:rsidRDefault="00000000">
            <w:pPr>
              <w:spacing w:before="80" w:line="240" w:lineRule="auto"/>
              <w:jc w:val="right"/>
              <w:rPr>
                <w:sz w:val="16"/>
                <w:szCs w:val="22"/>
                <w:lang w:val="fr-FR"/>
              </w:rPr>
            </w:pPr>
            <w:r>
              <w:rPr>
                <w:sz w:val="16"/>
                <w:szCs w:val="22"/>
                <w:lang w:val="fr-FR"/>
              </w:rPr>
              <w:t>5,8</w:t>
            </w:r>
          </w:p>
        </w:tc>
      </w:tr>
      <w:tr w:rsidR="00000000">
        <w:trPr>
          <w:jc w:val="center"/>
        </w:trPr>
        <w:tc>
          <w:tcPr>
            <w:tcW w:w="1630" w:type="pct"/>
          </w:tcPr>
          <w:p w:rsidR="00000000" w:rsidRDefault="00000000">
            <w:pPr>
              <w:spacing w:before="80" w:line="240" w:lineRule="auto"/>
              <w:rPr>
                <w:sz w:val="16"/>
                <w:szCs w:val="22"/>
              </w:rPr>
            </w:pPr>
            <w:r>
              <w:rPr>
                <w:sz w:val="16"/>
                <w:szCs w:val="22"/>
              </w:rPr>
              <w:t>Некоторые заболевания, связанные с перинатальным периодом</w:t>
            </w:r>
          </w:p>
        </w:tc>
        <w:tc>
          <w:tcPr>
            <w:tcW w:w="259" w:type="pct"/>
          </w:tcPr>
          <w:p w:rsidR="00000000" w:rsidRDefault="00000000">
            <w:pPr>
              <w:spacing w:before="80" w:line="240" w:lineRule="auto"/>
              <w:jc w:val="right"/>
              <w:rPr>
                <w:sz w:val="16"/>
                <w:szCs w:val="22"/>
                <w:lang w:val="fr-FR"/>
              </w:rPr>
            </w:pPr>
            <w:r>
              <w:rPr>
                <w:sz w:val="16"/>
                <w:szCs w:val="22"/>
                <w:lang w:val="fr-FR"/>
              </w:rPr>
              <w:t>5,5</w:t>
            </w:r>
          </w:p>
        </w:tc>
        <w:tc>
          <w:tcPr>
            <w:tcW w:w="259" w:type="pct"/>
          </w:tcPr>
          <w:p w:rsidR="00000000" w:rsidRDefault="00000000">
            <w:pPr>
              <w:spacing w:before="80" w:line="240" w:lineRule="auto"/>
              <w:jc w:val="right"/>
              <w:rPr>
                <w:sz w:val="16"/>
                <w:szCs w:val="22"/>
              </w:rPr>
            </w:pPr>
            <w:r>
              <w:rPr>
                <w:sz w:val="16"/>
                <w:szCs w:val="22"/>
              </w:rPr>
              <w:t>5,4</w:t>
            </w:r>
          </w:p>
        </w:tc>
        <w:tc>
          <w:tcPr>
            <w:tcW w:w="259" w:type="pct"/>
          </w:tcPr>
          <w:p w:rsidR="00000000" w:rsidRDefault="00000000">
            <w:pPr>
              <w:spacing w:before="80" w:line="240" w:lineRule="auto"/>
              <w:jc w:val="right"/>
              <w:rPr>
                <w:sz w:val="16"/>
                <w:szCs w:val="22"/>
              </w:rPr>
            </w:pPr>
            <w:r>
              <w:rPr>
                <w:sz w:val="16"/>
                <w:szCs w:val="22"/>
              </w:rPr>
              <w:t>5,3</w:t>
            </w:r>
          </w:p>
        </w:tc>
        <w:tc>
          <w:tcPr>
            <w:tcW w:w="260" w:type="pct"/>
          </w:tcPr>
          <w:p w:rsidR="00000000" w:rsidRDefault="00000000">
            <w:pPr>
              <w:spacing w:before="80" w:line="240" w:lineRule="auto"/>
              <w:jc w:val="right"/>
              <w:rPr>
                <w:sz w:val="16"/>
                <w:szCs w:val="22"/>
              </w:rPr>
            </w:pPr>
            <w:r>
              <w:rPr>
                <w:sz w:val="16"/>
                <w:szCs w:val="22"/>
              </w:rPr>
              <w:t>5,0</w:t>
            </w:r>
          </w:p>
        </w:tc>
        <w:tc>
          <w:tcPr>
            <w:tcW w:w="259" w:type="pct"/>
          </w:tcPr>
          <w:p w:rsidR="00000000" w:rsidRDefault="00000000">
            <w:pPr>
              <w:spacing w:before="80" w:line="240" w:lineRule="auto"/>
              <w:jc w:val="right"/>
              <w:rPr>
                <w:sz w:val="16"/>
                <w:szCs w:val="22"/>
              </w:rPr>
            </w:pPr>
            <w:r>
              <w:rPr>
                <w:sz w:val="16"/>
                <w:szCs w:val="22"/>
              </w:rPr>
              <w:t>4,9</w:t>
            </w:r>
          </w:p>
        </w:tc>
        <w:tc>
          <w:tcPr>
            <w:tcW w:w="259" w:type="pct"/>
          </w:tcPr>
          <w:p w:rsidR="00000000" w:rsidRDefault="00000000">
            <w:pPr>
              <w:spacing w:before="80" w:line="240" w:lineRule="auto"/>
              <w:jc w:val="right"/>
              <w:rPr>
                <w:sz w:val="16"/>
                <w:szCs w:val="22"/>
              </w:rPr>
            </w:pPr>
            <w:r>
              <w:rPr>
                <w:sz w:val="16"/>
                <w:szCs w:val="22"/>
              </w:rPr>
              <w:t>4,8</w:t>
            </w:r>
          </w:p>
        </w:tc>
        <w:tc>
          <w:tcPr>
            <w:tcW w:w="260" w:type="pct"/>
          </w:tcPr>
          <w:p w:rsidR="00000000" w:rsidRDefault="00000000">
            <w:pPr>
              <w:spacing w:before="80" w:line="240" w:lineRule="auto"/>
              <w:jc w:val="right"/>
              <w:rPr>
                <w:sz w:val="16"/>
                <w:szCs w:val="22"/>
              </w:rPr>
            </w:pPr>
            <w:r>
              <w:rPr>
                <w:sz w:val="16"/>
                <w:szCs w:val="22"/>
              </w:rPr>
              <w:t>4,5</w:t>
            </w:r>
          </w:p>
        </w:tc>
        <w:tc>
          <w:tcPr>
            <w:tcW w:w="259" w:type="pct"/>
          </w:tcPr>
          <w:p w:rsidR="00000000" w:rsidRDefault="00000000">
            <w:pPr>
              <w:spacing w:before="80" w:line="240" w:lineRule="auto"/>
              <w:jc w:val="right"/>
              <w:rPr>
                <w:sz w:val="16"/>
                <w:szCs w:val="22"/>
              </w:rPr>
            </w:pPr>
            <w:r>
              <w:rPr>
                <w:sz w:val="16"/>
                <w:szCs w:val="22"/>
              </w:rPr>
              <w:t>4,5</w:t>
            </w:r>
          </w:p>
        </w:tc>
        <w:tc>
          <w:tcPr>
            <w:tcW w:w="259" w:type="pct"/>
          </w:tcPr>
          <w:p w:rsidR="00000000" w:rsidRDefault="00000000">
            <w:pPr>
              <w:spacing w:before="80" w:line="240" w:lineRule="auto"/>
              <w:jc w:val="right"/>
              <w:rPr>
                <w:sz w:val="16"/>
                <w:szCs w:val="22"/>
              </w:rPr>
            </w:pPr>
            <w:r>
              <w:rPr>
                <w:sz w:val="16"/>
                <w:szCs w:val="22"/>
              </w:rPr>
              <w:t>4,5</w:t>
            </w:r>
          </w:p>
        </w:tc>
        <w:tc>
          <w:tcPr>
            <w:tcW w:w="260" w:type="pct"/>
          </w:tcPr>
          <w:p w:rsidR="00000000" w:rsidRDefault="00000000">
            <w:pPr>
              <w:spacing w:before="80" w:line="240" w:lineRule="auto"/>
              <w:jc w:val="right"/>
              <w:rPr>
                <w:sz w:val="16"/>
                <w:szCs w:val="22"/>
              </w:rPr>
            </w:pPr>
            <w:r>
              <w:rPr>
                <w:sz w:val="16"/>
                <w:szCs w:val="22"/>
              </w:rPr>
              <w:t>4,3</w:t>
            </w:r>
          </w:p>
        </w:tc>
        <w:tc>
          <w:tcPr>
            <w:tcW w:w="259" w:type="pct"/>
          </w:tcPr>
          <w:p w:rsidR="00000000" w:rsidRDefault="00000000">
            <w:pPr>
              <w:spacing w:before="80" w:line="240" w:lineRule="auto"/>
              <w:jc w:val="right"/>
              <w:rPr>
                <w:sz w:val="16"/>
                <w:szCs w:val="22"/>
              </w:rPr>
            </w:pPr>
            <w:r>
              <w:rPr>
                <w:sz w:val="16"/>
                <w:szCs w:val="22"/>
              </w:rPr>
              <w:t>4,4</w:t>
            </w:r>
          </w:p>
        </w:tc>
        <w:tc>
          <w:tcPr>
            <w:tcW w:w="259" w:type="pct"/>
          </w:tcPr>
          <w:p w:rsidR="00000000" w:rsidRDefault="00000000">
            <w:pPr>
              <w:spacing w:before="80" w:line="240" w:lineRule="auto"/>
              <w:jc w:val="right"/>
              <w:rPr>
                <w:sz w:val="16"/>
                <w:szCs w:val="22"/>
              </w:rPr>
            </w:pPr>
            <w:r>
              <w:rPr>
                <w:sz w:val="16"/>
                <w:szCs w:val="22"/>
              </w:rPr>
              <w:t>4,1</w:t>
            </w:r>
          </w:p>
        </w:tc>
        <w:tc>
          <w:tcPr>
            <w:tcW w:w="259" w:type="pct"/>
          </w:tcPr>
          <w:p w:rsidR="00000000" w:rsidRDefault="00000000">
            <w:pPr>
              <w:spacing w:before="80" w:line="240" w:lineRule="auto"/>
              <w:jc w:val="right"/>
              <w:rPr>
                <w:sz w:val="16"/>
                <w:szCs w:val="22"/>
              </w:rPr>
            </w:pPr>
            <w:r>
              <w:rPr>
                <w:sz w:val="16"/>
                <w:szCs w:val="22"/>
              </w:rPr>
              <w:t>4,0</w:t>
            </w:r>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Хронические обструктивные легочные заболевания</w:t>
            </w:r>
            <w:r>
              <w:rPr>
                <w:b/>
                <w:bCs/>
                <w:sz w:val="16"/>
                <w:szCs w:val="22"/>
                <w:vertAlign w:val="superscript"/>
              </w:rPr>
              <w:t>с</w:t>
            </w:r>
          </w:p>
        </w:tc>
        <w:tc>
          <w:tcPr>
            <w:tcW w:w="259" w:type="pct"/>
          </w:tcPr>
          <w:p w:rsidR="00000000" w:rsidRDefault="00000000">
            <w:pPr>
              <w:spacing w:before="80" w:line="240" w:lineRule="auto"/>
              <w:jc w:val="right"/>
              <w:rPr>
                <w:sz w:val="16"/>
                <w:szCs w:val="22"/>
              </w:rPr>
            </w:pPr>
            <w:hyperlink r:id="rId30"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31"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32"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33"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34"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35"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36"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37"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38" w:history="1">
              <w:r>
                <w:rPr>
                  <w:rStyle w:val="Hyperlink"/>
                  <w:sz w:val="16"/>
                  <w:szCs w:val="22"/>
                  <w:u w:val="none"/>
                </w:rPr>
                <w:t>..</w:t>
              </w:r>
            </w:hyperlink>
          </w:p>
        </w:tc>
        <w:tc>
          <w:tcPr>
            <w:tcW w:w="260" w:type="pct"/>
          </w:tcPr>
          <w:p w:rsidR="00000000" w:rsidRDefault="00000000">
            <w:pPr>
              <w:spacing w:before="80" w:line="240" w:lineRule="auto"/>
              <w:jc w:val="right"/>
              <w:rPr>
                <w:sz w:val="16"/>
                <w:szCs w:val="22"/>
                <w:lang w:val="fr-FR"/>
              </w:rPr>
            </w:pPr>
            <w:r>
              <w:rPr>
                <w:sz w:val="16"/>
                <w:szCs w:val="22"/>
                <w:lang w:val="fr-FR"/>
              </w:rPr>
              <w:t>2.5</w:t>
            </w:r>
          </w:p>
        </w:tc>
        <w:tc>
          <w:tcPr>
            <w:tcW w:w="259" w:type="pct"/>
          </w:tcPr>
          <w:p w:rsidR="00000000" w:rsidRDefault="00000000">
            <w:pPr>
              <w:spacing w:before="80" w:line="240" w:lineRule="auto"/>
              <w:jc w:val="right"/>
              <w:rPr>
                <w:sz w:val="16"/>
                <w:szCs w:val="22"/>
                <w:lang w:val="fr-FR"/>
              </w:rPr>
            </w:pPr>
            <w:r>
              <w:rPr>
                <w:sz w:val="16"/>
                <w:szCs w:val="22"/>
                <w:lang w:val="fr-FR"/>
              </w:rPr>
              <w:t>2.5</w:t>
            </w:r>
          </w:p>
        </w:tc>
        <w:tc>
          <w:tcPr>
            <w:tcW w:w="259" w:type="pct"/>
          </w:tcPr>
          <w:p w:rsidR="00000000" w:rsidRDefault="00000000">
            <w:pPr>
              <w:spacing w:before="80" w:line="240" w:lineRule="auto"/>
              <w:jc w:val="right"/>
              <w:rPr>
                <w:sz w:val="16"/>
                <w:szCs w:val="22"/>
                <w:lang w:val="fr-FR"/>
              </w:rPr>
            </w:pPr>
            <w:r>
              <w:rPr>
                <w:sz w:val="16"/>
                <w:szCs w:val="22"/>
                <w:lang w:val="fr-FR"/>
              </w:rPr>
              <w:t>2.5</w:t>
            </w:r>
          </w:p>
        </w:tc>
        <w:tc>
          <w:tcPr>
            <w:tcW w:w="259" w:type="pct"/>
          </w:tcPr>
          <w:p w:rsidR="00000000" w:rsidRDefault="00000000">
            <w:pPr>
              <w:spacing w:before="80" w:line="240" w:lineRule="auto"/>
              <w:jc w:val="right"/>
              <w:rPr>
                <w:sz w:val="16"/>
                <w:szCs w:val="22"/>
                <w:lang w:val="fr-FR"/>
              </w:rPr>
            </w:pPr>
            <w:r>
              <w:rPr>
                <w:sz w:val="16"/>
                <w:szCs w:val="22"/>
                <w:lang w:val="fr-FR"/>
              </w:rPr>
              <w:t>2.6</w:t>
            </w:r>
          </w:p>
        </w:tc>
      </w:tr>
      <w:tr w:rsidR="00000000">
        <w:trPr>
          <w:jc w:val="center"/>
        </w:trPr>
        <w:tc>
          <w:tcPr>
            <w:tcW w:w="1630" w:type="pct"/>
          </w:tcPr>
          <w:p w:rsidR="00000000" w:rsidRDefault="00000000">
            <w:pPr>
              <w:spacing w:before="80" w:line="240" w:lineRule="auto"/>
              <w:rPr>
                <w:sz w:val="16"/>
                <w:szCs w:val="22"/>
              </w:rPr>
            </w:pPr>
            <w:r>
              <w:rPr>
                <w:sz w:val="16"/>
                <w:szCs w:val="22"/>
              </w:rPr>
              <w:t>Грипп и воспаления легких</w:t>
            </w:r>
            <w:r>
              <w:rPr>
                <w:b/>
                <w:bCs/>
                <w:sz w:val="16"/>
                <w:szCs w:val="22"/>
                <w:vertAlign w:val="superscript"/>
                <w:lang w:val="fr-FR"/>
              </w:rPr>
              <w:t>d</w:t>
            </w:r>
          </w:p>
        </w:tc>
        <w:tc>
          <w:tcPr>
            <w:tcW w:w="259" w:type="pct"/>
          </w:tcPr>
          <w:p w:rsidR="00000000" w:rsidRDefault="00000000">
            <w:pPr>
              <w:spacing w:before="80" w:line="240" w:lineRule="auto"/>
              <w:jc w:val="right"/>
              <w:rPr>
                <w:sz w:val="16"/>
                <w:szCs w:val="22"/>
              </w:rPr>
            </w:pPr>
            <w:r>
              <w:rPr>
                <w:sz w:val="16"/>
                <w:szCs w:val="22"/>
              </w:rPr>
              <w:t>5,3</w:t>
            </w:r>
          </w:p>
        </w:tc>
        <w:tc>
          <w:tcPr>
            <w:tcW w:w="259" w:type="pct"/>
          </w:tcPr>
          <w:p w:rsidR="00000000" w:rsidRDefault="00000000">
            <w:pPr>
              <w:spacing w:before="80" w:line="240" w:lineRule="auto"/>
              <w:jc w:val="right"/>
              <w:rPr>
                <w:sz w:val="16"/>
                <w:szCs w:val="22"/>
              </w:rPr>
            </w:pPr>
            <w:r>
              <w:rPr>
                <w:sz w:val="16"/>
                <w:szCs w:val="22"/>
              </w:rPr>
              <w:t>4,7</w:t>
            </w:r>
          </w:p>
        </w:tc>
        <w:tc>
          <w:tcPr>
            <w:tcW w:w="259" w:type="pct"/>
          </w:tcPr>
          <w:p w:rsidR="00000000" w:rsidRDefault="00000000">
            <w:pPr>
              <w:spacing w:before="80" w:line="240" w:lineRule="auto"/>
              <w:jc w:val="right"/>
              <w:rPr>
                <w:sz w:val="16"/>
                <w:szCs w:val="22"/>
              </w:rPr>
            </w:pPr>
            <w:r>
              <w:rPr>
                <w:sz w:val="16"/>
                <w:szCs w:val="22"/>
              </w:rPr>
              <w:t>4,6</w:t>
            </w:r>
          </w:p>
        </w:tc>
        <w:tc>
          <w:tcPr>
            <w:tcW w:w="260" w:type="pct"/>
          </w:tcPr>
          <w:p w:rsidR="00000000" w:rsidRDefault="00000000">
            <w:pPr>
              <w:spacing w:before="80" w:line="240" w:lineRule="auto"/>
              <w:jc w:val="right"/>
              <w:rPr>
                <w:sz w:val="16"/>
                <w:szCs w:val="22"/>
              </w:rPr>
            </w:pPr>
            <w:r>
              <w:rPr>
                <w:sz w:val="16"/>
                <w:szCs w:val="22"/>
              </w:rPr>
              <w:t>4,5</w:t>
            </w:r>
          </w:p>
        </w:tc>
        <w:tc>
          <w:tcPr>
            <w:tcW w:w="259" w:type="pct"/>
          </w:tcPr>
          <w:p w:rsidR="00000000" w:rsidRDefault="00000000">
            <w:pPr>
              <w:spacing w:before="80" w:line="240" w:lineRule="auto"/>
              <w:jc w:val="right"/>
              <w:rPr>
                <w:sz w:val="16"/>
                <w:szCs w:val="22"/>
              </w:rPr>
            </w:pPr>
            <w:r>
              <w:rPr>
                <w:sz w:val="16"/>
                <w:szCs w:val="22"/>
              </w:rPr>
              <w:t>4,6</w:t>
            </w:r>
          </w:p>
        </w:tc>
        <w:tc>
          <w:tcPr>
            <w:tcW w:w="259" w:type="pct"/>
          </w:tcPr>
          <w:p w:rsidR="00000000" w:rsidRDefault="00000000">
            <w:pPr>
              <w:spacing w:before="80" w:line="240" w:lineRule="auto"/>
              <w:jc w:val="right"/>
              <w:rPr>
                <w:sz w:val="16"/>
                <w:szCs w:val="22"/>
              </w:rPr>
            </w:pPr>
            <w:r>
              <w:rPr>
                <w:sz w:val="16"/>
                <w:szCs w:val="22"/>
              </w:rPr>
              <w:t>4,6</w:t>
            </w:r>
          </w:p>
        </w:tc>
        <w:tc>
          <w:tcPr>
            <w:tcW w:w="260" w:type="pct"/>
          </w:tcPr>
          <w:p w:rsidR="00000000" w:rsidRDefault="00000000">
            <w:pPr>
              <w:spacing w:before="80" w:line="240" w:lineRule="auto"/>
              <w:jc w:val="right"/>
              <w:rPr>
                <w:sz w:val="16"/>
                <w:szCs w:val="22"/>
              </w:rPr>
            </w:pPr>
            <w:r>
              <w:rPr>
                <w:sz w:val="16"/>
                <w:szCs w:val="22"/>
              </w:rPr>
              <w:t>4,7</w:t>
            </w:r>
          </w:p>
        </w:tc>
        <w:tc>
          <w:tcPr>
            <w:tcW w:w="259" w:type="pct"/>
          </w:tcPr>
          <w:p w:rsidR="00000000" w:rsidRDefault="00000000">
            <w:pPr>
              <w:spacing w:before="80" w:line="240" w:lineRule="auto"/>
              <w:jc w:val="right"/>
              <w:rPr>
                <w:sz w:val="16"/>
                <w:szCs w:val="22"/>
              </w:rPr>
            </w:pPr>
            <w:r>
              <w:rPr>
                <w:sz w:val="16"/>
                <w:szCs w:val="22"/>
              </w:rPr>
              <w:t>4,5</w:t>
            </w:r>
          </w:p>
        </w:tc>
        <w:tc>
          <w:tcPr>
            <w:tcW w:w="259" w:type="pct"/>
          </w:tcPr>
          <w:p w:rsidR="00000000" w:rsidRDefault="00000000">
            <w:pPr>
              <w:spacing w:before="80" w:line="240" w:lineRule="auto"/>
              <w:jc w:val="right"/>
              <w:rPr>
                <w:sz w:val="16"/>
                <w:szCs w:val="22"/>
              </w:rPr>
            </w:pPr>
            <w:r>
              <w:rPr>
                <w:sz w:val="16"/>
                <w:szCs w:val="22"/>
              </w:rPr>
              <w:t>3,4</w:t>
            </w:r>
          </w:p>
        </w:tc>
        <w:tc>
          <w:tcPr>
            <w:tcW w:w="260" w:type="pct"/>
          </w:tcPr>
          <w:p w:rsidR="00000000" w:rsidRDefault="00000000">
            <w:pPr>
              <w:spacing w:before="80" w:line="240" w:lineRule="auto"/>
              <w:jc w:val="right"/>
              <w:rPr>
                <w:sz w:val="16"/>
                <w:szCs w:val="22"/>
              </w:rPr>
            </w:pPr>
            <w:r>
              <w:rPr>
                <w:sz w:val="16"/>
                <w:szCs w:val="22"/>
              </w:rPr>
              <w:t>3,2</w:t>
            </w:r>
          </w:p>
        </w:tc>
        <w:tc>
          <w:tcPr>
            <w:tcW w:w="259" w:type="pct"/>
          </w:tcPr>
          <w:p w:rsidR="00000000" w:rsidRDefault="00000000">
            <w:pPr>
              <w:spacing w:before="80" w:line="240" w:lineRule="auto"/>
              <w:jc w:val="right"/>
              <w:rPr>
                <w:sz w:val="16"/>
                <w:szCs w:val="22"/>
              </w:rPr>
            </w:pPr>
            <w:r>
              <w:rPr>
                <w:sz w:val="16"/>
                <w:szCs w:val="22"/>
              </w:rPr>
              <w:t>2,8</w:t>
            </w:r>
          </w:p>
        </w:tc>
        <w:tc>
          <w:tcPr>
            <w:tcW w:w="259" w:type="pct"/>
          </w:tcPr>
          <w:p w:rsidR="00000000" w:rsidRDefault="00000000">
            <w:pPr>
              <w:spacing w:before="80" w:line="240" w:lineRule="auto"/>
              <w:jc w:val="right"/>
              <w:rPr>
                <w:sz w:val="16"/>
                <w:szCs w:val="22"/>
              </w:rPr>
            </w:pPr>
            <w:r>
              <w:rPr>
                <w:sz w:val="16"/>
                <w:szCs w:val="22"/>
              </w:rPr>
              <w:t>2,6</w:t>
            </w:r>
          </w:p>
        </w:tc>
        <w:tc>
          <w:tcPr>
            <w:tcW w:w="259" w:type="pct"/>
          </w:tcPr>
          <w:p w:rsidR="00000000" w:rsidRDefault="00000000">
            <w:pPr>
              <w:spacing w:before="80" w:line="240" w:lineRule="auto"/>
              <w:jc w:val="right"/>
              <w:rPr>
                <w:sz w:val="16"/>
                <w:szCs w:val="22"/>
              </w:rPr>
            </w:pPr>
            <w:r>
              <w:rPr>
                <w:sz w:val="16"/>
                <w:szCs w:val="22"/>
              </w:rPr>
              <w:t>2,5</w:t>
            </w:r>
          </w:p>
        </w:tc>
      </w:tr>
      <w:tr w:rsidR="00000000">
        <w:trPr>
          <w:jc w:val="center"/>
        </w:trPr>
        <w:tc>
          <w:tcPr>
            <w:tcW w:w="1630" w:type="pct"/>
          </w:tcPr>
          <w:p w:rsidR="00000000" w:rsidRDefault="00000000">
            <w:pPr>
              <w:spacing w:before="80" w:line="240" w:lineRule="auto"/>
              <w:rPr>
                <w:sz w:val="16"/>
                <w:szCs w:val="22"/>
              </w:rPr>
            </w:pPr>
            <w:r>
              <w:rPr>
                <w:sz w:val="16"/>
                <w:szCs w:val="22"/>
              </w:rPr>
              <w:t>Телесные повреждения (убийства)</w:t>
            </w:r>
            <w:r>
              <w:rPr>
                <w:b/>
                <w:bCs/>
                <w:sz w:val="16"/>
                <w:szCs w:val="22"/>
                <w:vertAlign w:val="superscript"/>
              </w:rPr>
              <w:t>е</w:t>
            </w:r>
            <w:r>
              <w:rPr>
                <w:sz w:val="16"/>
                <w:szCs w:val="22"/>
              </w:rPr>
              <w:t xml:space="preserve"> </w:t>
            </w:r>
          </w:p>
        </w:tc>
        <w:tc>
          <w:tcPr>
            <w:tcW w:w="259" w:type="pct"/>
          </w:tcPr>
          <w:p w:rsidR="00000000" w:rsidRDefault="00000000">
            <w:pPr>
              <w:spacing w:before="80" w:line="240" w:lineRule="auto"/>
              <w:jc w:val="right"/>
              <w:rPr>
                <w:sz w:val="16"/>
                <w:szCs w:val="22"/>
                <w:lang w:val="fr-FR"/>
              </w:rPr>
            </w:pPr>
            <w:r>
              <w:rPr>
                <w:sz w:val="16"/>
                <w:szCs w:val="22"/>
                <w:lang w:val="fr-FR"/>
              </w:rPr>
              <w:t>3,4</w:t>
            </w:r>
          </w:p>
        </w:tc>
        <w:tc>
          <w:tcPr>
            <w:tcW w:w="259" w:type="pct"/>
          </w:tcPr>
          <w:p w:rsidR="00000000" w:rsidRDefault="00000000">
            <w:pPr>
              <w:spacing w:before="80" w:line="240" w:lineRule="auto"/>
              <w:jc w:val="right"/>
              <w:rPr>
                <w:sz w:val="16"/>
                <w:szCs w:val="22"/>
              </w:rPr>
            </w:pPr>
            <w:r>
              <w:rPr>
                <w:sz w:val="16"/>
                <w:szCs w:val="22"/>
              </w:rPr>
              <w:t>3,7</w:t>
            </w:r>
          </w:p>
        </w:tc>
        <w:tc>
          <w:tcPr>
            <w:tcW w:w="259" w:type="pct"/>
          </w:tcPr>
          <w:p w:rsidR="00000000" w:rsidRDefault="00000000">
            <w:pPr>
              <w:spacing w:before="80" w:line="240" w:lineRule="auto"/>
              <w:jc w:val="right"/>
              <w:rPr>
                <w:sz w:val="16"/>
                <w:szCs w:val="22"/>
              </w:rPr>
            </w:pPr>
            <w:r>
              <w:rPr>
                <w:sz w:val="16"/>
                <w:szCs w:val="22"/>
              </w:rPr>
              <w:t>4,0</w:t>
            </w:r>
          </w:p>
        </w:tc>
        <w:tc>
          <w:tcPr>
            <w:tcW w:w="260" w:type="pct"/>
          </w:tcPr>
          <w:p w:rsidR="00000000" w:rsidRDefault="00000000">
            <w:pPr>
              <w:spacing w:before="80" w:line="240" w:lineRule="auto"/>
              <w:jc w:val="right"/>
              <w:rPr>
                <w:sz w:val="16"/>
                <w:szCs w:val="22"/>
              </w:rPr>
            </w:pPr>
            <w:r>
              <w:rPr>
                <w:sz w:val="16"/>
                <w:szCs w:val="22"/>
              </w:rPr>
              <w:t>3,9</w:t>
            </w:r>
          </w:p>
        </w:tc>
        <w:tc>
          <w:tcPr>
            <w:tcW w:w="259" w:type="pct"/>
          </w:tcPr>
          <w:p w:rsidR="00000000" w:rsidRDefault="00000000">
            <w:pPr>
              <w:spacing w:before="80" w:line="240" w:lineRule="auto"/>
              <w:jc w:val="right"/>
              <w:rPr>
                <w:sz w:val="16"/>
                <w:szCs w:val="22"/>
              </w:rPr>
            </w:pPr>
            <w:r>
              <w:rPr>
                <w:sz w:val="16"/>
                <w:szCs w:val="22"/>
              </w:rPr>
              <w:t>3,8</w:t>
            </w:r>
          </w:p>
        </w:tc>
        <w:tc>
          <w:tcPr>
            <w:tcW w:w="259" w:type="pct"/>
          </w:tcPr>
          <w:p w:rsidR="00000000" w:rsidRDefault="00000000">
            <w:pPr>
              <w:spacing w:before="80" w:line="240" w:lineRule="auto"/>
              <w:jc w:val="right"/>
              <w:rPr>
                <w:sz w:val="16"/>
                <w:szCs w:val="22"/>
              </w:rPr>
            </w:pPr>
            <w:r>
              <w:rPr>
                <w:sz w:val="16"/>
                <w:szCs w:val="22"/>
              </w:rPr>
              <w:t>3,6</w:t>
            </w:r>
          </w:p>
        </w:tc>
        <w:tc>
          <w:tcPr>
            <w:tcW w:w="260" w:type="pct"/>
          </w:tcPr>
          <w:p w:rsidR="00000000" w:rsidRDefault="00000000">
            <w:pPr>
              <w:spacing w:before="80" w:line="240" w:lineRule="auto"/>
              <w:jc w:val="right"/>
              <w:rPr>
                <w:sz w:val="16"/>
                <w:szCs w:val="22"/>
              </w:rPr>
            </w:pPr>
            <w:r>
              <w:rPr>
                <w:sz w:val="16"/>
                <w:szCs w:val="22"/>
              </w:rPr>
              <w:t>3,3</w:t>
            </w:r>
          </w:p>
        </w:tc>
        <w:tc>
          <w:tcPr>
            <w:tcW w:w="259" w:type="pct"/>
          </w:tcPr>
          <w:p w:rsidR="00000000" w:rsidRDefault="00000000">
            <w:pPr>
              <w:spacing w:before="80" w:line="240" w:lineRule="auto"/>
              <w:jc w:val="right"/>
              <w:rPr>
                <w:sz w:val="16"/>
                <w:szCs w:val="22"/>
              </w:rPr>
            </w:pPr>
            <w:r>
              <w:rPr>
                <w:sz w:val="16"/>
                <w:szCs w:val="22"/>
              </w:rPr>
              <w:t>3,1</w:t>
            </w:r>
          </w:p>
        </w:tc>
        <w:tc>
          <w:tcPr>
            <w:tcW w:w="259" w:type="pct"/>
          </w:tcPr>
          <w:p w:rsidR="00000000" w:rsidRDefault="00000000">
            <w:pPr>
              <w:spacing w:before="80" w:line="240" w:lineRule="auto"/>
              <w:jc w:val="right"/>
              <w:rPr>
                <w:sz w:val="16"/>
                <w:szCs w:val="22"/>
              </w:rPr>
            </w:pPr>
            <w:r>
              <w:rPr>
                <w:sz w:val="16"/>
                <w:szCs w:val="22"/>
              </w:rPr>
              <w:t>3,1</w:t>
            </w:r>
          </w:p>
        </w:tc>
        <w:tc>
          <w:tcPr>
            <w:tcW w:w="260" w:type="pct"/>
          </w:tcPr>
          <w:p w:rsidR="00000000" w:rsidRDefault="00000000">
            <w:pPr>
              <w:spacing w:before="80" w:line="240" w:lineRule="auto"/>
              <w:jc w:val="right"/>
              <w:rPr>
                <w:sz w:val="16"/>
                <w:szCs w:val="22"/>
              </w:rPr>
            </w:pPr>
            <w:r>
              <w:rPr>
                <w:sz w:val="16"/>
                <w:szCs w:val="22"/>
              </w:rPr>
              <w:t>2,8</w:t>
            </w:r>
          </w:p>
        </w:tc>
        <w:tc>
          <w:tcPr>
            <w:tcW w:w="259" w:type="pct"/>
          </w:tcPr>
          <w:p w:rsidR="00000000" w:rsidRDefault="00000000">
            <w:pPr>
              <w:spacing w:before="80" w:line="240" w:lineRule="auto"/>
              <w:jc w:val="right"/>
              <w:rPr>
                <w:sz w:val="16"/>
                <w:szCs w:val="22"/>
              </w:rPr>
            </w:pPr>
            <w:r>
              <w:rPr>
                <w:sz w:val="16"/>
                <w:szCs w:val="22"/>
              </w:rPr>
              <w:t>2,5</w:t>
            </w:r>
          </w:p>
        </w:tc>
        <w:tc>
          <w:tcPr>
            <w:tcW w:w="259" w:type="pct"/>
          </w:tcPr>
          <w:p w:rsidR="00000000" w:rsidRDefault="00000000">
            <w:pPr>
              <w:spacing w:before="80" w:line="240" w:lineRule="auto"/>
              <w:jc w:val="right"/>
              <w:rPr>
                <w:sz w:val="16"/>
                <w:szCs w:val="22"/>
              </w:rPr>
            </w:pPr>
            <w:r>
              <w:rPr>
                <w:sz w:val="16"/>
                <w:szCs w:val="22"/>
              </w:rPr>
              <w:t>2,3</w:t>
            </w:r>
          </w:p>
        </w:tc>
        <w:tc>
          <w:tcPr>
            <w:tcW w:w="259" w:type="pct"/>
          </w:tcPr>
          <w:p w:rsidR="00000000" w:rsidRDefault="00000000">
            <w:pPr>
              <w:spacing w:before="80" w:line="240" w:lineRule="auto"/>
              <w:jc w:val="right"/>
              <w:rPr>
                <w:sz w:val="16"/>
                <w:szCs w:val="22"/>
              </w:rPr>
            </w:pPr>
            <w:r>
              <w:rPr>
                <w:sz w:val="16"/>
                <w:szCs w:val="22"/>
              </w:rPr>
              <w:t>2,2</w:t>
            </w:r>
          </w:p>
        </w:tc>
      </w:tr>
      <w:tr w:rsidR="00000000">
        <w:trPr>
          <w:jc w:val="center"/>
        </w:trPr>
        <w:tc>
          <w:tcPr>
            <w:tcW w:w="1630" w:type="pct"/>
          </w:tcPr>
          <w:p w:rsidR="00000000" w:rsidRDefault="00000000">
            <w:pPr>
              <w:spacing w:before="80" w:line="240" w:lineRule="auto"/>
              <w:rPr>
                <w:sz w:val="16"/>
                <w:szCs w:val="22"/>
              </w:rPr>
            </w:pPr>
            <w:r>
              <w:rPr>
                <w:sz w:val="16"/>
                <w:szCs w:val="22"/>
              </w:rPr>
              <w:t>Желудочно-кишечные инфекции</w:t>
            </w:r>
          </w:p>
        </w:tc>
        <w:tc>
          <w:tcPr>
            <w:tcW w:w="259" w:type="pct"/>
          </w:tcPr>
          <w:p w:rsidR="00000000" w:rsidRDefault="00000000">
            <w:pPr>
              <w:spacing w:before="80" w:line="240" w:lineRule="auto"/>
              <w:jc w:val="right"/>
              <w:rPr>
                <w:sz w:val="16"/>
                <w:szCs w:val="22"/>
                <w:lang w:val="fr-FR"/>
              </w:rPr>
            </w:pPr>
            <w:r>
              <w:rPr>
                <w:sz w:val="16"/>
                <w:szCs w:val="22"/>
                <w:lang w:val="fr-FR"/>
              </w:rPr>
              <w:t>5,2</w:t>
            </w:r>
          </w:p>
        </w:tc>
        <w:tc>
          <w:tcPr>
            <w:tcW w:w="259" w:type="pct"/>
          </w:tcPr>
          <w:p w:rsidR="00000000" w:rsidRDefault="00000000">
            <w:pPr>
              <w:spacing w:before="80" w:line="240" w:lineRule="auto"/>
              <w:jc w:val="right"/>
              <w:rPr>
                <w:sz w:val="16"/>
                <w:szCs w:val="22"/>
                <w:lang w:val="fr-FR"/>
              </w:rPr>
            </w:pPr>
            <w:r>
              <w:rPr>
                <w:sz w:val="16"/>
                <w:szCs w:val="22"/>
                <w:lang w:val="fr-FR"/>
              </w:rPr>
              <w:t>4,6</w:t>
            </w:r>
          </w:p>
        </w:tc>
        <w:tc>
          <w:tcPr>
            <w:tcW w:w="259" w:type="pct"/>
          </w:tcPr>
          <w:p w:rsidR="00000000" w:rsidRDefault="00000000">
            <w:pPr>
              <w:spacing w:before="80" w:line="240" w:lineRule="auto"/>
              <w:jc w:val="right"/>
              <w:rPr>
                <w:sz w:val="16"/>
                <w:szCs w:val="22"/>
                <w:lang w:val="fr-FR"/>
              </w:rPr>
            </w:pPr>
            <w:r>
              <w:rPr>
                <w:sz w:val="16"/>
                <w:szCs w:val="22"/>
                <w:lang w:val="fr-FR"/>
              </w:rPr>
              <w:t>3,5</w:t>
            </w:r>
          </w:p>
        </w:tc>
        <w:tc>
          <w:tcPr>
            <w:tcW w:w="260" w:type="pct"/>
          </w:tcPr>
          <w:p w:rsidR="00000000" w:rsidRDefault="00000000">
            <w:pPr>
              <w:spacing w:before="80" w:line="240" w:lineRule="auto"/>
              <w:jc w:val="right"/>
              <w:rPr>
                <w:sz w:val="16"/>
                <w:szCs w:val="22"/>
                <w:lang w:val="fr-FR"/>
              </w:rPr>
            </w:pPr>
            <w:r>
              <w:rPr>
                <w:sz w:val="16"/>
                <w:szCs w:val="22"/>
                <w:lang w:val="fr-FR"/>
              </w:rPr>
              <w:t>3,2</w:t>
            </w:r>
          </w:p>
        </w:tc>
        <w:tc>
          <w:tcPr>
            <w:tcW w:w="259" w:type="pct"/>
          </w:tcPr>
          <w:p w:rsidR="00000000" w:rsidRDefault="00000000">
            <w:pPr>
              <w:spacing w:before="80" w:line="240" w:lineRule="auto"/>
              <w:jc w:val="right"/>
              <w:rPr>
                <w:sz w:val="16"/>
                <w:szCs w:val="22"/>
                <w:lang w:val="fr-FR"/>
              </w:rPr>
            </w:pPr>
            <w:r>
              <w:rPr>
                <w:sz w:val="16"/>
                <w:szCs w:val="22"/>
                <w:lang w:val="fr-FR"/>
              </w:rPr>
              <w:t>2,4</w:t>
            </w:r>
          </w:p>
        </w:tc>
        <w:tc>
          <w:tcPr>
            <w:tcW w:w="259" w:type="pct"/>
          </w:tcPr>
          <w:p w:rsidR="00000000" w:rsidRDefault="00000000">
            <w:pPr>
              <w:spacing w:before="80" w:line="240" w:lineRule="auto"/>
              <w:jc w:val="right"/>
              <w:rPr>
                <w:sz w:val="16"/>
                <w:szCs w:val="22"/>
                <w:lang w:val="fr-FR"/>
              </w:rPr>
            </w:pPr>
            <w:hyperlink r:id="rId39" w:history="1">
              <w:r>
                <w:rPr>
                  <w:rStyle w:val="Hyperlink"/>
                  <w:sz w:val="16"/>
                  <w:szCs w:val="22"/>
                  <w:u w:val="none"/>
                  <w:lang w:val="fr-FR"/>
                </w:rPr>
                <w:t>..</w:t>
              </w:r>
            </w:hyperlink>
          </w:p>
        </w:tc>
        <w:tc>
          <w:tcPr>
            <w:tcW w:w="260" w:type="pct"/>
          </w:tcPr>
          <w:p w:rsidR="00000000" w:rsidRDefault="00000000">
            <w:pPr>
              <w:spacing w:before="80" w:line="240" w:lineRule="auto"/>
              <w:jc w:val="right"/>
              <w:rPr>
                <w:sz w:val="16"/>
                <w:szCs w:val="22"/>
                <w:lang w:val="fr-FR"/>
              </w:rPr>
            </w:pPr>
            <w:hyperlink r:id="rId40"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41"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42" w:history="1">
              <w:r>
                <w:rPr>
                  <w:rStyle w:val="Hyperlink"/>
                  <w:sz w:val="16"/>
                  <w:szCs w:val="22"/>
                  <w:u w:val="none"/>
                  <w:lang w:val="fr-FR"/>
                </w:rPr>
                <w:t>..</w:t>
              </w:r>
            </w:hyperlink>
          </w:p>
        </w:tc>
        <w:tc>
          <w:tcPr>
            <w:tcW w:w="260" w:type="pct"/>
          </w:tcPr>
          <w:p w:rsidR="00000000" w:rsidRDefault="00000000">
            <w:pPr>
              <w:spacing w:before="80" w:line="240" w:lineRule="auto"/>
              <w:jc w:val="right"/>
              <w:rPr>
                <w:sz w:val="16"/>
                <w:szCs w:val="22"/>
                <w:lang w:val="fr-FR"/>
              </w:rPr>
            </w:pPr>
            <w:hyperlink r:id="rId43"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44"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45"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46" w:history="1">
              <w:r>
                <w:rPr>
                  <w:rStyle w:val="Hyperlink"/>
                  <w:sz w:val="16"/>
                  <w:szCs w:val="22"/>
                  <w:u w:val="none"/>
                  <w:lang w:val="fr-FR"/>
                </w:rPr>
                <w:t>..</w:t>
              </w:r>
            </w:hyperlink>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Недоедание и другие расстройства питания</w:t>
            </w:r>
            <w:r>
              <w:rPr>
                <w:b/>
                <w:bCs/>
                <w:sz w:val="16"/>
                <w:szCs w:val="22"/>
                <w:vertAlign w:val="superscript"/>
                <w:lang w:val="fr-FR"/>
              </w:rPr>
              <w:t>f</w:t>
            </w:r>
          </w:p>
        </w:tc>
        <w:tc>
          <w:tcPr>
            <w:tcW w:w="259" w:type="pct"/>
          </w:tcPr>
          <w:p w:rsidR="00000000" w:rsidRDefault="00000000">
            <w:pPr>
              <w:spacing w:before="80" w:line="240" w:lineRule="auto"/>
              <w:jc w:val="right"/>
              <w:rPr>
                <w:sz w:val="16"/>
                <w:szCs w:val="22"/>
                <w:lang w:val="fr-FR"/>
              </w:rPr>
            </w:pPr>
            <w:hyperlink r:id="rId47"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48"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49" w:history="1">
              <w:r>
                <w:rPr>
                  <w:rStyle w:val="Hyperlink"/>
                  <w:sz w:val="16"/>
                  <w:szCs w:val="22"/>
                  <w:u w:val="none"/>
                  <w:lang w:val="fr-FR"/>
                </w:rPr>
                <w:t>..</w:t>
              </w:r>
            </w:hyperlink>
          </w:p>
        </w:tc>
        <w:tc>
          <w:tcPr>
            <w:tcW w:w="260" w:type="pct"/>
          </w:tcPr>
          <w:p w:rsidR="00000000" w:rsidRDefault="00000000">
            <w:pPr>
              <w:spacing w:before="80" w:line="240" w:lineRule="auto"/>
              <w:jc w:val="right"/>
              <w:rPr>
                <w:sz w:val="16"/>
                <w:szCs w:val="22"/>
                <w:lang w:val="fr-FR"/>
              </w:rPr>
            </w:pPr>
            <w:hyperlink r:id="rId50"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51"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r>
              <w:rPr>
                <w:sz w:val="16"/>
                <w:szCs w:val="22"/>
                <w:lang w:val="fr-FR"/>
              </w:rPr>
              <w:t>2,4</w:t>
            </w:r>
          </w:p>
        </w:tc>
        <w:tc>
          <w:tcPr>
            <w:tcW w:w="260" w:type="pct"/>
          </w:tcPr>
          <w:p w:rsidR="00000000" w:rsidRDefault="00000000">
            <w:pPr>
              <w:spacing w:before="80" w:line="240" w:lineRule="auto"/>
              <w:jc w:val="right"/>
              <w:rPr>
                <w:sz w:val="16"/>
                <w:szCs w:val="22"/>
                <w:lang w:val="fr-FR"/>
              </w:rPr>
            </w:pPr>
            <w:hyperlink r:id="rId52"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53"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r>
              <w:rPr>
                <w:sz w:val="16"/>
                <w:szCs w:val="22"/>
                <w:lang w:val="fr-FR"/>
              </w:rPr>
              <w:t>2,4</w:t>
            </w:r>
          </w:p>
        </w:tc>
        <w:tc>
          <w:tcPr>
            <w:tcW w:w="260" w:type="pct"/>
          </w:tcPr>
          <w:p w:rsidR="00000000" w:rsidRDefault="00000000">
            <w:pPr>
              <w:spacing w:before="80" w:line="240" w:lineRule="auto"/>
              <w:jc w:val="right"/>
              <w:rPr>
                <w:sz w:val="16"/>
                <w:szCs w:val="22"/>
                <w:lang w:val="fr-FR"/>
              </w:rPr>
            </w:pPr>
            <w:hyperlink r:id="rId54"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55"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56"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57" w:history="1">
              <w:r>
                <w:rPr>
                  <w:rStyle w:val="Hyperlink"/>
                  <w:sz w:val="16"/>
                  <w:szCs w:val="22"/>
                  <w:u w:val="none"/>
                  <w:lang w:val="fr-FR"/>
                </w:rPr>
                <w:t>..</w:t>
              </w:r>
            </w:hyperlink>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Острый почечный синдром и быстро прогрессирующий почечный синдром</w:t>
            </w:r>
            <w:r>
              <w:rPr>
                <w:b/>
                <w:bCs/>
                <w:sz w:val="16"/>
                <w:szCs w:val="22"/>
                <w:vertAlign w:val="superscript"/>
                <w:lang w:val="en-US"/>
              </w:rPr>
              <w:t>g</w:t>
            </w:r>
          </w:p>
        </w:tc>
        <w:tc>
          <w:tcPr>
            <w:tcW w:w="259" w:type="pct"/>
          </w:tcPr>
          <w:p w:rsidR="00000000" w:rsidRDefault="00000000">
            <w:pPr>
              <w:spacing w:before="80" w:line="240" w:lineRule="auto"/>
              <w:jc w:val="right"/>
              <w:rPr>
                <w:sz w:val="16"/>
                <w:szCs w:val="22"/>
              </w:rPr>
            </w:pPr>
            <w:hyperlink r:id="rId58" w:history="1">
              <w:r>
                <w:rPr>
                  <w:rStyle w:val="Hyperlink"/>
                  <w:sz w:val="16"/>
                  <w:szCs w:val="22"/>
                  <w:u w:val="none"/>
                </w:rPr>
                <w:t>..</w:t>
              </w:r>
            </w:hyperlink>
          </w:p>
        </w:tc>
        <w:tc>
          <w:tcPr>
            <w:tcW w:w="259" w:type="pct"/>
          </w:tcPr>
          <w:p w:rsidR="00000000" w:rsidRDefault="00000000">
            <w:pPr>
              <w:spacing w:before="80" w:line="240" w:lineRule="auto"/>
              <w:jc w:val="right"/>
              <w:rPr>
                <w:sz w:val="16"/>
                <w:szCs w:val="22"/>
                <w:lang w:val="fr-FR"/>
              </w:rPr>
            </w:pPr>
            <w:hyperlink r:id="rId59"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60" w:history="1">
              <w:r>
                <w:rPr>
                  <w:rStyle w:val="Hyperlink"/>
                  <w:sz w:val="16"/>
                  <w:szCs w:val="22"/>
                  <w:u w:val="none"/>
                  <w:lang w:val="fr-FR"/>
                </w:rPr>
                <w:t>..</w:t>
              </w:r>
            </w:hyperlink>
          </w:p>
        </w:tc>
        <w:tc>
          <w:tcPr>
            <w:tcW w:w="260" w:type="pct"/>
          </w:tcPr>
          <w:p w:rsidR="00000000" w:rsidRDefault="00000000">
            <w:pPr>
              <w:spacing w:before="80" w:line="240" w:lineRule="auto"/>
              <w:jc w:val="right"/>
              <w:rPr>
                <w:sz w:val="16"/>
                <w:szCs w:val="22"/>
                <w:lang w:val="fr-FR"/>
              </w:rPr>
            </w:pPr>
            <w:hyperlink r:id="rId61"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62"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63" w:history="1">
              <w:r>
                <w:rPr>
                  <w:rStyle w:val="Hyperlink"/>
                  <w:sz w:val="16"/>
                  <w:szCs w:val="22"/>
                  <w:u w:val="none"/>
                  <w:lang w:val="fr-FR"/>
                </w:rPr>
                <w:t>..</w:t>
              </w:r>
            </w:hyperlink>
          </w:p>
        </w:tc>
        <w:tc>
          <w:tcPr>
            <w:tcW w:w="260" w:type="pct"/>
          </w:tcPr>
          <w:p w:rsidR="00000000" w:rsidRDefault="00000000">
            <w:pPr>
              <w:spacing w:before="80" w:line="240" w:lineRule="auto"/>
              <w:jc w:val="right"/>
              <w:rPr>
                <w:sz w:val="16"/>
                <w:szCs w:val="22"/>
                <w:lang w:val="fr-FR"/>
              </w:rPr>
            </w:pPr>
            <w:r>
              <w:rPr>
                <w:sz w:val="16"/>
                <w:szCs w:val="22"/>
                <w:lang w:val="fr-FR"/>
              </w:rPr>
              <w:t>2,4</w:t>
            </w:r>
          </w:p>
        </w:tc>
        <w:tc>
          <w:tcPr>
            <w:tcW w:w="259" w:type="pct"/>
          </w:tcPr>
          <w:p w:rsidR="00000000" w:rsidRDefault="00000000">
            <w:pPr>
              <w:spacing w:before="80" w:line="240" w:lineRule="auto"/>
              <w:jc w:val="right"/>
              <w:rPr>
                <w:sz w:val="16"/>
                <w:szCs w:val="22"/>
                <w:lang w:val="fr-FR"/>
              </w:rPr>
            </w:pPr>
            <w:r>
              <w:rPr>
                <w:sz w:val="16"/>
                <w:szCs w:val="22"/>
                <w:lang w:val="fr-FR"/>
              </w:rPr>
              <w:t>2,3</w:t>
            </w:r>
          </w:p>
        </w:tc>
        <w:tc>
          <w:tcPr>
            <w:tcW w:w="259" w:type="pct"/>
          </w:tcPr>
          <w:p w:rsidR="00000000" w:rsidRDefault="00000000">
            <w:pPr>
              <w:spacing w:before="80" w:line="240" w:lineRule="auto"/>
              <w:jc w:val="right"/>
              <w:rPr>
                <w:sz w:val="16"/>
                <w:szCs w:val="22"/>
                <w:lang w:val="fr-FR"/>
              </w:rPr>
            </w:pPr>
            <w:hyperlink r:id="rId64" w:history="1">
              <w:r>
                <w:rPr>
                  <w:rStyle w:val="Hyperlink"/>
                  <w:sz w:val="16"/>
                  <w:szCs w:val="22"/>
                  <w:u w:val="none"/>
                  <w:lang w:val="fr-FR"/>
                </w:rPr>
                <w:t>..</w:t>
              </w:r>
            </w:hyperlink>
          </w:p>
        </w:tc>
        <w:tc>
          <w:tcPr>
            <w:tcW w:w="260" w:type="pct"/>
          </w:tcPr>
          <w:p w:rsidR="00000000" w:rsidRDefault="00000000">
            <w:pPr>
              <w:spacing w:before="80" w:line="240" w:lineRule="auto"/>
              <w:jc w:val="right"/>
              <w:rPr>
                <w:sz w:val="16"/>
                <w:szCs w:val="22"/>
                <w:lang w:val="fr-FR"/>
              </w:rPr>
            </w:pPr>
            <w:hyperlink r:id="rId65"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66"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67"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68" w:history="1">
              <w:r>
                <w:rPr>
                  <w:rStyle w:val="Hyperlink"/>
                  <w:sz w:val="16"/>
                  <w:szCs w:val="22"/>
                  <w:u w:val="none"/>
                  <w:lang w:val="fr-FR"/>
                </w:rPr>
                <w:t>..</w:t>
              </w:r>
            </w:hyperlink>
          </w:p>
        </w:tc>
      </w:tr>
      <w:tr w:rsidR="00000000">
        <w:trPr>
          <w:jc w:val="center"/>
        </w:trPr>
        <w:tc>
          <w:tcPr>
            <w:tcW w:w="1630" w:type="pct"/>
          </w:tcPr>
          <w:p w:rsidR="00000000" w:rsidRDefault="00000000">
            <w:pPr>
              <w:spacing w:before="80" w:line="240" w:lineRule="auto"/>
              <w:rPr>
                <w:sz w:val="16"/>
                <w:szCs w:val="22"/>
                <w:lang w:val="en-US"/>
              </w:rPr>
            </w:pPr>
            <w:r>
              <w:rPr>
                <w:sz w:val="16"/>
                <w:szCs w:val="22"/>
              </w:rPr>
              <w:t>Другие причины</w:t>
            </w:r>
          </w:p>
        </w:tc>
        <w:tc>
          <w:tcPr>
            <w:tcW w:w="259" w:type="pct"/>
          </w:tcPr>
          <w:p w:rsidR="00000000" w:rsidRDefault="00000000">
            <w:pPr>
              <w:spacing w:before="80" w:line="240" w:lineRule="auto"/>
              <w:jc w:val="right"/>
              <w:rPr>
                <w:sz w:val="16"/>
                <w:szCs w:val="22"/>
                <w:lang w:val="en-US"/>
              </w:rPr>
            </w:pPr>
            <w:r>
              <w:rPr>
                <w:sz w:val="16"/>
                <w:szCs w:val="22"/>
                <w:lang w:val="en-US"/>
              </w:rPr>
              <w:t>34,1</w:t>
            </w:r>
          </w:p>
        </w:tc>
        <w:tc>
          <w:tcPr>
            <w:tcW w:w="259" w:type="pct"/>
          </w:tcPr>
          <w:p w:rsidR="00000000" w:rsidRDefault="00000000">
            <w:pPr>
              <w:spacing w:before="80" w:line="240" w:lineRule="auto"/>
              <w:jc w:val="right"/>
              <w:rPr>
                <w:sz w:val="16"/>
                <w:szCs w:val="22"/>
              </w:rPr>
            </w:pPr>
            <w:r>
              <w:rPr>
                <w:sz w:val="16"/>
                <w:szCs w:val="22"/>
              </w:rPr>
              <w:t>32,5</w:t>
            </w:r>
          </w:p>
        </w:tc>
        <w:tc>
          <w:tcPr>
            <w:tcW w:w="259" w:type="pct"/>
          </w:tcPr>
          <w:p w:rsidR="00000000" w:rsidRDefault="00000000">
            <w:pPr>
              <w:spacing w:before="80" w:line="240" w:lineRule="auto"/>
              <w:jc w:val="right"/>
              <w:rPr>
                <w:sz w:val="16"/>
                <w:szCs w:val="22"/>
              </w:rPr>
            </w:pPr>
            <w:r>
              <w:rPr>
                <w:sz w:val="16"/>
                <w:szCs w:val="22"/>
              </w:rPr>
              <w:t>32,2</w:t>
            </w:r>
          </w:p>
        </w:tc>
        <w:tc>
          <w:tcPr>
            <w:tcW w:w="260" w:type="pct"/>
          </w:tcPr>
          <w:p w:rsidR="00000000" w:rsidRDefault="00000000">
            <w:pPr>
              <w:spacing w:before="80" w:line="240" w:lineRule="auto"/>
              <w:jc w:val="right"/>
              <w:rPr>
                <w:sz w:val="16"/>
                <w:szCs w:val="22"/>
              </w:rPr>
            </w:pPr>
            <w:r>
              <w:rPr>
                <w:sz w:val="16"/>
                <w:szCs w:val="22"/>
              </w:rPr>
              <w:t>32,5</w:t>
            </w:r>
          </w:p>
        </w:tc>
        <w:tc>
          <w:tcPr>
            <w:tcW w:w="259" w:type="pct"/>
          </w:tcPr>
          <w:p w:rsidR="00000000" w:rsidRDefault="00000000">
            <w:pPr>
              <w:spacing w:before="80" w:line="240" w:lineRule="auto"/>
              <w:jc w:val="right"/>
              <w:rPr>
                <w:sz w:val="16"/>
                <w:szCs w:val="22"/>
              </w:rPr>
            </w:pPr>
            <w:r>
              <w:rPr>
                <w:sz w:val="16"/>
                <w:szCs w:val="22"/>
              </w:rPr>
              <w:t>32,2</w:t>
            </w:r>
          </w:p>
        </w:tc>
        <w:tc>
          <w:tcPr>
            <w:tcW w:w="259" w:type="pct"/>
          </w:tcPr>
          <w:p w:rsidR="00000000" w:rsidRDefault="00000000">
            <w:pPr>
              <w:spacing w:before="80" w:line="240" w:lineRule="auto"/>
              <w:jc w:val="right"/>
              <w:rPr>
                <w:sz w:val="16"/>
                <w:szCs w:val="22"/>
              </w:rPr>
            </w:pPr>
            <w:r>
              <w:rPr>
                <w:sz w:val="16"/>
                <w:szCs w:val="22"/>
              </w:rPr>
              <w:t>32,3</w:t>
            </w:r>
          </w:p>
        </w:tc>
        <w:tc>
          <w:tcPr>
            <w:tcW w:w="260" w:type="pct"/>
          </w:tcPr>
          <w:p w:rsidR="00000000" w:rsidRDefault="00000000">
            <w:pPr>
              <w:spacing w:before="80" w:line="240" w:lineRule="auto"/>
              <w:jc w:val="right"/>
              <w:rPr>
                <w:sz w:val="16"/>
                <w:szCs w:val="22"/>
              </w:rPr>
            </w:pPr>
            <w:r>
              <w:rPr>
                <w:sz w:val="16"/>
                <w:szCs w:val="22"/>
              </w:rPr>
              <w:t>32,1</w:t>
            </w:r>
          </w:p>
        </w:tc>
        <w:tc>
          <w:tcPr>
            <w:tcW w:w="259" w:type="pct"/>
          </w:tcPr>
          <w:p w:rsidR="00000000" w:rsidRDefault="00000000">
            <w:pPr>
              <w:spacing w:before="80" w:line="240" w:lineRule="auto"/>
              <w:jc w:val="right"/>
              <w:rPr>
                <w:sz w:val="16"/>
                <w:szCs w:val="22"/>
              </w:rPr>
            </w:pPr>
            <w:r>
              <w:rPr>
                <w:sz w:val="16"/>
                <w:szCs w:val="22"/>
              </w:rPr>
              <w:t>31,5</w:t>
            </w:r>
          </w:p>
        </w:tc>
        <w:tc>
          <w:tcPr>
            <w:tcW w:w="259" w:type="pct"/>
          </w:tcPr>
          <w:p w:rsidR="00000000" w:rsidRDefault="00000000">
            <w:pPr>
              <w:spacing w:before="80" w:line="240" w:lineRule="auto"/>
              <w:jc w:val="right"/>
              <w:rPr>
                <w:sz w:val="16"/>
                <w:szCs w:val="22"/>
              </w:rPr>
            </w:pPr>
            <w:r>
              <w:rPr>
                <w:sz w:val="16"/>
                <w:szCs w:val="22"/>
              </w:rPr>
              <w:t>30,3</w:t>
            </w:r>
          </w:p>
        </w:tc>
        <w:tc>
          <w:tcPr>
            <w:tcW w:w="260" w:type="pct"/>
          </w:tcPr>
          <w:p w:rsidR="00000000" w:rsidRDefault="00000000">
            <w:pPr>
              <w:spacing w:before="80" w:line="240" w:lineRule="auto"/>
              <w:jc w:val="right"/>
              <w:rPr>
                <w:sz w:val="16"/>
                <w:szCs w:val="22"/>
              </w:rPr>
            </w:pPr>
            <w:r>
              <w:rPr>
                <w:sz w:val="16"/>
                <w:szCs w:val="22"/>
              </w:rPr>
              <w:t>29,3</w:t>
            </w:r>
          </w:p>
        </w:tc>
        <w:tc>
          <w:tcPr>
            <w:tcW w:w="259" w:type="pct"/>
          </w:tcPr>
          <w:p w:rsidR="00000000" w:rsidRDefault="00000000">
            <w:pPr>
              <w:spacing w:before="80" w:line="240" w:lineRule="auto"/>
              <w:jc w:val="right"/>
              <w:rPr>
                <w:sz w:val="16"/>
                <w:szCs w:val="22"/>
              </w:rPr>
            </w:pPr>
            <w:r>
              <w:rPr>
                <w:sz w:val="16"/>
                <w:szCs w:val="22"/>
              </w:rPr>
              <w:t>28,6</w:t>
            </w:r>
          </w:p>
        </w:tc>
        <w:tc>
          <w:tcPr>
            <w:tcW w:w="259" w:type="pct"/>
          </w:tcPr>
          <w:p w:rsidR="00000000" w:rsidRDefault="00000000">
            <w:pPr>
              <w:spacing w:before="80" w:line="240" w:lineRule="auto"/>
              <w:jc w:val="right"/>
              <w:rPr>
                <w:sz w:val="16"/>
                <w:szCs w:val="22"/>
              </w:rPr>
            </w:pPr>
            <w:r>
              <w:rPr>
                <w:sz w:val="16"/>
                <w:szCs w:val="22"/>
              </w:rPr>
              <w:t>28,5</w:t>
            </w:r>
          </w:p>
        </w:tc>
        <w:tc>
          <w:tcPr>
            <w:tcW w:w="259" w:type="pct"/>
          </w:tcPr>
          <w:p w:rsidR="00000000" w:rsidRDefault="00000000">
            <w:pPr>
              <w:spacing w:before="80" w:line="240" w:lineRule="auto"/>
              <w:jc w:val="right"/>
              <w:rPr>
                <w:sz w:val="16"/>
                <w:szCs w:val="22"/>
              </w:rPr>
            </w:pPr>
            <w:r>
              <w:rPr>
                <w:sz w:val="16"/>
                <w:szCs w:val="22"/>
              </w:rPr>
              <w:t>28,1</w:t>
            </w:r>
          </w:p>
        </w:tc>
      </w:tr>
      <w:tr w:rsidR="00000000">
        <w:trPr>
          <w:jc w:val="center"/>
        </w:trPr>
        <w:tc>
          <w:tcPr>
            <w:tcW w:w="1630" w:type="pct"/>
          </w:tcPr>
          <w:p w:rsidR="00000000" w:rsidRDefault="00000000">
            <w:pPr>
              <w:spacing w:before="80" w:line="240" w:lineRule="auto"/>
              <w:rPr>
                <w:b/>
                <w:bCs/>
                <w:sz w:val="16"/>
                <w:szCs w:val="22"/>
              </w:rPr>
            </w:pPr>
            <w:r>
              <w:rPr>
                <w:b/>
                <w:bCs/>
                <w:sz w:val="16"/>
                <w:szCs w:val="22"/>
              </w:rPr>
              <w:t>Мужчины</w:t>
            </w:r>
          </w:p>
        </w:tc>
        <w:tc>
          <w:tcPr>
            <w:tcW w:w="259" w:type="pct"/>
          </w:tcPr>
          <w:p w:rsidR="00000000" w:rsidRDefault="00000000">
            <w:pPr>
              <w:spacing w:before="80" w:line="240" w:lineRule="auto"/>
              <w:jc w:val="right"/>
              <w:rPr>
                <w:b/>
                <w:bCs/>
                <w:sz w:val="16"/>
                <w:szCs w:val="22"/>
              </w:rPr>
            </w:pPr>
            <w:r>
              <w:rPr>
                <w:b/>
                <w:bCs/>
                <w:sz w:val="16"/>
                <w:szCs w:val="22"/>
              </w:rPr>
              <w:t>100,0</w:t>
            </w:r>
          </w:p>
        </w:tc>
        <w:tc>
          <w:tcPr>
            <w:tcW w:w="259" w:type="pct"/>
          </w:tcPr>
          <w:p w:rsidR="00000000" w:rsidRDefault="00000000">
            <w:pPr>
              <w:spacing w:before="80" w:line="240" w:lineRule="auto"/>
              <w:jc w:val="right"/>
              <w:rPr>
                <w:b/>
                <w:bCs/>
                <w:sz w:val="16"/>
                <w:szCs w:val="22"/>
              </w:rPr>
            </w:pPr>
            <w:r>
              <w:rPr>
                <w:b/>
                <w:bCs/>
                <w:sz w:val="16"/>
                <w:szCs w:val="22"/>
              </w:rPr>
              <w:t>100,0</w:t>
            </w:r>
          </w:p>
        </w:tc>
        <w:tc>
          <w:tcPr>
            <w:tcW w:w="259" w:type="pct"/>
          </w:tcPr>
          <w:p w:rsidR="00000000" w:rsidRDefault="00000000">
            <w:pPr>
              <w:spacing w:before="80" w:line="240" w:lineRule="auto"/>
              <w:jc w:val="right"/>
              <w:rPr>
                <w:b/>
                <w:bCs/>
                <w:sz w:val="16"/>
                <w:szCs w:val="22"/>
              </w:rPr>
            </w:pPr>
            <w:r>
              <w:rPr>
                <w:b/>
                <w:bCs/>
                <w:sz w:val="16"/>
                <w:szCs w:val="22"/>
              </w:rPr>
              <w:t>100,0</w:t>
            </w:r>
          </w:p>
        </w:tc>
        <w:tc>
          <w:tcPr>
            <w:tcW w:w="260" w:type="pct"/>
          </w:tcPr>
          <w:p w:rsidR="00000000" w:rsidRDefault="00000000">
            <w:pPr>
              <w:spacing w:before="80" w:line="240" w:lineRule="auto"/>
              <w:jc w:val="right"/>
              <w:rPr>
                <w:b/>
                <w:bCs/>
                <w:sz w:val="16"/>
                <w:szCs w:val="22"/>
              </w:rPr>
            </w:pPr>
            <w:r>
              <w:rPr>
                <w:b/>
                <w:bCs/>
                <w:sz w:val="16"/>
                <w:szCs w:val="22"/>
              </w:rPr>
              <w:t>100,0</w:t>
            </w:r>
          </w:p>
        </w:tc>
        <w:tc>
          <w:tcPr>
            <w:tcW w:w="259" w:type="pct"/>
          </w:tcPr>
          <w:p w:rsidR="00000000" w:rsidRDefault="00000000">
            <w:pPr>
              <w:spacing w:before="80" w:line="240" w:lineRule="auto"/>
              <w:jc w:val="right"/>
              <w:rPr>
                <w:b/>
                <w:bCs/>
                <w:sz w:val="16"/>
                <w:szCs w:val="22"/>
              </w:rPr>
            </w:pPr>
            <w:r>
              <w:rPr>
                <w:b/>
                <w:bCs/>
                <w:sz w:val="16"/>
                <w:szCs w:val="22"/>
              </w:rPr>
              <w:t>100,0</w:t>
            </w:r>
          </w:p>
        </w:tc>
        <w:tc>
          <w:tcPr>
            <w:tcW w:w="259" w:type="pct"/>
          </w:tcPr>
          <w:p w:rsidR="00000000" w:rsidRDefault="00000000">
            <w:pPr>
              <w:spacing w:before="80" w:line="240" w:lineRule="auto"/>
              <w:jc w:val="right"/>
              <w:rPr>
                <w:b/>
                <w:bCs/>
                <w:sz w:val="16"/>
                <w:szCs w:val="22"/>
              </w:rPr>
            </w:pPr>
            <w:r>
              <w:rPr>
                <w:b/>
                <w:bCs/>
                <w:sz w:val="16"/>
                <w:szCs w:val="22"/>
              </w:rPr>
              <w:t>100,0</w:t>
            </w:r>
          </w:p>
        </w:tc>
        <w:tc>
          <w:tcPr>
            <w:tcW w:w="260" w:type="pct"/>
          </w:tcPr>
          <w:p w:rsidR="00000000" w:rsidRDefault="00000000">
            <w:pPr>
              <w:spacing w:before="80" w:line="240" w:lineRule="auto"/>
              <w:jc w:val="right"/>
              <w:rPr>
                <w:b/>
                <w:bCs/>
                <w:sz w:val="16"/>
                <w:szCs w:val="22"/>
              </w:rPr>
            </w:pPr>
            <w:r>
              <w:rPr>
                <w:b/>
                <w:bCs/>
                <w:sz w:val="16"/>
                <w:szCs w:val="22"/>
              </w:rPr>
              <w:t>100,0</w:t>
            </w:r>
          </w:p>
        </w:tc>
        <w:tc>
          <w:tcPr>
            <w:tcW w:w="259" w:type="pct"/>
          </w:tcPr>
          <w:p w:rsidR="00000000" w:rsidRDefault="00000000">
            <w:pPr>
              <w:spacing w:before="80" w:line="240" w:lineRule="auto"/>
              <w:jc w:val="right"/>
              <w:rPr>
                <w:b/>
                <w:bCs/>
                <w:sz w:val="16"/>
                <w:szCs w:val="22"/>
              </w:rPr>
            </w:pPr>
            <w:r>
              <w:rPr>
                <w:b/>
                <w:bCs/>
                <w:sz w:val="16"/>
                <w:szCs w:val="22"/>
              </w:rPr>
              <w:t>100,0</w:t>
            </w:r>
          </w:p>
        </w:tc>
        <w:tc>
          <w:tcPr>
            <w:tcW w:w="259" w:type="pct"/>
          </w:tcPr>
          <w:p w:rsidR="00000000" w:rsidRDefault="00000000">
            <w:pPr>
              <w:spacing w:before="80" w:line="240" w:lineRule="auto"/>
              <w:jc w:val="right"/>
              <w:rPr>
                <w:b/>
                <w:bCs/>
                <w:sz w:val="16"/>
                <w:szCs w:val="22"/>
              </w:rPr>
            </w:pPr>
            <w:r>
              <w:rPr>
                <w:b/>
                <w:bCs/>
                <w:sz w:val="16"/>
                <w:szCs w:val="22"/>
              </w:rPr>
              <w:t>100,0</w:t>
            </w:r>
          </w:p>
        </w:tc>
        <w:tc>
          <w:tcPr>
            <w:tcW w:w="260" w:type="pct"/>
          </w:tcPr>
          <w:p w:rsidR="00000000" w:rsidRDefault="00000000">
            <w:pPr>
              <w:spacing w:before="80" w:line="240" w:lineRule="auto"/>
              <w:jc w:val="right"/>
              <w:rPr>
                <w:b/>
                <w:bCs/>
                <w:sz w:val="16"/>
                <w:szCs w:val="22"/>
              </w:rPr>
            </w:pPr>
            <w:r>
              <w:rPr>
                <w:b/>
                <w:bCs/>
                <w:sz w:val="16"/>
                <w:szCs w:val="22"/>
              </w:rPr>
              <w:t>100,0</w:t>
            </w:r>
          </w:p>
        </w:tc>
        <w:tc>
          <w:tcPr>
            <w:tcW w:w="259" w:type="pct"/>
          </w:tcPr>
          <w:p w:rsidR="00000000" w:rsidRDefault="00000000">
            <w:pPr>
              <w:spacing w:before="80" w:line="240" w:lineRule="auto"/>
              <w:jc w:val="right"/>
              <w:rPr>
                <w:b/>
                <w:bCs/>
                <w:sz w:val="16"/>
                <w:szCs w:val="22"/>
              </w:rPr>
            </w:pPr>
            <w:r>
              <w:rPr>
                <w:b/>
                <w:bCs/>
                <w:sz w:val="16"/>
                <w:szCs w:val="22"/>
              </w:rPr>
              <w:t>100,0</w:t>
            </w:r>
          </w:p>
        </w:tc>
        <w:tc>
          <w:tcPr>
            <w:tcW w:w="259" w:type="pct"/>
          </w:tcPr>
          <w:p w:rsidR="00000000" w:rsidRDefault="00000000">
            <w:pPr>
              <w:spacing w:before="80" w:line="240" w:lineRule="auto"/>
              <w:jc w:val="right"/>
              <w:rPr>
                <w:b/>
                <w:bCs/>
                <w:sz w:val="16"/>
                <w:szCs w:val="22"/>
              </w:rPr>
            </w:pPr>
            <w:r>
              <w:rPr>
                <w:b/>
                <w:bCs/>
                <w:sz w:val="16"/>
                <w:szCs w:val="22"/>
              </w:rPr>
              <w:t>100,0</w:t>
            </w:r>
          </w:p>
        </w:tc>
        <w:tc>
          <w:tcPr>
            <w:tcW w:w="259" w:type="pct"/>
          </w:tcPr>
          <w:p w:rsidR="00000000" w:rsidRDefault="00000000">
            <w:pPr>
              <w:spacing w:before="80" w:line="240" w:lineRule="auto"/>
              <w:jc w:val="right"/>
              <w:rPr>
                <w:b/>
                <w:bCs/>
                <w:sz w:val="16"/>
                <w:szCs w:val="22"/>
              </w:rPr>
            </w:pPr>
            <w:r>
              <w:rPr>
                <w:b/>
                <w:bCs/>
                <w:sz w:val="16"/>
                <w:szCs w:val="22"/>
              </w:rPr>
              <w:t>100,0</w:t>
            </w:r>
          </w:p>
        </w:tc>
      </w:tr>
      <w:tr w:rsidR="00000000">
        <w:trPr>
          <w:jc w:val="center"/>
        </w:trPr>
        <w:tc>
          <w:tcPr>
            <w:tcW w:w="1630" w:type="pct"/>
          </w:tcPr>
          <w:p w:rsidR="00000000" w:rsidRDefault="00000000">
            <w:pPr>
              <w:spacing w:before="80" w:line="240" w:lineRule="auto"/>
              <w:rPr>
                <w:sz w:val="16"/>
                <w:szCs w:val="22"/>
              </w:rPr>
            </w:pPr>
            <w:r>
              <w:rPr>
                <w:sz w:val="16"/>
                <w:szCs w:val="22"/>
              </w:rPr>
              <w:t>Заболевания сердца</w:t>
            </w:r>
          </w:p>
        </w:tc>
        <w:tc>
          <w:tcPr>
            <w:tcW w:w="259" w:type="pct"/>
          </w:tcPr>
          <w:p w:rsidR="00000000" w:rsidRDefault="00000000">
            <w:pPr>
              <w:spacing w:before="80" w:line="240" w:lineRule="auto"/>
              <w:jc w:val="right"/>
              <w:rPr>
                <w:sz w:val="16"/>
                <w:szCs w:val="22"/>
              </w:rPr>
            </w:pPr>
            <w:r>
              <w:rPr>
                <w:sz w:val="16"/>
                <w:szCs w:val="22"/>
              </w:rPr>
              <w:t>11,1</w:t>
            </w:r>
          </w:p>
        </w:tc>
        <w:tc>
          <w:tcPr>
            <w:tcW w:w="259" w:type="pct"/>
          </w:tcPr>
          <w:p w:rsidR="00000000" w:rsidRDefault="00000000">
            <w:pPr>
              <w:spacing w:before="80" w:line="240" w:lineRule="auto"/>
              <w:jc w:val="right"/>
              <w:rPr>
                <w:sz w:val="16"/>
                <w:szCs w:val="22"/>
              </w:rPr>
            </w:pPr>
            <w:r>
              <w:rPr>
                <w:sz w:val="16"/>
                <w:szCs w:val="22"/>
              </w:rPr>
              <w:t>11,7</w:t>
            </w:r>
          </w:p>
        </w:tc>
        <w:tc>
          <w:tcPr>
            <w:tcW w:w="259" w:type="pct"/>
          </w:tcPr>
          <w:p w:rsidR="00000000" w:rsidRDefault="00000000">
            <w:pPr>
              <w:spacing w:before="80" w:line="240" w:lineRule="auto"/>
              <w:jc w:val="right"/>
              <w:rPr>
                <w:sz w:val="16"/>
                <w:szCs w:val="22"/>
              </w:rPr>
            </w:pPr>
            <w:r>
              <w:rPr>
                <w:sz w:val="16"/>
                <w:szCs w:val="22"/>
              </w:rPr>
              <w:t>12,1</w:t>
            </w:r>
          </w:p>
        </w:tc>
        <w:tc>
          <w:tcPr>
            <w:tcW w:w="260" w:type="pct"/>
          </w:tcPr>
          <w:p w:rsidR="00000000" w:rsidRDefault="00000000">
            <w:pPr>
              <w:spacing w:before="80" w:line="240" w:lineRule="auto"/>
              <w:jc w:val="right"/>
              <w:rPr>
                <w:sz w:val="16"/>
                <w:szCs w:val="22"/>
              </w:rPr>
            </w:pPr>
            <w:r>
              <w:rPr>
                <w:sz w:val="16"/>
                <w:szCs w:val="22"/>
              </w:rPr>
              <w:t>12,5</w:t>
            </w:r>
          </w:p>
        </w:tc>
        <w:tc>
          <w:tcPr>
            <w:tcW w:w="259" w:type="pct"/>
          </w:tcPr>
          <w:p w:rsidR="00000000" w:rsidRDefault="00000000">
            <w:pPr>
              <w:spacing w:before="80" w:line="240" w:lineRule="auto"/>
              <w:jc w:val="right"/>
              <w:rPr>
                <w:sz w:val="16"/>
                <w:szCs w:val="22"/>
              </w:rPr>
            </w:pPr>
            <w:r>
              <w:rPr>
                <w:sz w:val="16"/>
                <w:szCs w:val="22"/>
              </w:rPr>
              <w:t>12,8</w:t>
            </w:r>
          </w:p>
        </w:tc>
        <w:tc>
          <w:tcPr>
            <w:tcW w:w="259" w:type="pct"/>
          </w:tcPr>
          <w:p w:rsidR="00000000" w:rsidRDefault="00000000">
            <w:pPr>
              <w:spacing w:before="80" w:line="240" w:lineRule="auto"/>
              <w:jc w:val="right"/>
              <w:rPr>
                <w:sz w:val="16"/>
                <w:szCs w:val="22"/>
              </w:rPr>
            </w:pPr>
            <w:r>
              <w:rPr>
                <w:sz w:val="16"/>
                <w:szCs w:val="22"/>
              </w:rPr>
              <w:t>13,2</w:t>
            </w:r>
          </w:p>
        </w:tc>
        <w:tc>
          <w:tcPr>
            <w:tcW w:w="260" w:type="pct"/>
          </w:tcPr>
          <w:p w:rsidR="00000000" w:rsidRDefault="00000000">
            <w:pPr>
              <w:spacing w:before="80" w:line="240" w:lineRule="auto"/>
              <w:jc w:val="right"/>
              <w:rPr>
                <w:sz w:val="16"/>
                <w:szCs w:val="22"/>
              </w:rPr>
            </w:pPr>
            <w:r>
              <w:rPr>
                <w:sz w:val="16"/>
                <w:szCs w:val="22"/>
              </w:rPr>
              <w:t>13,5</w:t>
            </w:r>
          </w:p>
        </w:tc>
        <w:tc>
          <w:tcPr>
            <w:tcW w:w="259" w:type="pct"/>
          </w:tcPr>
          <w:p w:rsidR="00000000" w:rsidRDefault="00000000">
            <w:pPr>
              <w:spacing w:before="80" w:line="240" w:lineRule="auto"/>
              <w:jc w:val="right"/>
              <w:rPr>
                <w:sz w:val="16"/>
                <w:szCs w:val="22"/>
              </w:rPr>
            </w:pPr>
            <w:r>
              <w:rPr>
                <w:sz w:val="16"/>
                <w:szCs w:val="22"/>
              </w:rPr>
              <w:t>13,9</w:t>
            </w:r>
          </w:p>
        </w:tc>
        <w:tc>
          <w:tcPr>
            <w:tcW w:w="259" w:type="pct"/>
          </w:tcPr>
          <w:p w:rsidR="00000000" w:rsidRDefault="00000000">
            <w:pPr>
              <w:spacing w:before="80" w:line="240" w:lineRule="auto"/>
              <w:jc w:val="right"/>
              <w:rPr>
                <w:sz w:val="16"/>
                <w:szCs w:val="22"/>
              </w:rPr>
            </w:pPr>
            <w:r>
              <w:rPr>
                <w:sz w:val="16"/>
                <w:szCs w:val="22"/>
              </w:rPr>
              <w:t>13,9</w:t>
            </w:r>
          </w:p>
        </w:tc>
        <w:tc>
          <w:tcPr>
            <w:tcW w:w="260" w:type="pct"/>
          </w:tcPr>
          <w:p w:rsidR="00000000" w:rsidRDefault="00000000">
            <w:pPr>
              <w:spacing w:before="80" w:line="240" w:lineRule="auto"/>
              <w:jc w:val="right"/>
              <w:rPr>
                <w:sz w:val="16"/>
                <w:szCs w:val="22"/>
              </w:rPr>
            </w:pPr>
            <w:r>
              <w:rPr>
                <w:sz w:val="16"/>
                <w:szCs w:val="22"/>
              </w:rPr>
              <w:t>14,1</w:t>
            </w:r>
          </w:p>
        </w:tc>
        <w:tc>
          <w:tcPr>
            <w:tcW w:w="259" w:type="pct"/>
          </w:tcPr>
          <w:p w:rsidR="00000000" w:rsidRDefault="00000000">
            <w:pPr>
              <w:spacing w:before="80" w:line="240" w:lineRule="auto"/>
              <w:jc w:val="right"/>
              <w:rPr>
                <w:sz w:val="16"/>
                <w:szCs w:val="22"/>
              </w:rPr>
            </w:pPr>
            <w:r>
              <w:rPr>
                <w:sz w:val="16"/>
                <w:szCs w:val="22"/>
              </w:rPr>
              <w:t>14,1</w:t>
            </w:r>
          </w:p>
        </w:tc>
        <w:tc>
          <w:tcPr>
            <w:tcW w:w="259" w:type="pct"/>
          </w:tcPr>
          <w:p w:rsidR="00000000" w:rsidRDefault="00000000">
            <w:pPr>
              <w:spacing w:before="80" w:line="240" w:lineRule="auto"/>
              <w:jc w:val="right"/>
              <w:rPr>
                <w:sz w:val="16"/>
                <w:szCs w:val="22"/>
              </w:rPr>
            </w:pPr>
            <w:r>
              <w:rPr>
                <w:sz w:val="16"/>
                <w:szCs w:val="22"/>
              </w:rPr>
              <w:t>14,6</w:t>
            </w:r>
          </w:p>
        </w:tc>
        <w:tc>
          <w:tcPr>
            <w:tcW w:w="259" w:type="pct"/>
          </w:tcPr>
          <w:p w:rsidR="00000000" w:rsidRDefault="00000000">
            <w:pPr>
              <w:spacing w:before="80" w:line="240" w:lineRule="auto"/>
              <w:jc w:val="right"/>
              <w:rPr>
                <w:sz w:val="16"/>
                <w:szCs w:val="22"/>
              </w:rPr>
            </w:pPr>
            <w:r>
              <w:rPr>
                <w:sz w:val="16"/>
                <w:szCs w:val="22"/>
              </w:rPr>
              <w:t>14,9</w:t>
            </w:r>
          </w:p>
        </w:tc>
      </w:tr>
      <w:tr w:rsidR="00000000">
        <w:trPr>
          <w:jc w:val="center"/>
        </w:trPr>
        <w:tc>
          <w:tcPr>
            <w:tcW w:w="1630" w:type="pct"/>
          </w:tcPr>
          <w:p w:rsidR="00000000" w:rsidRDefault="00000000">
            <w:pPr>
              <w:spacing w:before="80" w:line="240" w:lineRule="auto"/>
              <w:rPr>
                <w:sz w:val="16"/>
                <w:szCs w:val="22"/>
              </w:rPr>
            </w:pPr>
            <w:r>
              <w:rPr>
                <w:sz w:val="16"/>
                <w:szCs w:val="22"/>
              </w:rPr>
              <w:t>Злокачественные опухоли</w:t>
            </w:r>
          </w:p>
        </w:tc>
        <w:tc>
          <w:tcPr>
            <w:tcW w:w="259" w:type="pct"/>
          </w:tcPr>
          <w:p w:rsidR="00000000" w:rsidRDefault="00000000">
            <w:pPr>
              <w:spacing w:before="80" w:line="240" w:lineRule="auto"/>
              <w:jc w:val="right"/>
              <w:rPr>
                <w:sz w:val="16"/>
                <w:szCs w:val="22"/>
              </w:rPr>
            </w:pPr>
            <w:r>
              <w:rPr>
                <w:sz w:val="16"/>
                <w:szCs w:val="22"/>
              </w:rPr>
              <w:t>8,1</w:t>
            </w:r>
          </w:p>
        </w:tc>
        <w:tc>
          <w:tcPr>
            <w:tcW w:w="259" w:type="pct"/>
          </w:tcPr>
          <w:p w:rsidR="00000000" w:rsidRDefault="00000000">
            <w:pPr>
              <w:spacing w:before="80" w:line="240" w:lineRule="auto"/>
              <w:jc w:val="right"/>
              <w:rPr>
                <w:sz w:val="16"/>
                <w:szCs w:val="22"/>
              </w:rPr>
            </w:pPr>
            <w:r>
              <w:rPr>
                <w:sz w:val="16"/>
                <w:szCs w:val="22"/>
              </w:rPr>
              <w:t>8,5</w:t>
            </w:r>
          </w:p>
        </w:tc>
        <w:tc>
          <w:tcPr>
            <w:tcW w:w="259" w:type="pct"/>
          </w:tcPr>
          <w:p w:rsidR="00000000" w:rsidRDefault="00000000">
            <w:pPr>
              <w:spacing w:before="80" w:line="240" w:lineRule="auto"/>
              <w:jc w:val="right"/>
              <w:rPr>
                <w:sz w:val="16"/>
                <w:szCs w:val="22"/>
              </w:rPr>
            </w:pPr>
            <w:r>
              <w:rPr>
                <w:sz w:val="16"/>
                <w:szCs w:val="22"/>
              </w:rPr>
              <w:t>8,8</w:t>
            </w:r>
          </w:p>
        </w:tc>
        <w:tc>
          <w:tcPr>
            <w:tcW w:w="260" w:type="pct"/>
          </w:tcPr>
          <w:p w:rsidR="00000000" w:rsidRDefault="00000000">
            <w:pPr>
              <w:spacing w:before="80" w:line="240" w:lineRule="auto"/>
              <w:jc w:val="right"/>
              <w:rPr>
                <w:sz w:val="16"/>
                <w:szCs w:val="22"/>
              </w:rPr>
            </w:pPr>
            <w:r>
              <w:rPr>
                <w:sz w:val="16"/>
                <w:szCs w:val="22"/>
              </w:rPr>
              <w:t>9,0</w:t>
            </w:r>
          </w:p>
        </w:tc>
        <w:tc>
          <w:tcPr>
            <w:tcW w:w="259" w:type="pct"/>
          </w:tcPr>
          <w:p w:rsidR="00000000" w:rsidRDefault="00000000">
            <w:pPr>
              <w:spacing w:before="80" w:line="240" w:lineRule="auto"/>
              <w:jc w:val="right"/>
              <w:rPr>
                <w:sz w:val="16"/>
                <w:szCs w:val="22"/>
              </w:rPr>
            </w:pPr>
            <w:r>
              <w:rPr>
                <w:sz w:val="16"/>
                <w:szCs w:val="22"/>
              </w:rPr>
              <w:t>9,3</w:t>
            </w:r>
          </w:p>
        </w:tc>
        <w:tc>
          <w:tcPr>
            <w:tcW w:w="259" w:type="pct"/>
          </w:tcPr>
          <w:p w:rsidR="00000000" w:rsidRDefault="00000000">
            <w:pPr>
              <w:spacing w:before="80" w:line="240" w:lineRule="auto"/>
              <w:jc w:val="right"/>
              <w:rPr>
                <w:sz w:val="16"/>
                <w:szCs w:val="22"/>
              </w:rPr>
            </w:pPr>
            <w:r>
              <w:rPr>
                <w:sz w:val="16"/>
                <w:szCs w:val="22"/>
              </w:rPr>
              <w:t>9,5</w:t>
            </w:r>
          </w:p>
        </w:tc>
        <w:tc>
          <w:tcPr>
            <w:tcW w:w="260" w:type="pct"/>
          </w:tcPr>
          <w:p w:rsidR="00000000" w:rsidRDefault="00000000">
            <w:pPr>
              <w:spacing w:before="80" w:line="240" w:lineRule="auto"/>
              <w:jc w:val="right"/>
              <w:rPr>
                <w:sz w:val="16"/>
                <w:szCs w:val="22"/>
              </w:rPr>
            </w:pPr>
            <w:r>
              <w:rPr>
                <w:sz w:val="16"/>
                <w:szCs w:val="22"/>
              </w:rPr>
              <w:t>9,6</w:t>
            </w:r>
          </w:p>
        </w:tc>
        <w:tc>
          <w:tcPr>
            <w:tcW w:w="259" w:type="pct"/>
          </w:tcPr>
          <w:p w:rsidR="00000000" w:rsidRDefault="00000000">
            <w:pPr>
              <w:spacing w:before="80" w:line="240" w:lineRule="auto"/>
              <w:jc w:val="right"/>
              <w:rPr>
                <w:sz w:val="16"/>
                <w:szCs w:val="22"/>
              </w:rPr>
            </w:pPr>
            <w:r>
              <w:rPr>
                <w:sz w:val="16"/>
                <w:szCs w:val="22"/>
              </w:rPr>
              <w:t>9,9</w:t>
            </w:r>
          </w:p>
        </w:tc>
        <w:tc>
          <w:tcPr>
            <w:tcW w:w="259" w:type="pct"/>
          </w:tcPr>
          <w:p w:rsidR="00000000" w:rsidRDefault="00000000">
            <w:pPr>
              <w:spacing w:before="80" w:line="240" w:lineRule="auto"/>
              <w:jc w:val="right"/>
              <w:rPr>
                <w:sz w:val="16"/>
                <w:szCs w:val="22"/>
              </w:rPr>
            </w:pPr>
            <w:r>
              <w:rPr>
                <w:sz w:val="16"/>
                <w:szCs w:val="22"/>
              </w:rPr>
              <w:t>10,1</w:t>
            </w:r>
          </w:p>
        </w:tc>
        <w:tc>
          <w:tcPr>
            <w:tcW w:w="260" w:type="pct"/>
          </w:tcPr>
          <w:p w:rsidR="00000000" w:rsidRDefault="00000000">
            <w:pPr>
              <w:spacing w:before="80" w:line="240" w:lineRule="auto"/>
              <w:jc w:val="right"/>
              <w:rPr>
                <w:sz w:val="16"/>
                <w:szCs w:val="22"/>
              </w:rPr>
            </w:pPr>
            <w:r>
              <w:rPr>
                <w:sz w:val="16"/>
                <w:szCs w:val="22"/>
              </w:rPr>
              <w:t>10,4</w:t>
            </w:r>
          </w:p>
        </w:tc>
        <w:tc>
          <w:tcPr>
            <w:tcW w:w="259" w:type="pct"/>
          </w:tcPr>
          <w:p w:rsidR="00000000" w:rsidRDefault="00000000">
            <w:pPr>
              <w:spacing w:before="80" w:line="240" w:lineRule="auto"/>
              <w:jc w:val="right"/>
              <w:rPr>
                <w:sz w:val="16"/>
                <w:szCs w:val="22"/>
              </w:rPr>
            </w:pPr>
            <w:r>
              <w:rPr>
                <w:sz w:val="16"/>
                <w:szCs w:val="22"/>
              </w:rPr>
              <w:t>10,8</w:t>
            </w:r>
          </w:p>
        </w:tc>
        <w:tc>
          <w:tcPr>
            <w:tcW w:w="259" w:type="pct"/>
          </w:tcPr>
          <w:p w:rsidR="00000000" w:rsidRDefault="00000000">
            <w:pPr>
              <w:spacing w:before="80" w:line="240" w:lineRule="auto"/>
              <w:jc w:val="right"/>
              <w:rPr>
                <w:sz w:val="16"/>
                <w:szCs w:val="22"/>
              </w:rPr>
            </w:pPr>
            <w:r>
              <w:rPr>
                <w:sz w:val="16"/>
                <w:szCs w:val="22"/>
              </w:rPr>
              <w:t>11,0</w:t>
            </w:r>
          </w:p>
        </w:tc>
        <w:tc>
          <w:tcPr>
            <w:tcW w:w="259" w:type="pct"/>
          </w:tcPr>
          <w:p w:rsidR="00000000" w:rsidRDefault="00000000">
            <w:pPr>
              <w:spacing w:before="80" w:line="240" w:lineRule="auto"/>
              <w:jc w:val="right"/>
              <w:rPr>
                <w:sz w:val="16"/>
                <w:szCs w:val="22"/>
              </w:rPr>
            </w:pPr>
            <w:r>
              <w:rPr>
                <w:sz w:val="16"/>
                <w:szCs w:val="22"/>
              </w:rPr>
              <w:t>11,2</w:t>
            </w:r>
          </w:p>
        </w:tc>
      </w:tr>
      <w:tr w:rsidR="00000000">
        <w:trPr>
          <w:jc w:val="center"/>
        </w:trPr>
        <w:tc>
          <w:tcPr>
            <w:tcW w:w="1630" w:type="pct"/>
          </w:tcPr>
          <w:p w:rsidR="00000000" w:rsidRDefault="00000000">
            <w:pPr>
              <w:spacing w:before="80" w:line="240" w:lineRule="auto"/>
              <w:rPr>
                <w:sz w:val="16"/>
                <w:szCs w:val="22"/>
              </w:rPr>
            </w:pPr>
            <w:r>
              <w:rPr>
                <w:sz w:val="16"/>
                <w:szCs w:val="22"/>
              </w:rPr>
              <w:t>Сахарный диабет</w:t>
            </w:r>
          </w:p>
        </w:tc>
        <w:tc>
          <w:tcPr>
            <w:tcW w:w="259" w:type="pct"/>
          </w:tcPr>
          <w:p w:rsidR="00000000" w:rsidRDefault="00000000">
            <w:pPr>
              <w:spacing w:before="80" w:line="240" w:lineRule="auto"/>
              <w:jc w:val="right"/>
              <w:rPr>
                <w:sz w:val="16"/>
                <w:szCs w:val="22"/>
              </w:rPr>
            </w:pPr>
            <w:r>
              <w:rPr>
                <w:sz w:val="16"/>
                <w:szCs w:val="22"/>
              </w:rPr>
              <w:t>12,7</w:t>
            </w:r>
          </w:p>
        </w:tc>
        <w:tc>
          <w:tcPr>
            <w:tcW w:w="259" w:type="pct"/>
          </w:tcPr>
          <w:p w:rsidR="00000000" w:rsidRDefault="00000000">
            <w:pPr>
              <w:spacing w:before="80" w:line="240" w:lineRule="auto"/>
              <w:jc w:val="right"/>
              <w:rPr>
                <w:sz w:val="16"/>
                <w:szCs w:val="22"/>
              </w:rPr>
            </w:pPr>
            <w:r>
              <w:rPr>
                <w:sz w:val="16"/>
                <w:szCs w:val="22"/>
              </w:rPr>
              <w:t>12,9</w:t>
            </w:r>
          </w:p>
        </w:tc>
        <w:tc>
          <w:tcPr>
            <w:tcW w:w="259" w:type="pct"/>
          </w:tcPr>
          <w:p w:rsidR="00000000" w:rsidRDefault="00000000">
            <w:pPr>
              <w:spacing w:before="80" w:line="240" w:lineRule="auto"/>
              <w:jc w:val="right"/>
              <w:rPr>
                <w:sz w:val="16"/>
                <w:szCs w:val="22"/>
              </w:rPr>
            </w:pPr>
            <w:r>
              <w:rPr>
                <w:sz w:val="16"/>
                <w:szCs w:val="22"/>
              </w:rPr>
              <w:t>12,8</w:t>
            </w:r>
          </w:p>
        </w:tc>
        <w:tc>
          <w:tcPr>
            <w:tcW w:w="260" w:type="pct"/>
          </w:tcPr>
          <w:p w:rsidR="00000000" w:rsidRDefault="00000000">
            <w:pPr>
              <w:spacing w:before="80" w:line="240" w:lineRule="auto"/>
              <w:jc w:val="right"/>
              <w:rPr>
                <w:sz w:val="16"/>
                <w:szCs w:val="22"/>
              </w:rPr>
            </w:pPr>
            <w:r>
              <w:rPr>
                <w:sz w:val="16"/>
                <w:szCs w:val="22"/>
              </w:rPr>
              <w:t>12,2</w:t>
            </w:r>
          </w:p>
        </w:tc>
        <w:tc>
          <w:tcPr>
            <w:tcW w:w="259" w:type="pct"/>
          </w:tcPr>
          <w:p w:rsidR="00000000" w:rsidRDefault="00000000">
            <w:pPr>
              <w:spacing w:before="80" w:line="240" w:lineRule="auto"/>
              <w:jc w:val="right"/>
              <w:rPr>
                <w:sz w:val="16"/>
                <w:szCs w:val="22"/>
              </w:rPr>
            </w:pPr>
            <w:r>
              <w:rPr>
                <w:sz w:val="16"/>
                <w:szCs w:val="22"/>
              </w:rPr>
              <w:t>12,2</w:t>
            </w:r>
          </w:p>
        </w:tc>
        <w:tc>
          <w:tcPr>
            <w:tcW w:w="259" w:type="pct"/>
          </w:tcPr>
          <w:p w:rsidR="00000000" w:rsidRDefault="00000000">
            <w:pPr>
              <w:spacing w:before="80" w:line="240" w:lineRule="auto"/>
              <w:jc w:val="right"/>
              <w:rPr>
                <w:sz w:val="16"/>
                <w:szCs w:val="22"/>
              </w:rPr>
            </w:pPr>
            <w:r>
              <w:rPr>
                <w:sz w:val="16"/>
                <w:szCs w:val="22"/>
              </w:rPr>
              <w:t>11,3</w:t>
            </w:r>
          </w:p>
        </w:tc>
        <w:tc>
          <w:tcPr>
            <w:tcW w:w="260" w:type="pct"/>
          </w:tcPr>
          <w:p w:rsidR="00000000" w:rsidRDefault="00000000">
            <w:pPr>
              <w:spacing w:before="80" w:line="240" w:lineRule="auto"/>
              <w:jc w:val="right"/>
              <w:rPr>
                <w:sz w:val="16"/>
                <w:szCs w:val="22"/>
              </w:rPr>
            </w:pPr>
            <w:r>
              <w:rPr>
                <w:sz w:val="16"/>
                <w:szCs w:val="22"/>
              </w:rPr>
              <w:t>11,2</w:t>
            </w:r>
          </w:p>
        </w:tc>
        <w:tc>
          <w:tcPr>
            <w:tcW w:w="259" w:type="pct"/>
          </w:tcPr>
          <w:p w:rsidR="00000000" w:rsidRDefault="00000000">
            <w:pPr>
              <w:spacing w:before="80" w:line="240" w:lineRule="auto"/>
              <w:jc w:val="right"/>
              <w:rPr>
                <w:sz w:val="16"/>
                <w:szCs w:val="22"/>
              </w:rPr>
            </w:pPr>
            <w:r>
              <w:rPr>
                <w:sz w:val="16"/>
                <w:szCs w:val="22"/>
              </w:rPr>
              <w:t>11,2</w:t>
            </w:r>
          </w:p>
        </w:tc>
        <w:tc>
          <w:tcPr>
            <w:tcW w:w="259" w:type="pct"/>
          </w:tcPr>
          <w:p w:rsidR="00000000" w:rsidRDefault="00000000">
            <w:pPr>
              <w:spacing w:before="80" w:line="240" w:lineRule="auto"/>
              <w:jc w:val="right"/>
              <w:rPr>
                <w:sz w:val="16"/>
                <w:szCs w:val="22"/>
              </w:rPr>
            </w:pPr>
            <w:r>
              <w:rPr>
                <w:sz w:val="16"/>
                <w:szCs w:val="22"/>
              </w:rPr>
              <w:t>11,0</w:t>
            </w:r>
          </w:p>
        </w:tc>
        <w:tc>
          <w:tcPr>
            <w:tcW w:w="260" w:type="pct"/>
          </w:tcPr>
          <w:p w:rsidR="00000000" w:rsidRDefault="00000000">
            <w:pPr>
              <w:spacing w:before="80" w:line="240" w:lineRule="auto"/>
              <w:jc w:val="right"/>
              <w:rPr>
                <w:sz w:val="16"/>
                <w:szCs w:val="22"/>
              </w:rPr>
            </w:pPr>
            <w:r>
              <w:rPr>
                <w:sz w:val="16"/>
                <w:szCs w:val="22"/>
              </w:rPr>
              <w:t>11,1</w:t>
            </w:r>
          </w:p>
        </w:tc>
        <w:tc>
          <w:tcPr>
            <w:tcW w:w="259" w:type="pct"/>
          </w:tcPr>
          <w:p w:rsidR="00000000" w:rsidRDefault="00000000">
            <w:pPr>
              <w:spacing w:before="80" w:line="240" w:lineRule="auto"/>
              <w:jc w:val="right"/>
              <w:rPr>
                <w:sz w:val="16"/>
                <w:szCs w:val="22"/>
              </w:rPr>
            </w:pPr>
            <w:r>
              <w:rPr>
                <w:sz w:val="16"/>
                <w:szCs w:val="22"/>
              </w:rPr>
              <w:t>11,2</w:t>
            </w:r>
          </w:p>
        </w:tc>
        <w:tc>
          <w:tcPr>
            <w:tcW w:w="259" w:type="pct"/>
          </w:tcPr>
          <w:p w:rsidR="00000000" w:rsidRDefault="00000000">
            <w:pPr>
              <w:spacing w:before="80" w:line="240" w:lineRule="auto"/>
              <w:jc w:val="right"/>
              <w:rPr>
                <w:sz w:val="16"/>
                <w:szCs w:val="22"/>
              </w:rPr>
            </w:pPr>
            <w:r>
              <w:rPr>
                <w:sz w:val="16"/>
                <w:szCs w:val="22"/>
              </w:rPr>
              <w:t>11,0</w:t>
            </w:r>
          </w:p>
        </w:tc>
        <w:tc>
          <w:tcPr>
            <w:tcW w:w="259" w:type="pct"/>
          </w:tcPr>
          <w:p w:rsidR="00000000" w:rsidRDefault="00000000">
            <w:pPr>
              <w:spacing w:before="80" w:line="240" w:lineRule="auto"/>
              <w:jc w:val="right"/>
              <w:rPr>
                <w:sz w:val="16"/>
                <w:szCs w:val="22"/>
              </w:rPr>
            </w:pPr>
            <w:r>
              <w:rPr>
                <w:sz w:val="16"/>
                <w:szCs w:val="22"/>
              </w:rPr>
              <w:t>10,6</w:t>
            </w:r>
          </w:p>
        </w:tc>
      </w:tr>
      <w:tr w:rsidR="00000000">
        <w:trPr>
          <w:jc w:val="center"/>
        </w:trPr>
        <w:tc>
          <w:tcPr>
            <w:tcW w:w="1630" w:type="pct"/>
          </w:tcPr>
          <w:p w:rsidR="00000000" w:rsidRDefault="00000000">
            <w:pPr>
              <w:spacing w:before="80" w:line="240" w:lineRule="auto"/>
              <w:rPr>
                <w:sz w:val="16"/>
                <w:szCs w:val="22"/>
              </w:rPr>
            </w:pPr>
            <w:r>
              <w:rPr>
                <w:sz w:val="16"/>
                <w:szCs w:val="22"/>
              </w:rPr>
              <w:t>Травмы</w:t>
            </w:r>
          </w:p>
        </w:tc>
        <w:tc>
          <w:tcPr>
            <w:tcW w:w="259" w:type="pct"/>
          </w:tcPr>
          <w:p w:rsidR="00000000" w:rsidRDefault="00000000">
            <w:pPr>
              <w:spacing w:before="80" w:line="240" w:lineRule="auto"/>
              <w:jc w:val="right"/>
              <w:rPr>
                <w:sz w:val="16"/>
                <w:szCs w:val="22"/>
              </w:rPr>
            </w:pPr>
            <w:r>
              <w:rPr>
                <w:sz w:val="16"/>
                <w:szCs w:val="22"/>
              </w:rPr>
              <w:t>4,7</w:t>
            </w:r>
          </w:p>
        </w:tc>
        <w:tc>
          <w:tcPr>
            <w:tcW w:w="259" w:type="pct"/>
          </w:tcPr>
          <w:p w:rsidR="00000000" w:rsidRDefault="00000000">
            <w:pPr>
              <w:spacing w:before="80" w:line="240" w:lineRule="auto"/>
              <w:jc w:val="right"/>
              <w:rPr>
                <w:sz w:val="16"/>
                <w:szCs w:val="22"/>
              </w:rPr>
            </w:pPr>
            <w:r>
              <w:rPr>
                <w:sz w:val="16"/>
                <w:szCs w:val="22"/>
              </w:rPr>
              <w:t>5,1</w:t>
            </w:r>
          </w:p>
        </w:tc>
        <w:tc>
          <w:tcPr>
            <w:tcW w:w="259" w:type="pct"/>
          </w:tcPr>
          <w:p w:rsidR="00000000" w:rsidRDefault="00000000">
            <w:pPr>
              <w:spacing w:before="80" w:line="240" w:lineRule="auto"/>
              <w:jc w:val="right"/>
              <w:rPr>
                <w:sz w:val="16"/>
                <w:szCs w:val="22"/>
              </w:rPr>
            </w:pPr>
            <w:r>
              <w:rPr>
                <w:sz w:val="16"/>
                <w:szCs w:val="22"/>
              </w:rPr>
              <w:t>5,4</w:t>
            </w:r>
          </w:p>
        </w:tc>
        <w:tc>
          <w:tcPr>
            <w:tcW w:w="260" w:type="pct"/>
          </w:tcPr>
          <w:p w:rsidR="00000000" w:rsidRDefault="00000000">
            <w:pPr>
              <w:spacing w:before="80" w:line="240" w:lineRule="auto"/>
              <w:jc w:val="right"/>
              <w:rPr>
                <w:sz w:val="16"/>
                <w:szCs w:val="22"/>
              </w:rPr>
            </w:pPr>
            <w:r>
              <w:rPr>
                <w:sz w:val="16"/>
                <w:szCs w:val="22"/>
              </w:rPr>
              <w:t>5,5</w:t>
            </w:r>
          </w:p>
        </w:tc>
        <w:tc>
          <w:tcPr>
            <w:tcW w:w="259" w:type="pct"/>
          </w:tcPr>
          <w:p w:rsidR="00000000" w:rsidRDefault="00000000">
            <w:pPr>
              <w:spacing w:before="80" w:line="240" w:lineRule="auto"/>
              <w:jc w:val="right"/>
              <w:rPr>
                <w:sz w:val="16"/>
                <w:szCs w:val="22"/>
              </w:rPr>
            </w:pPr>
            <w:r>
              <w:rPr>
                <w:sz w:val="16"/>
                <w:szCs w:val="22"/>
              </w:rPr>
              <w:t>5,6</w:t>
            </w:r>
          </w:p>
        </w:tc>
        <w:tc>
          <w:tcPr>
            <w:tcW w:w="259" w:type="pct"/>
          </w:tcPr>
          <w:p w:rsidR="00000000" w:rsidRDefault="00000000">
            <w:pPr>
              <w:spacing w:before="80" w:line="240" w:lineRule="auto"/>
              <w:jc w:val="right"/>
              <w:rPr>
                <w:sz w:val="16"/>
                <w:szCs w:val="22"/>
              </w:rPr>
            </w:pPr>
            <w:r>
              <w:rPr>
                <w:sz w:val="16"/>
                <w:szCs w:val="22"/>
              </w:rPr>
              <w:t>6,1</w:t>
            </w:r>
          </w:p>
        </w:tc>
        <w:tc>
          <w:tcPr>
            <w:tcW w:w="260" w:type="pct"/>
          </w:tcPr>
          <w:p w:rsidR="00000000" w:rsidRDefault="00000000">
            <w:pPr>
              <w:spacing w:before="80" w:line="240" w:lineRule="auto"/>
              <w:jc w:val="right"/>
              <w:rPr>
                <w:sz w:val="16"/>
                <w:szCs w:val="22"/>
              </w:rPr>
            </w:pPr>
            <w:r>
              <w:rPr>
                <w:sz w:val="16"/>
                <w:szCs w:val="22"/>
              </w:rPr>
              <w:t>6,3</w:t>
            </w:r>
          </w:p>
        </w:tc>
        <w:tc>
          <w:tcPr>
            <w:tcW w:w="259" w:type="pct"/>
          </w:tcPr>
          <w:p w:rsidR="00000000" w:rsidRDefault="00000000">
            <w:pPr>
              <w:spacing w:before="80" w:line="240" w:lineRule="auto"/>
              <w:jc w:val="right"/>
              <w:rPr>
                <w:sz w:val="16"/>
                <w:szCs w:val="22"/>
              </w:rPr>
            </w:pPr>
            <w:r>
              <w:rPr>
                <w:sz w:val="16"/>
                <w:szCs w:val="22"/>
              </w:rPr>
              <w:t>6,4</w:t>
            </w:r>
          </w:p>
        </w:tc>
        <w:tc>
          <w:tcPr>
            <w:tcW w:w="259" w:type="pct"/>
          </w:tcPr>
          <w:p w:rsidR="00000000" w:rsidRDefault="00000000">
            <w:pPr>
              <w:spacing w:before="80" w:line="240" w:lineRule="auto"/>
              <w:jc w:val="right"/>
              <w:rPr>
                <w:sz w:val="16"/>
                <w:szCs w:val="22"/>
              </w:rPr>
            </w:pPr>
            <w:r>
              <w:rPr>
                <w:sz w:val="16"/>
                <w:szCs w:val="22"/>
              </w:rPr>
              <w:t>7,5</w:t>
            </w:r>
          </w:p>
        </w:tc>
        <w:tc>
          <w:tcPr>
            <w:tcW w:w="260" w:type="pct"/>
          </w:tcPr>
          <w:p w:rsidR="00000000" w:rsidRDefault="00000000">
            <w:pPr>
              <w:spacing w:before="80" w:line="240" w:lineRule="auto"/>
              <w:jc w:val="right"/>
              <w:rPr>
                <w:sz w:val="16"/>
                <w:szCs w:val="22"/>
              </w:rPr>
            </w:pPr>
            <w:r>
              <w:rPr>
                <w:sz w:val="16"/>
                <w:szCs w:val="22"/>
              </w:rPr>
              <w:t>8,2</w:t>
            </w:r>
          </w:p>
        </w:tc>
        <w:tc>
          <w:tcPr>
            <w:tcW w:w="259" w:type="pct"/>
          </w:tcPr>
          <w:p w:rsidR="00000000" w:rsidRDefault="00000000">
            <w:pPr>
              <w:spacing w:before="80" w:line="240" w:lineRule="auto"/>
              <w:jc w:val="right"/>
              <w:rPr>
                <w:sz w:val="16"/>
                <w:szCs w:val="22"/>
              </w:rPr>
            </w:pPr>
            <w:r>
              <w:rPr>
                <w:sz w:val="16"/>
                <w:szCs w:val="22"/>
              </w:rPr>
              <w:t>8,5</w:t>
            </w:r>
          </w:p>
        </w:tc>
        <w:tc>
          <w:tcPr>
            <w:tcW w:w="259" w:type="pct"/>
          </w:tcPr>
          <w:p w:rsidR="00000000" w:rsidRDefault="00000000">
            <w:pPr>
              <w:spacing w:before="80" w:line="240" w:lineRule="auto"/>
              <w:jc w:val="right"/>
              <w:rPr>
                <w:sz w:val="16"/>
                <w:szCs w:val="22"/>
              </w:rPr>
            </w:pPr>
            <w:r>
              <w:rPr>
                <w:sz w:val="16"/>
                <w:szCs w:val="22"/>
              </w:rPr>
              <w:t>9,1</w:t>
            </w:r>
          </w:p>
        </w:tc>
        <w:tc>
          <w:tcPr>
            <w:tcW w:w="259" w:type="pct"/>
          </w:tcPr>
          <w:p w:rsidR="00000000" w:rsidRDefault="00000000">
            <w:pPr>
              <w:spacing w:before="80" w:line="240" w:lineRule="auto"/>
              <w:jc w:val="right"/>
              <w:rPr>
                <w:sz w:val="16"/>
                <w:szCs w:val="22"/>
              </w:rPr>
            </w:pPr>
            <w:r>
              <w:rPr>
                <w:sz w:val="16"/>
                <w:szCs w:val="22"/>
              </w:rPr>
              <w:t>9,9</w:t>
            </w:r>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Болезни печени</w:t>
            </w:r>
            <w:r>
              <w:rPr>
                <w:b/>
                <w:bCs/>
                <w:sz w:val="16"/>
                <w:szCs w:val="22"/>
                <w:vertAlign w:val="superscript"/>
              </w:rPr>
              <w:t>а</w:t>
            </w:r>
          </w:p>
        </w:tc>
        <w:tc>
          <w:tcPr>
            <w:tcW w:w="259" w:type="pct"/>
          </w:tcPr>
          <w:p w:rsidR="00000000" w:rsidRDefault="00000000">
            <w:pPr>
              <w:spacing w:before="80" w:line="240" w:lineRule="auto"/>
              <w:jc w:val="right"/>
              <w:rPr>
                <w:sz w:val="16"/>
                <w:szCs w:val="22"/>
              </w:rPr>
            </w:pPr>
            <w:r>
              <w:rPr>
                <w:sz w:val="16"/>
                <w:szCs w:val="22"/>
              </w:rPr>
              <w:t>5,9</w:t>
            </w:r>
          </w:p>
        </w:tc>
        <w:tc>
          <w:tcPr>
            <w:tcW w:w="259" w:type="pct"/>
          </w:tcPr>
          <w:p w:rsidR="00000000" w:rsidRDefault="00000000">
            <w:pPr>
              <w:spacing w:before="80" w:line="240" w:lineRule="auto"/>
              <w:jc w:val="right"/>
              <w:rPr>
                <w:sz w:val="16"/>
                <w:szCs w:val="22"/>
              </w:rPr>
            </w:pPr>
            <w:r>
              <w:rPr>
                <w:sz w:val="16"/>
                <w:szCs w:val="22"/>
              </w:rPr>
              <w:t>6,3</w:t>
            </w:r>
          </w:p>
        </w:tc>
        <w:tc>
          <w:tcPr>
            <w:tcW w:w="259" w:type="pct"/>
          </w:tcPr>
          <w:p w:rsidR="00000000" w:rsidRDefault="00000000">
            <w:pPr>
              <w:spacing w:before="80" w:line="240" w:lineRule="auto"/>
              <w:jc w:val="right"/>
              <w:rPr>
                <w:sz w:val="16"/>
                <w:szCs w:val="22"/>
              </w:rPr>
            </w:pPr>
            <w:r>
              <w:rPr>
                <w:sz w:val="16"/>
                <w:szCs w:val="22"/>
              </w:rPr>
              <w:t>6,4</w:t>
            </w:r>
          </w:p>
        </w:tc>
        <w:tc>
          <w:tcPr>
            <w:tcW w:w="260" w:type="pct"/>
          </w:tcPr>
          <w:p w:rsidR="00000000" w:rsidRDefault="00000000">
            <w:pPr>
              <w:spacing w:before="80" w:line="240" w:lineRule="auto"/>
              <w:jc w:val="right"/>
              <w:rPr>
                <w:sz w:val="16"/>
                <w:szCs w:val="22"/>
              </w:rPr>
            </w:pPr>
            <w:r>
              <w:rPr>
                <w:sz w:val="16"/>
                <w:szCs w:val="22"/>
              </w:rPr>
              <w:t>6,7</w:t>
            </w:r>
          </w:p>
        </w:tc>
        <w:tc>
          <w:tcPr>
            <w:tcW w:w="259" w:type="pct"/>
          </w:tcPr>
          <w:p w:rsidR="00000000" w:rsidRDefault="00000000">
            <w:pPr>
              <w:spacing w:before="80" w:line="240" w:lineRule="auto"/>
              <w:jc w:val="right"/>
              <w:rPr>
                <w:sz w:val="16"/>
                <w:szCs w:val="22"/>
              </w:rPr>
            </w:pPr>
            <w:r>
              <w:rPr>
                <w:sz w:val="16"/>
                <w:szCs w:val="22"/>
              </w:rPr>
              <w:t>6,8</w:t>
            </w:r>
          </w:p>
        </w:tc>
        <w:tc>
          <w:tcPr>
            <w:tcW w:w="259" w:type="pct"/>
          </w:tcPr>
          <w:p w:rsidR="00000000" w:rsidRDefault="00000000">
            <w:pPr>
              <w:spacing w:before="80" w:line="240" w:lineRule="auto"/>
              <w:jc w:val="right"/>
              <w:rPr>
                <w:sz w:val="16"/>
                <w:szCs w:val="22"/>
              </w:rPr>
            </w:pPr>
            <w:r>
              <w:rPr>
                <w:sz w:val="16"/>
                <w:szCs w:val="22"/>
              </w:rPr>
              <w:t>6,7</w:t>
            </w:r>
          </w:p>
        </w:tc>
        <w:tc>
          <w:tcPr>
            <w:tcW w:w="260" w:type="pct"/>
          </w:tcPr>
          <w:p w:rsidR="00000000" w:rsidRDefault="00000000">
            <w:pPr>
              <w:spacing w:before="80" w:line="240" w:lineRule="auto"/>
              <w:jc w:val="right"/>
              <w:rPr>
                <w:sz w:val="16"/>
                <w:szCs w:val="22"/>
              </w:rPr>
            </w:pPr>
            <w:r>
              <w:rPr>
                <w:sz w:val="16"/>
                <w:szCs w:val="22"/>
              </w:rPr>
              <w:t>6,7</w:t>
            </w:r>
          </w:p>
        </w:tc>
        <w:tc>
          <w:tcPr>
            <w:tcW w:w="259" w:type="pct"/>
          </w:tcPr>
          <w:p w:rsidR="00000000" w:rsidRDefault="00000000">
            <w:pPr>
              <w:spacing w:before="80" w:line="240" w:lineRule="auto"/>
              <w:jc w:val="right"/>
              <w:rPr>
                <w:sz w:val="16"/>
                <w:szCs w:val="22"/>
              </w:rPr>
            </w:pPr>
            <w:r>
              <w:rPr>
                <w:sz w:val="16"/>
                <w:szCs w:val="22"/>
              </w:rPr>
              <w:t>7,0</w:t>
            </w:r>
          </w:p>
        </w:tc>
        <w:tc>
          <w:tcPr>
            <w:tcW w:w="259" w:type="pct"/>
          </w:tcPr>
          <w:p w:rsidR="00000000" w:rsidRDefault="00000000">
            <w:pPr>
              <w:spacing w:before="80" w:line="240" w:lineRule="auto"/>
              <w:jc w:val="right"/>
              <w:rPr>
                <w:sz w:val="16"/>
                <w:szCs w:val="22"/>
              </w:rPr>
            </w:pPr>
            <w:r>
              <w:rPr>
                <w:sz w:val="16"/>
                <w:szCs w:val="22"/>
              </w:rPr>
              <w:t>8,2</w:t>
            </w:r>
          </w:p>
        </w:tc>
        <w:tc>
          <w:tcPr>
            <w:tcW w:w="260" w:type="pct"/>
          </w:tcPr>
          <w:p w:rsidR="00000000" w:rsidRDefault="00000000">
            <w:pPr>
              <w:spacing w:before="80" w:line="240" w:lineRule="auto"/>
              <w:jc w:val="right"/>
              <w:rPr>
                <w:sz w:val="16"/>
                <w:szCs w:val="22"/>
              </w:rPr>
            </w:pPr>
            <w:r>
              <w:rPr>
                <w:sz w:val="16"/>
                <w:szCs w:val="22"/>
              </w:rPr>
              <w:t>8,2</w:t>
            </w:r>
          </w:p>
        </w:tc>
        <w:tc>
          <w:tcPr>
            <w:tcW w:w="259" w:type="pct"/>
          </w:tcPr>
          <w:p w:rsidR="00000000" w:rsidRDefault="00000000">
            <w:pPr>
              <w:spacing w:before="80" w:line="240" w:lineRule="auto"/>
              <w:jc w:val="right"/>
              <w:rPr>
                <w:sz w:val="16"/>
                <w:szCs w:val="22"/>
              </w:rPr>
            </w:pPr>
            <w:r>
              <w:rPr>
                <w:sz w:val="16"/>
                <w:szCs w:val="22"/>
              </w:rPr>
              <w:t>8,5</w:t>
            </w:r>
          </w:p>
        </w:tc>
        <w:tc>
          <w:tcPr>
            <w:tcW w:w="259" w:type="pct"/>
          </w:tcPr>
          <w:p w:rsidR="00000000" w:rsidRDefault="00000000">
            <w:pPr>
              <w:spacing w:before="80" w:line="240" w:lineRule="auto"/>
              <w:jc w:val="right"/>
              <w:rPr>
                <w:sz w:val="16"/>
                <w:szCs w:val="22"/>
              </w:rPr>
            </w:pPr>
            <w:r>
              <w:rPr>
                <w:sz w:val="16"/>
                <w:szCs w:val="22"/>
              </w:rPr>
              <w:t>8,5</w:t>
            </w:r>
          </w:p>
        </w:tc>
        <w:tc>
          <w:tcPr>
            <w:tcW w:w="259" w:type="pct"/>
          </w:tcPr>
          <w:p w:rsidR="00000000" w:rsidRDefault="00000000">
            <w:pPr>
              <w:spacing w:before="80" w:line="240" w:lineRule="auto"/>
              <w:jc w:val="right"/>
              <w:rPr>
                <w:sz w:val="16"/>
                <w:szCs w:val="22"/>
              </w:rPr>
            </w:pPr>
            <w:r>
              <w:rPr>
                <w:sz w:val="16"/>
                <w:szCs w:val="22"/>
              </w:rPr>
              <w:t>8,3</w:t>
            </w:r>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Сердечно-сосудистые заболевания</w:t>
            </w:r>
            <w:r>
              <w:rPr>
                <w:b/>
                <w:bCs/>
                <w:sz w:val="16"/>
                <w:szCs w:val="22"/>
                <w:vertAlign w:val="superscript"/>
                <w:lang w:val="en-US"/>
              </w:rPr>
              <w:t>b</w:t>
            </w:r>
          </w:p>
        </w:tc>
        <w:tc>
          <w:tcPr>
            <w:tcW w:w="259" w:type="pct"/>
          </w:tcPr>
          <w:p w:rsidR="00000000" w:rsidRDefault="00000000">
            <w:pPr>
              <w:spacing w:before="80" w:line="240" w:lineRule="auto"/>
              <w:jc w:val="right"/>
              <w:rPr>
                <w:sz w:val="16"/>
                <w:szCs w:val="22"/>
              </w:rPr>
            </w:pPr>
            <w:r>
              <w:rPr>
                <w:sz w:val="16"/>
                <w:szCs w:val="22"/>
              </w:rPr>
              <w:t>3,8</w:t>
            </w:r>
          </w:p>
        </w:tc>
        <w:tc>
          <w:tcPr>
            <w:tcW w:w="259" w:type="pct"/>
          </w:tcPr>
          <w:p w:rsidR="00000000" w:rsidRDefault="00000000">
            <w:pPr>
              <w:spacing w:before="80" w:line="240" w:lineRule="auto"/>
              <w:jc w:val="right"/>
              <w:rPr>
                <w:sz w:val="16"/>
                <w:szCs w:val="22"/>
              </w:rPr>
            </w:pPr>
            <w:r>
              <w:rPr>
                <w:sz w:val="16"/>
                <w:szCs w:val="22"/>
              </w:rPr>
              <w:t>4,2</w:t>
            </w:r>
          </w:p>
        </w:tc>
        <w:tc>
          <w:tcPr>
            <w:tcW w:w="259" w:type="pct"/>
          </w:tcPr>
          <w:p w:rsidR="00000000" w:rsidRDefault="00000000">
            <w:pPr>
              <w:spacing w:before="80" w:line="240" w:lineRule="auto"/>
              <w:jc w:val="right"/>
              <w:rPr>
                <w:sz w:val="16"/>
                <w:szCs w:val="22"/>
              </w:rPr>
            </w:pPr>
            <w:r>
              <w:rPr>
                <w:sz w:val="16"/>
                <w:szCs w:val="22"/>
              </w:rPr>
              <w:t>4,3</w:t>
            </w:r>
          </w:p>
        </w:tc>
        <w:tc>
          <w:tcPr>
            <w:tcW w:w="260" w:type="pct"/>
          </w:tcPr>
          <w:p w:rsidR="00000000" w:rsidRDefault="00000000">
            <w:pPr>
              <w:spacing w:before="80" w:line="240" w:lineRule="auto"/>
              <w:jc w:val="right"/>
              <w:rPr>
                <w:sz w:val="16"/>
                <w:szCs w:val="22"/>
              </w:rPr>
            </w:pPr>
            <w:r>
              <w:rPr>
                <w:sz w:val="16"/>
                <w:szCs w:val="22"/>
              </w:rPr>
              <w:t>4,3</w:t>
            </w:r>
          </w:p>
        </w:tc>
        <w:tc>
          <w:tcPr>
            <w:tcW w:w="259" w:type="pct"/>
          </w:tcPr>
          <w:p w:rsidR="00000000" w:rsidRDefault="00000000">
            <w:pPr>
              <w:spacing w:before="80" w:line="240" w:lineRule="auto"/>
              <w:jc w:val="right"/>
              <w:rPr>
                <w:sz w:val="16"/>
                <w:szCs w:val="22"/>
              </w:rPr>
            </w:pPr>
            <w:r>
              <w:rPr>
                <w:sz w:val="16"/>
                <w:szCs w:val="22"/>
              </w:rPr>
              <w:t>4,4</w:t>
            </w:r>
          </w:p>
        </w:tc>
        <w:tc>
          <w:tcPr>
            <w:tcW w:w="259" w:type="pct"/>
          </w:tcPr>
          <w:p w:rsidR="00000000" w:rsidRDefault="00000000">
            <w:pPr>
              <w:spacing w:before="80" w:line="240" w:lineRule="auto"/>
              <w:jc w:val="right"/>
              <w:rPr>
                <w:sz w:val="16"/>
                <w:szCs w:val="22"/>
              </w:rPr>
            </w:pPr>
            <w:r>
              <w:rPr>
                <w:sz w:val="16"/>
                <w:szCs w:val="22"/>
              </w:rPr>
              <w:t>4,5</w:t>
            </w:r>
          </w:p>
        </w:tc>
        <w:tc>
          <w:tcPr>
            <w:tcW w:w="260" w:type="pct"/>
          </w:tcPr>
          <w:p w:rsidR="00000000" w:rsidRDefault="00000000">
            <w:pPr>
              <w:spacing w:before="80" w:line="240" w:lineRule="auto"/>
              <w:jc w:val="right"/>
              <w:rPr>
                <w:sz w:val="16"/>
                <w:szCs w:val="22"/>
              </w:rPr>
            </w:pPr>
            <w:r>
              <w:rPr>
                <w:sz w:val="16"/>
                <w:szCs w:val="22"/>
              </w:rPr>
              <w:t>4,6</w:t>
            </w:r>
          </w:p>
        </w:tc>
        <w:tc>
          <w:tcPr>
            <w:tcW w:w="259" w:type="pct"/>
          </w:tcPr>
          <w:p w:rsidR="00000000" w:rsidRDefault="00000000">
            <w:pPr>
              <w:spacing w:before="80" w:line="240" w:lineRule="auto"/>
              <w:jc w:val="right"/>
              <w:rPr>
                <w:sz w:val="16"/>
                <w:szCs w:val="22"/>
              </w:rPr>
            </w:pPr>
            <w:r>
              <w:rPr>
                <w:sz w:val="16"/>
                <w:szCs w:val="22"/>
              </w:rPr>
              <w:t>4,7</w:t>
            </w:r>
          </w:p>
        </w:tc>
        <w:tc>
          <w:tcPr>
            <w:tcW w:w="259" w:type="pct"/>
          </w:tcPr>
          <w:p w:rsidR="00000000" w:rsidRDefault="00000000">
            <w:pPr>
              <w:spacing w:before="80" w:line="240" w:lineRule="auto"/>
              <w:jc w:val="right"/>
              <w:rPr>
                <w:sz w:val="16"/>
                <w:szCs w:val="22"/>
              </w:rPr>
            </w:pPr>
            <w:r>
              <w:rPr>
                <w:sz w:val="16"/>
                <w:szCs w:val="22"/>
              </w:rPr>
              <w:t>4,7</w:t>
            </w:r>
          </w:p>
        </w:tc>
        <w:tc>
          <w:tcPr>
            <w:tcW w:w="260" w:type="pct"/>
          </w:tcPr>
          <w:p w:rsidR="00000000" w:rsidRDefault="00000000">
            <w:pPr>
              <w:spacing w:before="80" w:line="240" w:lineRule="auto"/>
              <w:jc w:val="right"/>
              <w:rPr>
                <w:sz w:val="16"/>
                <w:szCs w:val="22"/>
              </w:rPr>
            </w:pPr>
            <w:r>
              <w:rPr>
                <w:sz w:val="16"/>
                <w:szCs w:val="22"/>
              </w:rPr>
              <w:t>4,9</w:t>
            </w:r>
          </w:p>
        </w:tc>
        <w:tc>
          <w:tcPr>
            <w:tcW w:w="259" w:type="pct"/>
          </w:tcPr>
          <w:p w:rsidR="00000000" w:rsidRDefault="00000000">
            <w:pPr>
              <w:spacing w:before="80" w:line="240" w:lineRule="auto"/>
              <w:jc w:val="right"/>
              <w:rPr>
                <w:sz w:val="16"/>
                <w:szCs w:val="22"/>
              </w:rPr>
            </w:pPr>
            <w:r>
              <w:rPr>
                <w:sz w:val="16"/>
                <w:szCs w:val="22"/>
              </w:rPr>
              <w:t>4,9</w:t>
            </w:r>
          </w:p>
        </w:tc>
        <w:tc>
          <w:tcPr>
            <w:tcW w:w="259" w:type="pct"/>
          </w:tcPr>
          <w:p w:rsidR="00000000" w:rsidRDefault="00000000">
            <w:pPr>
              <w:spacing w:before="80" w:line="240" w:lineRule="auto"/>
              <w:jc w:val="right"/>
              <w:rPr>
                <w:sz w:val="16"/>
                <w:szCs w:val="22"/>
              </w:rPr>
            </w:pPr>
            <w:r>
              <w:rPr>
                <w:sz w:val="16"/>
                <w:szCs w:val="22"/>
              </w:rPr>
              <w:t>4,9</w:t>
            </w:r>
          </w:p>
        </w:tc>
        <w:tc>
          <w:tcPr>
            <w:tcW w:w="259" w:type="pct"/>
          </w:tcPr>
          <w:p w:rsidR="00000000" w:rsidRDefault="00000000">
            <w:pPr>
              <w:spacing w:before="80" w:line="240" w:lineRule="auto"/>
              <w:jc w:val="right"/>
              <w:rPr>
                <w:sz w:val="16"/>
                <w:szCs w:val="22"/>
              </w:rPr>
            </w:pPr>
            <w:r>
              <w:rPr>
                <w:sz w:val="16"/>
                <w:szCs w:val="22"/>
              </w:rPr>
              <w:t>4,9</w:t>
            </w:r>
          </w:p>
        </w:tc>
      </w:tr>
      <w:tr w:rsidR="00000000">
        <w:trPr>
          <w:jc w:val="center"/>
        </w:trPr>
        <w:tc>
          <w:tcPr>
            <w:tcW w:w="1630" w:type="pct"/>
          </w:tcPr>
          <w:p w:rsidR="00000000" w:rsidRDefault="00000000">
            <w:pPr>
              <w:spacing w:before="80" w:line="240" w:lineRule="auto"/>
              <w:rPr>
                <w:sz w:val="16"/>
                <w:szCs w:val="22"/>
              </w:rPr>
            </w:pPr>
            <w:r>
              <w:rPr>
                <w:sz w:val="16"/>
                <w:szCs w:val="22"/>
              </w:rPr>
              <w:t>Некоторые заболевания, связанные с перинатальным периодом</w:t>
            </w:r>
          </w:p>
        </w:tc>
        <w:tc>
          <w:tcPr>
            <w:tcW w:w="259" w:type="pct"/>
          </w:tcPr>
          <w:p w:rsidR="00000000" w:rsidRDefault="00000000">
            <w:pPr>
              <w:spacing w:before="80" w:line="240" w:lineRule="auto"/>
              <w:jc w:val="right"/>
              <w:rPr>
                <w:sz w:val="16"/>
                <w:szCs w:val="22"/>
              </w:rPr>
            </w:pPr>
            <w:r>
              <w:rPr>
                <w:sz w:val="16"/>
                <w:szCs w:val="22"/>
              </w:rPr>
              <w:t>5,6</w:t>
            </w:r>
          </w:p>
        </w:tc>
        <w:tc>
          <w:tcPr>
            <w:tcW w:w="259" w:type="pct"/>
          </w:tcPr>
          <w:p w:rsidR="00000000" w:rsidRDefault="00000000">
            <w:pPr>
              <w:spacing w:before="80" w:line="240" w:lineRule="auto"/>
              <w:jc w:val="right"/>
              <w:rPr>
                <w:sz w:val="16"/>
                <w:szCs w:val="22"/>
              </w:rPr>
            </w:pPr>
            <w:r>
              <w:rPr>
                <w:sz w:val="16"/>
                <w:szCs w:val="22"/>
              </w:rPr>
              <w:t>5,6</w:t>
            </w:r>
          </w:p>
        </w:tc>
        <w:tc>
          <w:tcPr>
            <w:tcW w:w="259" w:type="pct"/>
          </w:tcPr>
          <w:p w:rsidR="00000000" w:rsidRDefault="00000000">
            <w:pPr>
              <w:spacing w:before="80" w:line="240" w:lineRule="auto"/>
              <w:jc w:val="right"/>
              <w:rPr>
                <w:sz w:val="16"/>
                <w:szCs w:val="22"/>
              </w:rPr>
            </w:pPr>
            <w:r>
              <w:rPr>
                <w:sz w:val="16"/>
                <w:szCs w:val="22"/>
              </w:rPr>
              <w:t>5,5</w:t>
            </w:r>
          </w:p>
        </w:tc>
        <w:tc>
          <w:tcPr>
            <w:tcW w:w="260" w:type="pct"/>
          </w:tcPr>
          <w:p w:rsidR="00000000" w:rsidRDefault="00000000">
            <w:pPr>
              <w:spacing w:before="80" w:line="240" w:lineRule="auto"/>
              <w:jc w:val="right"/>
              <w:rPr>
                <w:sz w:val="16"/>
                <w:szCs w:val="22"/>
              </w:rPr>
            </w:pPr>
            <w:r>
              <w:rPr>
                <w:sz w:val="16"/>
                <w:szCs w:val="22"/>
              </w:rPr>
              <w:t>5,2</w:t>
            </w:r>
          </w:p>
        </w:tc>
        <w:tc>
          <w:tcPr>
            <w:tcW w:w="259" w:type="pct"/>
          </w:tcPr>
          <w:p w:rsidR="00000000" w:rsidRDefault="00000000">
            <w:pPr>
              <w:spacing w:before="80" w:line="240" w:lineRule="auto"/>
              <w:jc w:val="right"/>
              <w:rPr>
                <w:sz w:val="16"/>
                <w:szCs w:val="22"/>
              </w:rPr>
            </w:pPr>
            <w:r>
              <w:rPr>
                <w:sz w:val="16"/>
                <w:szCs w:val="22"/>
              </w:rPr>
              <w:t>5,1</w:t>
            </w:r>
          </w:p>
        </w:tc>
        <w:tc>
          <w:tcPr>
            <w:tcW w:w="259" w:type="pct"/>
          </w:tcPr>
          <w:p w:rsidR="00000000" w:rsidRDefault="00000000">
            <w:pPr>
              <w:spacing w:before="80" w:line="240" w:lineRule="auto"/>
              <w:jc w:val="right"/>
              <w:rPr>
                <w:sz w:val="16"/>
                <w:szCs w:val="22"/>
              </w:rPr>
            </w:pPr>
            <w:r>
              <w:rPr>
                <w:sz w:val="16"/>
                <w:szCs w:val="22"/>
              </w:rPr>
              <w:t>5,0</w:t>
            </w:r>
          </w:p>
        </w:tc>
        <w:tc>
          <w:tcPr>
            <w:tcW w:w="260" w:type="pct"/>
          </w:tcPr>
          <w:p w:rsidR="00000000" w:rsidRDefault="00000000">
            <w:pPr>
              <w:spacing w:before="80" w:line="240" w:lineRule="auto"/>
              <w:jc w:val="right"/>
              <w:rPr>
                <w:sz w:val="16"/>
                <w:szCs w:val="22"/>
              </w:rPr>
            </w:pPr>
            <w:r>
              <w:rPr>
                <w:sz w:val="16"/>
                <w:szCs w:val="22"/>
              </w:rPr>
              <w:t>4,8</w:t>
            </w:r>
          </w:p>
        </w:tc>
        <w:tc>
          <w:tcPr>
            <w:tcW w:w="259" w:type="pct"/>
          </w:tcPr>
          <w:p w:rsidR="00000000" w:rsidRDefault="00000000">
            <w:pPr>
              <w:spacing w:before="80" w:line="240" w:lineRule="auto"/>
              <w:jc w:val="right"/>
              <w:rPr>
                <w:sz w:val="16"/>
                <w:szCs w:val="22"/>
              </w:rPr>
            </w:pPr>
            <w:r>
              <w:rPr>
                <w:sz w:val="16"/>
                <w:szCs w:val="22"/>
              </w:rPr>
              <w:t>4,7</w:t>
            </w:r>
          </w:p>
        </w:tc>
        <w:tc>
          <w:tcPr>
            <w:tcW w:w="259" w:type="pct"/>
          </w:tcPr>
          <w:p w:rsidR="00000000" w:rsidRDefault="00000000">
            <w:pPr>
              <w:spacing w:before="80" w:line="240" w:lineRule="auto"/>
              <w:jc w:val="right"/>
              <w:rPr>
                <w:sz w:val="16"/>
                <w:szCs w:val="22"/>
              </w:rPr>
            </w:pPr>
            <w:r>
              <w:rPr>
                <w:sz w:val="16"/>
                <w:szCs w:val="22"/>
              </w:rPr>
              <w:t>4,6</w:t>
            </w:r>
          </w:p>
        </w:tc>
        <w:tc>
          <w:tcPr>
            <w:tcW w:w="260" w:type="pct"/>
          </w:tcPr>
          <w:p w:rsidR="00000000" w:rsidRDefault="00000000">
            <w:pPr>
              <w:spacing w:before="80" w:line="240" w:lineRule="auto"/>
              <w:jc w:val="right"/>
              <w:rPr>
                <w:sz w:val="16"/>
                <w:szCs w:val="22"/>
              </w:rPr>
            </w:pPr>
            <w:r>
              <w:rPr>
                <w:sz w:val="16"/>
                <w:szCs w:val="22"/>
              </w:rPr>
              <w:t>4,5</w:t>
            </w:r>
          </w:p>
        </w:tc>
        <w:tc>
          <w:tcPr>
            <w:tcW w:w="259" w:type="pct"/>
          </w:tcPr>
          <w:p w:rsidR="00000000" w:rsidRDefault="00000000">
            <w:pPr>
              <w:spacing w:before="80" w:line="240" w:lineRule="auto"/>
              <w:jc w:val="right"/>
              <w:rPr>
                <w:sz w:val="16"/>
                <w:szCs w:val="22"/>
              </w:rPr>
            </w:pPr>
            <w:r>
              <w:rPr>
                <w:sz w:val="16"/>
                <w:szCs w:val="22"/>
              </w:rPr>
              <w:t>4,6</w:t>
            </w:r>
          </w:p>
        </w:tc>
        <w:tc>
          <w:tcPr>
            <w:tcW w:w="259" w:type="pct"/>
          </w:tcPr>
          <w:p w:rsidR="00000000" w:rsidRDefault="00000000">
            <w:pPr>
              <w:spacing w:before="80" w:line="240" w:lineRule="auto"/>
              <w:jc w:val="right"/>
              <w:rPr>
                <w:sz w:val="16"/>
                <w:szCs w:val="22"/>
              </w:rPr>
            </w:pPr>
            <w:r>
              <w:rPr>
                <w:sz w:val="16"/>
                <w:szCs w:val="22"/>
              </w:rPr>
              <w:t>4,3</w:t>
            </w:r>
          </w:p>
        </w:tc>
        <w:tc>
          <w:tcPr>
            <w:tcW w:w="259" w:type="pct"/>
          </w:tcPr>
          <w:p w:rsidR="00000000" w:rsidRDefault="00000000">
            <w:pPr>
              <w:spacing w:before="80" w:line="240" w:lineRule="auto"/>
              <w:jc w:val="right"/>
              <w:rPr>
                <w:sz w:val="16"/>
                <w:szCs w:val="22"/>
              </w:rPr>
            </w:pPr>
            <w:r>
              <w:rPr>
                <w:sz w:val="16"/>
                <w:szCs w:val="22"/>
              </w:rPr>
              <w:t>4,2</w:t>
            </w:r>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Хронические обструктивные легочные заболевания</w:t>
            </w:r>
            <w:r>
              <w:rPr>
                <w:sz w:val="16"/>
                <w:szCs w:val="22"/>
                <w:vertAlign w:val="superscript"/>
              </w:rPr>
              <w:t>с</w:t>
            </w:r>
          </w:p>
        </w:tc>
        <w:tc>
          <w:tcPr>
            <w:tcW w:w="259" w:type="pct"/>
          </w:tcPr>
          <w:p w:rsidR="00000000" w:rsidRDefault="00000000">
            <w:pPr>
              <w:spacing w:before="80" w:line="240" w:lineRule="auto"/>
              <w:jc w:val="right"/>
              <w:rPr>
                <w:sz w:val="16"/>
                <w:szCs w:val="22"/>
              </w:rPr>
            </w:pPr>
            <w:r>
              <w:rPr>
                <w:sz w:val="16"/>
                <w:szCs w:val="22"/>
              </w:rPr>
              <w:t>5,4</w:t>
            </w:r>
          </w:p>
        </w:tc>
        <w:tc>
          <w:tcPr>
            <w:tcW w:w="259" w:type="pct"/>
          </w:tcPr>
          <w:p w:rsidR="00000000" w:rsidRDefault="00000000">
            <w:pPr>
              <w:spacing w:before="80" w:line="240" w:lineRule="auto"/>
              <w:jc w:val="right"/>
              <w:rPr>
                <w:sz w:val="16"/>
                <w:szCs w:val="22"/>
              </w:rPr>
            </w:pPr>
            <w:r>
              <w:rPr>
                <w:sz w:val="16"/>
                <w:szCs w:val="22"/>
              </w:rPr>
              <w:t>5,8</w:t>
            </w:r>
          </w:p>
        </w:tc>
        <w:tc>
          <w:tcPr>
            <w:tcW w:w="259" w:type="pct"/>
          </w:tcPr>
          <w:p w:rsidR="00000000" w:rsidRDefault="00000000">
            <w:pPr>
              <w:spacing w:before="80" w:line="240" w:lineRule="auto"/>
              <w:jc w:val="right"/>
              <w:rPr>
                <w:sz w:val="16"/>
                <w:szCs w:val="22"/>
              </w:rPr>
            </w:pPr>
            <w:r>
              <w:rPr>
                <w:sz w:val="16"/>
                <w:szCs w:val="22"/>
              </w:rPr>
              <w:t>6,4</w:t>
            </w:r>
          </w:p>
        </w:tc>
        <w:tc>
          <w:tcPr>
            <w:tcW w:w="260" w:type="pct"/>
          </w:tcPr>
          <w:p w:rsidR="00000000" w:rsidRDefault="00000000">
            <w:pPr>
              <w:spacing w:before="80" w:line="240" w:lineRule="auto"/>
              <w:jc w:val="right"/>
              <w:rPr>
                <w:sz w:val="16"/>
                <w:szCs w:val="22"/>
              </w:rPr>
            </w:pPr>
            <w:r>
              <w:rPr>
                <w:sz w:val="16"/>
                <w:szCs w:val="22"/>
              </w:rPr>
              <w:t>6,1</w:t>
            </w:r>
          </w:p>
        </w:tc>
        <w:tc>
          <w:tcPr>
            <w:tcW w:w="259" w:type="pct"/>
          </w:tcPr>
          <w:p w:rsidR="00000000" w:rsidRDefault="00000000">
            <w:pPr>
              <w:spacing w:before="80" w:line="240" w:lineRule="auto"/>
              <w:jc w:val="right"/>
              <w:rPr>
                <w:sz w:val="16"/>
                <w:szCs w:val="22"/>
              </w:rPr>
            </w:pPr>
            <w:r>
              <w:rPr>
                <w:sz w:val="16"/>
                <w:szCs w:val="22"/>
              </w:rPr>
              <w:t>6,0</w:t>
            </w:r>
          </w:p>
        </w:tc>
        <w:tc>
          <w:tcPr>
            <w:tcW w:w="259" w:type="pct"/>
          </w:tcPr>
          <w:p w:rsidR="00000000" w:rsidRDefault="00000000">
            <w:pPr>
              <w:spacing w:before="80" w:line="240" w:lineRule="auto"/>
              <w:jc w:val="right"/>
              <w:rPr>
                <w:sz w:val="16"/>
                <w:szCs w:val="22"/>
              </w:rPr>
            </w:pPr>
            <w:r>
              <w:rPr>
                <w:sz w:val="16"/>
                <w:szCs w:val="22"/>
              </w:rPr>
              <w:t>5,8</w:t>
            </w:r>
          </w:p>
        </w:tc>
        <w:tc>
          <w:tcPr>
            <w:tcW w:w="260" w:type="pct"/>
          </w:tcPr>
          <w:p w:rsidR="00000000" w:rsidRDefault="00000000">
            <w:pPr>
              <w:spacing w:before="80" w:line="240" w:lineRule="auto"/>
              <w:jc w:val="right"/>
              <w:rPr>
                <w:sz w:val="16"/>
                <w:szCs w:val="22"/>
              </w:rPr>
            </w:pPr>
            <w:r>
              <w:rPr>
                <w:sz w:val="16"/>
                <w:szCs w:val="22"/>
              </w:rPr>
              <w:t>5,3</w:t>
            </w:r>
          </w:p>
        </w:tc>
        <w:tc>
          <w:tcPr>
            <w:tcW w:w="259" w:type="pct"/>
          </w:tcPr>
          <w:p w:rsidR="00000000" w:rsidRDefault="00000000">
            <w:pPr>
              <w:spacing w:before="80" w:line="240" w:lineRule="auto"/>
              <w:jc w:val="right"/>
              <w:rPr>
                <w:sz w:val="16"/>
                <w:szCs w:val="22"/>
              </w:rPr>
            </w:pPr>
            <w:r>
              <w:rPr>
                <w:sz w:val="16"/>
                <w:szCs w:val="22"/>
              </w:rPr>
              <w:t>4,9</w:t>
            </w:r>
          </w:p>
        </w:tc>
        <w:tc>
          <w:tcPr>
            <w:tcW w:w="259" w:type="pct"/>
          </w:tcPr>
          <w:p w:rsidR="00000000" w:rsidRDefault="00000000">
            <w:pPr>
              <w:spacing w:before="80" w:line="240" w:lineRule="auto"/>
              <w:jc w:val="right"/>
              <w:rPr>
                <w:sz w:val="16"/>
                <w:szCs w:val="22"/>
              </w:rPr>
            </w:pPr>
            <w:r>
              <w:rPr>
                <w:sz w:val="16"/>
                <w:szCs w:val="22"/>
              </w:rPr>
              <w:t>4,9</w:t>
            </w:r>
          </w:p>
        </w:tc>
        <w:tc>
          <w:tcPr>
            <w:tcW w:w="260" w:type="pct"/>
          </w:tcPr>
          <w:p w:rsidR="00000000" w:rsidRDefault="00000000">
            <w:pPr>
              <w:spacing w:before="80" w:line="240" w:lineRule="auto"/>
              <w:jc w:val="right"/>
              <w:rPr>
                <w:sz w:val="16"/>
                <w:szCs w:val="22"/>
              </w:rPr>
            </w:pPr>
            <w:r>
              <w:rPr>
                <w:sz w:val="16"/>
                <w:szCs w:val="22"/>
              </w:rPr>
              <w:t>4,4</w:t>
            </w:r>
          </w:p>
        </w:tc>
        <w:tc>
          <w:tcPr>
            <w:tcW w:w="259" w:type="pct"/>
          </w:tcPr>
          <w:p w:rsidR="00000000" w:rsidRDefault="00000000">
            <w:pPr>
              <w:spacing w:before="80" w:line="240" w:lineRule="auto"/>
              <w:jc w:val="right"/>
              <w:rPr>
                <w:sz w:val="16"/>
                <w:szCs w:val="22"/>
              </w:rPr>
            </w:pPr>
            <w:r>
              <w:rPr>
                <w:sz w:val="16"/>
                <w:szCs w:val="22"/>
              </w:rPr>
              <w:t>3,9</w:t>
            </w:r>
          </w:p>
        </w:tc>
        <w:tc>
          <w:tcPr>
            <w:tcW w:w="259" w:type="pct"/>
          </w:tcPr>
          <w:p w:rsidR="00000000" w:rsidRDefault="00000000">
            <w:pPr>
              <w:spacing w:before="80" w:line="240" w:lineRule="auto"/>
              <w:jc w:val="right"/>
              <w:rPr>
                <w:sz w:val="16"/>
                <w:szCs w:val="22"/>
              </w:rPr>
            </w:pPr>
            <w:r>
              <w:rPr>
                <w:sz w:val="16"/>
                <w:szCs w:val="22"/>
              </w:rPr>
              <w:t>3,7</w:t>
            </w:r>
          </w:p>
        </w:tc>
        <w:tc>
          <w:tcPr>
            <w:tcW w:w="259" w:type="pct"/>
          </w:tcPr>
          <w:p w:rsidR="00000000" w:rsidRDefault="00000000">
            <w:pPr>
              <w:spacing w:before="80" w:line="240" w:lineRule="auto"/>
              <w:jc w:val="right"/>
              <w:rPr>
                <w:sz w:val="16"/>
                <w:szCs w:val="22"/>
              </w:rPr>
            </w:pPr>
            <w:r>
              <w:rPr>
                <w:sz w:val="16"/>
                <w:szCs w:val="22"/>
              </w:rPr>
              <w:t>3,4</w:t>
            </w:r>
          </w:p>
        </w:tc>
      </w:tr>
      <w:tr w:rsidR="00000000">
        <w:trPr>
          <w:jc w:val="center"/>
        </w:trPr>
        <w:tc>
          <w:tcPr>
            <w:tcW w:w="1630" w:type="pct"/>
          </w:tcPr>
          <w:p w:rsidR="00000000" w:rsidRDefault="00000000">
            <w:pPr>
              <w:spacing w:before="80" w:line="240" w:lineRule="auto"/>
              <w:rPr>
                <w:sz w:val="16"/>
                <w:szCs w:val="22"/>
              </w:rPr>
            </w:pPr>
            <w:r>
              <w:rPr>
                <w:sz w:val="16"/>
                <w:szCs w:val="22"/>
              </w:rPr>
              <w:t>Грипп и воспаления легких</w:t>
            </w:r>
            <w:r>
              <w:rPr>
                <w:b/>
                <w:bCs/>
                <w:sz w:val="16"/>
                <w:szCs w:val="22"/>
                <w:vertAlign w:val="superscript"/>
                <w:lang w:val="fr-FR"/>
              </w:rPr>
              <w:t>d</w:t>
            </w:r>
          </w:p>
        </w:tc>
        <w:tc>
          <w:tcPr>
            <w:tcW w:w="259" w:type="pct"/>
          </w:tcPr>
          <w:p w:rsidR="00000000" w:rsidRDefault="00000000">
            <w:pPr>
              <w:spacing w:before="80" w:line="240" w:lineRule="auto"/>
              <w:jc w:val="right"/>
              <w:rPr>
                <w:sz w:val="16"/>
                <w:szCs w:val="22"/>
              </w:rPr>
            </w:pPr>
            <w:hyperlink r:id="rId69"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70"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71"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72"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73"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74"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75"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76"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r>
              <w:rPr>
                <w:sz w:val="16"/>
                <w:szCs w:val="22"/>
              </w:rPr>
              <w:t>2,3</w:t>
            </w:r>
          </w:p>
        </w:tc>
        <w:tc>
          <w:tcPr>
            <w:tcW w:w="260" w:type="pct"/>
          </w:tcPr>
          <w:p w:rsidR="00000000" w:rsidRDefault="00000000">
            <w:pPr>
              <w:spacing w:before="80" w:line="240" w:lineRule="auto"/>
              <w:jc w:val="right"/>
              <w:rPr>
                <w:sz w:val="16"/>
                <w:szCs w:val="22"/>
              </w:rPr>
            </w:pPr>
            <w:r>
              <w:rPr>
                <w:sz w:val="16"/>
                <w:szCs w:val="22"/>
              </w:rPr>
              <w:t>2,6</w:t>
            </w:r>
          </w:p>
        </w:tc>
        <w:tc>
          <w:tcPr>
            <w:tcW w:w="259" w:type="pct"/>
          </w:tcPr>
          <w:p w:rsidR="00000000" w:rsidRDefault="00000000">
            <w:pPr>
              <w:spacing w:before="80" w:line="240" w:lineRule="auto"/>
              <w:jc w:val="right"/>
              <w:rPr>
                <w:sz w:val="16"/>
                <w:szCs w:val="22"/>
              </w:rPr>
            </w:pPr>
            <w:r>
              <w:rPr>
                <w:sz w:val="16"/>
                <w:szCs w:val="22"/>
              </w:rPr>
              <w:t>2,5</w:t>
            </w:r>
          </w:p>
        </w:tc>
        <w:tc>
          <w:tcPr>
            <w:tcW w:w="259" w:type="pct"/>
          </w:tcPr>
          <w:p w:rsidR="00000000" w:rsidRDefault="00000000">
            <w:pPr>
              <w:spacing w:before="80" w:line="240" w:lineRule="auto"/>
              <w:jc w:val="right"/>
              <w:rPr>
                <w:sz w:val="16"/>
                <w:szCs w:val="22"/>
              </w:rPr>
            </w:pPr>
            <w:r>
              <w:rPr>
                <w:sz w:val="16"/>
                <w:szCs w:val="22"/>
              </w:rPr>
              <w:t>2,5</w:t>
            </w:r>
          </w:p>
        </w:tc>
        <w:tc>
          <w:tcPr>
            <w:tcW w:w="259" w:type="pct"/>
          </w:tcPr>
          <w:p w:rsidR="00000000" w:rsidRDefault="00000000">
            <w:pPr>
              <w:spacing w:before="80" w:line="240" w:lineRule="auto"/>
              <w:jc w:val="right"/>
              <w:rPr>
                <w:sz w:val="16"/>
                <w:szCs w:val="22"/>
              </w:rPr>
            </w:pPr>
            <w:r>
              <w:rPr>
                <w:sz w:val="16"/>
                <w:szCs w:val="22"/>
              </w:rPr>
              <w:t>2,6</w:t>
            </w:r>
          </w:p>
        </w:tc>
      </w:tr>
      <w:tr w:rsidR="00000000">
        <w:trPr>
          <w:jc w:val="center"/>
        </w:trPr>
        <w:tc>
          <w:tcPr>
            <w:tcW w:w="1630" w:type="pct"/>
          </w:tcPr>
          <w:p w:rsidR="00000000" w:rsidRDefault="00000000">
            <w:pPr>
              <w:spacing w:before="80" w:line="240" w:lineRule="auto"/>
              <w:rPr>
                <w:sz w:val="16"/>
                <w:szCs w:val="22"/>
              </w:rPr>
            </w:pPr>
            <w:r>
              <w:rPr>
                <w:sz w:val="16"/>
                <w:szCs w:val="22"/>
              </w:rPr>
              <w:t>Телесные повреждения (убийства)</w:t>
            </w:r>
            <w:r>
              <w:rPr>
                <w:b/>
                <w:bCs/>
                <w:sz w:val="16"/>
                <w:szCs w:val="22"/>
                <w:vertAlign w:val="superscript"/>
              </w:rPr>
              <w:t>е</w:t>
            </w:r>
          </w:p>
        </w:tc>
        <w:tc>
          <w:tcPr>
            <w:tcW w:w="259" w:type="pct"/>
          </w:tcPr>
          <w:p w:rsidR="00000000" w:rsidRDefault="00000000">
            <w:pPr>
              <w:spacing w:before="80" w:line="240" w:lineRule="auto"/>
              <w:jc w:val="right"/>
              <w:rPr>
                <w:sz w:val="16"/>
                <w:szCs w:val="22"/>
              </w:rPr>
            </w:pPr>
            <w:r>
              <w:rPr>
                <w:sz w:val="16"/>
                <w:szCs w:val="22"/>
              </w:rPr>
              <w:t>5,0</w:t>
            </w:r>
          </w:p>
        </w:tc>
        <w:tc>
          <w:tcPr>
            <w:tcW w:w="259" w:type="pct"/>
          </w:tcPr>
          <w:p w:rsidR="00000000" w:rsidRDefault="00000000">
            <w:pPr>
              <w:spacing w:before="80" w:line="240" w:lineRule="auto"/>
              <w:jc w:val="right"/>
              <w:rPr>
                <w:sz w:val="16"/>
                <w:szCs w:val="22"/>
              </w:rPr>
            </w:pPr>
            <w:r>
              <w:rPr>
                <w:sz w:val="16"/>
                <w:szCs w:val="22"/>
              </w:rPr>
              <w:t>4,4</w:t>
            </w:r>
          </w:p>
        </w:tc>
        <w:tc>
          <w:tcPr>
            <w:tcW w:w="259" w:type="pct"/>
          </w:tcPr>
          <w:p w:rsidR="00000000" w:rsidRDefault="00000000">
            <w:pPr>
              <w:spacing w:before="80" w:line="240" w:lineRule="auto"/>
              <w:jc w:val="right"/>
              <w:rPr>
                <w:sz w:val="16"/>
                <w:szCs w:val="22"/>
              </w:rPr>
            </w:pPr>
            <w:r>
              <w:rPr>
                <w:sz w:val="16"/>
                <w:szCs w:val="22"/>
              </w:rPr>
              <w:t>4,3</w:t>
            </w:r>
          </w:p>
        </w:tc>
        <w:tc>
          <w:tcPr>
            <w:tcW w:w="260" w:type="pct"/>
          </w:tcPr>
          <w:p w:rsidR="00000000" w:rsidRDefault="00000000">
            <w:pPr>
              <w:spacing w:before="80" w:line="240" w:lineRule="auto"/>
              <w:jc w:val="right"/>
              <w:rPr>
                <w:sz w:val="16"/>
                <w:szCs w:val="22"/>
              </w:rPr>
            </w:pPr>
            <w:r>
              <w:rPr>
                <w:sz w:val="16"/>
                <w:szCs w:val="22"/>
              </w:rPr>
              <w:t>4,2</w:t>
            </w:r>
          </w:p>
        </w:tc>
        <w:tc>
          <w:tcPr>
            <w:tcW w:w="259" w:type="pct"/>
          </w:tcPr>
          <w:p w:rsidR="00000000" w:rsidRDefault="00000000">
            <w:pPr>
              <w:spacing w:before="80" w:line="240" w:lineRule="auto"/>
              <w:jc w:val="right"/>
              <w:rPr>
                <w:sz w:val="16"/>
                <w:szCs w:val="22"/>
              </w:rPr>
            </w:pPr>
            <w:r>
              <w:rPr>
                <w:sz w:val="16"/>
                <w:szCs w:val="22"/>
              </w:rPr>
              <w:t>4,4</w:t>
            </w:r>
          </w:p>
        </w:tc>
        <w:tc>
          <w:tcPr>
            <w:tcW w:w="259" w:type="pct"/>
          </w:tcPr>
          <w:p w:rsidR="00000000" w:rsidRDefault="00000000">
            <w:pPr>
              <w:spacing w:before="80" w:line="240" w:lineRule="auto"/>
              <w:jc w:val="right"/>
              <w:rPr>
                <w:sz w:val="16"/>
                <w:szCs w:val="22"/>
              </w:rPr>
            </w:pPr>
            <w:r>
              <w:rPr>
                <w:sz w:val="16"/>
                <w:szCs w:val="22"/>
              </w:rPr>
              <w:t>4,4</w:t>
            </w:r>
          </w:p>
        </w:tc>
        <w:tc>
          <w:tcPr>
            <w:tcW w:w="260" w:type="pct"/>
          </w:tcPr>
          <w:p w:rsidR="00000000" w:rsidRDefault="00000000">
            <w:pPr>
              <w:spacing w:before="80" w:line="240" w:lineRule="auto"/>
              <w:jc w:val="right"/>
              <w:rPr>
                <w:sz w:val="16"/>
                <w:szCs w:val="22"/>
              </w:rPr>
            </w:pPr>
            <w:r>
              <w:rPr>
                <w:sz w:val="16"/>
                <w:szCs w:val="22"/>
              </w:rPr>
              <w:t>4,5</w:t>
            </w:r>
          </w:p>
        </w:tc>
        <w:tc>
          <w:tcPr>
            <w:tcW w:w="259" w:type="pct"/>
          </w:tcPr>
          <w:p w:rsidR="00000000" w:rsidRDefault="00000000">
            <w:pPr>
              <w:spacing w:before="80" w:line="240" w:lineRule="auto"/>
              <w:jc w:val="right"/>
              <w:rPr>
                <w:sz w:val="16"/>
                <w:szCs w:val="22"/>
              </w:rPr>
            </w:pPr>
            <w:r>
              <w:rPr>
                <w:sz w:val="16"/>
                <w:szCs w:val="22"/>
              </w:rPr>
              <w:t>4,3</w:t>
            </w:r>
          </w:p>
        </w:tc>
        <w:tc>
          <w:tcPr>
            <w:tcW w:w="259" w:type="pct"/>
          </w:tcPr>
          <w:p w:rsidR="00000000" w:rsidRDefault="00000000">
            <w:pPr>
              <w:spacing w:before="80" w:line="240" w:lineRule="auto"/>
              <w:jc w:val="right"/>
              <w:rPr>
                <w:sz w:val="16"/>
                <w:szCs w:val="22"/>
              </w:rPr>
            </w:pPr>
            <w:r>
              <w:rPr>
                <w:sz w:val="16"/>
                <w:szCs w:val="22"/>
              </w:rPr>
              <w:t>3,2</w:t>
            </w:r>
          </w:p>
        </w:tc>
        <w:tc>
          <w:tcPr>
            <w:tcW w:w="260" w:type="pct"/>
          </w:tcPr>
          <w:p w:rsidR="00000000" w:rsidRDefault="00000000">
            <w:pPr>
              <w:spacing w:before="80" w:line="240" w:lineRule="auto"/>
              <w:jc w:val="right"/>
              <w:rPr>
                <w:sz w:val="16"/>
                <w:szCs w:val="22"/>
              </w:rPr>
            </w:pPr>
            <w:r>
              <w:rPr>
                <w:sz w:val="16"/>
                <w:szCs w:val="22"/>
              </w:rPr>
              <w:t>3,0</w:t>
            </w:r>
          </w:p>
        </w:tc>
        <w:tc>
          <w:tcPr>
            <w:tcW w:w="259" w:type="pct"/>
          </w:tcPr>
          <w:p w:rsidR="00000000" w:rsidRDefault="00000000">
            <w:pPr>
              <w:spacing w:before="80" w:line="240" w:lineRule="auto"/>
              <w:jc w:val="right"/>
              <w:rPr>
                <w:sz w:val="16"/>
                <w:szCs w:val="22"/>
              </w:rPr>
            </w:pPr>
            <w:r>
              <w:rPr>
                <w:sz w:val="16"/>
                <w:szCs w:val="22"/>
              </w:rPr>
              <w:t>2,7</w:t>
            </w:r>
          </w:p>
        </w:tc>
        <w:tc>
          <w:tcPr>
            <w:tcW w:w="259" w:type="pct"/>
          </w:tcPr>
          <w:p w:rsidR="00000000" w:rsidRDefault="00000000">
            <w:pPr>
              <w:spacing w:before="80" w:line="240" w:lineRule="auto"/>
              <w:jc w:val="right"/>
              <w:rPr>
                <w:sz w:val="16"/>
                <w:szCs w:val="22"/>
              </w:rPr>
            </w:pPr>
            <w:r>
              <w:rPr>
                <w:sz w:val="16"/>
                <w:szCs w:val="22"/>
              </w:rPr>
              <w:t>2,5</w:t>
            </w:r>
          </w:p>
        </w:tc>
        <w:tc>
          <w:tcPr>
            <w:tcW w:w="259" w:type="pct"/>
          </w:tcPr>
          <w:p w:rsidR="00000000" w:rsidRDefault="00000000">
            <w:pPr>
              <w:spacing w:before="80" w:line="240" w:lineRule="auto"/>
              <w:jc w:val="right"/>
              <w:rPr>
                <w:sz w:val="16"/>
                <w:szCs w:val="22"/>
              </w:rPr>
            </w:pPr>
            <w:r>
              <w:rPr>
                <w:sz w:val="16"/>
                <w:szCs w:val="22"/>
              </w:rPr>
              <w:t>2,4</w:t>
            </w:r>
          </w:p>
        </w:tc>
      </w:tr>
      <w:tr w:rsidR="00000000">
        <w:trPr>
          <w:jc w:val="center"/>
        </w:trPr>
        <w:tc>
          <w:tcPr>
            <w:tcW w:w="1630" w:type="pct"/>
          </w:tcPr>
          <w:p w:rsidR="00000000" w:rsidRDefault="00000000">
            <w:pPr>
              <w:spacing w:before="80" w:line="240" w:lineRule="auto"/>
              <w:rPr>
                <w:sz w:val="16"/>
                <w:szCs w:val="22"/>
              </w:rPr>
            </w:pPr>
            <w:r>
              <w:rPr>
                <w:sz w:val="16"/>
                <w:szCs w:val="22"/>
              </w:rPr>
              <w:t>Желудочно-кишечные инфекции</w:t>
            </w:r>
          </w:p>
        </w:tc>
        <w:tc>
          <w:tcPr>
            <w:tcW w:w="259" w:type="pct"/>
          </w:tcPr>
          <w:p w:rsidR="00000000" w:rsidRDefault="00000000">
            <w:pPr>
              <w:spacing w:before="80" w:line="240" w:lineRule="auto"/>
              <w:jc w:val="right"/>
              <w:rPr>
                <w:sz w:val="16"/>
                <w:szCs w:val="22"/>
              </w:rPr>
            </w:pPr>
            <w:r>
              <w:rPr>
                <w:sz w:val="16"/>
                <w:szCs w:val="22"/>
              </w:rPr>
              <w:t>4,9</w:t>
            </w:r>
          </w:p>
        </w:tc>
        <w:tc>
          <w:tcPr>
            <w:tcW w:w="259" w:type="pct"/>
          </w:tcPr>
          <w:p w:rsidR="00000000" w:rsidRDefault="00000000">
            <w:pPr>
              <w:spacing w:before="80" w:line="240" w:lineRule="auto"/>
              <w:jc w:val="right"/>
              <w:rPr>
                <w:sz w:val="16"/>
                <w:szCs w:val="22"/>
              </w:rPr>
            </w:pPr>
            <w:r>
              <w:rPr>
                <w:sz w:val="16"/>
                <w:szCs w:val="22"/>
              </w:rPr>
              <w:t>4,2</w:t>
            </w:r>
          </w:p>
        </w:tc>
        <w:tc>
          <w:tcPr>
            <w:tcW w:w="259" w:type="pct"/>
          </w:tcPr>
          <w:p w:rsidR="00000000" w:rsidRDefault="00000000">
            <w:pPr>
              <w:spacing w:before="80" w:line="240" w:lineRule="auto"/>
              <w:jc w:val="right"/>
              <w:rPr>
                <w:sz w:val="16"/>
                <w:szCs w:val="22"/>
              </w:rPr>
            </w:pPr>
            <w:r>
              <w:rPr>
                <w:sz w:val="16"/>
                <w:szCs w:val="22"/>
              </w:rPr>
              <w:t>3,2</w:t>
            </w:r>
          </w:p>
        </w:tc>
        <w:tc>
          <w:tcPr>
            <w:tcW w:w="260" w:type="pct"/>
          </w:tcPr>
          <w:p w:rsidR="00000000" w:rsidRDefault="00000000">
            <w:pPr>
              <w:spacing w:before="80" w:line="240" w:lineRule="auto"/>
              <w:jc w:val="right"/>
              <w:rPr>
                <w:sz w:val="16"/>
                <w:szCs w:val="22"/>
              </w:rPr>
            </w:pPr>
            <w:r>
              <w:rPr>
                <w:sz w:val="16"/>
                <w:szCs w:val="22"/>
              </w:rPr>
              <w:t>2,9</w:t>
            </w:r>
          </w:p>
        </w:tc>
        <w:tc>
          <w:tcPr>
            <w:tcW w:w="259" w:type="pct"/>
          </w:tcPr>
          <w:p w:rsidR="00000000" w:rsidRDefault="00000000">
            <w:pPr>
              <w:spacing w:before="80" w:line="240" w:lineRule="auto"/>
              <w:jc w:val="right"/>
              <w:rPr>
                <w:sz w:val="16"/>
                <w:szCs w:val="22"/>
              </w:rPr>
            </w:pPr>
            <w:r>
              <w:rPr>
                <w:sz w:val="16"/>
                <w:szCs w:val="22"/>
              </w:rPr>
              <w:t>2,2</w:t>
            </w:r>
          </w:p>
        </w:tc>
        <w:tc>
          <w:tcPr>
            <w:tcW w:w="259" w:type="pct"/>
          </w:tcPr>
          <w:p w:rsidR="00000000" w:rsidRDefault="00000000">
            <w:pPr>
              <w:spacing w:before="80" w:line="240" w:lineRule="auto"/>
              <w:jc w:val="right"/>
              <w:rPr>
                <w:sz w:val="16"/>
                <w:szCs w:val="22"/>
              </w:rPr>
            </w:pPr>
            <w:hyperlink r:id="rId77"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78"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79"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80"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81"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82"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83"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84" w:history="1">
              <w:r>
                <w:rPr>
                  <w:rStyle w:val="Hyperlink"/>
                  <w:sz w:val="16"/>
                  <w:szCs w:val="22"/>
                  <w:u w:val="none"/>
                </w:rPr>
                <w:t>..</w:t>
              </w:r>
            </w:hyperlink>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Недоедание и другие расстройства питания</w:t>
            </w:r>
            <w:r>
              <w:rPr>
                <w:b/>
                <w:bCs/>
                <w:sz w:val="16"/>
                <w:szCs w:val="22"/>
                <w:vertAlign w:val="superscript"/>
                <w:lang w:val="fr-FR"/>
              </w:rPr>
              <w:t>f</w:t>
            </w:r>
          </w:p>
        </w:tc>
        <w:tc>
          <w:tcPr>
            <w:tcW w:w="259" w:type="pct"/>
          </w:tcPr>
          <w:p w:rsidR="00000000" w:rsidRDefault="00000000">
            <w:pPr>
              <w:spacing w:before="80" w:line="240" w:lineRule="auto"/>
              <w:jc w:val="right"/>
              <w:rPr>
                <w:sz w:val="16"/>
                <w:szCs w:val="22"/>
              </w:rPr>
            </w:pPr>
            <w:hyperlink r:id="rId85" w:history="1">
              <w:r>
                <w:rPr>
                  <w:rStyle w:val="Hyperlink"/>
                  <w:sz w:val="16"/>
                  <w:szCs w:val="22"/>
                  <w:u w:val="none"/>
                </w:rPr>
                <w:t>..</w:t>
              </w:r>
            </w:hyperlink>
          </w:p>
        </w:tc>
        <w:tc>
          <w:tcPr>
            <w:tcW w:w="259" w:type="pct"/>
          </w:tcPr>
          <w:p w:rsidR="00000000" w:rsidRDefault="00000000">
            <w:pPr>
              <w:spacing w:before="80" w:line="240" w:lineRule="auto"/>
              <w:jc w:val="right"/>
              <w:rPr>
                <w:sz w:val="16"/>
                <w:szCs w:val="22"/>
                <w:lang w:val="fr-FR"/>
              </w:rPr>
            </w:pPr>
            <w:hyperlink r:id="rId86"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87" w:history="1">
              <w:r>
                <w:rPr>
                  <w:rStyle w:val="Hyperlink"/>
                  <w:sz w:val="16"/>
                  <w:szCs w:val="22"/>
                  <w:u w:val="none"/>
                  <w:lang w:val="fr-FR"/>
                </w:rPr>
                <w:t>..</w:t>
              </w:r>
            </w:hyperlink>
          </w:p>
        </w:tc>
        <w:tc>
          <w:tcPr>
            <w:tcW w:w="260" w:type="pct"/>
          </w:tcPr>
          <w:p w:rsidR="00000000" w:rsidRDefault="00000000">
            <w:pPr>
              <w:spacing w:before="80" w:line="240" w:lineRule="auto"/>
              <w:jc w:val="right"/>
              <w:rPr>
                <w:sz w:val="16"/>
                <w:szCs w:val="22"/>
                <w:lang w:val="fr-FR"/>
              </w:rPr>
            </w:pPr>
            <w:hyperlink r:id="rId88"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89"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r>
              <w:rPr>
                <w:sz w:val="16"/>
                <w:szCs w:val="22"/>
                <w:lang w:val="fr-FR"/>
              </w:rPr>
              <w:t>2</w:t>
            </w:r>
            <w:r>
              <w:rPr>
                <w:sz w:val="16"/>
                <w:szCs w:val="22"/>
              </w:rPr>
              <w:t>,</w:t>
            </w:r>
            <w:r>
              <w:rPr>
                <w:sz w:val="16"/>
                <w:szCs w:val="22"/>
                <w:lang w:val="fr-FR"/>
              </w:rPr>
              <w:t>1</w:t>
            </w:r>
          </w:p>
        </w:tc>
        <w:tc>
          <w:tcPr>
            <w:tcW w:w="260" w:type="pct"/>
          </w:tcPr>
          <w:p w:rsidR="00000000" w:rsidRDefault="00000000">
            <w:pPr>
              <w:spacing w:before="80" w:line="240" w:lineRule="auto"/>
              <w:jc w:val="right"/>
              <w:rPr>
                <w:sz w:val="16"/>
                <w:szCs w:val="22"/>
                <w:lang w:val="fr-FR"/>
              </w:rPr>
            </w:pPr>
            <w:hyperlink r:id="rId90"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91"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92" w:history="1">
              <w:r>
                <w:rPr>
                  <w:rStyle w:val="Hyperlink"/>
                  <w:sz w:val="16"/>
                  <w:szCs w:val="22"/>
                  <w:u w:val="none"/>
                  <w:lang w:val="fr-FR"/>
                </w:rPr>
                <w:t>..</w:t>
              </w:r>
            </w:hyperlink>
          </w:p>
        </w:tc>
        <w:tc>
          <w:tcPr>
            <w:tcW w:w="260" w:type="pct"/>
          </w:tcPr>
          <w:p w:rsidR="00000000" w:rsidRDefault="00000000">
            <w:pPr>
              <w:spacing w:before="80" w:line="240" w:lineRule="auto"/>
              <w:jc w:val="right"/>
              <w:rPr>
                <w:sz w:val="16"/>
                <w:szCs w:val="22"/>
                <w:lang w:val="fr-FR"/>
              </w:rPr>
            </w:pPr>
            <w:hyperlink r:id="rId93"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94"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95"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96" w:history="1">
              <w:r>
                <w:rPr>
                  <w:rStyle w:val="Hyperlink"/>
                  <w:sz w:val="16"/>
                  <w:szCs w:val="22"/>
                  <w:u w:val="none"/>
                  <w:lang w:val="fr-FR"/>
                </w:rPr>
                <w:t>..</w:t>
              </w:r>
            </w:hyperlink>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Острый почечный синдром и быстро прогрессирующий почечный синдром</w:t>
            </w:r>
            <w:r>
              <w:rPr>
                <w:b/>
                <w:bCs/>
                <w:sz w:val="16"/>
                <w:szCs w:val="22"/>
                <w:vertAlign w:val="superscript"/>
                <w:lang w:val="en-US"/>
              </w:rPr>
              <w:t>g</w:t>
            </w:r>
          </w:p>
        </w:tc>
        <w:tc>
          <w:tcPr>
            <w:tcW w:w="259" w:type="pct"/>
          </w:tcPr>
          <w:p w:rsidR="00000000" w:rsidRDefault="00000000">
            <w:pPr>
              <w:spacing w:before="80" w:line="240" w:lineRule="auto"/>
              <w:jc w:val="right"/>
              <w:rPr>
                <w:sz w:val="16"/>
                <w:szCs w:val="22"/>
              </w:rPr>
            </w:pPr>
            <w:hyperlink r:id="rId97"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98"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99"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00"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01"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02"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r>
              <w:rPr>
                <w:sz w:val="16"/>
                <w:szCs w:val="22"/>
              </w:rPr>
              <w:t>2,1</w:t>
            </w:r>
          </w:p>
        </w:tc>
        <w:tc>
          <w:tcPr>
            <w:tcW w:w="259" w:type="pct"/>
          </w:tcPr>
          <w:p w:rsidR="00000000" w:rsidRDefault="00000000">
            <w:pPr>
              <w:spacing w:before="80" w:line="240" w:lineRule="auto"/>
              <w:jc w:val="right"/>
              <w:rPr>
                <w:sz w:val="16"/>
                <w:szCs w:val="22"/>
              </w:rPr>
            </w:pPr>
            <w:r>
              <w:rPr>
                <w:sz w:val="16"/>
                <w:szCs w:val="22"/>
              </w:rPr>
              <w:t>2,1</w:t>
            </w:r>
          </w:p>
        </w:tc>
        <w:tc>
          <w:tcPr>
            <w:tcW w:w="259" w:type="pct"/>
          </w:tcPr>
          <w:p w:rsidR="00000000" w:rsidRDefault="00000000">
            <w:pPr>
              <w:spacing w:before="80" w:line="240" w:lineRule="auto"/>
              <w:jc w:val="right"/>
              <w:rPr>
                <w:sz w:val="16"/>
                <w:szCs w:val="22"/>
              </w:rPr>
            </w:pPr>
            <w:hyperlink r:id="rId103"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04"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05"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06"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07" w:history="1">
              <w:r>
                <w:rPr>
                  <w:rStyle w:val="Hyperlink"/>
                  <w:sz w:val="16"/>
                  <w:szCs w:val="22"/>
                  <w:u w:val="none"/>
                </w:rPr>
                <w:t>..</w:t>
              </w:r>
            </w:hyperlink>
          </w:p>
        </w:tc>
      </w:tr>
      <w:tr w:rsidR="00000000">
        <w:trPr>
          <w:jc w:val="center"/>
        </w:trPr>
        <w:tc>
          <w:tcPr>
            <w:tcW w:w="1630" w:type="pct"/>
          </w:tcPr>
          <w:p w:rsidR="00000000" w:rsidRDefault="00000000">
            <w:pPr>
              <w:spacing w:before="80" w:line="240" w:lineRule="auto"/>
              <w:rPr>
                <w:sz w:val="16"/>
                <w:szCs w:val="22"/>
                <w:lang w:val="en-US"/>
              </w:rPr>
            </w:pPr>
            <w:r>
              <w:rPr>
                <w:sz w:val="16"/>
                <w:szCs w:val="22"/>
              </w:rPr>
              <w:t>Другие причины</w:t>
            </w:r>
          </w:p>
        </w:tc>
        <w:tc>
          <w:tcPr>
            <w:tcW w:w="259" w:type="pct"/>
          </w:tcPr>
          <w:p w:rsidR="00000000" w:rsidRDefault="00000000">
            <w:pPr>
              <w:spacing w:before="80" w:line="240" w:lineRule="auto"/>
              <w:jc w:val="right"/>
              <w:rPr>
                <w:sz w:val="16"/>
                <w:szCs w:val="22"/>
                <w:lang w:val="en-US"/>
              </w:rPr>
            </w:pPr>
            <w:r>
              <w:rPr>
                <w:sz w:val="16"/>
                <w:szCs w:val="22"/>
                <w:lang w:val="en-US"/>
              </w:rPr>
              <w:t>32,8</w:t>
            </w:r>
          </w:p>
        </w:tc>
        <w:tc>
          <w:tcPr>
            <w:tcW w:w="259" w:type="pct"/>
          </w:tcPr>
          <w:p w:rsidR="00000000" w:rsidRDefault="00000000">
            <w:pPr>
              <w:spacing w:before="80" w:line="240" w:lineRule="auto"/>
              <w:jc w:val="right"/>
              <w:rPr>
                <w:sz w:val="16"/>
                <w:szCs w:val="22"/>
                <w:lang w:val="fr-FR"/>
              </w:rPr>
            </w:pPr>
            <w:r>
              <w:rPr>
                <w:sz w:val="16"/>
                <w:szCs w:val="22"/>
                <w:lang w:val="fr-FR"/>
              </w:rPr>
              <w:t>31,3</w:t>
            </w:r>
          </w:p>
        </w:tc>
        <w:tc>
          <w:tcPr>
            <w:tcW w:w="259" w:type="pct"/>
          </w:tcPr>
          <w:p w:rsidR="00000000" w:rsidRDefault="00000000">
            <w:pPr>
              <w:spacing w:before="80" w:line="240" w:lineRule="auto"/>
              <w:jc w:val="right"/>
              <w:rPr>
                <w:sz w:val="16"/>
                <w:szCs w:val="22"/>
                <w:lang w:val="fr-FR"/>
              </w:rPr>
            </w:pPr>
            <w:r>
              <w:rPr>
                <w:sz w:val="16"/>
                <w:szCs w:val="22"/>
                <w:lang w:val="fr-FR"/>
              </w:rPr>
              <w:t>30,8</w:t>
            </w:r>
          </w:p>
        </w:tc>
        <w:tc>
          <w:tcPr>
            <w:tcW w:w="260" w:type="pct"/>
          </w:tcPr>
          <w:p w:rsidR="00000000" w:rsidRDefault="00000000">
            <w:pPr>
              <w:spacing w:before="80" w:line="240" w:lineRule="auto"/>
              <w:jc w:val="right"/>
              <w:rPr>
                <w:sz w:val="16"/>
                <w:szCs w:val="22"/>
                <w:lang w:val="fr-FR"/>
              </w:rPr>
            </w:pPr>
            <w:r>
              <w:rPr>
                <w:sz w:val="16"/>
                <w:szCs w:val="22"/>
                <w:lang w:val="fr-FR"/>
              </w:rPr>
              <w:t>31,4</w:t>
            </w:r>
          </w:p>
        </w:tc>
        <w:tc>
          <w:tcPr>
            <w:tcW w:w="259" w:type="pct"/>
          </w:tcPr>
          <w:p w:rsidR="00000000" w:rsidRDefault="00000000">
            <w:pPr>
              <w:spacing w:before="80" w:line="240" w:lineRule="auto"/>
              <w:jc w:val="right"/>
              <w:rPr>
                <w:sz w:val="16"/>
                <w:szCs w:val="22"/>
                <w:lang w:val="fr-FR"/>
              </w:rPr>
            </w:pPr>
            <w:r>
              <w:rPr>
                <w:sz w:val="16"/>
                <w:szCs w:val="22"/>
                <w:lang w:val="fr-FR"/>
              </w:rPr>
              <w:t>31,2</w:t>
            </w:r>
          </w:p>
        </w:tc>
        <w:tc>
          <w:tcPr>
            <w:tcW w:w="259" w:type="pct"/>
          </w:tcPr>
          <w:p w:rsidR="00000000" w:rsidRDefault="00000000">
            <w:pPr>
              <w:spacing w:before="80" w:line="240" w:lineRule="auto"/>
              <w:jc w:val="right"/>
              <w:rPr>
                <w:sz w:val="16"/>
                <w:szCs w:val="22"/>
                <w:lang w:val="fr-FR"/>
              </w:rPr>
            </w:pPr>
            <w:r>
              <w:rPr>
                <w:sz w:val="16"/>
                <w:szCs w:val="22"/>
                <w:lang w:val="fr-FR"/>
              </w:rPr>
              <w:t>31,4</w:t>
            </w:r>
          </w:p>
        </w:tc>
        <w:tc>
          <w:tcPr>
            <w:tcW w:w="260" w:type="pct"/>
          </w:tcPr>
          <w:p w:rsidR="00000000" w:rsidRDefault="00000000">
            <w:pPr>
              <w:spacing w:before="80" w:line="240" w:lineRule="auto"/>
              <w:jc w:val="right"/>
              <w:rPr>
                <w:sz w:val="16"/>
                <w:szCs w:val="22"/>
                <w:lang w:val="fr-FR"/>
              </w:rPr>
            </w:pPr>
            <w:r>
              <w:rPr>
                <w:sz w:val="16"/>
                <w:szCs w:val="22"/>
                <w:lang w:val="fr-FR"/>
              </w:rPr>
              <w:t>31,4</w:t>
            </w:r>
          </w:p>
        </w:tc>
        <w:tc>
          <w:tcPr>
            <w:tcW w:w="259" w:type="pct"/>
          </w:tcPr>
          <w:p w:rsidR="00000000" w:rsidRDefault="00000000">
            <w:pPr>
              <w:spacing w:before="80" w:line="240" w:lineRule="auto"/>
              <w:jc w:val="right"/>
              <w:rPr>
                <w:sz w:val="16"/>
                <w:szCs w:val="22"/>
                <w:lang w:val="fr-FR"/>
              </w:rPr>
            </w:pPr>
            <w:r>
              <w:rPr>
                <w:sz w:val="16"/>
                <w:szCs w:val="22"/>
                <w:lang w:val="fr-FR"/>
              </w:rPr>
              <w:t>30,9</w:t>
            </w:r>
          </w:p>
        </w:tc>
        <w:tc>
          <w:tcPr>
            <w:tcW w:w="259" w:type="pct"/>
          </w:tcPr>
          <w:p w:rsidR="00000000" w:rsidRDefault="00000000">
            <w:pPr>
              <w:spacing w:before="80" w:line="240" w:lineRule="auto"/>
              <w:jc w:val="right"/>
              <w:rPr>
                <w:sz w:val="16"/>
                <w:szCs w:val="22"/>
                <w:lang w:val="fr-FR"/>
              </w:rPr>
            </w:pPr>
            <w:r>
              <w:rPr>
                <w:sz w:val="16"/>
                <w:szCs w:val="22"/>
                <w:lang w:val="fr-FR"/>
              </w:rPr>
              <w:t>29,6</w:t>
            </w:r>
          </w:p>
        </w:tc>
        <w:tc>
          <w:tcPr>
            <w:tcW w:w="260" w:type="pct"/>
          </w:tcPr>
          <w:p w:rsidR="00000000" w:rsidRDefault="00000000">
            <w:pPr>
              <w:spacing w:before="80" w:line="240" w:lineRule="auto"/>
              <w:jc w:val="right"/>
              <w:rPr>
                <w:sz w:val="16"/>
                <w:szCs w:val="22"/>
                <w:lang w:val="fr-FR"/>
              </w:rPr>
            </w:pPr>
            <w:r>
              <w:rPr>
                <w:sz w:val="16"/>
                <w:szCs w:val="22"/>
                <w:lang w:val="fr-FR"/>
              </w:rPr>
              <w:t>28,6</w:t>
            </w:r>
          </w:p>
        </w:tc>
        <w:tc>
          <w:tcPr>
            <w:tcW w:w="259" w:type="pct"/>
          </w:tcPr>
          <w:p w:rsidR="00000000" w:rsidRDefault="00000000">
            <w:pPr>
              <w:spacing w:before="80" w:line="240" w:lineRule="auto"/>
              <w:jc w:val="right"/>
              <w:rPr>
                <w:sz w:val="16"/>
                <w:szCs w:val="22"/>
                <w:lang w:val="fr-FR"/>
              </w:rPr>
            </w:pPr>
            <w:r>
              <w:rPr>
                <w:sz w:val="16"/>
                <w:szCs w:val="22"/>
                <w:lang w:val="fr-FR"/>
              </w:rPr>
              <w:t>28,3</w:t>
            </w:r>
          </w:p>
        </w:tc>
        <w:tc>
          <w:tcPr>
            <w:tcW w:w="259" w:type="pct"/>
          </w:tcPr>
          <w:p w:rsidR="00000000" w:rsidRDefault="00000000">
            <w:pPr>
              <w:spacing w:before="80" w:line="240" w:lineRule="auto"/>
              <w:jc w:val="right"/>
              <w:rPr>
                <w:sz w:val="16"/>
                <w:szCs w:val="22"/>
                <w:lang w:val="fr-FR"/>
              </w:rPr>
            </w:pPr>
            <w:r>
              <w:rPr>
                <w:sz w:val="16"/>
                <w:szCs w:val="22"/>
                <w:lang w:val="fr-FR"/>
              </w:rPr>
              <w:t>27,9</w:t>
            </w:r>
          </w:p>
        </w:tc>
        <w:tc>
          <w:tcPr>
            <w:tcW w:w="259" w:type="pct"/>
          </w:tcPr>
          <w:p w:rsidR="00000000" w:rsidRDefault="00000000">
            <w:pPr>
              <w:spacing w:before="80" w:line="240" w:lineRule="auto"/>
              <w:jc w:val="right"/>
              <w:rPr>
                <w:sz w:val="16"/>
                <w:szCs w:val="22"/>
                <w:lang w:val="fr-FR"/>
              </w:rPr>
            </w:pPr>
            <w:r>
              <w:rPr>
                <w:sz w:val="16"/>
                <w:szCs w:val="22"/>
                <w:lang w:val="fr-FR"/>
              </w:rPr>
              <w:t>27,6</w:t>
            </w:r>
          </w:p>
        </w:tc>
      </w:tr>
      <w:tr w:rsidR="00000000">
        <w:trPr>
          <w:jc w:val="center"/>
        </w:trPr>
        <w:tc>
          <w:tcPr>
            <w:tcW w:w="1630" w:type="pct"/>
          </w:tcPr>
          <w:p w:rsidR="00000000" w:rsidRDefault="00000000">
            <w:pPr>
              <w:spacing w:before="80" w:line="240" w:lineRule="auto"/>
              <w:rPr>
                <w:b/>
                <w:bCs/>
                <w:sz w:val="16"/>
                <w:szCs w:val="22"/>
                <w:lang w:val="fr-FR"/>
              </w:rPr>
            </w:pPr>
            <w:r>
              <w:rPr>
                <w:b/>
                <w:bCs/>
                <w:sz w:val="16"/>
                <w:szCs w:val="22"/>
                <w:lang w:val="fr-FR"/>
              </w:rPr>
              <w:t>Женщины</w:t>
            </w:r>
          </w:p>
        </w:tc>
        <w:tc>
          <w:tcPr>
            <w:tcW w:w="259" w:type="pct"/>
          </w:tcPr>
          <w:p w:rsidR="00000000" w:rsidRDefault="00000000">
            <w:pPr>
              <w:spacing w:before="80" w:line="240" w:lineRule="auto"/>
              <w:jc w:val="right"/>
              <w:rPr>
                <w:b/>
                <w:bCs/>
                <w:sz w:val="16"/>
                <w:szCs w:val="22"/>
                <w:lang w:val="fr-FR"/>
              </w:rPr>
            </w:pPr>
            <w:r>
              <w:rPr>
                <w:b/>
                <w:bCs/>
                <w:sz w:val="16"/>
                <w:szCs w:val="22"/>
                <w:lang w:val="fr-FR"/>
              </w:rPr>
              <w:t>100,0</w:t>
            </w:r>
          </w:p>
        </w:tc>
        <w:tc>
          <w:tcPr>
            <w:tcW w:w="259" w:type="pct"/>
          </w:tcPr>
          <w:p w:rsidR="00000000" w:rsidRDefault="00000000">
            <w:pPr>
              <w:spacing w:before="80" w:line="240" w:lineRule="auto"/>
              <w:jc w:val="right"/>
              <w:rPr>
                <w:b/>
                <w:bCs/>
                <w:sz w:val="16"/>
                <w:szCs w:val="22"/>
                <w:lang w:val="fr-FR"/>
              </w:rPr>
            </w:pPr>
            <w:r>
              <w:rPr>
                <w:b/>
                <w:bCs/>
                <w:sz w:val="16"/>
                <w:szCs w:val="22"/>
                <w:lang w:val="fr-FR"/>
              </w:rPr>
              <w:t>100,0</w:t>
            </w:r>
          </w:p>
        </w:tc>
        <w:tc>
          <w:tcPr>
            <w:tcW w:w="259" w:type="pct"/>
          </w:tcPr>
          <w:p w:rsidR="00000000" w:rsidRDefault="00000000">
            <w:pPr>
              <w:spacing w:before="80" w:line="240" w:lineRule="auto"/>
              <w:jc w:val="right"/>
              <w:rPr>
                <w:b/>
                <w:bCs/>
                <w:sz w:val="16"/>
                <w:szCs w:val="22"/>
                <w:lang w:val="fr-FR"/>
              </w:rPr>
            </w:pPr>
            <w:r>
              <w:rPr>
                <w:b/>
                <w:bCs/>
                <w:sz w:val="16"/>
                <w:szCs w:val="22"/>
                <w:lang w:val="fr-FR"/>
              </w:rPr>
              <w:t>100,0</w:t>
            </w:r>
          </w:p>
        </w:tc>
        <w:tc>
          <w:tcPr>
            <w:tcW w:w="260" w:type="pct"/>
          </w:tcPr>
          <w:p w:rsidR="00000000" w:rsidRDefault="00000000">
            <w:pPr>
              <w:spacing w:before="80" w:line="240" w:lineRule="auto"/>
              <w:jc w:val="right"/>
              <w:rPr>
                <w:b/>
                <w:bCs/>
                <w:sz w:val="16"/>
                <w:szCs w:val="22"/>
                <w:lang w:val="fr-FR"/>
              </w:rPr>
            </w:pPr>
            <w:r>
              <w:rPr>
                <w:b/>
                <w:bCs/>
                <w:sz w:val="16"/>
                <w:szCs w:val="22"/>
                <w:lang w:val="fr-FR"/>
              </w:rPr>
              <w:t>100,0</w:t>
            </w:r>
          </w:p>
        </w:tc>
        <w:tc>
          <w:tcPr>
            <w:tcW w:w="259" w:type="pct"/>
          </w:tcPr>
          <w:p w:rsidR="00000000" w:rsidRDefault="00000000">
            <w:pPr>
              <w:spacing w:before="80" w:line="240" w:lineRule="auto"/>
              <w:jc w:val="right"/>
              <w:rPr>
                <w:b/>
                <w:bCs/>
                <w:sz w:val="16"/>
                <w:szCs w:val="22"/>
                <w:lang w:val="fr-FR"/>
              </w:rPr>
            </w:pPr>
            <w:r>
              <w:rPr>
                <w:b/>
                <w:bCs/>
                <w:sz w:val="16"/>
                <w:szCs w:val="22"/>
                <w:lang w:val="fr-FR"/>
              </w:rPr>
              <w:t>100,0</w:t>
            </w:r>
          </w:p>
        </w:tc>
        <w:tc>
          <w:tcPr>
            <w:tcW w:w="259" w:type="pct"/>
          </w:tcPr>
          <w:p w:rsidR="00000000" w:rsidRDefault="00000000">
            <w:pPr>
              <w:spacing w:before="80" w:line="240" w:lineRule="auto"/>
              <w:jc w:val="right"/>
              <w:rPr>
                <w:b/>
                <w:bCs/>
                <w:sz w:val="16"/>
                <w:szCs w:val="22"/>
                <w:lang w:val="fr-FR"/>
              </w:rPr>
            </w:pPr>
            <w:r>
              <w:rPr>
                <w:b/>
                <w:bCs/>
                <w:sz w:val="16"/>
                <w:szCs w:val="22"/>
                <w:lang w:val="fr-FR"/>
              </w:rPr>
              <w:t>100,0</w:t>
            </w:r>
          </w:p>
        </w:tc>
        <w:tc>
          <w:tcPr>
            <w:tcW w:w="260" w:type="pct"/>
          </w:tcPr>
          <w:p w:rsidR="00000000" w:rsidRDefault="00000000">
            <w:pPr>
              <w:spacing w:before="80" w:line="240" w:lineRule="auto"/>
              <w:jc w:val="right"/>
              <w:rPr>
                <w:b/>
                <w:bCs/>
                <w:sz w:val="16"/>
                <w:szCs w:val="22"/>
                <w:lang w:val="fr-FR"/>
              </w:rPr>
            </w:pPr>
            <w:r>
              <w:rPr>
                <w:b/>
                <w:bCs/>
                <w:sz w:val="16"/>
                <w:szCs w:val="22"/>
                <w:lang w:val="fr-FR"/>
              </w:rPr>
              <w:t>100,0</w:t>
            </w:r>
          </w:p>
        </w:tc>
        <w:tc>
          <w:tcPr>
            <w:tcW w:w="259" w:type="pct"/>
          </w:tcPr>
          <w:p w:rsidR="00000000" w:rsidRDefault="00000000">
            <w:pPr>
              <w:spacing w:before="80" w:line="240" w:lineRule="auto"/>
              <w:jc w:val="right"/>
              <w:rPr>
                <w:b/>
                <w:bCs/>
                <w:sz w:val="16"/>
                <w:szCs w:val="22"/>
                <w:lang w:val="fr-FR"/>
              </w:rPr>
            </w:pPr>
            <w:r>
              <w:rPr>
                <w:b/>
                <w:bCs/>
                <w:sz w:val="16"/>
                <w:szCs w:val="22"/>
                <w:lang w:val="fr-FR"/>
              </w:rPr>
              <w:t>100,0</w:t>
            </w:r>
          </w:p>
        </w:tc>
        <w:tc>
          <w:tcPr>
            <w:tcW w:w="259" w:type="pct"/>
          </w:tcPr>
          <w:p w:rsidR="00000000" w:rsidRDefault="00000000">
            <w:pPr>
              <w:spacing w:before="80" w:line="240" w:lineRule="auto"/>
              <w:jc w:val="right"/>
              <w:rPr>
                <w:b/>
                <w:bCs/>
                <w:sz w:val="16"/>
                <w:szCs w:val="22"/>
                <w:lang w:val="fr-FR"/>
              </w:rPr>
            </w:pPr>
            <w:r>
              <w:rPr>
                <w:b/>
                <w:bCs/>
                <w:sz w:val="16"/>
                <w:szCs w:val="22"/>
                <w:lang w:val="fr-FR"/>
              </w:rPr>
              <w:t>100,0</w:t>
            </w:r>
          </w:p>
        </w:tc>
        <w:tc>
          <w:tcPr>
            <w:tcW w:w="260" w:type="pct"/>
          </w:tcPr>
          <w:p w:rsidR="00000000" w:rsidRDefault="00000000">
            <w:pPr>
              <w:spacing w:before="80" w:line="240" w:lineRule="auto"/>
              <w:jc w:val="right"/>
              <w:rPr>
                <w:b/>
                <w:bCs/>
                <w:sz w:val="16"/>
                <w:szCs w:val="22"/>
                <w:lang w:val="fr-FR"/>
              </w:rPr>
            </w:pPr>
            <w:r>
              <w:rPr>
                <w:b/>
                <w:bCs/>
                <w:sz w:val="16"/>
                <w:szCs w:val="22"/>
                <w:lang w:val="fr-FR"/>
              </w:rPr>
              <w:t>100,0</w:t>
            </w:r>
          </w:p>
        </w:tc>
        <w:tc>
          <w:tcPr>
            <w:tcW w:w="259" w:type="pct"/>
          </w:tcPr>
          <w:p w:rsidR="00000000" w:rsidRDefault="00000000">
            <w:pPr>
              <w:spacing w:before="80" w:line="240" w:lineRule="auto"/>
              <w:jc w:val="right"/>
              <w:rPr>
                <w:b/>
                <w:bCs/>
                <w:sz w:val="16"/>
                <w:szCs w:val="22"/>
                <w:lang w:val="fr-FR"/>
              </w:rPr>
            </w:pPr>
            <w:r>
              <w:rPr>
                <w:b/>
                <w:bCs/>
                <w:sz w:val="16"/>
                <w:szCs w:val="22"/>
                <w:lang w:val="fr-FR"/>
              </w:rPr>
              <w:t>100,0</w:t>
            </w:r>
          </w:p>
        </w:tc>
        <w:tc>
          <w:tcPr>
            <w:tcW w:w="259" w:type="pct"/>
          </w:tcPr>
          <w:p w:rsidR="00000000" w:rsidRDefault="00000000">
            <w:pPr>
              <w:spacing w:before="80" w:line="240" w:lineRule="auto"/>
              <w:jc w:val="right"/>
              <w:rPr>
                <w:b/>
                <w:bCs/>
                <w:sz w:val="16"/>
                <w:szCs w:val="22"/>
                <w:lang w:val="fr-FR"/>
              </w:rPr>
            </w:pPr>
            <w:r>
              <w:rPr>
                <w:b/>
                <w:bCs/>
                <w:sz w:val="16"/>
                <w:szCs w:val="22"/>
                <w:lang w:val="fr-FR"/>
              </w:rPr>
              <w:t>100,0</w:t>
            </w:r>
          </w:p>
        </w:tc>
        <w:tc>
          <w:tcPr>
            <w:tcW w:w="259" w:type="pct"/>
          </w:tcPr>
          <w:p w:rsidR="00000000" w:rsidRDefault="00000000">
            <w:pPr>
              <w:spacing w:before="80" w:line="240" w:lineRule="auto"/>
              <w:jc w:val="right"/>
              <w:rPr>
                <w:b/>
                <w:bCs/>
                <w:sz w:val="16"/>
                <w:szCs w:val="22"/>
                <w:lang w:val="fr-FR"/>
              </w:rPr>
            </w:pPr>
            <w:r>
              <w:rPr>
                <w:b/>
                <w:bCs/>
                <w:sz w:val="16"/>
                <w:szCs w:val="22"/>
                <w:lang w:val="fr-FR"/>
              </w:rPr>
              <w:t>100,0</w:t>
            </w:r>
          </w:p>
        </w:tc>
      </w:tr>
      <w:tr w:rsidR="00000000">
        <w:trPr>
          <w:jc w:val="center"/>
        </w:trPr>
        <w:tc>
          <w:tcPr>
            <w:tcW w:w="1630" w:type="pct"/>
          </w:tcPr>
          <w:p w:rsidR="00000000" w:rsidRDefault="00000000">
            <w:pPr>
              <w:spacing w:before="80" w:line="240" w:lineRule="auto"/>
              <w:rPr>
                <w:sz w:val="16"/>
                <w:szCs w:val="22"/>
              </w:rPr>
            </w:pPr>
            <w:r>
              <w:rPr>
                <w:sz w:val="16"/>
                <w:szCs w:val="22"/>
              </w:rPr>
              <w:t>Заболевания сердца</w:t>
            </w:r>
          </w:p>
        </w:tc>
        <w:tc>
          <w:tcPr>
            <w:tcW w:w="259" w:type="pct"/>
          </w:tcPr>
          <w:p w:rsidR="00000000" w:rsidRDefault="00000000">
            <w:pPr>
              <w:spacing w:before="80" w:line="240" w:lineRule="auto"/>
              <w:jc w:val="right"/>
              <w:rPr>
                <w:sz w:val="16"/>
                <w:szCs w:val="22"/>
                <w:lang w:val="fr-FR"/>
              </w:rPr>
            </w:pPr>
            <w:r>
              <w:rPr>
                <w:sz w:val="16"/>
                <w:szCs w:val="22"/>
                <w:lang w:val="fr-FR"/>
              </w:rPr>
              <w:t>14,4</w:t>
            </w:r>
          </w:p>
        </w:tc>
        <w:tc>
          <w:tcPr>
            <w:tcW w:w="259" w:type="pct"/>
          </w:tcPr>
          <w:p w:rsidR="00000000" w:rsidRDefault="00000000">
            <w:pPr>
              <w:spacing w:before="80" w:line="240" w:lineRule="auto"/>
              <w:jc w:val="right"/>
              <w:rPr>
                <w:sz w:val="16"/>
                <w:szCs w:val="22"/>
                <w:lang w:val="fr-FR"/>
              </w:rPr>
            </w:pPr>
            <w:r>
              <w:rPr>
                <w:sz w:val="16"/>
                <w:szCs w:val="22"/>
                <w:lang w:val="fr-FR"/>
              </w:rPr>
              <w:t>15,1</w:t>
            </w:r>
          </w:p>
        </w:tc>
        <w:tc>
          <w:tcPr>
            <w:tcW w:w="259" w:type="pct"/>
          </w:tcPr>
          <w:p w:rsidR="00000000" w:rsidRDefault="00000000">
            <w:pPr>
              <w:spacing w:before="80" w:line="240" w:lineRule="auto"/>
              <w:jc w:val="right"/>
              <w:rPr>
                <w:sz w:val="16"/>
                <w:szCs w:val="22"/>
                <w:lang w:val="fr-FR"/>
              </w:rPr>
            </w:pPr>
            <w:r>
              <w:rPr>
                <w:sz w:val="16"/>
                <w:szCs w:val="22"/>
                <w:lang w:val="fr-FR"/>
              </w:rPr>
              <w:t>15,6</w:t>
            </w:r>
          </w:p>
        </w:tc>
        <w:tc>
          <w:tcPr>
            <w:tcW w:w="260" w:type="pct"/>
          </w:tcPr>
          <w:p w:rsidR="00000000" w:rsidRDefault="00000000">
            <w:pPr>
              <w:spacing w:before="80" w:line="240" w:lineRule="auto"/>
              <w:jc w:val="right"/>
              <w:rPr>
                <w:sz w:val="16"/>
                <w:szCs w:val="22"/>
                <w:lang w:val="fr-FR"/>
              </w:rPr>
            </w:pPr>
            <w:r>
              <w:rPr>
                <w:sz w:val="16"/>
                <w:szCs w:val="22"/>
                <w:lang w:val="fr-FR"/>
              </w:rPr>
              <w:t>16,1</w:t>
            </w:r>
          </w:p>
        </w:tc>
        <w:tc>
          <w:tcPr>
            <w:tcW w:w="259" w:type="pct"/>
          </w:tcPr>
          <w:p w:rsidR="00000000" w:rsidRDefault="00000000">
            <w:pPr>
              <w:spacing w:before="80" w:line="240" w:lineRule="auto"/>
              <w:jc w:val="right"/>
              <w:rPr>
                <w:sz w:val="16"/>
                <w:szCs w:val="22"/>
                <w:lang w:val="fr-FR"/>
              </w:rPr>
            </w:pPr>
            <w:r>
              <w:rPr>
                <w:sz w:val="16"/>
                <w:szCs w:val="22"/>
                <w:lang w:val="fr-FR"/>
              </w:rPr>
              <w:t>16,7</w:t>
            </w:r>
          </w:p>
        </w:tc>
        <w:tc>
          <w:tcPr>
            <w:tcW w:w="259" w:type="pct"/>
          </w:tcPr>
          <w:p w:rsidR="00000000" w:rsidRDefault="00000000">
            <w:pPr>
              <w:spacing w:before="80" w:line="240" w:lineRule="auto"/>
              <w:jc w:val="right"/>
              <w:rPr>
                <w:sz w:val="16"/>
                <w:szCs w:val="22"/>
                <w:lang w:val="fr-FR"/>
              </w:rPr>
            </w:pPr>
            <w:r>
              <w:rPr>
                <w:sz w:val="16"/>
                <w:szCs w:val="22"/>
                <w:lang w:val="fr-FR"/>
              </w:rPr>
              <w:t>16,9</w:t>
            </w:r>
          </w:p>
        </w:tc>
        <w:tc>
          <w:tcPr>
            <w:tcW w:w="260" w:type="pct"/>
          </w:tcPr>
          <w:p w:rsidR="00000000" w:rsidRDefault="00000000">
            <w:pPr>
              <w:spacing w:before="80" w:line="240" w:lineRule="auto"/>
              <w:jc w:val="right"/>
              <w:rPr>
                <w:sz w:val="16"/>
                <w:szCs w:val="22"/>
                <w:lang w:val="fr-FR"/>
              </w:rPr>
            </w:pPr>
            <w:r>
              <w:rPr>
                <w:sz w:val="16"/>
                <w:szCs w:val="22"/>
                <w:lang w:val="fr-FR"/>
              </w:rPr>
              <w:t>17,0</w:t>
            </w:r>
          </w:p>
        </w:tc>
        <w:tc>
          <w:tcPr>
            <w:tcW w:w="259" w:type="pct"/>
          </w:tcPr>
          <w:p w:rsidR="00000000" w:rsidRDefault="00000000">
            <w:pPr>
              <w:spacing w:before="80" w:line="240" w:lineRule="auto"/>
              <w:jc w:val="right"/>
              <w:rPr>
                <w:sz w:val="16"/>
                <w:szCs w:val="22"/>
                <w:lang w:val="fr-FR"/>
              </w:rPr>
            </w:pPr>
            <w:r>
              <w:rPr>
                <w:sz w:val="16"/>
                <w:szCs w:val="22"/>
                <w:lang w:val="fr-FR"/>
              </w:rPr>
              <w:t>17,4</w:t>
            </w:r>
          </w:p>
        </w:tc>
        <w:tc>
          <w:tcPr>
            <w:tcW w:w="259" w:type="pct"/>
          </w:tcPr>
          <w:p w:rsidR="00000000" w:rsidRDefault="00000000">
            <w:pPr>
              <w:spacing w:before="80" w:line="240" w:lineRule="auto"/>
              <w:jc w:val="right"/>
              <w:rPr>
                <w:sz w:val="16"/>
                <w:szCs w:val="22"/>
                <w:lang w:val="fr-FR"/>
              </w:rPr>
            </w:pPr>
            <w:r>
              <w:rPr>
                <w:sz w:val="16"/>
                <w:szCs w:val="22"/>
                <w:lang w:val="fr-FR"/>
              </w:rPr>
              <w:t>17,4</w:t>
            </w:r>
          </w:p>
        </w:tc>
        <w:tc>
          <w:tcPr>
            <w:tcW w:w="260" w:type="pct"/>
          </w:tcPr>
          <w:p w:rsidR="00000000" w:rsidRDefault="00000000">
            <w:pPr>
              <w:spacing w:before="80" w:line="240" w:lineRule="auto"/>
              <w:jc w:val="right"/>
              <w:rPr>
                <w:sz w:val="16"/>
                <w:szCs w:val="22"/>
                <w:lang w:val="fr-FR"/>
              </w:rPr>
            </w:pPr>
            <w:r>
              <w:rPr>
                <w:sz w:val="16"/>
                <w:szCs w:val="22"/>
                <w:lang w:val="fr-FR"/>
              </w:rPr>
              <w:t>17,5</w:t>
            </w:r>
          </w:p>
        </w:tc>
        <w:tc>
          <w:tcPr>
            <w:tcW w:w="259" w:type="pct"/>
          </w:tcPr>
          <w:p w:rsidR="00000000" w:rsidRDefault="00000000">
            <w:pPr>
              <w:spacing w:before="80" w:line="240" w:lineRule="auto"/>
              <w:jc w:val="right"/>
              <w:rPr>
                <w:sz w:val="16"/>
                <w:szCs w:val="22"/>
                <w:lang w:val="fr-FR"/>
              </w:rPr>
            </w:pPr>
            <w:r>
              <w:rPr>
                <w:sz w:val="16"/>
                <w:szCs w:val="22"/>
                <w:lang w:val="fr-FR"/>
              </w:rPr>
              <w:t>17,7</w:t>
            </w:r>
          </w:p>
        </w:tc>
        <w:tc>
          <w:tcPr>
            <w:tcW w:w="259" w:type="pct"/>
          </w:tcPr>
          <w:p w:rsidR="00000000" w:rsidRDefault="00000000">
            <w:pPr>
              <w:spacing w:before="80" w:line="240" w:lineRule="auto"/>
              <w:jc w:val="right"/>
              <w:rPr>
                <w:sz w:val="16"/>
                <w:szCs w:val="22"/>
                <w:lang w:val="fr-FR"/>
              </w:rPr>
            </w:pPr>
            <w:r>
              <w:rPr>
                <w:sz w:val="16"/>
                <w:szCs w:val="22"/>
                <w:lang w:val="fr-FR"/>
              </w:rPr>
              <w:t>17,6</w:t>
            </w:r>
          </w:p>
        </w:tc>
        <w:tc>
          <w:tcPr>
            <w:tcW w:w="259" w:type="pct"/>
          </w:tcPr>
          <w:p w:rsidR="00000000" w:rsidRDefault="00000000">
            <w:pPr>
              <w:spacing w:before="80" w:line="240" w:lineRule="auto"/>
              <w:jc w:val="right"/>
              <w:rPr>
                <w:sz w:val="16"/>
                <w:szCs w:val="22"/>
                <w:lang w:val="fr-FR"/>
              </w:rPr>
            </w:pPr>
            <w:r>
              <w:rPr>
                <w:sz w:val="16"/>
                <w:szCs w:val="22"/>
                <w:lang w:val="fr-FR"/>
              </w:rPr>
              <w:t>17,8</w:t>
            </w:r>
          </w:p>
        </w:tc>
      </w:tr>
      <w:tr w:rsidR="00000000">
        <w:trPr>
          <w:jc w:val="center"/>
        </w:trPr>
        <w:tc>
          <w:tcPr>
            <w:tcW w:w="1630" w:type="pct"/>
          </w:tcPr>
          <w:p w:rsidR="00000000" w:rsidRDefault="00000000">
            <w:pPr>
              <w:spacing w:before="80" w:line="240" w:lineRule="auto"/>
              <w:rPr>
                <w:sz w:val="16"/>
                <w:szCs w:val="22"/>
              </w:rPr>
            </w:pPr>
            <w:r>
              <w:rPr>
                <w:sz w:val="16"/>
                <w:szCs w:val="22"/>
              </w:rPr>
              <w:t>Злокачественные опухоли</w:t>
            </w:r>
          </w:p>
        </w:tc>
        <w:tc>
          <w:tcPr>
            <w:tcW w:w="259" w:type="pct"/>
          </w:tcPr>
          <w:p w:rsidR="00000000" w:rsidRDefault="00000000">
            <w:pPr>
              <w:spacing w:before="80" w:line="240" w:lineRule="auto"/>
              <w:jc w:val="right"/>
              <w:rPr>
                <w:sz w:val="16"/>
                <w:szCs w:val="22"/>
                <w:lang w:val="fr-FR"/>
              </w:rPr>
            </w:pPr>
            <w:r>
              <w:rPr>
                <w:sz w:val="16"/>
                <w:szCs w:val="22"/>
                <w:lang w:val="fr-FR"/>
              </w:rPr>
              <w:t>11,9</w:t>
            </w:r>
          </w:p>
        </w:tc>
        <w:tc>
          <w:tcPr>
            <w:tcW w:w="259" w:type="pct"/>
          </w:tcPr>
          <w:p w:rsidR="00000000" w:rsidRDefault="00000000">
            <w:pPr>
              <w:spacing w:before="80" w:line="240" w:lineRule="auto"/>
              <w:jc w:val="right"/>
              <w:rPr>
                <w:sz w:val="16"/>
                <w:szCs w:val="22"/>
                <w:lang w:val="fr-FR"/>
              </w:rPr>
            </w:pPr>
            <w:r>
              <w:rPr>
                <w:sz w:val="16"/>
                <w:szCs w:val="22"/>
                <w:lang w:val="fr-FR"/>
              </w:rPr>
              <w:t>12,6</w:t>
            </w:r>
          </w:p>
        </w:tc>
        <w:tc>
          <w:tcPr>
            <w:tcW w:w="259" w:type="pct"/>
          </w:tcPr>
          <w:p w:rsidR="00000000" w:rsidRDefault="00000000">
            <w:pPr>
              <w:spacing w:before="80" w:line="240" w:lineRule="auto"/>
              <w:jc w:val="right"/>
              <w:rPr>
                <w:sz w:val="16"/>
                <w:szCs w:val="22"/>
                <w:lang w:val="fr-FR"/>
              </w:rPr>
            </w:pPr>
            <w:r>
              <w:rPr>
                <w:sz w:val="16"/>
                <w:szCs w:val="22"/>
                <w:lang w:val="fr-FR"/>
              </w:rPr>
              <w:t>13,2</w:t>
            </w:r>
          </w:p>
        </w:tc>
        <w:tc>
          <w:tcPr>
            <w:tcW w:w="260" w:type="pct"/>
          </w:tcPr>
          <w:p w:rsidR="00000000" w:rsidRDefault="00000000">
            <w:pPr>
              <w:spacing w:before="80" w:line="240" w:lineRule="auto"/>
              <w:jc w:val="right"/>
              <w:rPr>
                <w:sz w:val="16"/>
                <w:szCs w:val="22"/>
                <w:lang w:val="fr-FR"/>
              </w:rPr>
            </w:pPr>
            <w:r>
              <w:rPr>
                <w:sz w:val="16"/>
                <w:szCs w:val="22"/>
                <w:lang w:val="fr-FR"/>
              </w:rPr>
              <w:t>13,2</w:t>
            </w:r>
          </w:p>
        </w:tc>
        <w:tc>
          <w:tcPr>
            <w:tcW w:w="259" w:type="pct"/>
          </w:tcPr>
          <w:p w:rsidR="00000000" w:rsidRDefault="00000000">
            <w:pPr>
              <w:spacing w:before="80" w:line="240" w:lineRule="auto"/>
              <w:jc w:val="right"/>
              <w:rPr>
                <w:sz w:val="16"/>
                <w:szCs w:val="22"/>
                <w:lang w:val="fr-FR"/>
              </w:rPr>
            </w:pPr>
            <w:r>
              <w:rPr>
                <w:sz w:val="16"/>
                <w:szCs w:val="22"/>
                <w:lang w:val="fr-FR"/>
              </w:rPr>
              <w:t>13,4</w:t>
            </w:r>
          </w:p>
        </w:tc>
        <w:tc>
          <w:tcPr>
            <w:tcW w:w="259" w:type="pct"/>
          </w:tcPr>
          <w:p w:rsidR="00000000" w:rsidRDefault="00000000">
            <w:pPr>
              <w:spacing w:before="80" w:line="240" w:lineRule="auto"/>
              <w:jc w:val="right"/>
              <w:rPr>
                <w:sz w:val="16"/>
                <w:szCs w:val="22"/>
                <w:lang w:val="fr-FR"/>
              </w:rPr>
            </w:pPr>
            <w:r>
              <w:rPr>
                <w:sz w:val="16"/>
                <w:szCs w:val="22"/>
                <w:lang w:val="fr-FR"/>
              </w:rPr>
              <w:t>13,4</w:t>
            </w:r>
          </w:p>
        </w:tc>
        <w:tc>
          <w:tcPr>
            <w:tcW w:w="260" w:type="pct"/>
          </w:tcPr>
          <w:p w:rsidR="00000000" w:rsidRDefault="00000000">
            <w:pPr>
              <w:spacing w:before="80" w:line="240" w:lineRule="auto"/>
              <w:jc w:val="right"/>
              <w:rPr>
                <w:sz w:val="16"/>
                <w:szCs w:val="22"/>
                <w:lang w:val="fr-FR"/>
              </w:rPr>
            </w:pPr>
            <w:r>
              <w:rPr>
                <w:sz w:val="16"/>
                <w:szCs w:val="22"/>
                <w:lang w:val="fr-FR"/>
              </w:rPr>
              <w:t>13,8</w:t>
            </w:r>
          </w:p>
        </w:tc>
        <w:tc>
          <w:tcPr>
            <w:tcW w:w="259" w:type="pct"/>
          </w:tcPr>
          <w:p w:rsidR="00000000" w:rsidRDefault="00000000">
            <w:pPr>
              <w:spacing w:before="80" w:line="240" w:lineRule="auto"/>
              <w:jc w:val="right"/>
              <w:rPr>
                <w:sz w:val="16"/>
                <w:szCs w:val="22"/>
                <w:lang w:val="fr-FR"/>
              </w:rPr>
            </w:pPr>
            <w:r>
              <w:rPr>
                <w:sz w:val="16"/>
                <w:szCs w:val="22"/>
                <w:lang w:val="fr-FR"/>
              </w:rPr>
              <w:t>13,9</w:t>
            </w:r>
          </w:p>
        </w:tc>
        <w:tc>
          <w:tcPr>
            <w:tcW w:w="259" w:type="pct"/>
          </w:tcPr>
          <w:p w:rsidR="00000000" w:rsidRDefault="00000000">
            <w:pPr>
              <w:spacing w:before="80" w:line="240" w:lineRule="auto"/>
              <w:jc w:val="right"/>
              <w:rPr>
                <w:sz w:val="16"/>
                <w:szCs w:val="22"/>
                <w:lang w:val="fr-FR"/>
              </w:rPr>
            </w:pPr>
            <w:r>
              <w:rPr>
                <w:sz w:val="16"/>
                <w:szCs w:val="22"/>
                <w:lang w:val="fr-FR"/>
              </w:rPr>
              <w:t>14,1</w:t>
            </w:r>
          </w:p>
        </w:tc>
        <w:tc>
          <w:tcPr>
            <w:tcW w:w="260" w:type="pct"/>
          </w:tcPr>
          <w:p w:rsidR="00000000" w:rsidRDefault="00000000">
            <w:pPr>
              <w:spacing w:before="80" w:line="240" w:lineRule="auto"/>
              <w:jc w:val="right"/>
              <w:rPr>
                <w:sz w:val="16"/>
                <w:szCs w:val="22"/>
                <w:lang w:val="fr-FR"/>
              </w:rPr>
            </w:pPr>
            <w:r>
              <w:rPr>
                <w:sz w:val="16"/>
                <w:szCs w:val="22"/>
                <w:lang w:val="fr-FR"/>
              </w:rPr>
              <w:t>14,3</w:t>
            </w:r>
          </w:p>
        </w:tc>
        <w:tc>
          <w:tcPr>
            <w:tcW w:w="259" w:type="pct"/>
          </w:tcPr>
          <w:p w:rsidR="00000000" w:rsidRDefault="00000000">
            <w:pPr>
              <w:spacing w:before="80" w:line="240" w:lineRule="auto"/>
              <w:jc w:val="right"/>
              <w:rPr>
                <w:sz w:val="16"/>
                <w:szCs w:val="22"/>
                <w:lang w:val="fr-FR"/>
              </w:rPr>
            </w:pPr>
            <w:r>
              <w:rPr>
                <w:sz w:val="16"/>
                <w:szCs w:val="22"/>
                <w:lang w:val="fr-FR"/>
              </w:rPr>
              <w:t>14,8</w:t>
            </w:r>
          </w:p>
        </w:tc>
        <w:tc>
          <w:tcPr>
            <w:tcW w:w="259" w:type="pct"/>
          </w:tcPr>
          <w:p w:rsidR="00000000" w:rsidRDefault="00000000">
            <w:pPr>
              <w:spacing w:before="80" w:line="240" w:lineRule="auto"/>
              <w:jc w:val="right"/>
              <w:rPr>
                <w:sz w:val="16"/>
                <w:szCs w:val="22"/>
                <w:lang w:val="fr-FR"/>
              </w:rPr>
            </w:pPr>
            <w:r>
              <w:rPr>
                <w:sz w:val="16"/>
                <w:szCs w:val="22"/>
                <w:lang w:val="fr-FR"/>
              </w:rPr>
              <w:t>14,8</w:t>
            </w:r>
          </w:p>
        </w:tc>
        <w:tc>
          <w:tcPr>
            <w:tcW w:w="259" w:type="pct"/>
          </w:tcPr>
          <w:p w:rsidR="00000000" w:rsidRDefault="00000000">
            <w:pPr>
              <w:spacing w:before="80" w:line="240" w:lineRule="auto"/>
              <w:jc w:val="right"/>
              <w:rPr>
                <w:sz w:val="16"/>
                <w:szCs w:val="22"/>
                <w:lang w:val="fr-FR"/>
              </w:rPr>
            </w:pPr>
            <w:r>
              <w:rPr>
                <w:sz w:val="16"/>
                <w:szCs w:val="22"/>
                <w:lang w:val="fr-FR"/>
              </w:rPr>
              <w:t>14,7</w:t>
            </w:r>
          </w:p>
        </w:tc>
      </w:tr>
      <w:tr w:rsidR="00000000">
        <w:trPr>
          <w:jc w:val="center"/>
        </w:trPr>
        <w:tc>
          <w:tcPr>
            <w:tcW w:w="1630" w:type="pct"/>
          </w:tcPr>
          <w:p w:rsidR="00000000" w:rsidRDefault="00000000">
            <w:pPr>
              <w:spacing w:before="80" w:line="240" w:lineRule="auto"/>
              <w:rPr>
                <w:sz w:val="16"/>
                <w:szCs w:val="22"/>
                <w:lang w:val="fr-FR"/>
              </w:rPr>
            </w:pPr>
            <w:r>
              <w:rPr>
                <w:sz w:val="16"/>
                <w:szCs w:val="22"/>
              </w:rPr>
              <w:t>Сахарный диабет</w:t>
            </w:r>
          </w:p>
        </w:tc>
        <w:tc>
          <w:tcPr>
            <w:tcW w:w="259" w:type="pct"/>
          </w:tcPr>
          <w:p w:rsidR="00000000" w:rsidRDefault="00000000">
            <w:pPr>
              <w:spacing w:before="80" w:line="240" w:lineRule="auto"/>
              <w:jc w:val="right"/>
              <w:rPr>
                <w:sz w:val="16"/>
                <w:szCs w:val="22"/>
                <w:lang w:val="fr-FR"/>
              </w:rPr>
            </w:pPr>
            <w:r>
              <w:rPr>
                <w:sz w:val="16"/>
                <w:szCs w:val="22"/>
                <w:lang w:val="fr-FR"/>
              </w:rPr>
              <w:t>8,0</w:t>
            </w:r>
          </w:p>
        </w:tc>
        <w:tc>
          <w:tcPr>
            <w:tcW w:w="259" w:type="pct"/>
          </w:tcPr>
          <w:p w:rsidR="00000000" w:rsidRDefault="00000000">
            <w:pPr>
              <w:spacing w:before="80" w:line="240" w:lineRule="auto"/>
              <w:jc w:val="right"/>
              <w:rPr>
                <w:sz w:val="16"/>
                <w:szCs w:val="22"/>
                <w:lang w:val="fr-FR"/>
              </w:rPr>
            </w:pPr>
            <w:r>
              <w:rPr>
                <w:sz w:val="16"/>
                <w:szCs w:val="22"/>
                <w:lang w:val="fr-FR"/>
              </w:rPr>
              <w:t>8,6</w:t>
            </w:r>
          </w:p>
        </w:tc>
        <w:tc>
          <w:tcPr>
            <w:tcW w:w="259" w:type="pct"/>
          </w:tcPr>
          <w:p w:rsidR="00000000" w:rsidRDefault="00000000">
            <w:pPr>
              <w:spacing w:before="80" w:line="240" w:lineRule="auto"/>
              <w:jc w:val="right"/>
              <w:rPr>
                <w:sz w:val="16"/>
                <w:szCs w:val="22"/>
              </w:rPr>
            </w:pPr>
            <w:r>
              <w:rPr>
                <w:sz w:val="16"/>
                <w:szCs w:val="22"/>
              </w:rPr>
              <w:t>9,0</w:t>
            </w:r>
          </w:p>
        </w:tc>
        <w:tc>
          <w:tcPr>
            <w:tcW w:w="260" w:type="pct"/>
          </w:tcPr>
          <w:p w:rsidR="00000000" w:rsidRDefault="00000000">
            <w:pPr>
              <w:spacing w:before="80" w:line="240" w:lineRule="auto"/>
              <w:jc w:val="right"/>
              <w:rPr>
                <w:sz w:val="16"/>
                <w:szCs w:val="22"/>
              </w:rPr>
            </w:pPr>
            <w:r>
              <w:rPr>
                <w:sz w:val="16"/>
                <w:szCs w:val="22"/>
              </w:rPr>
              <w:t>9,3</w:t>
            </w:r>
          </w:p>
        </w:tc>
        <w:tc>
          <w:tcPr>
            <w:tcW w:w="259" w:type="pct"/>
          </w:tcPr>
          <w:p w:rsidR="00000000" w:rsidRDefault="00000000">
            <w:pPr>
              <w:spacing w:before="80" w:line="240" w:lineRule="auto"/>
              <w:jc w:val="right"/>
              <w:rPr>
                <w:sz w:val="16"/>
                <w:szCs w:val="22"/>
              </w:rPr>
            </w:pPr>
            <w:r>
              <w:rPr>
                <w:sz w:val="16"/>
                <w:szCs w:val="22"/>
              </w:rPr>
              <w:t>9,4</w:t>
            </w:r>
          </w:p>
        </w:tc>
        <w:tc>
          <w:tcPr>
            <w:tcW w:w="259" w:type="pct"/>
          </w:tcPr>
          <w:p w:rsidR="00000000" w:rsidRDefault="00000000">
            <w:pPr>
              <w:spacing w:before="80" w:line="240" w:lineRule="auto"/>
              <w:jc w:val="right"/>
              <w:rPr>
                <w:sz w:val="16"/>
                <w:szCs w:val="22"/>
              </w:rPr>
            </w:pPr>
            <w:r>
              <w:rPr>
                <w:sz w:val="16"/>
                <w:szCs w:val="22"/>
              </w:rPr>
              <w:t>9,9</w:t>
            </w:r>
          </w:p>
        </w:tc>
        <w:tc>
          <w:tcPr>
            <w:tcW w:w="260" w:type="pct"/>
          </w:tcPr>
          <w:p w:rsidR="00000000" w:rsidRDefault="00000000">
            <w:pPr>
              <w:spacing w:before="80" w:line="240" w:lineRule="auto"/>
              <w:jc w:val="right"/>
              <w:rPr>
                <w:sz w:val="16"/>
                <w:szCs w:val="22"/>
              </w:rPr>
            </w:pPr>
            <w:r>
              <w:rPr>
                <w:sz w:val="16"/>
                <w:szCs w:val="22"/>
              </w:rPr>
              <w:t>10,1</w:t>
            </w:r>
          </w:p>
        </w:tc>
        <w:tc>
          <w:tcPr>
            <w:tcW w:w="259" w:type="pct"/>
          </w:tcPr>
          <w:p w:rsidR="00000000" w:rsidRDefault="00000000">
            <w:pPr>
              <w:spacing w:before="80" w:line="240" w:lineRule="auto"/>
              <w:jc w:val="right"/>
              <w:rPr>
                <w:sz w:val="16"/>
                <w:szCs w:val="22"/>
              </w:rPr>
            </w:pPr>
            <w:r>
              <w:rPr>
                <w:sz w:val="16"/>
                <w:szCs w:val="22"/>
              </w:rPr>
              <w:t>10,4</w:t>
            </w:r>
          </w:p>
        </w:tc>
        <w:tc>
          <w:tcPr>
            <w:tcW w:w="259" w:type="pct"/>
          </w:tcPr>
          <w:p w:rsidR="00000000" w:rsidRDefault="00000000">
            <w:pPr>
              <w:spacing w:before="80" w:line="240" w:lineRule="auto"/>
              <w:jc w:val="right"/>
              <w:rPr>
                <w:sz w:val="16"/>
                <w:szCs w:val="22"/>
              </w:rPr>
            </w:pPr>
            <w:r>
              <w:rPr>
                <w:sz w:val="16"/>
                <w:szCs w:val="22"/>
              </w:rPr>
              <w:t>11,9</w:t>
            </w:r>
          </w:p>
        </w:tc>
        <w:tc>
          <w:tcPr>
            <w:tcW w:w="260" w:type="pct"/>
          </w:tcPr>
          <w:p w:rsidR="00000000" w:rsidRDefault="00000000">
            <w:pPr>
              <w:spacing w:before="80" w:line="240" w:lineRule="auto"/>
              <w:jc w:val="right"/>
              <w:rPr>
                <w:sz w:val="16"/>
                <w:szCs w:val="22"/>
              </w:rPr>
            </w:pPr>
            <w:r>
              <w:rPr>
                <w:sz w:val="16"/>
                <w:szCs w:val="22"/>
              </w:rPr>
              <w:t>12,9</w:t>
            </w:r>
          </w:p>
        </w:tc>
        <w:tc>
          <w:tcPr>
            <w:tcW w:w="259" w:type="pct"/>
          </w:tcPr>
          <w:p w:rsidR="00000000" w:rsidRDefault="00000000">
            <w:pPr>
              <w:spacing w:before="80" w:line="240" w:lineRule="auto"/>
              <w:jc w:val="right"/>
              <w:rPr>
                <w:sz w:val="16"/>
                <w:szCs w:val="22"/>
              </w:rPr>
            </w:pPr>
            <w:r>
              <w:rPr>
                <w:sz w:val="16"/>
                <w:szCs w:val="22"/>
              </w:rPr>
              <w:t>13,3</w:t>
            </w:r>
          </w:p>
        </w:tc>
        <w:tc>
          <w:tcPr>
            <w:tcW w:w="259" w:type="pct"/>
          </w:tcPr>
          <w:p w:rsidR="00000000" w:rsidRDefault="00000000">
            <w:pPr>
              <w:spacing w:before="80" w:line="240" w:lineRule="auto"/>
              <w:jc w:val="right"/>
              <w:rPr>
                <w:sz w:val="16"/>
                <w:szCs w:val="22"/>
              </w:rPr>
            </w:pPr>
            <w:r>
              <w:rPr>
                <w:sz w:val="16"/>
                <w:szCs w:val="22"/>
              </w:rPr>
              <w:t>14,0</w:t>
            </w:r>
          </w:p>
        </w:tc>
        <w:tc>
          <w:tcPr>
            <w:tcW w:w="259" w:type="pct"/>
          </w:tcPr>
          <w:p w:rsidR="00000000" w:rsidRDefault="00000000">
            <w:pPr>
              <w:spacing w:before="80" w:line="240" w:lineRule="auto"/>
              <w:jc w:val="right"/>
              <w:rPr>
                <w:sz w:val="16"/>
                <w:szCs w:val="22"/>
              </w:rPr>
            </w:pPr>
            <w:r>
              <w:rPr>
                <w:sz w:val="16"/>
                <w:szCs w:val="22"/>
              </w:rPr>
              <w:t>14,6</w:t>
            </w:r>
          </w:p>
        </w:tc>
      </w:tr>
      <w:tr w:rsidR="00000000">
        <w:trPr>
          <w:jc w:val="center"/>
        </w:trPr>
        <w:tc>
          <w:tcPr>
            <w:tcW w:w="1630" w:type="pct"/>
          </w:tcPr>
          <w:p w:rsidR="00000000" w:rsidRDefault="00000000">
            <w:pPr>
              <w:spacing w:before="80" w:line="240" w:lineRule="auto"/>
              <w:rPr>
                <w:sz w:val="16"/>
                <w:szCs w:val="22"/>
              </w:rPr>
            </w:pPr>
            <w:r>
              <w:rPr>
                <w:sz w:val="16"/>
                <w:szCs w:val="22"/>
              </w:rPr>
              <w:t>Травмы</w:t>
            </w:r>
          </w:p>
        </w:tc>
        <w:tc>
          <w:tcPr>
            <w:tcW w:w="259" w:type="pct"/>
          </w:tcPr>
          <w:p w:rsidR="00000000" w:rsidRDefault="00000000">
            <w:pPr>
              <w:spacing w:before="80" w:line="240" w:lineRule="auto"/>
              <w:jc w:val="right"/>
              <w:rPr>
                <w:sz w:val="16"/>
                <w:szCs w:val="22"/>
              </w:rPr>
            </w:pPr>
            <w:r>
              <w:rPr>
                <w:sz w:val="16"/>
                <w:szCs w:val="22"/>
              </w:rPr>
              <w:t>5,8</w:t>
            </w:r>
          </w:p>
        </w:tc>
        <w:tc>
          <w:tcPr>
            <w:tcW w:w="259" w:type="pct"/>
          </w:tcPr>
          <w:p w:rsidR="00000000" w:rsidRDefault="00000000">
            <w:pPr>
              <w:spacing w:before="80" w:line="240" w:lineRule="auto"/>
              <w:jc w:val="right"/>
              <w:rPr>
                <w:sz w:val="16"/>
                <w:szCs w:val="22"/>
              </w:rPr>
            </w:pPr>
            <w:r>
              <w:rPr>
                <w:sz w:val="16"/>
                <w:szCs w:val="22"/>
              </w:rPr>
              <w:t>6,3</w:t>
            </w:r>
          </w:p>
        </w:tc>
        <w:tc>
          <w:tcPr>
            <w:tcW w:w="259" w:type="pct"/>
          </w:tcPr>
          <w:p w:rsidR="00000000" w:rsidRDefault="00000000">
            <w:pPr>
              <w:spacing w:before="80" w:line="240" w:lineRule="auto"/>
              <w:jc w:val="right"/>
              <w:rPr>
                <w:sz w:val="16"/>
                <w:szCs w:val="22"/>
              </w:rPr>
            </w:pPr>
            <w:r>
              <w:rPr>
                <w:sz w:val="16"/>
                <w:szCs w:val="22"/>
              </w:rPr>
              <w:t>6,5</w:t>
            </w:r>
          </w:p>
        </w:tc>
        <w:tc>
          <w:tcPr>
            <w:tcW w:w="260" w:type="pct"/>
          </w:tcPr>
          <w:p w:rsidR="00000000" w:rsidRDefault="00000000">
            <w:pPr>
              <w:spacing w:before="80" w:line="240" w:lineRule="auto"/>
              <w:jc w:val="right"/>
              <w:rPr>
                <w:sz w:val="16"/>
                <w:szCs w:val="22"/>
              </w:rPr>
            </w:pPr>
            <w:r>
              <w:rPr>
                <w:sz w:val="16"/>
                <w:szCs w:val="22"/>
              </w:rPr>
              <w:t>6,3</w:t>
            </w:r>
          </w:p>
        </w:tc>
        <w:tc>
          <w:tcPr>
            <w:tcW w:w="259" w:type="pct"/>
          </w:tcPr>
          <w:p w:rsidR="00000000" w:rsidRDefault="00000000">
            <w:pPr>
              <w:spacing w:before="80" w:line="240" w:lineRule="auto"/>
              <w:jc w:val="right"/>
              <w:rPr>
                <w:sz w:val="16"/>
                <w:szCs w:val="22"/>
              </w:rPr>
            </w:pPr>
            <w:r>
              <w:rPr>
                <w:sz w:val="16"/>
                <w:szCs w:val="22"/>
              </w:rPr>
              <w:t>6,7</w:t>
            </w:r>
          </w:p>
        </w:tc>
        <w:tc>
          <w:tcPr>
            <w:tcW w:w="259" w:type="pct"/>
          </w:tcPr>
          <w:p w:rsidR="00000000" w:rsidRDefault="00000000">
            <w:pPr>
              <w:spacing w:before="80" w:line="240" w:lineRule="auto"/>
              <w:jc w:val="right"/>
              <w:rPr>
                <w:sz w:val="16"/>
                <w:szCs w:val="22"/>
              </w:rPr>
            </w:pPr>
            <w:r>
              <w:rPr>
                <w:sz w:val="16"/>
                <w:szCs w:val="22"/>
              </w:rPr>
              <w:t>6,7</w:t>
            </w:r>
          </w:p>
        </w:tc>
        <w:tc>
          <w:tcPr>
            <w:tcW w:w="260" w:type="pct"/>
          </w:tcPr>
          <w:p w:rsidR="00000000" w:rsidRDefault="00000000">
            <w:pPr>
              <w:spacing w:before="80" w:line="240" w:lineRule="auto"/>
              <w:jc w:val="right"/>
              <w:rPr>
                <w:sz w:val="16"/>
                <w:szCs w:val="22"/>
              </w:rPr>
            </w:pPr>
            <w:r>
              <w:rPr>
                <w:sz w:val="16"/>
                <w:szCs w:val="22"/>
              </w:rPr>
              <w:t>6,8</w:t>
            </w:r>
          </w:p>
        </w:tc>
        <w:tc>
          <w:tcPr>
            <w:tcW w:w="259" w:type="pct"/>
          </w:tcPr>
          <w:p w:rsidR="00000000" w:rsidRDefault="00000000">
            <w:pPr>
              <w:spacing w:before="80" w:line="240" w:lineRule="auto"/>
              <w:jc w:val="right"/>
              <w:rPr>
                <w:sz w:val="16"/>
                <w:szCs w:val="22"/>
              </w:rPr>
            </w:pPr>
            <w:r>
              <w:rPr>
                <w:sz w:val="16"/>
                <w:szCs w:val="22"/>
              </w:rPr>
              <w:t>6,8</w:t>
            </w:r>
          </w:p>
        </w:tc>
        <w:tc>
          <w:tcPr>
            <w:tcW w:w="259" w:type="pct"/>
          </w:tcPr>
          <w:p w:rsidR="00000000" w:rsidRDefault="00000000">
            <w:pPr>
              <w:spacing w:before="80" w:line="240" w:lineRule="auto"/>
              <w:jc w:val="right"/>
              <w:rPr>
                <w:sz w:val="16"/>
                <w:szCs w:val="22"/>
              </w:rPr>
            </w:pPr>
            <w:r>
              <w:rPr>
                <w:sz w:val="16"/>
                <w:szCs w:val="22"/>
              </w:rPr>
              <w:t>6,8</w:t>
            </w:r>
          </w:p>
        </w:tc>
        <w:tc>
          <w:tcPr>
            <w:tcW w:w="260" w:type="pct"/>
          </w:tcPr>
          <w:p w:rsidR="00000000" w:rsidRDefault="00000000">
            <w:pPr>
              <w:spacing w:before="80" w:line="240" w:lineRule="auto"/>
              <w:jc w:val="right"/>
              <w:rPr>
                <w:sz w:val="16"/>
                <w:szCs w:val="22"/>
              </w:rPr>
            </w:pPr>
            <w:r>
              <w:rPr>
                <w:sz w:val="16"/>
                <w:szCs w:val="22"/>
              </w:rPr>
              <w:t>7,0</w:t>
            </w:r>
          </w:p>
        </w:tc>
        <w:tc>
          <w:tcPr>
            <w:tcW w:w="259" w:type="pct"/>
          </w:tcPr>
          <w:p w:rsidR="00000000" w:rsidRDefault="00000000">
            <w:pPr>
              <w:spacing w:before="80" w:line="240" w:lineRule="auto"/>
              <w:jc w:val="right"/>
              <w:rPr>
                <w:sz w:val="16"/>
                <w:szCs w:val="22"/>
              </w:rPr>
            </w:pPr>
            <w:r>
              <w:rPr>
                <w:sz w:val="16"/>
                <w:szCs w:val="22"/>
              </w:rPr>
              <w:t>6,9</w:t>
            </w:r>
          </w:p>
        </w:tc>
        <w:tc>
          <w:tcPr>
            <w:tcW w:w="259" w:type="pct"/>
          </w:tcPr>
          <w:p w:rsidR="00000000" w:rsidRDefault="00000000">
            <w:pPr>
              <w:spacing w:before="80" w:line="240" w:lineRule="auto"/>
              <w:jc w:val="right"/>
              <w:rPr>
                <w:sz w:val="16"/>
                <w:szCs w:val="22"/>
              </w:rPr>
            </w:pPr>
            <w:r>
              <w:rPr>
                <w:sz w:val="16"/>
                <w:szCs w:val="22"/>
              </w:rPr>
              <w:t>7,0</w:t>
            </w:r>
          </w:p>
        </w:tc>
        <w:tc>
          <w:tcPr>
            <w:tcW w:w="259" w:type="pct"/>
          </w:tcPr>
          <w:p w:rsidR="00000000" w:rsidRDefault="00000000">
            <w:pPr>
              <w:spacing w:before="80" w:line="240" w:lineRule="auto"/>
              <w:jc w:val="right"/>
              <w:rPr>
                <w:sz w:val="16"/>
                <w:szCs w:val="22"/>
              </w:rPr>
            </w:pPr>
            <w:r>
              <w:rPr>
                <w:sz w:val="16"/>
                <w:szCs w:val="22"/>
              </w:rPr>
              <w:t>6,9</w:t>
            </w:r>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Болезни печени</w:t>
            </w:r>
            <w:r>
              <w:rPr>
                <w:b/>
                <w:bCs/>
                <w:sz w:val="16"/>
                <w:szCs w:val="22"/>
                <w:vertAlign w:val="superscript"/>
              </w:rPr>
              <w:t>а</w:t>
            </w:r>
          </w:p>
        </w:tc>
        <w:tc>
          <w:tcPr>
            <w:tcW w:w="259" w:type="pct"/>
          </w:tcPr>
          <w:p w:rsidR="00000000" w:rsidRDefault="00000000">
            <w:pPr>
              <w:spacing w:before="80" w:line="240" w:lineRule="auto"/>
              <w:jc w:val="right"/>
              <w:rPr>
                <w:sz w:val="16"/>
                <w:szCs w:val="22"/>
              </w:rPr>
            </w:pPr>
            <w:r>
              <w:rPr>
                <w:sz w:val="16"/>
                <w:szCs w:val="22"/>
              </w:rPr>
              <w:t>4,9</w:t>
            </w:r>
          </w:p>
        </w:tc>
        <w:tc>
          <w:tcPr>
            <w:tcW w:w="259" w:type="pct"/>
          </w:tcPr>
          <w:p w:rsidR="00000000" w:rsidRDefault="00000000">
            <w:pPr>
              <w:spacing w:before="80" w:line="240" w:lineRule="auto"/>
              <w:jc w:val="right"/>
              <w:rPr>
                <w:sz w:val="16"/>
                <w:szCs w:val="22"/>
              </w:rPr>
            </w:pPr>
            <w:r>
              <w:rPr>
                <w:sz w:val="16"/>
                <w:szCs w:val="22"/>
              </w:rPr>
              <w:t>5,0</w:t>
            </w:r>
          </w:p>
        </w:tc>
        <w:tc>
          <w:tcPr>
            <w:tcW w:w="259" w:type="pct"/>
          </w:tcPr>
          <w:p w:rsidR="00000000" w:rsidRDefault="00000000">
            <w:pPr>
              <w:spacing w:before="80" w:line="240" w:lineRule="auto"/>
              <w:jc w:val="right"/>
              <w:rPr>
                <w:sz w:val="16"/>
                <w:szCs w:val="22"/>
              </w:rPr>
            </w:pPr>
            <w:r>
              <w:rPr>
                <w:sz w:val="16"/>
                <w:szCs w:val="22"/>
              </w:rPr>
              <w:t>4,7</w:t>
            </w:r>
          </w:p>
        </w:tc>
        <w:tc>
          <w:tcPr>
            <w:tcW w:w="260" w:type="pct"/>
          </w:tcPr>
          <w:p w:rsidR="00000000" w:rsidRDefault="00000000">
            <w:pPr>
              <w:spacing w:before="80" w:line="240" w:lineRule="auto"/>
              <w:jc w:val="right"/>
              <w:rPr>
                <w:sz w:val="16"/>
                <w:szCs w:val="22"/>
              </w:rPr>
            </w:pPr>
            <w:r>
              <w:rPr>
                <w:sz w:val="16"/>
                <w:szCs w:val="22"/>
              </w:rPr>
              <w:t>4,6</w:t>
            </w:r>
          </w:p>
        </w:tc>
        <w:tc>
          <w:tcPr>
            <w:tcW w:w="259" w:type="pct"/>
          </w:tcPr>
          <w:p w:rsidR="00000000" w:rsidRDefault="00000000">
            <w:pPr>
              <w:spacing w:before="80" w:line="240" w:lineRule="auto"/>
              <w:jc w:val="right"/>
              <w:rPr>
                <w:sz w:val="16"/>
                <w:szCs w:val="22"/>
              </w:rPr>
            </w:pPr>
            <w:r>
              <w:rPr>
                <w:sz w:val="16"/>
                <w:szCs w:val="22"/>
              </w:rPr>
              <w:t>4,6</w:t>
            </w:r>
          </w:p>
        </w:tc>
        <w:tc>
          <w:tcPr>
            <w:tcW w:w="259" w:type="pct"/>
          </w:tcPr>
          <w:p w:rsidR="00000000" w:rsidRDefault="00000000">
            <w:pPr>
              <w:spacing w:before="80" w:line="240" w:lineRule="auto"/>
              <w:jc w:val="right"/>
              <w:rPr>
                <w:sz w:val="16"/>
                <w:szCs w:val="22"/>
              </w:rPr>
            </w:pPr>
            <w:r>
              <w:rPr>
                <w:sz w:val="16"/>
                <w:szCs w:val="22"/>
              </w:rPr>
              <w:t>4,3</w:t>
            </w:r>
          </w:p>
        </w:tc>
        <w:tc>
          <w:tcPr>
            <w:tcW w:w="260" w:type="pct"/>
          </w:tcPr>
          <w:p w:rsidR="00000000" w:rsidRDefault="00000000">
            <w:pPr>
              <w:spacing w:before="80" w:line="240" w:lineRule="auto"/>
              <w:jc w:val="right"/>
              <w:rPr>
                <w:sz w:val="16"/>
                <w:szCs w:val="22"/>
              </w:rPr>
            </w:pPr>
            <w:r>
              <w:rPr>
                <w:sz w:val="16"/>
                <w:szCs w:val="22"/>
              </w:rPr>
              <w:t>4,0</w:t>
            </w:r>
          </w:p>
        </w:tc>
        <w:tc>
          <w:tcPr>
            <w:tcW w:w="259" w:type="pct"/>
          </w:tcPr>
          <w:p w:rsidR="00000000" w:rsidRDefault="00000000">
            <w:pPr>
              <w:spacing w:before="80" w:line="240" w:lineRule="auto"/>
              <w:jc w:val="right"/>
              <w:rPr>
                <w:sz w:val="16"/>
                <w:szCs w:val="22"/>
              </w:rPr>
            </w:pPr>
            <w:r>
              <w:rPr>
                <w:sz w:val="16"/>
                <w:szCs w:val="22"/>
              </w:rPr>
              <w:t>4,3</w:t>
            </w:r>
          </w:p>
        </w:tc>
        <w:tc>
          <w:tcPr>
            <w:tcW w:w="259" w:type="pct"/>
          </w:tcPr>
          <w:p w:rsidR="00000000" w:rsidRDefault="00000000">
            <w:pPr>
              <w:spacing w:before="80" w:line="240" w:lineRule="auto"/>
              <w:jc w:val="right"/>
              <w:rPr>
                <w:sz w:val="16"/>
                <w:szCs w:val="22"/>
              </w:rPr>
            </w:pPr>
            <w:r>
              <w:rPr>
                <w:sz w:val="16"/>
                <w:szCs w:val="22"/>
              </w:rPr>
              <w:t>4,1</w:t>
            </w:r>
          </w:p>
        </w:tc>
        <w:tc>
          <w:tcPr>
            <w:tcW w:w="260" w:type="pct"/>
          </w:tcPr>
          <w:p w:rsidR="00000000" w:rsidRDefault="00000000">
            <w:pPr>
              <w:spacing w:before="80" w:line="240" w:lineRule="auto"/>
              <w:jc w:val="right"/>
              <w:rPr>
                <w:sz w:val="16"/>
                <w:szCs w:val="22"/>
              </w:rPr>
            </w:pPr>
            <w:r>
              <w:rPr>
                <w:sz w:val="16"/>
                <w:szCs w:val="22"/>
              </w:rPr>
              <w:t>4,2</w:t>
            </w:r>
          </w:p>
        </w:tc>
        <w:tc>
          <w:tcPr>
            <w:tcW w:w="259" w:type="pct"/>
          </w:tcPr>
          <w:p w:rsidR="00000000" w:rsidRDefault="00000000">
            <w:pPr>
              <w:spacing w:before="80" w:line="240" w:lineRule="auto"/>
              <w:jc w:val="right"/>
              <w:rPr>
                <w:sz w:val="16"/>
                <w:szCs w:val="22"/>
              </w:rPr>
            </w:pPr>
            <w:r>
              <w:rPr>
                <w:sz w:val="16"/>
                <w:szCs w:val="22"/>
              </w:rPr>
              <w:t>4,1</w:t>
            </w:r>
          </w:p>
        </w:tc>
        <w:tc>
          <w:tcPr>
            <w:tcW w:w="259" w:type="pct"/>
          </w:tcPr>
          <w:p w:rsidR="00000000" w:rsidRDefault="00000000">
            <w:pPr>
              <w:spacing w:before="80" w:line="240" w:lineRule="auto"/>
              <w:jc w:val="right"/>
              <w:rPr>
                <w:sz w:val="16"/>
                <w:szCs w:val="22"/>
              </w:rPr>
            </w:pPr>
            <w:r>
              <w:rPr>
                <w:sz w:val="16"/>
                <w:szCs w:val="22"/>
              </w:rPr>
              <w:t>4,3</w:t>
            </w:r>
          </w:p>
        </w:tc>
        <w:tc>
          <w:tcPr>
            <w:tcW w:w="259" w:type="pct"/>
          </w:tcPr>
          <w:p w:rsidR="00000000" w:rsidRDefault="00000000">
            <w:pPr>
              <w:spacing w:before="80" w:line="240" w:lineRule="auto"/>
              <w:jc w:val="right"/>
              <w:rPr>
                <w:sz w:val="16"/>
                <w:szCs w:val="22"/>
              </w:rPr>
            </w:pPr>
            <w:r>
              <w:rPr>
                <w:sz w:val="16"/>
                <w:szCs w:val="22"/>
              </w:rPr>
              <w:t>4,2</w:t>
            </w:r>
          </w:p>
        </w:tc>
      </w:tr>
      <w:tr w:rsidR="00000000">
        <w:trPr>
          <w:jc w:val="center"/>
        </w:trPr>
        <w:tc>
          <w:tcPr>
            <w:tcW w:w="1630" w:type="pct"/>
            <w:tcBorders>
              <w:bottom w:val="single" w:sz="4" w:space="0" w:color="auto"/>
            </w:tcBorders>
          </w:tcPr>
          <w:p w:rsidR="00000000" w:rsidRDefault="00000000">
            <w:pPr>
              <w:spacing w:before="80" w:line="240" w:lineRule="auto"/>
              <w:rPr>
                <w:sz w:val="16"/>
                <w:szCs w:val="22"/>
                <w:vertAlign w:val="superscript"/>
              </w:rPr>
            </w:pPr>
            <w:r>
              <w:rPr>
                <w:sz w:val="16"/>
                <w:szCs w:val="22"/>
              </w:rPr>
              <w:t>Сердечно-сосудистые заболевания</w:t>
            </w:r>
            <w:r>
              <w:rPr>
                <w:b/>
                <w:bCs/>
                <w:sz w:val="16"/>
                <w:szCs w:val="22"/>
                <w:vertAlign w:val="superscript"/>
                <w:lang w:val="en-US"/>
              </w:rPr>
              <w:t>b</w:t>
            </w:r>
          </w:p>
        </w:tc>
        <w:tc>
          <w:tcPr>
            <w:tcW w:w="259" w:type="pct"/>
            <w:tcBorders>
              <w:bottom w:val="single" w:sz="4" w:space="0" w:color="auto"/>
            </w:tcBorders>
          </w:tcPr>
          <w:p w:rsidR="00000000" w:rsidRDefault="00000000">
            <w:pPr>
              <w:spacing w:before="80" w:line="240" w:lineRule="auto"/>
              <w:jc w:val="right"/>
              <w:rPr>
                <w:sz w:val="16"/>
                <w:szCs w:val="22"/>
              </w:rPr>
            </w:pPr>
            <w:r>
              <w:rPr>
                <w:sz w:val="16"/>
                <w:szCs w:val="22"/>
              </w:rPr>
              <w:t>5,2</w:t>
            </w:r>
          </w:p>
        </w:tc>
        <w:tc>
          <w:tcPr>
            <w:tcW w:w="259" w:type="pct"/>
            <w:tcBorders>
              <w:bottom w:val="single" w:sz="4" w:space="0" w:color="auto"/>
            </w:tcBorders>
          </w:tcPr>
          <w:p w:rsidR="00000000" w:rsidRDefault="00000000">
            <w:pPr>
              <w:spacing w:before="80" w:line="240" w:lineRule="auto"/>
              <w:jc w:val="right"/>
              <w:rPr>
                <w:sz w:val="16"/>
                <w:szCs w:val="22"/>
              </w:rPr>
            </w:pPr>
            <w:r>
              <w:rPr>
                <w:sz w:val="16"/>
                <w:szCs w:val="22"/>
              </w:rPr>
              <w:t>5,2</w:t>
            </w:r>
          </w:p>
        </w:tc>
        <w:tc>
          <w:tcPr>
            <w:tcW w:w="259" w:type="pct"/>
            <w:tcBorders>
              <w:bottom w:val="single" w:sz="4" w:space="0" w:color="auto"/>
            </w:tcBorders>
          </w:tcPr>
          <w:p w:rsidR="00000000" w:rsidRDefault="00000000">
            <w:pPr>
              <w:spacing w:before="80" w:line="240" w:lineRule="auto"/>
              <w:jc w:val="right"/>
              <w:rPr>
                <w:sz w:val="16"/>
                <w:szCs w:val="22"/>
              </w:rPr>
            </w:pPr>
            <w:r>
              <w:rPr>
                <w:sz w:val="16"/>
                <w:szCs w:val="22"/>
              </w:rPr>
              <w:t>5,0</w:t>
            </w:r>
          </w:p>
        </w:tc>
        <w:tc>
          <w:tcPr>
            <w:tcW w:w="260" w:type="pct"/>
            <w:tcBorders>
              <w:bottom w:val="single" w:sz="4" w:space="0" w:color="auto"/>
            </w:tcBorders>
          </w:tcPr>
          <w:p w:rsidR="00000000" w:rsidRDefault="00000000">
            <w:pPr>
              <w:spacing w:before="80" w:line="240" w:lineRule="auto"/>
              <w:jc w:val="right"/>
              <w:rPr>
                <w:sz w:val="16"/>
                <w:szCs w:val="22"/>
              </w:rPr>
            </w:pPr>
            <w:r>
              <w:rPr>
                <w:sz w:val="16"/>
                <w:szCs w:val="22"/>
              </w:rPr>
              <w:t>4,8</w:t>
            </w:r>
          </w:p>
        </w:tc>
        <w:tc>
          <w:tcPr>
            <w:tcW w:w="259" w:type="pct"/>
            <w:tcBorders>
              <w:bottom w:val="single" w:sz="4" w:space="0" w:color="auto"/>
            </w:tcBorders>
          </w:tcPr>
          <w:p w:rsidR="00000000" w:rsidRDefault="00000000">
            <w:pPr>
              <w:spacing w:before="80" w:line="240" w:lineRule="auto"/>
              <w:jc w:val="right"/>
              <w:rPr>
                <w:sz w:val="16"/>
                <w:szCs w:val="22"/>
              </w:rPr>
            </w:pPr>
            <w:r>
              <w:rPr>
                <w:sz w:val="16"/>
                <w:szCs w:val="22"/>
              </w:rPr>
              <w:t>4,6</w:t>
            </w:r>
          </w:p>
        </w:tc>
        <w:tc>
          <w:tcPr>
            <w:tcW w:w="259" w:type="pct"/>
            <w:tcBorders>
              <w:bottom w:val="single" w:sz="4" w:space="0" w:color="auto"/>
            </w:tcBorders>
          </w:tcPr>
          <w:p w:rsidR="00000000" w:rsidRDefault="00000000">
            <w:pPr>
              <w:spacing w:before="80" w:line="240" w:lineRule="auto"/>
              <w:jc w:val="right"/>
              <w:rPr>
                <w:sz w:val="16"/>
                <w:szCs w:val="22"/>
              </w:rPr>
            </w:pPr>
            <w:r>
              <w:rPr>
                <w:sz w:val="16"/>
                <w:szCs w:val="22"/>
              </w:rPr>
              <w:t>4,5</w:t>
            </w:r>
          </w:p>
        </w:tc>
        <w:tc>
          <w:tcPr>
            <w:tcW w:w="260" w:type="pct"/>
            <w:tcBorders>
              <w:bottom w:val="single" w:sz="4" w:space="0" w:color="auto"/>
            </w:tcBorders>
          </w:tcPr>
          <w:p w:rsidR="00000000" w:rsidRDefault="00000000">
            <w:pPr>
              <w:spacing w:before="80" w:line="240" w:lineRule="auto"/>
              <w:jc w:val="right"/>
              <w:rPr>
                <w:sz w:val="16"/>
                <w:szCs w:val="22"/>
              </w:rPr>
            </w:pPr>
            <w:r>
              <w:rPr>
                <w:sz w:val="16"/>
                <w:szCs w:val="22"/>
              </w:rPr>
              <w:t>4,2</w:t>
            </w:r>
          </w:p>
        </w:tc>
        <w:tc>
          <w:tcPr>
            <w:tcW w:w="259" w:type="pct"/>
            <w:tcBorders>
              <w:bottom w:val="single" w:sz="4" w:space="0" w:color="auto"/>
            </w:tcBorders>
          </w:tcPr>
          <w:p w:rsidR="00000000" w:rsidRDefault="00000000">
            <w:pPr>
              <w:spacing w:before="80" w:line="240" w:lineRule="auto"/>
              <w:jc w:val="right"/>
              <w:rPr>
                <w:sz w:val="16"/>
                <w:szCs w:val="22"/>
              </w:rPr>
            </w:pPr>
            <w:r>
              <w:rPr>
                <w:sz w:val="16"/>
                <w:szCs w:val="22"/>
              </w:rPr>
              <w:t>4,2</w:t>
            </w:r>
          </w:p>
        </w:tc>
        <w:tc>
          <w:tcPr>
            <w:tcW w:w="259" w:type="pct"/>
            <w:tcBorders>
              <w:bottom w:val="single" w:sz="4" w:space="0" w:color="auto"/>
            </w:tcBorders>
          </w:tcPr>
          <w:p w:rsidR="00000000" w:rsidRDefault="00000000">
            <w:pPr>
              <w:spacing w:before="80" w:line="240" w:lineRule="auto"/>
              <w:jc w:val="right"/>
              <w:rPr>
                <w:sz w:val="16"/>
                <w:szCs w:val="22"/>
              </w:rPr>
            </w:pPr>
            <w:r>
              <w:rPr>
                <w:sz w:val="16"/>
                <w:szCs w:val="22"/>
              </w:rPr>
              <w:t>4,3</w:t>
            </w:r>
          </w:p>
        </w:tc>
        <w:tc>
          <w:tcPr>
            <w:tcW w:w="260" w:type="pct"/>
            <w:tcBorders>
              <w:bottom w:val="single" w:sz="4" w:space="0" w:color="auto"/>
            </w:tcBorders>
          </w:tcPr>
          <w:p w:rsidR="00000000" w:rsidRDefault="00000000">
            <w:pPr>
              <w:spacing w:before="80" w:line="240" w:lineRule="auto"/>
              <w:jc w:val="right"/>
              <w:rPr>
                <w:sz w:val="16"/>
                <w:szCs w:val="22"/>
              </w:rPr>
            </w:pPr>
            <w:r>
              <w:rPr>
                <w:sz w:val="16"/>
                <w:szCs w:val="22"/>
              </w:rPr>
              <w:t>4,1</w:t>
            </w:r>
          </w:p>
        </w:tc>
        <w:tc>
          <w:tcPr>
            <w:tcW w:w="259" w:type="pct"/>
            <w:tcBorders>
              <w:bottom w:val="single" w:sz="4" w:space="0" w:color="auto"/>
            </w:tcBorders>
          </w:tcPr>
          <w:p w:rsidR="00000000" w:rsidRDefault="00000000">
            <w:pPr>
              <w:spacing w:before="80" w:line="240" w:lineRule="auto"/>
              <w:jc w:val="right"/>
              <w:rPr>
                <w:sz w:val="16"/>
                <w:szCs w:val="22"/>
              </w:rPr>
            </w:pPr>
            <w:r>
              <w:rPr>
                <w:sz w:val="16"/>
                <w:szCs w:val="22"/>
              </w:rPr>
              <w:t>4,2</w:t>
            </w:r>
          </w:p>
        </w:tc>
        <w:tc>
          <w:tcPr>
            <w:tcW w:w="259" w:type="pct"/>
            <w:tcBorders>
              <w:bottom w:val="single" w:sz="4" w:space="0" w:color="auto"/>
            </w:tcBorders>
          </w:tcPr>
          <w:p w:rsidR="00000000" w:rsidRDefault="00000000">
            <w:pPr>
              <w:spacing w:before="80" w:line="240" w:lineRule="auto"/>
              <w:jc w:val="right"/>
              <w:rPr>
                <w:sz w:val="16"/>
                <w:szCs w:val="22"/>
              </w:rPr>
            </w:pPr>
            <w:r>
              <w:rPr>
                <w:sz w:val="16"/>
                <w:szCs w:val="22"/>
              </w:rPr>
              <w:t>3,9</w:t>
            </w:r>
          </w:p>
        </w:tc>
        <w:tc>
          <w:tcPr>
            <w:tcW w:w="259" w:type="pct"/>
            <w:tcBorders>
              <w:bottom w:val="single" w:sz="4" w:space="0" w:color="auto"/>
            </w:tcBorders>
          </w:tcPr>
          <w:p w:rsidR="00000000" w:rsidRDefault="00000000">
            <w:pPr>
              <w:spacing w:before="80" w:line="240" w:lineRule="auto"/>
              <w:jc w:val="right"/>
              <w:rPr>
                <w:sz w:val="16"/>
                <w:szCs w:val="22"/>
              </w:rPr>
            </w:pPr>
            <w:r>
              <w:rPr>
                <w:sz w:val="16"/>
                <w:szCs w:val="22"/>
              </w:rPr>
              <w:t>3,8</w:t>
            </w:r>
          </w:p>
        </w:tc>
      </w:tr>
      <w:tr w:rsidR="00000000">
        <w:trPr>
          <w:jc w:val="center"/>
        </w:trPr>
        <w:tc>
          <w:tcPr>
            <w:tcW w:w="1630" w:type="pct"/>
            <w:tcBorders>
              <w:top w:val="single" w:sz="4" w:space="0" w:color="auto"/>
            </w:tcBorders>
          </w:tcPr>
          <w:p w:rsidR="00000000" w:rsidRDefault="00000000">
            <w:pPr>
              <w:pageBreakBefore/>
              <w:spacing w:before="80" w:line="240" w:lineRule="auto"/>
              <w:rPr>
                <w:sz w:val="16"/>
                <w:szCs w:val="22"/>
              </w:rPr>
            </w:pPr>
            <w:r>
              <w:rPr>
                <w:sz w:val="16"/>
                <w:szCs w:val="22"/>
              </w:rPr>
              <w:t>Некоторые заболевания, связанные с перинатальным периодом</w:t>
            </w:r>
          </w:p>
        </w:tc>
        <w:tc>
          <w:tcPr>
            <w:tcW w:w="259" w:type="pct"/>
            <w:tcBorders>
              <w:top w:val="single" w:sz="4" w:space="0" w:color="auto"/>
            </w:tcBorders>
          </w:tcPr>
          <w:p w:rsidR="00000000" w:rsidRDefault="00000000">
            <w:pPr>
              <w:spacing w:before="80" w:line="240" w:lineRule="auto"/>
              <w:jc w:val="right"/>
              <w:rPr>
                <w:sz w:val="16"/>
                <w:szCs w:val="22"/>
              </w:rPr>
            </w:pPr>
            <w:hyperlink r:id="rId108" w:history="1">
              <w:r>
                <w:rPr>
                  <w:rStyle w:val="Hyperlink"/>
                  <w:sz w:val="16"/>
                  <w:szCs w:val="22"/>
                  <w:u w:val="none"/>
                </w:rPr>
                <w:t>..</w:t>
              </w:r>
            </w:hyperlink>
          </w:p>
        </w:tc>
        <w:tc>
          <w:tcPr>
            <w:tcW w:w="259" w:type="pct"/>
            <w:tcBorders>
              <w:top w:val="single" w:sz="4" w:space="0" w:color="auto"/>
            </w:tcBorders>
          </w:tcPr>
          <w:p w:rsidR="00000000" w:rsidRDefault="00000000">
            <w:pPr>
              <w:spacing w:before="80" w:line="240" w:lineRule="auto"/>
              <w:jc w:val="right"/>
              <w:rPr>
                <w:sz w:val="16"/>
                <w:szCs w:val="22"/>
              </w:rPr>
            </w:pPr>
            <w:hyperlink r:id="rId109" w:history="1">
              <w:r>
                <w:rPr>
                  <w:rStyle w:val="Hyperlink"/>
                  <w:sz w:val="16"/>
                  <w:szCs w:val="22"/>
                  <w:u w:val="none"/>
                </w:rPr>
                <w:t>..</w:t>
              </w:r>
            </w:hyperlink>
          </w:p>
        </w:tc>
        <w:tc>
          <w:tcPr>
            <w:tcW w:w="259" w:type="pct"/>
            <w:tcBorders>
              <w:top w:val="single" w:sz="4" w:space="0" w:color="auto"/>
            </w:tcBorders>
          </w:tcPr>
          <w:p w:rsidR="00000000" w:rsidRDefault="00000000">
            <w:pPr>
              <w:spacing w:before="80" w:line="240" w:lineRule="auto"/>
              <w:jc w:val="right"/>
              <w:rPr>
                <w:sz w:val="16"/>
                <w:szCs w:val="22"/>
              </w:rPr>
            </w:pPr>
            <w:hyperlink r:id="rId110" w:history="1">
              <w:r>
                <w:rPr>
                  <w:rStyle w:val="Hyperlink"/>
                  <w:sz w:val="16"/>
                  <w:szCs w:val="22"/>
                  <w:u w:val="none"/>
                </w:rPr>
                <w:t>..</w:t>
              </w:r>
            </w:hyperlink>
          </w:p>
        </w:tc>
        <w:tc>
          <w:tcPr>
            <w:tcW w:w="260" w:type="pct"/>
            <w:tcBorders>
              <w:top w:val="single" w:sz="4" w:space="0" w:color="auto"/>
            </w:tcBorders>
          </w:tcPr>
          <w:p w:rsidR="00000000" w:rsidRDefault="00000000">
            <w:pPr>
              <w:spacing w:before="80" w:line="240" w:lineRule="auto"/>
              <w:jc w:val="right"/>
              <w:rPr>
                <w:sz w:val="16"/>
                <w:szCs w:val="22"/>
              </w:rPr>
            </w:pPr>
            <w:hyperlink r:id="rId111" w:history="1">
              <w:r>
                <w:rPr>
                  <w:rStyle w:val="Hyperlink"/>
                  <w:sz w:val="16"/>
                  <w:szCs w:val="22"/>
                  <w:u w:val="none"/>
                </w:rPr>
                <w:t>..</w:t>
              </w:r>
            </w:hyperlink>
          </w:p>
        </w:tc>
        <w:tc>
          <w:tcPr>
            <w:tcW w:w="259" w:type="pct"/>
            <w:tcBorders>
              <w:top w:val="single" w:sz="4" w:space="0" w:color="auto"/>
            </w:tcBorders>
          </w:tcPr>
          <w:p w:rsidR="00000000" w:rsidRDefault="00000000">
            <w:pPr>
              <w:spacing w:before="80" w:line="240" w:lineRule="auto"/>
              <w:jc w:val="right"/>
              <w:rPr>
                <w:sz w:val="16"/>
                <w:szCs w:val="22"/>
              </w:rPr>
            </w:pPr>
            <w:hyperlink r:id="rId112" w:history="1">
              <w:r>
                <w:rPr>
                  <w:rStyle w:val="Hyperlink"/>
                  <w:sz w:val="16"/>
                  <w:szCs w:val="22"/>
                  <w:u w:val="none"/>
                </w:rPr>
                <w:t>..</w:t>
              </w:r>
            </w:hyperlink>
          </w:p>
        </w:tc>
        <w:tc>
          <w:tcPr>
            <w:tcW w:w="259" w:type="pct"/>
            <w:tcBorders>
              <w:top w:val="single" w:sz="4" w:space="0" w:color="auto"/>
            </w:tcBorders>
          </w:tcPr>
          <w:p w:rsidR="00000000" w:rsidRDefault="00000000">
            <w:pPr>
              <w:spacing w:before="80" w:line="240" w:lineRule="auto"/>
              <w:jc w:val="right"/>
              <w:rPr>
                <w:sz w:val="16"/>
                <w:szCs w:val="22"/>
              </w:rPr>
            </w:pPr>
            <w:r>
              <w:rPr>
                <w:sz w:val="16"/>
                <w:szCs w:val="22"/>
              </w:rPr>
              <w:t>2,7</w:t>
            </w:r>
          </w:p>
        </w:tc>
        <w:tc>
          <w:tcPr>
            <w:tcW w:w="260" w:type="pct"/>
            <w:tcBorders>
              <w:top w:val="single" w:sz="4" w:space="0" w:color="auto"/>
            </w:tcBorders>
          </w:tcPr>
          <w:p w:rsidR="00000000" w:rsidRDefault="00000000">
            <w:pPr>
              <w:spacing w:before="80" w:line="240" w:lineRule="auto"/>
              <w:jc w:val="right"/>
              <w:rPr>
                <w:sz w:val="16"/>
                <w:szCs w:val="22"/>
              </w:rPr>
            </w:pPr>
            <w:r>
              <w:rPr>
                <w:sz w:val="16"/>
                <w:szCs w:val="22"/>
              </w:rPr>
              <w:t>2,8</w:t>
            </w:r>
          </w:p>
        </w:tc>
        <w:tc>
          <w:tcPr>
            <w:tcW w:w="259" w:type="pct"/>
            <w:tcBorders>
              <w:top w:val="single" w:sz="4" w:space="0" w:color="auto"/>
            </w:tcBorders>
          </w:tcPr>
          <w:p w:rsidR="00000000" w:rsidRDefault="00000000">
            <w:pPr>
              <w:spacing w:before="80" w:line="240" w:lineRule="auto"/>
              <w:jc w:val="right"/>
              <w:rPr>
                <w:sz w:val="16"/>
                <w:szCs w:val="22"/>
              </w:rPr>
            </w:pPr>
            <w:r>
              <w:rPr>
                <w:sz w:val="16"/>
                <w:szCs w:val="22"/>
              </w:rPr>
              <w:t>2,8</w:t>
            </w:r>
          </w:p>
        </w:tc>
        <w:tc>
          <w:tcPr>
            <w:tcW w:w="259" w:type="pct"/>
            <w:tcBorders>
              <w:top w:val="single" w:sz="4" w:space="0" w:color="auto"/>
            </w:tcBorders>
          </w:tcPr>
          <w:p w:rsidR="00000000" w:rsidRDefault="00000000">
            <w:pPr>
              <w:spacing w:before="80" w:line="240" w:lineRule="auto"/>
              <w:jc w:val="right"/>
              <w:rPr>
                <w:sz w:val="16"/>
                <w:szCs w:val="22"/>
              </w:rPr>
            </w:pPr>
            <w:r>
              <w:rPr>
                <w:sz w:val="16"/>
                <w:szCs w:val="22"/>
              </w:rPr>
              <w:t>3,4</w:t>
            </w:r>
          </w:p>
        </w:tc>
        <w:tc>
          <w:tcPr>
            <w:tcW w:w="260" w:type="pct"/>
            <w:tcBorders>
              <w:top w:val="single" w:sz="4" w:space="0" w:color="auto"/>
            </w:tcBorders>
          </w:tcPr>
          <w:p w:rsidR="00000000" w:rsidRDefault="00000000">
            <w:pPr>
              <w:spacing w:before="80" w:line="240" w:lineRule="auto"/>
              <w:jc w:val="right"/>
              <w:rPr>
                <w:sz w:val="16"/>
                <w:szCs w:val="22"/>
              </w:rPr>
            </w:pPr>
            <w:r>
              <w:rPr>
                <w:sz w:val="16"/>
                <w:szCs w:val="22"/>
              </w:rPr>
              <w:t>3,4</w:t>
            </w:r>
          </w:p>
        </w:tc>
        <w:tc>
          <w:tcPr>
            <w:tcW w:w="259" w:type="pct"/>
            <w:tcBorders>
              <w:top w:val="single" w:sz="4" w:space="0" w:color="auto"/>
            </w:tcBorders>
          </w:tcPr>
          <w:p w:rsidR="00000000" w:rsidRDefault="00000000">
            <w:pPr>
              <w:spacing w:before="80" w:line="240" w:lineRule="auto"/>
              <w:jc w:val="right"/>
              <w:rPr>
                <w:sz w:val="16"/>
                <w:szCs w:val="22"/>
              </w:rPr>
            </w:pPr>
            <w:r>
              <w:rPr>
                <w:sz w:val="16"/>
                <w:szCs w:val="22"/>
              </w:rPr>
              <w:t>3,5</w:t>
            </w:r>
          </w:p>
        </w:tc>
        <w:tc>
          <w:tcPr>
            <w:tcW w:w="259" w:type="pct"/>
            <w:tcBorders>
              <w:top w:val="single" w:sz="4" w:space="0" w:color="auto"/>
            </w:tcBorders>
          </w:tcPr>
          <w:p w:rsidR="00000000" w:rsidRDefault="00000000">
            <w:pPr>
              <w:spacing w:before="80" w:line="240" w:lineRule="auto"/>
              <w:jc w:val="right"/>
              <w:rPr>
                <w:sz w:val="16"/>
                <w:szCs w:val="22"/>
              </w:rPr>
            </w:pPr>
            <w:r>
              <w:rPr>
                <w:sz w:val="16"/>
                <w:szCs w:val="22"/>
              </w:rPr>
              <w:t>3,5</w:t>
            </w:r>
          </w:p>
        </w:tc>
        <w:tc>
          <w:tcPr>
            <w:tcW w:w="260" w:type="pct"/>
            <w:tcBorders>
              <w:top w:val="single" w:sz="4" w:space="0" w:color="auto"/>
            </w:tcBorders>
          </w:tcPr>
          <w:p w:rsidR="00000000" w:rsidRDefault="00000000">
            <w:pPr>
              <w:spacing w:before="80" w:line="240" w:lineRule="auto"/>
              <w:jc w:val="right"/>
              <w:rPr>
                <w:sz w:val="16"/>
                <w:szCs w:val="22"/>
              </w:rPr>
            </w:pPr>
            <w:r>
              <w:rPr>
                <w:sz w:val="16"/>
                <w:szCs w:val="22"/>
              </w:rPr>
              <w:t>3,5</w:t>
            </w:r>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Хронические обструктивные легочные заболевания</w:t>
            </w:r>
            <w:r>
              <w:rPr>
                <w:sz w:val="16"/>
                <w:szCs w:val="22"/>
                <w:vertAlign w:val="superscript"/>
              </w:rPr>
              <w:t>с</w:t>
            </w:r>
          </w:p>
        </w:tc>
        <w:tc>
          <w:tcPr>
            <w:tcW w:w="259" w:type="pct"/>
          </w:tcPr>
          <w:p w:rsidR="00000000" w:rsidRDefault="00000000">
            <w:pPr>
              <w:spacing w:before="80" w:line="240" w:lineRule="auto"/>
              <w:jc w:val="right"/>
              <w:rPr>
                <w:sz w:val="16"/>
                <w:szCs w:val="22"/>
              </w:rPr>
            </w:pPr>
            <w:r>
              <w:rPr>
                <w:sz w:val="16"/>
                <w:szCs w:val="22"/>
              </w:rPr>
              <w:t>5,6</w:t>
            </w:r>
          </w:p>
        </w:tc>
        <w:tc>
          <w:tcPr>
            <w:tcW w:w="259" w:type="pct"/>
          </w:tcPr>
          <w:p w:rsidR="00000000" w:rsidRDefault="00000000">
            <w:pPr>
              <w:spacing w:before="80" w:line="240" w:lineRule="auto"/>
              <w:jc w:val="right"/>
              <w:rPr>
                <w:sz w:val="16"/>
                <w:szCs w:val="22"/>
              </w:rPr>
            </w:pPr>
            <w:r>
              <w:rPr>
                <w:sz w:val="16"/>
                <w:szCs w:val="22"/>
              </w:rPr>
              <w:t>5,1</w:t>
            </w:r>
          </w:p>
        </w:tc>
        <w:tc>
          <w:tcPr>
            <w:tcW w:w="259" w:type="pct"/>
          </w:tcPr>
          <w:p w:rsidR="00000000" w:rsidRDefault="00000000">
            <w:pPr>
              <w:spacing w:before="80" w:line="240" w:lineRule="auto"/>
              <w:jc w:val="right"/>
              <w:rPr>
                <w:sz w:val="16"/>
                <w:szCs w:val="22"/>
              </w:rPr>
            </w:pPr>
            <w:r>
              <w:rPr>
                <w:sz w:val="16"/>
                <w:szCs w:val="22"/>
              </w:rPr>
              <w:t>4,9</w:t>
            </w:r>
          </w:p>
        </w:tc>
        <w:tc>
          <w:tcPr>
            <w:tcW w:w="260" w:type="pct"/>
          </w:tcPr>
          <w:p w:rsidR="00000000" w:rsidRDefault="00000000">
            <w:pPr>
              <w:spacing w:before="80" w:line="240" w:lineRule="auto"/>
              <w:jc w:val="right"/>
              <w:rPr>
                <w:sz w:val="16"/>
                <w:szCs w:val="22"/>
              </w:rPr>
            </w:pPr>
            <w:r>
              <w:rPr>
                <w:sz w:val="16"/>
                <w:szCs w:val="22"/>
              </w:rPr>
              <w:t>4,9</w:t>
            </w:r>
          </w:p>
        </w:tc>
        <w:tc>
          <w:tcPr>
            <w:tcW w:w="259" w:type="pct"/>
          </w:tcPr>
          <w:p w:rsidR="00000000" w:rsidRDefault="00000000">
            <w:pPr>
              <w:spacing w:before="80" w:line="240" w:lineRule="auto"/>
              <w:jc w:val="right"/>
              <w:rPr>
                <w:sz w:val="16"/>
                <w:szCs w:val="22"/>
              </w:rPr>
            </w:pPr>
            <w:r>
              <w:rPr>
                <w:sz w:val="16"/>
                <w:szCs w:val="22"/>
              </w:rPr>
              <w:t>4,9</w:t>
            </w:r>
          </w:p>
        </w:tc>
        <w:tc>
          <w:tcPr>
            <w:tcW w:w="259" w:type="pct"/>
          </w:tcPr>
          <w:p w:rsidR="00000000" w:rsidRDefault="00000000">
            <w:pPr>
              <w:spacing w:before="80" w:line="240" w:lineRule="auto"/>
              <w:jc w:val="right"/>
              <w:rPr>
                <w:sz w:val="16"/>
                <w:szCs w:val="22"/>
              </w:rPr>
            </w:pPr>
            <w:r>
              <w:rPr>
                <w:sz w:val="16"/>
                <w:szCs w:val="22"/>
              </w:rPr>
              <w:t>4,9</w:t>
            </w:r>
          </w:p>
        </w:tc>
        <w:tc>
          <w:tcPr>
            <w:tcW w:w="260" w:type="pct"/>
          </w:tcPr>
          <w:p w:rsidR="00000000" w:rsidRDefault="00000000">
            <w:pPr>
              <w:spacing w:before="80" w:line="240" w:lineRule="auto"/>
              <w:jc w:val="right"/>
              <w:rPr>
                <w:sz w:val="16"/>
                <w:szCs w:val="22"/>
              </w:rPr>
            </w:pPr>
            <w:r>
              <w:rPr>
                <w:sz w:val="16"/>
                <w:szCs w:val="22"/>
              </w:rPr>
              <w:t>5,0</w:t>
            </w:r>
          </w:p>
        </w:tc>
        <w:tc>
          <w:tcPr>
            <w:tcW w:w="259" w:type="pct"/>
          </w:tcPr>
          <w:p w:rsidR="00000000" w:rsidRDefault="00000000">
            <w:pPr>
              <w:spacing w:before="80" w:line="240" w:lineRule="auto"/>
              <w:jc w:val="right"/>
              <w:rPr>
                <w:sz w:val="16"/>
                <w:szCs w:val="22"/>
              </w:rPr>
            </w:pPr>
            <w:r>
              <w:rPr>
                <w:sz w:val="16"/>
                <w:szCs w:val="22"/>
              </w:rPr>
              <w:t>4,8</w:t>
            </w:r>
          </w:p>
        </w:tc>
        <w:tc>
          <w:tcPr>
            <w:tcW w:w="259" w:type="pct"/>
          </w:tcPr>
          <w:p w:rsidR="00000000" w:rsidRDefault="00000000">
            <w:pPr>
              <w:spacing w:before="80" w:line="240" w:lineRule="auto"/>
              <w:jc w:val="right"/>
              <w:rPr>
                <w:sz w:val="16"/>
                <w:szCs w:val="22"/>
              </w:rPr>
            </w:pPr>
            <w:r>
              <w:rPr>
                <w:sz w:val="16"/>
                <w:szCs w:val="22"/>
              </w:rPr>
              <w:t>3,7</w:t>
            </w:r>
          </w:p>
        </w:tc>
        <w:tc>
          <w:tcPr>
            <w:tcW w:w="260" w:type="pct"/>
          </w:tcPr>
          <w:p w:rsidR="00000000" w:rsidRDefault="00000000">
            <w:pPr>
              <w:spacing w:before="80" w:line="240" w:lineRule="auto"/>
              <w:jc w:val="right"/>
              <w:rPr>
                <w:sz w:val="16"/>
                <w:szCs w:val="22"/>
              </w:rPr>
            </w:pPr>
            <w:r>
              <w:rPr>
                <w:sz w:val="16"/>
                <w:szCs w:val="22"/>
              </w:rPr>
              <w:t>3,4</w:t>
            </w:r>
          </w:p>
        </w:tc>
        <w:tc>
          <w:tcPr>
            <w:tcW w:w="259" w:type="pct"/>
          </w:tcPr>
          <w:p w:rsidR="00000000" w:rsidRDefault="00000000">
            <w:pPr>
              <w:spacing w:before="80" w:line="240" w:lineRule="auto"/>
              <w:jc w:val="right"/>
              <w:rPr>
                <w:sz w:val="16"/>
                <w:szCs w:val="22"/>
              </w:rPr>
            </w:pPr>
            <w:r>
              <w:rPr>
                <w:sz w:val="16"/>
                <w:szCs w:val="22"/>
              </w:rPr>
              <w:t>2,9</w:t>
            </w:r>
          </w:p>
        </w:tc>
        <w:tc>
          <w:tcPr>
            <w:tcW w:w="259" w:type="pct"/>
          </w:tcPr>
          <w:p w:rsidR="00000000" w:rsidRDefault="00000000">
            <w:pPr>
              <w:spacing w:before="80" w:line="240" w:lineRule="auto"/>
              <w:jc w:val="right"/>
              <w:rPr>
                <w:sz w:val="16"/>
                <w:szCs w:val="22"/>
              </w:rPr>
            </w:pPr>
            <w:r>
              <w:rPr>
                <w:sz w:val="16"/>
                <w:szCs w:val="22"/>
              </w:rPr>
              <w:t>2,6</w:t>
            </w:r>
          </w:p>
        </w:tc>
        <w:tc>
          <w:tcPr>
            <w:tcW w:w="260" w:type="pct"/>
          </w:tcPr>
          <w:p w:rsidR="00000000" w:rsidRDefault="00000000">
            <w:pPr>
              <w:spacing w:before="80" w:line="240" w:lineRule="auto"/>
              <w:jc w:val="right"/>
              <w:rPr>
                <w:sz w:val="16"/>
                <w:szCs w:val="22"/>
              </w:rPr>
            </w:pPr>
            <w:r>
              <w:rPr>
                <w:sz w:val="16"/>
                <w:szCs w:val="22"/>
              </w:rPr>
              <w:t>2,7</w:t>
            </w:r>
          </w:p>
        </w:tc>
      </w:tr>
      <w:tr w:rsidR="00000000">
        <w:trPr>
          <w:jc w:val="center"/>
        </w:trPr>
        <w:tc>
          <w:tcPr>
            <w:tcW w:w="1630" w:type="pct"/>
          </w:tcPr>
          <w:p w:rsidR="00000000" w:rsidRDefault="00000000">
            <w:pPr>
              <w:spacing w:before="80" w:line="240" w:lineRule="auto"/>
              <w:rPr>
                <w:sz w:val="16"/>
                <w:szCs w:val="22"/>
              </w:rPr>
            </w:pPr>
            <w:r>
              <w:rPr>
                <w:sz w:val="16"/>
                <w:szCs w:val="22"/>
              </w:rPr>
              <w:t>Грипп и воспаления легких</w:t>
            </w:r>
            <w:r>
              <w:rPr>
                <w:sz w:val="16"/>
                <w:szCs w:val="22"/>
                <w:vertAlign w:val="superscript"/>
                <w:lang w:val="fr-FR"/>
              </w:rPr>
              <w:t>d</w:t>
            </w:r>
          </w:p>
        </w:tc>
        <w:tc>
          <w:tcPr>
            <w:tcW w:w="259" w:type="pct"/>
          </w:tcPr>
          <w:p w:rsidR="00000000" w:rsidRDefault="00000000">
            <w:pPr>
              <w:spacing w:before="80" w:line="240" w:lineRule="auto"/>
              <w:jc w:val="right"/>
              <w:rPr>
                <w:sz w:val="16"/>
                <w:szCs w:val="22"/>
              </w:rPr>
            </w:pPr>
            <w:hyperlink r:id="rId113"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14"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15"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16"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17"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18"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19"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20"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21"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r>
              <w:rPr>
                <w:sz w:val="16"/>
                <w:szCs w:val="22"/>
              </w:rPr>
              <w:t>2,5</w:t>
            </w:r>
          </w:p>
        </w:tc>
        <w:tc>
          <w:tcPr>
            <w:tcW w:w="259" w:type="pct"/>
          </w:tcPr>
          <w:p w:rsidR="00000000" w:rsidRDefault="00000000">
            <w:pPr>
              <w:spacing w:before="80" w:line="240" w:lineRule="auto"/>
              <w:jc w:val="right"/>
              <w:rPr>
                <w:sz w:val="16"/>
                <w:szCs w:val="22"/>
              </w:rPr>
            </w:pPr>
            <w:r>
              <w:rPr>
                <w:sz w:val="16"/>
                <w:szCs w:val="22"/>
              </w:rPr>
              <w:t>2,4</w:t>
            </w:r>
          </w:p>
        </w:tc>
        <w:tc>
          <w:tcPr>
            <w:tcW w:w="259" w:type="pct"/>
          </w:tcPr>
          <w:p w:rsidR="00000000" w:rsidRDefault="00000000">
            <w:pPr>
              <w:spacing w:before="80" w:line="240" w:lineRule="auto"/>
              <w:jc w:val="right"/>
              <w:rPr>
                <w:sz w:val="16"/>
                <w:szCs w:val="22"/>
              </w:rPr>
            </w:pPr>
            <w:r>
              <w:rPr>
                <w:sz w:val="16"/>
                <w:szCs w:val="22"/>
              </w:rPr>
              <w:t>2,5</w:t>
            </w:r>
          </w:p>
        </w:tc>
        <w:tc>
          <w:tcPr>
            <w:tcW w:w="260" w:type="pct"/>
          </w:tcPr>
          <w:p w:rsidR="00000000" w:rsidRDefault="00000000">
            <w:pPr>
              <w:spacing w:before="80" w:line="240" w:lineRule="auto"/>
              <w:jc w:val="right"/>
              <w:rPr>
                <w:sz w:val="16"/>
                <w:szCs w:val="22"/>
              </w:rPr>
            </w:pPr>
            <w:r>
              <w:rPr>
                <w:sz w:val="16"/>
                <w:szCs w:val="22"/>
              </w:rPr>
              <w:t>2,6</w:t>
            </w:r>
          </w:p>
        </w:tc>
      </w:tr>
      <w:tr w:rsidR="00000000">
        <w:trPr>
          <w:jc w:val="center"/>
        </w:trPr>
        <w:tc>
          <w:tcPr>
            <w:tcW w:w="1630" w:type="pct"/>
          </w:tcPr>
          <w:p w:rsidR="00000000" w:rsidRDefault="00000000">
            <w:pPr>
              <w:spacing w:before="80" w:line="240" w:lineRule="auto"/>
              <w:rPr>
                <w:sz w:val="16"/>
                <w:szCs w:val="22"/>
              </w:rPr>
            </w:pPr>
            <w:r>
              <w:rPr>
                <w:sz w:val="16"/>
                <w:szCs w:val="22"/>
              </w:rPr>
              <w:t>Телесные повреждения (убийства)</w:t>
            </w:r>
            <w:r>
              <w:rPr>
                <w:sz w:val="16"/>
                <w:szCs w:val="22"/>
                <w:vertAlign w:val="superscript"/>
              </w:rPr>
              <w:t>е</w:t>
            </w:r>
            <w:r>
              <w:rPr>
                <w:sz w:val="16"/>
                <w:szCs w:val="22"/>
              </w:rPr>
              <w:t xml:space="preserve"> </w:t>
            </w:r>
          </w:p>
        </w:tc>
        <w:tc>
          <w:tcPr>
            <w:tcW w:w="259" w:type="pct"/>
          </w:tcPr>
          <w:p w:rsidR="00000000" w:rsidRDefault="00000000">
            <w:pPr>
              <w:spacing w:before="80" w:line="240" w:lineRule="auto"/>
              <w:jc w:val="right"/>
              <w:rPr>
                <w:sz w:val="16"/>
                <w:szCs w:val="22"/>
              </w:rPr>
            </w:pPr>
            <w:r>
              <w:rPr>
                <w:sz w:val="16"/>
                <w:szCs w:val="22"/>
              </w:rPr>
              <w:t>3,1</w:t>
            </w:r>
          </w:p>
        </w:tc>
        <w:tc>
          <w:tcPr>
            <w:tcW w:w="259" w:type="pct"/>
          </w:tcPr>
          <w:p w:rsidR="00000000" w:rsidRDefault="00000000">
            <w:pPr>
              <w:spacing w:before="80" w:line="240" w:lineRule="auto"/>
              <w:jc w:val="right"/>
              <w:rPr>
                <w:sz w:val="16"/>
                <w:szCs w:val="22"/>
              </w:rPr>
            </w:pPr>
            <w:r>
              <w:rPr>
                <w:sz w:val="16"/>
                <w:szCs w:val="22"/>
              </w:rPr>
              <w:t>3,1</w:t>
            </w:r>
          </w:p>
        </w:tc>
        <w:tc>
          <w:tcPr>
            <w:tcW w:w="259" w:type="pct"/>
          </w:tcPr>
          <w:p w:rsidR="00000000" w:rsidRDefault="00000000">
            <w:pPr>
              <w:spacing w:before="80" w:line="240" w:lineRule="auto"/>
              <w:jc w:val="right"/>
              <w:rPr>
                <w:sz w:val="16"/>
                <w:szCs w:val="22"/>
              </w:rPr>
            </w:pPr>
            <w:r>
              <w:rPr>
                <w:sz w:val="16"/>
                <w:szCs w:val="22"/>
              </w:rPr>
              <w:t>3,0</w:t>
            </w:r>
          </w:p>
        </w:tc>
        <w:tc>
          <w:tcPr>
            <w:tcW w:w="260" w:type="pct"/>
          </w:tcPr>
          <w:p w:rsidR="00000000" w:rsidRDefault="00000000">
            <w:pPr>
              <w:spacing w:before="80" w:line="240" w:lineRule="auto"/>
              <w:jc w:val="right"/>
              <w:rPr>
                <w:sz w:val="16"/>
                <w:szCs w:val="22"/>
              </w:rPr>
            </w:pPr>
            <w:r>
              <w:rPr>
                <w:sz w:val="16"/>
                <w:szCs w:val="22"/>
              </w:rPr>
              <w:t>2,7</w:t>
            </w:r>
          </w:p>
        </w:tc>
        <w:tc>
          <w:tcPr>
            <w:tcW w:w="259" w:type="pct"/>
          </w:tcPr>
          <w:p w:rsidR="00000000" w:rsidRDefault="00000000">
            <w:pPr>
              <w:spacing w:before="80" w:line="240" w:lineRule="auto"/>
              <w:jc w:val="right"/>
              <w:rPr>
                <w:sz w:val="16"/>
                <w:szCs w:val="22"/>
              </w:rPr>
            </w:pPr>
            <w:r>
              <w:rPr>
                <w:sz w:val="16"/>
                <w:szCs w:val="22"/>
              </w:rPr>
              <w:t>2,7</w:t>
            </w:r>
          </w:p>
        </w:tc>
        <w:tc>
          <w:tcPr>
            <w:tcW w:w="259" w:type="pct"/>
          </w:tcPr>
          <w:p w:rsidR="00000000" w:rsidRDefault="00000000">
            <w:pPr>
              <w:spacing w:before="80" w:line="240" w:lineRule="auto"/>
              <w:jc w:val="right"/>
              <w:rPr>
                <w:sz w:val="16"/>
                <w:szCs w:val="22"/>
              </w:rPr>
            </w:pPr>
            <w:r>
              <w:rPr>
                <w:sz w:val="16"/>
                <w:szCs w:val="22"/>
              </w:rPr>
              <w:t>2,8</w:t>
            </w:r>
          </w:p>
        </w:tc>
        <w:tc>
          <w:tcPr>
            <w:tcW w:w="260" w:type="pct"/>
          </w:tcPr>
          <w:p w:rsidR="00000000" w:rsidRDefault="00000000">
            <w:pPr>
              <w:spacing w:before="80" w:line="240" w:lineRule="auto"/>
              <w:jc w:val="right"/>
              <w:rPr>
                <w:sz w:val="16"/>
                <w:szCs w:val="22"/>
              </w:rPr>
            </w:pPr>
            <w:r>
              <w:rPr>
                <w:sz w:val="16"/>
                <w:szCs w:val="22"/>
              </w:rPr>
              <w:t>2,7</w:t>
            </w:r>
          </w:p>
        </w:tc>
        <w:tc>
          <w:tcPr>
            <w:tcW w:w="259" w:type="pct"/>
          </w:tcPr>
          <w:p w:rsidR="00000000" w:rsidRDefault="00000000">
            <w:pPr>
              <w:spacing w:before="80" w:line="240" w:lineRule="auto"/>
              <w:jc w:val="right"/>
              <w:rPr>
                <w:sz w:val="16"/>
                <w:szCs w:val="22"/>
              </w:rPr>
            </w:pPr>
            <w:r>
              <w:rPr>
                <w:sz w:val="16"/>
                <w:szCs w:val="22"/>
              </w:rPr>
              <w:t>2,7</w:t>
            </w:r>
          </w:p>
        </w:tc>
        <w:tc>
          <w:tcPr>
            <w:tcW w:w="259" w:type="pct"/>
          </w:tcPr>
          <w:p w:rsidR="00000000" w:rsidRDefault="00000000">
            <w:pPr>
              <w:spacing w:before="80" w:line="240" w:lineRule="auto"/>
              <w:jc w:val="right"/>
              <w:rPr>
                <w:sz w:val="16"/>
                <w:szCs w:val="22"/>
              </w:rPr>
            </w:pPr>
            <w:r>
              <w:rPr>
                <w:sz w:val="16"/>
                <w:szCs w:val="22"/>
              </w:rPr>
              <w:t>2,8</w:t>
            </w:r>
          </w:p>
        </w:tc>
        <w:tc>
          <w:tcPr>
            <w:tcW w:w="260" w:type="pct"/>
          </w:tcPr>
          <w:p w:rsidR="00000000" w:rsidRDefault="00000000">
            <w:pPr>
              <w:spacing w:before="80" w:line="240" w:lineRule="auto"/>
              <w:jc w:val="right"/>
              <w:rPr>
                <w:sz w:val="16"/>
                <w:szCs w:val="22"/>
              </w:rPr>
            </w:pPr>
            <w:r>
              <w:rPr>
                <w:sz w:val="16"/>
                <w:szCs w:val="22"/>
              </w:rPr>
              <w:t>2,6</w:t>
            </w:r>
          </w:p>
        </w:tc>
        <w:tc>
          <w:tcPr>
            <w:tcW w:w="259" w:type="pct"/>
          </w:tcPr>
          <w:p w:rsidR="00000000" w:rsidRDefault="00000000">
            <w:pPr>
              <w:spacing w:before="80" w:line="240" w:lineRule="auto"/>
              <w:jc w:val="right"/>
              <w:rPr>
                <w:sz w:val="16"/>
                <w:szCs w:val="22"/>
              </w:rPr>
            </w:pPr>
            <w:hyperlink r:id="rId122"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23"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r>
              <w:rPr>
                <w:sz w:val="16"/>
                <w:szCs w:val="22"/>
              </w:rPr>
              <w:t>2,3</w:t>
            </w:r>
          </w:p>
        </w:tc>
      </w:tr>
      <w:tr w:rsidR="00000000">
        <w:trPr>
          <w:jc w:val="center"/>
        </w:trPr>
        <w:tc>
          <w:tcPr>
            <w:tcW w:w="1630" w:type="pct"/>
          </w:tcPr>
          <w:p w:rsidR="00000000" w:rsidRDefault="00000000">
            <w:pPr>
              <w:spacing w:before="80" w:line="240" w:lineRule="auto"/>
              <w:rPr>
                <w:sz w:val="16"/>
                <w:szCs w:val="22"/>
              </w:rPr>
            </w:pPr>
            <w:r>
              <w:rPr>
                <w:sz w:val="16"/>
                <w:szCs w:val="22"/>
              </w:rPr>
              <w:t>Желудочно-кишечные инфекции</w:t>
            </w:r>
          </w:p>
        </w:tc>
        <w:tc>
          <w:tcPr>
            <w:tcW w:w="259" w:type="pct"/>
          </w:tcPr>
          <w:p w:rsidR="00000000" w:rsidRDefault="00000000">
            <w:pPr>
              <w:spacing w:before="80" w:line="240" w:lineRule="auto"/>
              <w:jc w:val="right"/>
              <w:rPr>
                <w:sz w:val="16"/>
                <w:szCs w:val="22"/>
              </w:rPr>
            </w:pPr>
            <w:hyperlink r:id="rId124" w:history="1">
              <w:r>
                <w:rPr>
                  <w:rStyle w:val="Hyperlink"/>
                  <w:sz w:val="16"/>
                  <w:szCs w:val="22"/>
                  <w:u w:val="none"/>
                </w:rPr>
                <w:t>..</w:t>
              </w:r>
            </w:hyperlink>
          </w:p>
        </w:tc>
        <w:tc>
          <w:tcPr>
            <w:tcW w:w="259" w:type="pct"/>
          </w:tcPr>
          <w:p w:rsidR="00000000" w:rsidRDefault="00000000">
            <w:pPr>
              <w:spacing w:before="80" w:line="240" w:lineRule="auto"/>
              <w:jc w:val="right"/>
              <w:rPr>
                <w:sz w:val="16"/>
                <w:szCs w:val="22"/>
                <w:lang w:val="fr-FR"/>
              </w:rPr>
            </w:pPr>
            <w:hyperlink r:id="rId125"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126" w:history="1">
              <w:r>
                <w:rPr>
                  <w:rStyle w:val="Hyperlink"/>
                  <w:sz w:val="16"/>
                  <w:szCs w:val="22"/>
                  <w:u w:val="none"/>
                  <w:lang w:val="fr-FR"/>
                </w:rPr>
                <w:t>..</w:t>
              </w:r>
            </w:hyperlink>
          </w:p>
        </w:tc>
        <w:tc>
          <w:tcPr>
            <w:tcW w:w="260" w:type="pct"/>
          </w:tcPr>
          <w:p w:rsidR="00000000" w:rsidRDefault="00000000">
            <w:pPr>
              <w:spacing w:before="80" w:line="240" w:lineRule="auto"/>
              <w:jc w:val="right"/>
              <w:rPr>
                <w:sz w:val="16"/>
                <w:szCs w:val="22"/>
                <w:lang w:val="fr-FR"/>
              </w:rPr>
            </w:pPr>
            <w:hyperlink r:id="rId127"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128"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129" w:history="1">
              <w:r>
                <w:rPr>
                  <w:rStyle w:val="Hyperlink"/>
                  <w:sz w:val="16"/>
                  <w:szCs w:val="22"/>
                  <w:u w:val="none"/>
                  <w:lang w:val="fr-FR"/>
                </w:rPr>
                <w:t>..</w:t>
              </w:r>
            </w:hyperlink>
          </w:p>
        </w:tc>
        <w:tc>
          <w:tcPr>
            <w:tcW w:w="260" w:type="pct"/>
          </w:tcPr>
          <w:p w:rsidR="00000000" w:rsidRDefault="00000000">
            <w:pPr>
              <w:spacing w:before="80" w:line="240" w:lineRule="auto"/>
              <w:jc w:val="right"/>
              <w:rPr>
                <w:sz w:val="16"/>
                <w:szCs w:val="22"/>
                <w:lang w:val="fr-FR"/>
              </w:rPr>
            </w:pPr>
            <w:hyperlink r:id="rId130"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131"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132" w:history="1">
              <w:r>
                <w:rPr>
                  <w:rStyle w:val="Hyperlink"/>
                  <w:sz w:val="16"/>
                  <w:szCs w:val="22"/>
                  <w:u w:val="none"/>
                  <w:lang w:val="fr-FR"/>
                </w:rPr>
                <w:t>..</w:t>
              </w:r>
            </w:hyperlink>
          </w:p>
        </w:tc>
        <w:tc>
          <w:tcPr>
            <w:tcW w:w="260" w:type="pct"/>
          </w:tcPr>
          <w:p w:rsidR="00000000" w:rsidRDefault="00000000">
            <w:pPr>
              <w:spacing w:before="80" w:line="240" w:lineRule="auto"/>
              <w:jc w:val="right"/>
              <w:rPr>
                <w:sz w:val="16"/>
                <w:szCs w:val="22"/>
                <w:lang w:val="fr-FR"/>
              </w:rPr>
            </w:pPr>
            <w:hyperlink r:id="rId133"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hyperlink r:id="rId134" w:history="1">
              <w:r>
                <w:rPr>
                  <w:rStyle w:val="Hyperlink"/>
                  <w:sz w:val="16"/>
                  <w:szCs w:val="22"/>
                  <w:u w:val="none"/>
                  <w:lang w:val="fr-FR"/>
                </w:rPr>
                <w:t>..</w:t>
              </w:r>
            </w:hyperlink>
          </w:p>
        </w:tc>
        <w:tc>
          <w:tcPr>
            <w:tcW w:w="259" w:type="pct"/>
          </w:tcPr>
          <w:p w:rsidR="00000000" w:rsidRDefault="00000000">
            <w:pPr>
              <w:spacing w:before="80" w:line="240" w:lineRule="auto"/>
              <w:jc w:val="right"/>
              <w:rPr>
                <w:sz w:val="16"/>
                <w:szCs w:val="22"/>
                <w:lang w:val="fr-FR"/>
              </w:rPr>
            </w:pPr>
            <w:r>
              <w:rPr>
                <w:sz w:val="16"/>
                <w:szCs w:val="22"/>
                <w:lang w:val="fr-FR"/>
              </w:rPr>
              <w:t>2</w:t>
            </w:r>
            <w:r>
              <w:rPr>
                <w:sz w:val="16"/>
                <w:szCs w:val="22"/>
              </w:rPr>
              <w:t>,</w:t>
            </w:r>
            <w:r>
              <w:rPr>
                <w:sz w:val="16"/>
                <w:szCs w:val="22"/>
                <w:lang w:val="fr-FR"/>
              </w:rPr>
              <w:t>3</w:t>
            </w:r>
          </w:p>
        </w:tc>
        <w:tc>
          <w:tcPr>
            <w:tcW w:w="260" w:type="pct"/>
          </w:tcPr>
          <w:p w:rsidR="00000000" w:rsidRDefault="00000000">
            <w:pPr>
              <w:spacing w:before="80" w:line="240" w:lineRule="auto"/>
              <w:jc w:val="right"/>
              <w:rPr>
                <w:sz w:val="16"/>
                <w:szCs w:val="22"/>
                <w:lang w:val="fr-FR"/>
              </w:rPr>
            </w:pPr>
            <w:hyperlink r:id="rId135" w:history="1">
              <w:r>
                <w:rPr>
                  <w:rStyle w:val="Hyperlink"/>
                  <w:sz w:val="16"/>
                  <w:szCs w:val="22"/>
                  <w:u w:val="none"/>
                  <w:lang w:val="fr-FR"/>
                </w:rPr>
                <w:t>..</w:t>
              </w:r>
            </w:hyperlink>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Недоедание и другие расстройства питания</w:t>
            </w:r>
            <w:r>
              <w:rPr>
                <w:sz w:val="16"/>
                <w:szCs w:val="22"/>
                <w:vertAlign w:val="superscript"/>
                <w:lang w:val="fr-FR"/>
              </w:rPr>
              <w:t>f</w:t>
            </w:r>
          </w:p>
        </w:tc>
        <w:tc>
          <w:tcPr>
            <w:tcW w:w="259" w:type="pct"/>
          </w:tcPr>
          <w:p w:rsidR="00000000" w:rsidRDefault="00000000">
            <w:pPr>
              <w:spacing w:before="80" w:line="240" w:lineRule="auto"/>
              <w:jc w:val="right"/>
              <w:rPr>
                <w:sz w:val="16"/>
                <w:szCs w:val="22"/>
              </w:rPr>
            </w:pPr>
            <w:r>
              <w:rPr>
                <w:sz w:val="16"/>
                <w:szCs w:val="22"/>
              </w:rPr>
              <w:t>5,7</w:t>
            </w:r>
          </w:p>
        </w:tc>
        <w:tc>
          <w:tcPr>
            <w:tcW w:w="259" w:type="pct"/>
          </w:tcPr>
          <w:p w:rsidR="00000000" w:rsidRDefault="00000000">
            <w:pPr>
              <w:spacing w:before="80" w:line="240" w:lineRule="auto"/>
              <w:jc w:val="right"/>
              <w:rPr>
                <w:sz w:val="16"/>
                <w:szCs w:val="22"/>
              </w:rPr>
            </w:pPr>
            <w:r>
              <w:rPr>
                <w:sz w:val="16"/>
                <w:szCs w:val="22"/>
              </w:rPr>
              <w:t>5,1</w:t>
            </w:r>
          </w:p>
        </w:tc>
        <w:tc>
          <w:tcPr>
            <w:tcW w:w="259" w:type="pct"/>
          </w:tcPr>
          <w:p w:rsidR="00000000" w:rsidRDefault="00000000">
            <w:pPr>
              <w:spacing w:before="80" w:line="240" w:lineRule="auto"/>
              <w:jc w:val="right"/>
              <w:rPr>
                <w:sz w:val="16"/>
                <w:szCs w:val="22"/>
              </w:rPr>
            </w:pPr>
            <w:r>
              <w:rPr>
                <w:sz w:val="16"/>
                <w:szCs w:val="22"/>
              </w:rPr>
              <w:t>3,8</w:t>
            </w:r>
          </w:p>
        </w:tc>
        <w:tc>
          <w:tcPr>
            <w:tcW w:w="260" w:type="pct"/>
          </w:tcPr>
          <w:p w:rsidR="00000000" w:rsidRDefault="00000000">
            <w:pPr>
              <w:spacing w:before="80" w:line="240" w:lineRule="auto"/>
              <w:jc w:val="right"/>
              <w:rPr>
                <w:sz w:val="16"/>
                <w:szCs w:val="22"/>
              </w:rPr>
            </w:pPr>
            <w:r>
              <w:rPr>
                <w:sz w:val="16"/>
                <w:szCs w:val="22"/>
              </w:rPr>
              <w:t>3,5</w:t>
            </w:r>
          </w:p>
        </w:tc>
        <w:tc>
          <w:tcPr>
            <w:tcW w:w="259" w:type="pct"/>
          </w:tcPr>
          <w:p w:rsidR="00000000" w:rsidRDefault="00000000">
            <w:pPr>
              <w:spacing w:before="80" w:line="240" w:lineRule="auto"/>
              <w:jc w:val="right"/>
              <w:rPr>
                <w:sz w:val="16"/>
                <w:szCs w:val="22"/>
              </w:rPr>
            </w:pPr>
            <w:r>
              <w:rPr>
                <w:sz w:val="16"/>
                <w:szCs w:val="22"/>
              </w:rPr>
              <w:t>2,7</w:t>
            </w:r>
          </w:p>
        </w:tc>
        <w:tc>
          <w:tcPr>
            <w:tcW w:w="259" w:type="pct"/>
          </w:tcPr>
          <w:p w:rsidR="00000000" w:rsidRDefault="00000000">
            <w:pPr>
              <w:spacing w:before="80" w:line="240" w:lineRule="auto"/>
              <w:jc w:val="right"/>
              <w:rPr>
                <w:sz w:val="16"/>
                <w:szCs w:val="22"/>
              </w:rPr>
            </w:pPr>
            <w:hyperlink r:id="rId136"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37"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38"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39"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40"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41"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42"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43" w:history="1">
              <w:r>
                <w:rPr>
                  <w:rStyle w:val="Hyperlink"/>
                  <w:sz w:val="16"/>
                  <w:szCs w:val="22"/>
                  <w:u w:val="none"/>
                </w:rPr>
                <w:t>..</w:t>
              </w:r>
            </w:hyperlink>
          </w:p>
        </w:tc>
      </w:tr>
      <w:tr w:rsidR="00000000">
        <w:trPr>
          <w:jc w:val="center"/>
        </w:trPr>
        <w:tc>
          <w:tcPr>
            <w:tcW w:w="1630" w:type="pct"/>
          </w:tcPr>
          <w:p w:rsidR="00000000" w:rsidRDefault="00000000">
            <w:pPr>
              <w:spacing w:before="80" w:line="240" w:lineRule="auto"/>
              <w:rPr>
                <w:sz w:val="16"/>
                <w:szCs w:val="22"/>
                <w:vertAlign w:val="superscript"/>
              </w:rPr>
            </w:pPr>
            <w:r>
              <w:rPr>
                <w:sz w:val="16"/>
                <w:szCs w:val="22"/>
              </w:rPr>
              <w:t>Острый почечный синдром и быстро прогрессирующий почечный синдром</w:t>
            </w:r>
            <w:r>
              <w:rPr>
                <w:sz w:val="16"/>
                <w:szCs w:val="22"/>
                <w:vertAlign w:val="superscript"/>
                <w:lang w:val="en-US"/>
              </w:rPr>
              <w:t>g</w:t>
            </w:r>
          </w:p>
        </w:tc>
        <w:tc>
          <w:tcPr>
            <w:tcW w:w="259" w:type="pct"/>
          </w:tcPr>
          <w:p w:rsidR="00000000" w:rsidRDefault="00000000">
            <w:pPr>
              <w:spacing w:before="80" w:line="240" w:lineRule="auto"/>
              <w:jc w:val="right"/>
              <w:rPr>
                <w:sz w:val="16"/>
                <w:szCs w:val="22"/>
              </w:rPr>
            </w:pPr>
            <w:r>
              <w:rPr>
                <w:sz w:val="16"/>
                <w:szCs w:val="22"/>
              </w:rPr>
              <w:t>2,4</w:t>
            </w:r>
          </w:p>
        </w:tc>
        <w:tc>
          <w:tcPr>
            <w:tcW w:w="259" w:type="pct"/>
          </w:tcPr>
          <w:p w:rsidR="00000000" w:rsidRDefault="00000000">
            <w:pPr>
              <w:spacing w:before="80" w:line="240" w:lineRule="auto"/>
              <w:jc w:val="right"/>
              <w:rPr>
                <w:sz w:val="16"/>
                <w:szCs w:val="22"/>
              </w:rPr>
            </w:pPr>
            <w:hyperlink r:id="rId144"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45"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46"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47"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48"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49"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50"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51"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52"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53"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54"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55" w:history="1">
              <w:r>
                <w:rPr>
                  <w:rStyle w:val="Hyperlink"/>
                  <w:sz w:val="16"/>
                  <w:szCs w:val="22"/>
                  <w:u w:val="none"/>
                </w:rPr>
                <w:t>..</w:t>
              </w:r>
            </w:hyperlink>
          </w:p>
        </w:tc>
      </w:tr>
      <w:tr w:rsidR="00000000">
        <w:trPr>
          <w:jc w:val="center"/>
        </w:trPr>
        <w:tc>
          <w:tcPr>
            <w:tcW w:w="1630" w:type="pct"/>
          </w:tcPr>
          <w:p w:rsidR="00000000" w:rsidRDefault="00000000">
            <w:pPr>
              <w:spacing w:before="80" w:line="240" w:lineRule="auto"/>
              <w:rPr>
                <w:sz w:val="16"/>
                <w:szCs w:val="22"/>
                <w:lang w:val="en-US"/>
              </w:rPr>
            </w:pPr>
            <w:r>
              <w:rPr>
                <w:sz w:val="16"/>
                <w:szCs w:val="22"/>
              </w:rPr>
              <w:t>Другие причины</w:t>
            </w:r>
          </w:p>
        </w:tc>
        <w:tc>
          <w:tcPr>
            <w:tcW w:w="259" w:type="pct"/>
          </w:tcPr>
          <w:p w:rsidR="00000000" w:rsidRDefault="00000000">
            <w:pPr>
              <w:spacing w:before="80" w:line="240" w:lineRule="auto"/>
              <w:jc w:val="right"/>
              <w:rPr>
                <w:sz w:val="16"/>
                <w:szCs w:val="22"/>
              </w:rPr>
            </w:pPr>
            <w:hyperlink r:id="rId156"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r>
              <w:rPr>
                <w:sz w:val="16"/>
                <w:szCs w:val="22"/>
              </w:rPr>
              <w:t>2,4</w:t>
            </w:r>
          </w:p>
        </w:tc>
        <w:tc>
          <w:tcPr>
            <w:tcW w:w="259" w:type="pct"/>
          </w:tcPr>
          <w:p w:rsidR="00000000" w:rsidRDefault="00000000">
            <w:pPr>
              <w:spacing w:before="80" w:line="240" w:lineRule="auto"/>
              <w:jc w:val="right"/>
              <w:rPr>
                <w:sz w:val="16"/>
                <w:szCs w:val="22"/>
              </w:rPr>
            </w:pPr>
            <w:r>
              <w:rPr>
                <w:sz w:val="16"/>
                <w:szCs w:val="22"/>
              </w:rPr>
              <w:t>2,6</w:t>
            </w:r>
          </w:p>
        </w:tc>
        <w:tc>
          <w:tcPr>
            <w:tcW w:w="260" w:type="pct"/>
          </w:tcPr>
          <w:p w:rsidR="00000000" w:rsidRDefault="00000000">
            <w:pPr>
              <w:spacing w:before="80" w:line="240" w:lineRule="auto"/>
              <w:jc w:val="right"/>
              <w:rPr>
                <w:sz w:val="16"/>
                <w:szCs w:val="22"/>
              </w:rPr>
            </w:pPr>
            <w:r>
              <w:rPr>
                <w:sz w:val="16"/>
                <w:szCs w:val="22"/>
              </w:rPr>
              <w:t>2,7</w:t>
            </w:r>
          </w:p>
        </w:tc>
        <w:tc>
          <w:tcPr>
            <w:tcW w:w="259" w:type="pct"/>
          </w:tcPr>
          <w:p w:rsidR="00000000" w:rsidRDefault="00000000">
            <w:pPr>
              <w:spacing w:before="80" w:line="240" w:lineRule="auto"/>
              <w:jc w:val="right"/>
              <w:rPr>
                <w:sz w:val="16"/>
                <w:szCs w:val="22"/>
              </w:rPr>
            </w:pPr>
            <w:r>
              <w:rPr>
                <w:sz w:val="16"/>
                <w:szCs w:val="22"/>
              </w:rPr>
              <w:t>2,6</w:t>
            </w:r>
          </w:p>
        </w:tc>
        <w:tc>
          <w:tcPr>
            <w:tcW w:w="259" w:type="pct"/>
          </w:tcPr>
          <w:p w:rsidR="00000000" w:rsidRDefault="00000000">
            <w:pPr>
              <w:spacing w:before="80" w:line="240" w:lineRule="auto"/>
              <w:jc w:val="right"/>
              <w:rPr>
                <w:sz w:val="16"/>
                <w:szCs w:val="22"/>
              </w:rPr>
            </w:pPr>
            <w:r>
              <w:rPr>
                <w:sz w:val="16"/>
                <w:szCs w:val="22"/>
              </w:rPr>
              <w:t>2,7</w:t>
            </w:r>
          </w:p>
        </w:tc>
        <w:tc>
          <w:tcPr>
            <w:tcW w:w="260" w:type="pct"/>
          </w:tcPr>
          <w:p w:rsidR="00000000" w:rsidRDefault="00000000">
            <w:pPr>
              <w:spacing w:before="80" w:line="240" w:lineRule="auto"/>
              <w:jc w:val="right"/>
              <w:rPr>
                <w:sz w:val="16"/>
                <w:szCs w:val="22"/>
              </w:rPr>
            </w:pPr>
            <w:r>
              <w:rPr>
                <w:sz w:val="16"/>
                <w:szCs w:val="22"/>
              </w:rPr>
              <w:t>2,6</w:t>
            </w:r>
          </w:p>
        </w:tc>
        <w:tc>
          <w:tcPr>
            <w:tcW w:w="259" w:type="pct"/>
          </w:tcPr>
          <w:p w:rsidR="00000000" w:rsidRDefault="00000000">
            <w:pPr>
              <w:spacing w:before="80" w:line="240" w:lineRule="auto"/>
              <w:jc w:val="right"/>
              <w:rPr>
                <w:sz w:val="16"/>
                <w:szCs w:val="22"/>
              </w:rPr>
            </w:pPr>
            <w:r>
              <w:rPr>
                <w:sz w:val="16"/>
                <w:szCs w:val="22"/>
              </w:rPr>
              <w:t>2,6</w:t>
            </w:r>
          </w:p>
        </w:tc>
        <w:tc>
          <w:tcPr>
            <w:tcW w:w="259" w:type="pct"/>
          </w:tcPr>
          <w:p w:rsidR="00000000" w:rsidRDefault="00000000">
            <w:pPr>
              <w:spacing w:before="80" w:line="240" w:lineRule="auto"/>
              <w:jc w:val="right"/>
              <w:rPr>
                <w:sz w:val="16"/>
                <w:szCs w:val="22"/>
              </w:rPr>
            </w:pPr>
            <w:hyperlink r:id="rId157"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58"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59" w:history="1">
              <w:r>
                <w:rPr>
                  <w:rStyle w:val="Hyperlink"/>
                  <w:sz w:val="16"/>
                  <w:szCs w:val="22"/>
                  <w:u w:val="none"/>
                </w:rPr>
                <w:t>..</w:t>
              </w:r>
            </w:hyperlink>
          </w:p>
        </w:tc>
        <w:tc>
          <w:tcPr>
            <w:tcW w:w="259" w:type="pct"/>
          </w:tcPr>
          <w:p w:rsidR="00000000" w:rsidRDefault="00000000">
            <w:pPr>
              <w:spacing w:before="80" w:line="240" w:lineRule="auto"/>
              <w:jc w:val="right"/>
              <w:rPr>
                <w:sz w:val="16"/>
                <w:szCs w:val="22"/>
              </w:rPr>
            </w:pPr>
            <w:hyperlink r:id="rId160" w:history="1">
              <w:r>
                <w:rPr>
                  <w:rStyle w:val="Hyperlink"/>
                  <w:sz w:val="16"/>
                  <w:szCs w:val="22"/>
                  <w:u w:val="none"/>
                </w:rPr>
                <w:t>..</w:t>
              </w:r>
            </w:hyperlink>
          </w:p>
        </w:tc>
        <w:tc>
          <w:tcPr>
            <w:tcW w:w="260" w:type="pct"/>
          </w:tcPr>
          <w:p w:rsidR="00000000" w:rsidRDefault="00000000">
            <w:pPr>
              <w:spacing w:before="80" w:line="240" w:lineRule="auto"/>
              <w:jc w:val="right"/>
              <w:rPr>
                <w:sz w:val="16"/>
                <w:szCs w:val="22"/>
              </w:rPr>
            </w:pPr>
            <w:hyperlink r:id="rId161" w:history="1">
              <w:r>
                <w:rPr>
                  <w:rStyle w:val="Hyperlink"/>
                  <w:sz w:val="16"/>
                  <w:szCs w:val="22"/>
                  <w:u w:val="none"/>
                </w:rPr>
                <w:t>..</w:t>
              </w:r>
            </w:hyperlink>
          </w:p>
        </w:tc>
      </w:tr>
      <w:tr w:rsidR="00000000">
        <w:trPr>
          <w:jc w:val="center"/>
        </w:trPr>
        <w:tc>
          <w:tcPr>
            <w:tcW w:w="1630" w:type="pct"/>
          </w:tcPr>
          <w:p w:rsidR="00000000" w:rsidRDefault="00000000">
            <w:pPr>
              <w:tabs>
                <w:tab w:val="clear" w:pos="567"/>
              </w:tabs>
              <w:spacing w:before="80" w:line="240" w:lineRule="auto"/>
              <w:ind w:left="164" w:hanging="164"/>
              <w:rPr>
                <w:sz w:val="16"/>
                <w:szCs w:val="22"/>
              </w:rPr>
            </w:pPr>
            <w:r>
              <w:rPr>
                <w:sz w:val="16"/>
                <w:szCs w:val="22"/>
              </w:rPr>
              <w:t>Врожденные злокачественные  образования, дефекты и хромосомные аномалии</w:t>
            </w:r>
            <w:hyperlink r:id="rId162" w:history="1">
              <w:r>
                <w:rPr>
                  <w:rStyle w:val="Hyperlink"/>
                  <w:sz w:val="16"/>
                  <w:szCs w:val="22"/>
                  <w:vertAlign w:val="superscript"/>
                  <w:lang w:val="fr-FR"/>
                </w:rPr>
                <w:t>h</w:t>
              </w:r>
            </w:hyperlink>
          </w:p>
        </w:tc>
        <w:tc>
          <w:tcPr>
            <w:tcW w:w="259" w:type="pct"/>
          </w:tcPr>
          <w:p w:rsidR="00000000" w:rsidRDefault="00000000">
            <w:pPr>
              <w:spacing w:before="80" w:line="240" w:lineRule="auto"/>
              <w:jc w:val="right"/>
              <w:rPr>
                <w:sz w:val="16"/>
                <w:szCs w:val="22"/>
                <w:lang w:val="en-US"/>
              </w:rPr>
            </w:pPr>
            <w:hyperlink r:id="rId163" w:history="1">
              <w:r>
                <w:rPr>
                  <w:rStyle w:val="Hyperlink"/>
                  <w:sz w:val="16"/>
                  <w:szCs w:val="22"/>
                  <w:u w:val="none"/>
                  <w:lang w:val="en-US"/>
                </w:rPr>
                <w:t>..</w:t>
              </w:r>
            </w:hyperlink>
          </w:p>
        </w:tc>
        <w:tc>
          <w:tcPr>
            <w:tcW w:w="259" w:type="pct"/>
          </w:tcPr>
          <w:p w:rsidR="00000000" w:rsidRDefault="00000000">
            <w:pPr>
              <w:spacing w:before="80" w:line="240" w:lineRule="auto"/>
              <w:jc w:val="right"/>
              <w:rPr>
                <w:sz w:val="16"/>
                <w:szCs w:val="22"/>
                <w:lang w:val="en-US"/>
              </w:rPr>
            </w:pPr>
            <w:hyperlink r:id="rId164" w:history="1">
              <w:r>
                <w:rPr>
                  <w:rStyle w:val="Hyperlink"/>
                  <w:sz w:val="16"/>
                  <w:szCs w:val="22"/>
                  <w:u w:val="none"/>
                  <w:lang w:val="en-US"/>
                </w:rPr>
                <w:t>..</w:t>
              </w:r>
            </w:hyperlink>
          </w:p>
        </w:tc>
        <w:tc>
          <w:tcPr>
            <w:tcW w:w="259" w:type="pct"/>
          </w:tcPr>
          <w:p w:rsidR="00000000" w:rsidRDefault="00000000">
            <w:pPr>
              <w:spacing w:before="80" w:line="240" w:lineRule="auto"/>
              <w:jc w:val="right"/>
              <w:rPr>
                <w:sz w:val="16"/>
                <w:szCs w:val="22"/>
                <w:lang w:val="en-US"/>
              </w:rPr>
            </w:pPr>
            <w:hyperlink r:id="rId165" w:history="1">
              <w:r>
                <w:rPr>
                  <w:rStyle w:val="Hyperlink"/>
                  <w:sz w:val="16"/>
                  <w:szCs w:val="22"/>
                  <w:u w:val="none"/>
                  <w:lang w:val="en-US"/>
                </w:rPr>
                <w:t>..</w:t>
              </w:r>
            </w:hyperlink>
          </w:p>
        </w:tc>
        <w:tc>
          <w:tcPr>
            <w:tcW w:w="260" w:type="pct"/>
          </w:tcPr>
          <w:p w:rsidR="00000000" w:rsidRDefault="00000000">
            <w:pPr>
              <w:spacing w:before="80" w:line="240" w:lineRule="auto"/>
              <w:jc w:val="right"/>
              <w:rPr>
                <w:sz w:val="16"/>
                <w:szCs w:val="22"/>
                <w:lang w:val="en-US"/>
              </w:rPr>
            </w:pPr>
            <w:hyperlink r:id="rId166" w:history="1">
              <w:r>
                <w:rPr>
                  <w:rStyle w:val="Hyperlink"/>
                  <w:sz w:val="16"/>
                  <w:szCs w:val="22"/>
                  <w:u w:val="none"/>
                  <w:lang w:val="en-US"/>
                </w:rPr>
                <w:t>..</w:t>
              </w:r>
            </w:hyperlink>
          </w:p>
        </w:tc>
        <w:tc>
          <w:tcPr>
            <w:tcW w:w="259" w:type="pct"/>
          </w:tcPr>
          <w:p w:rsidR="00000000" w:rsidRDefault="00000000">
            <w:pPr>
              <w:spacing w:before="80" w:line="240" w:lineRule="auto"/>
              <w:jc w:val="right"/>
              <w:rPr>
                <w:sz w:val="16"/>
                <w:szCs w:val="22"/>
                <w:lang w:val="en-US"/>
              </w:rPr>
            </w:pPr>
            <w:hyperlink r:id="rId167" w:history="1">
              <w:r>
                <w:rPr>
                  <w:rStyle w:val="Hyperlink"/>
                  <w:sz w:val="16"/>
                  <w:szCs w:val="22"/>
                  <w:u w:val="none"/>
                  <w:lang w:val="en-US"/>
                </w:rPr>
                <w:t>..</w:t>
              </w:r>
            </w:hyperlink>
          </w:p>
        </w:tc>
        <w:tc>
          <w:tcPr>
            <w:tcW w:w="259" w:type="pct"/>
          </w:tcPr>
          <w:p w:rsidR="00000000" w:rsidRDefault="00000000">
            <w:pPr>
              <w:spacing w:before="80" w:line="240" w:lineRule="auto"/>
              <w:jc w:val="right"/>
              <w:rPr>
                <w:sz w:val="16"/>
                <w:szCs w:val="22"/>
                <w:lang w:val="en-US"/>
              </w:rPr>
            </w:pPr>
            <w:hyperlink r:id="rId168" w:history="1">
              <w:r>
                <w:rPr>
                  <w:rStyle w:val="Hyperlink"/>
                  <w:sz w:val="16"/>
                  <w:szCs w:val="22"/>
                  <w:u w:val="none"/>
                  <w:lang w:val="en-US"/>
                </w:rPr>
                <w:t>..</w:t>
              </w:r>
            </w:hyperlink>
          </w:p>
        </w:tc>
        <w:tc>
          <w:tcPr>
            <w:tcW w:w="260" w:type="pct"/>
          </w:tcPr>
          <w:p w:rsidR="00000000" w:rsidRDefault="00000000">
            <w:pPr>
              <w:spacing w:before="80" w:line="240" w:lineRule="auto"/>
              <w:jc w:val="right"/>
              <w:rPr>
                <w:sz w:val="16"/>
                <w:szCs w:val="22"/>
                <w:lang w:val="en-US"/>
              </w:rPr>
            </w:pPr>
            <w:hyperlink r:id="rId169" w:history="1">
              <w:r>
                <w:rPr>
                  <w:rStyle w:val="Hyperlink"/>
                  <w:sz w:val="16"/>
                  <w:szCs w:val="22"/>
                  <w:u w:val="none"/>
                  <w:lang w:val="en-US"/>
                </w:rPr>
                <w:t>..</w:t>
              </w:r>
            </w:hyperlink>
          </w:p>
        </w:tc>
        <w:tc>
          <w:tcPr>
            <w:tcW w:w="259" w:type="pct"/>
          </w:tcPr>
          <w:p w:rsidR="00000000" w:rsidRDefault="00000000">
            <w:pPr>
              <w:spacing w:before="80" w:line="240" w:lineRule="auto"/>
              <w:jc w:val="right"/>
              <w:rPr>
                <w:sz w:val="16"/>
                <w:szCs w:val="22"/>
                <w:lang w:val="en-US"/>
              </w:rPr>
            </w:pPr>
            <w:hyperlink r:id="rId170" w:history="1">
              <w:r>
                <w:rPr>
                  <w:rStyle w:val="Hyperlink"/>
                  <w:sz w:val="16"/>
                  <w:szCs w:val="22"/>
                  <w:u w:val="none"/>
                  <w:lang w:val="en-US"/>
                </w:rPr>
                <w:t>..</w:t>
              </w:r>
            </w:hyperlink>
          </w:p>
        </w:tc>
        <w:tc>
          <w:tcPr>
            <w:tcW w:w="259" w:type="pct"/>
          </w:tcPr>
          <w:p w:rsidR="00000000" w:rsidRDefault="00000000">
            <w:pPr>
              <w:spacing w:before="80" w:line="240" w:lineRule="auto"/>
              <w:jc w:val="right"/>
              <w:rPr>
                <w:sz w:val="16"/>
                <w:szCs w:val="22"/>
                <w:lang w:val="en-US"/>
              </w:rPr>
            </w:pPr>
            <w:r>
              <w:rPr>
                <w:sz w:val="16"/>
                <w:szCs w:val="22"/>
                <w:lang w:val="en-US"/>
              </w:rPr>
              <w:t>2</w:t>
            </w:r>
            <w:r>
              <w:rPr>
                <w:sz w:val="16"/>
                <w:szCs w:val="22"/>
              </w:rPr>
              <w:t>,</w:t>
            </w:r>
            <w:r>
              <w:rPr>
                <w:sz w:val="16"/>
                <w:szCs w:val="22"/>
                <w:lang w:val="en-US"/>
              </w:rPr>
              <w:t>5</w:t>
            </w:r>
          </w:p>
        </w:tc>
        <w:tc>
          <w:tcPr>
            <w:tcW w:w="260" w:type="pct"/>
          </w:tcPr>
          <w:p w:rsidR="00000000" w:rsidRDefault="00000000">
            <w:pPr>
              <w:spacing w:before="80" w:line="240" w:lineRule="auto"/>
              <w:jc w:val="right"/>
              <w:rPr>
                <w:sz w:val="16"/>
                <w:szCs w:val="22"/>
                <w:lang w:val="en-US"/>
              </w:rPr>
            </w:pPr>
            <w:hyperlink r:id="rId171" w:history="1">
              <w:r>
                <w:rPr>
                  <w:rStyle w:val="Hyperlink"/>
                  <w:sz w:val="16"/>
                  <w:szCs w:val="22"/>
                  <w:u w:val="none"/>
                  <w:lang w:val="en-US"/>
                </w:rPr>
                <w:t>..</w:t>
              </w:r>
            </w:hyperlink>
          </w:p>
        </w:tc>
        <w:tc>
          <w:tcPr>
            <w:tcW w:w="259" w:type="pct"/>
          </w:tcPr>
          <w:p w:rsidR="00000000" w:rsidRDefault="00000000">
            <w:pPr>
              <w:spacing w:before="80" w:line="240" w:lineRule="auto"/>
              <w:jc w:val="right"/>
              <w:rPr>
                <w:sz w:val="16"/>
                <w:szCs w:val="22"/>
                <w:lang w:val="en-US"/>
              </w:rPr>
            </w:pPr>
            <w:r>
              <w:rPr>
                <w:sz w:val="16"/>
                <w:szCs w:val="22"/>
                <w:lang w:val="en-US"/>
              </w:rPr>
              <w:t>2</w:t>
            </w:r>
            <w:r>
              <w:rPr>
                <w:sz w:val="16"/>
                <w:szCs w:val="22"/>
              </w:rPr>
              <w:t>,</w:t>
            </w:r>
            <w:r>
              <w:rPr>
                <w:sz w:val="16"/>
                <w:szCs w:val="22"/>
                <w:lang w:val="en-US"/>
              </w:rPr>
              <w:t>4</w:t>
            </w:r>
          </w:p>
        </w:tc>
        <w:tc>
          <w:tcPr>
            <w:tcW w:w="259" w:type="pct"/>
          </w:tcPr>
          <w:p w:rsidR="00000000" w:rsidRDefault="00000000">
            <w:pPr>
              <w:spacing w:before="80" w:line="240" w:lineRule="auto"/>
              <w:jc w:val="right"/>
              <w:rPr>
                <w:sz w:val="16"/>
                <w:szCs w:val="22"/>
                <w:lang w:val="en-US"/>
              </w:rPr>
            </w:pPr>
            <w:hyperlink r:id="rId172" w:history="1">
              <w:r>
                <w:rPr>
                  <w:rStyle w:val="Hyperlink"/>
                  <w:sz w:val="16"/>
                  <w:szCs w:val="22"/>
                  <w:u w:val="none"/>
                  <w:lang w:val="en-US"/>
                </w:rPr>
                <w:t>..</w:t>
              </w:r>
            </w:hyperlink>
          </w:p>
        </w:tc>
        <w:tc>
          <w:tcPr>
            <w:tcW w:w="260" w:type="pct"/>
          </w:tcPr>
          <w:p w:rsidR="00000000" w:rsidRDefault="00000000">
            <w:pPr>
              <w:spacing w:before="80" w:line="240" w:lineRule="auto"/>
              <w:jc w:val="right"/>
              <w:rPr>
                <w:sz w:val="16"/>
                <w:szCs w:val="22"/>
                <w:lang w:val="en-US"/>
              </w:rPr>
            </w:pPr>
            <w:hyperlink r:id="rId173" w:history="1">
              <w:r>
                <w:rPr>
                  <w:rStyle w:val="Hyperlink"/>
                  <w:sz w:val="16"/>
                  <w:szCs w:val="22"/>
                  <w:u w:val="none"/>
                  <w:lang w:val="en-US"/>
                </w:rPr>
                <w:t>..</w:t>
              </w:r>
            </w:hyperlink>
          </w:p>
        </w:tc>
      </w:tr>
      <w:tr w:rsidR="00000000">
        <w:trPr>
          <w:jc w:val="center"/>
        </w:trPr>
        <w:tc>
          <w:tcPr>
            <w:tcW w:w="1630" w:type="pct"/>
            <w:tcBorders>
              <w:bottom w:val="single" w:sz="4" w:space="0" w:color="auto"/>
            </w:tcBorders>
          </w:tcPr>
          <w:p w:rsidR="00000000" w:rsidRDefault="00000000">
            <w:pPr>
              <w:spacing w:before="80" w:line="240" w:lineRule="auto"/>
              <w:rPr>
                <w:sz w:val="16"/>
                <w:szCs w:val="22"/>
              </w:rPr>
            </w:pPr>
            <w:r>
              <w:rPr>
                <w:sz w:val="16"/>
                <w:szCs w:val="22"/>
              </w:rPr>
              <w:t>Прочие</w:t>
            </w:r>
          </w:p>
        </w:tc>
        <w:tc>
          <w:tcPr>
            <w:tcW w:w="259"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33,0</w:t>
            </w:r>
          </w:p>
        </w:tc>
        <w:tc>
          <w:tcPr>
            <w:tcW w:w="259"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31,5</w:t>
            </w:r>
          </w:p>
        </w:tc>
        <w:tc>
          <w:tcPr>
            <w:tcW w:w="259"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31,7</w:t>
            </w:r>
          </w:p>
        </w:tc>
        <w:tc>
          <w:tcPr>
            <w:tcW w:w="260"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31,9</w:t>
            </w:r>
          </w:p>
        </w:tc>
        <w:tc>
          <w:tcPr>
            <w:tcW w:w="259"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31,7</w:t>
            </w:r>
          </w:p>
        </w:tc>
        <w:tc>
          <w:tcPr>
            <w:tcW w:w="259"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31,2</w:t>
            </w:r>
          </w:p>
        </w:tc>
        <w:tc>
          <w:tcPr>
            <w:tcW w:w="260"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31,0</w:t>
            </w:r>
          </w:p>
        </w:tc>
        <w:tc>
          <w:tcPr>
            <w:tcW w:w="259"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30,1</w:t>
            </w:r>
          </w:p>
        </w:tc>
        <w:tc>
          <w:tcPr>
            <w:tcW w:w="259"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29,0</w:t>
            </w:r>
          </w:p>
        </w:tc>
        <w:tc>
          <w:tcPr>
            <w:tcW w:w="260"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28,1</w:t>
            </w:r>
          </w:p>
        </w:tc>
        <w:tc>
          <w:tcPr>
            <w:tcW w:w="259"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27,8</w:t>
            </w:r>
          </w:p>
        </w:tc>
        <w:tc>
          <w:tcPr>
            <w:tcW w:w="259"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27,5</w:t>
            </w:r>
          </w:p>
        </w:tc>
        <w:tc>
          <w:tcPr>
            <w:tcW w:w="260" w:type="pct"/>
            <w:tcBorders>
              <w:bottom w:val="single" w:sz="4" w:space="0" w:color="auto"/>
            </w:tcBorders>
          </w:tcPr>
          <w:p w:rsidR="00000000" w:rsidRDefault="00000000">
            <w:pPr>
              <w:spacing w:before="80" w:line="240" w:lineRule="auto"/>
              <w:jc w:val="right"/>
              <w:rPr>
                <w:sz w:val="16"/>
                <w:szCs w:val="22"/>
                <w:lang w:val="en-US"/>
              </w:rPr>
            </w:pPr>
            <w:r>
              <w:rPr>
                <w:sz w:val="16"/>
                <w:szCs w:val="22"/>
                <w:lang w:val="en-US"/>
              </w:rPr>
              <w:t>26,9</w:t>
            </w:r>
          </w:p>
        </w:tc>
      </w:tr>
    </w:tbl>
    <w:p w:rsidR="00000000" w:rsidRDefault="00000000">
      <w:pPr>
        <w:spacing w:line="240" w:lineRule="auto"/>
        <w:rPr>
          <w:sz w:val="18"/>
        </w:rPr>
      </w:pPr>
    </w:p>
    <w:p w:rsidR="00000000" w:rsidRDefault="00000000">
      <w:pPr>
        <w:spacing w:line="216" w:lineRule="auto"/>
        <w:rPr>
          <w:sz w:val="18"/>
        </w:rPr>
      </w:pPr>
      <w:r>
        <w:rPr>
          <w:i/>
          <w:iCs/>
          <w:sz w:val="18"/>
        </w:rPr>
        <w:t xml:space="preserve">Источник:  </w:t>
      </w:r>
      <w:r>
        <w:rPr>
          <w:sz w:val="18"/>
        </w:rPr>
        <w:t xml:space="preserve">НИСГИ, "Статистика смертности.  </w:t>
      </w:r>
    </w:p>
    <w:p w:rsidR="00000000" w:rsidRDefault="00000000">
      <w:pPr>
        <w:spacing w:line="216" w:lineRule="auto"/>
        <w:rPr>
          <w:sz w:val="18"/>
        </w:rPr>
      </w:pPr>
    </w:p>
    <w:p w:rsidR="00000000" w:rsidRDefault="00000000">
      <w:pPr>
        <w:spacing w:line="216" w:lineRule="auto"/>
        <w:rPr>
          <w:sz w:val="18"/>
        </w:rPr>
      </w:pPr>
      <w:r>
        <w:rPr>
          <w:i/>
          <w:iCs/>
          <w:sz w:val="18"/>
        </w:rPr>
        <w:t>Примечание:</w:t>
      </w:r>
      <w:r>
        <w:rPr>
          <w:sz w:val="18"/>
        </w:rPr>
        <w:t xml:space="preserve">  За каждый год выделяется десять основных причин смертности.  В 1990</w:t>
      </w:r>
      <w:r>
        <w:rPr>
          <w:sz w:val="18"/>
        </w:rPr>
        <w:noBreakHyphen/>
        <w:t>1997 годах использовалась методика Международной классификации болезней МКБ-9, а в 1998-2002 годах использовалась Международная классификация болезней</w:t>
      </w:r>
      <w:r>
        <w:rPr>
          <w:b/>
          <w:bCs/>
          <w:sz w:val="18"/>
          <w:vertAlign w:val="superscript"/>
        </w:rPr>
        <w:t>с</w:t>
      </w:r>
      <w:r>
        <w:rPr>
          <w:sz w:val="18"/>
        </w:rPr>
        <w:t>.</w:t>
      </w:r>
    </w:p>
    <w:p w:rsidR="00000000" w:rsidRDefault="00000000">
      <w:pPr>
        <w:spacing w:line="216" w:lineRule="auto"/>
        <w:rPr>
          <w:sz w:val="18"/>
        </w:rPr>
      </w:pPr>
    </w:p>
    <w:p w:rsidR="00000000" w:rsidRDefault="00000000">
      <w:pPr>
        <w:spacing w:line="216" w:lineRule="auto"/>
        <w:rPr>
          <w:sz w:val="18"/>
        </w:rPr>
      </w:pPr>
      <w:r>
        <w:rPr>
          <w:b/>
          <w:bCs/>
          <w:sz w:val="18"/>
          <w:vertAlign w:val="superscript"/>
        </w:rPr>
        <w:t>а</w:t>
      </w:r>
      <w:r>
        <w:rPr>
          <w:b/>
          <w:bCs/>
          <w:sz w:val="18"/>
          <w:vertAlign w:val="superscript"/>
        </w:rPr>
        <w:tab/>
      </w:r>
      <w:r>
        <w:rPr>
          <w:sz w:val="18"/>
        </w:rPr>
        <w:t>В 1990-1997 годах использовалась классификационная группа "цирроз и другие хронические болезни печени".  С 1998 года используется термин "алкоголические заболевания и другие хронические заболевания печени".</w:t>
      </w:r>
    </w:p>
    <w:p w:rsidR="00000000" w:rsidRDefault="00000000">
      <w:pPr>
        <w:spacing w:line="216" w:lineRule="auto"/>
        <w:rPr>
          <w:sz w:val="18"/>
        </w:rPr>
      </w:pPr>
    </w:p>
    <w:p w:rsidR="00000000" w:rsidRDefault="00000000">
      <w:pPr>
        <w:spacing w:line="216" w:lineRule="auto"/>
        <w:rPr>
          <w:sz w:val="18"/>
        </w:rPr>
      </w:pPr>
      <w:r>
        <w:rPr>
          <w:b/>
          <w:bCs/>
          <w:sz w:val="18"/>
          <w:vertAlign w:val="superscript"/>
          <w:lang w:val="en-US"/>
        </w:rPr>
        <w:t>b</w:t>
      </w:r>
      <w:r>
        <w:rPr>
          <w:sz w:val="18"/>
        </w:rPr>
        <w:tab/>
        <w:t>До 1997 года использовался термин "цереброваскулярное заболевание".</w:t>
      </w:r>
    </w:p>
    <w:p w:rsidR="00000000" w:rsidRDefault="00000000">
      <w:pPr>
        <w:spacing w:line="216" w:lineRule="auto"/>
        <w:rPr>
          <w:sz w:val="18"/>
        </w:rPr>
      </w:pPr>
    </w:p>
    <w:p w:rsidR="00000000" w:rsidRDefault="00000000">
      <w:pPr>
        <w:spacing w:line="216" w:lineRule="auto"/>
        <w:rPr>
          <w:sz w:val="18"/>
        </w:rPr>
      </w:pPr>
      <w:r>
        <w:rPr>
          <w:b/>
          <w:bCs/>
          <w:sz w:val="18"/>
          <w:vertAlign w:val="superscript"/>
        </w:rPr>
        <w:t>с</w:t>
      </w:r>
      <w:r>
        <w:rPr>
          <w:sz w:val="18"/>
        </w:rPr>
        <w:tab/>
        <w:t>До 1997 года использовался термин "другие хронические обструктивные заболевания легких".</w:t>
      </w:r>
    </w:p>
    <w:p w:rsidR="00000000" w:rsidRDefault="00000000">
      <w:pPr>
        <w:spacing w:line="216" w:lineRule="auto"/>
        <w:rPr>
          <w:sz w:val="18"/>
        </w:rPr>
      </w:pPr>
    </w:p>
    <w:p w:rsidR="00000000" w:rsidRDefault="00000000">
      <w:pPr>
        <w:spacing w:line="216" w:lineRule="auto"/>
        <w:rPr>
          <w:sz w:val="18"/>
        </w:rPr>
      </w:pPr>
      <w:r>
        <w:rPr>
          <w:b/>
          <w:bCs/>
          <w:sz w:val="18"/>
          <w:vertAlign w:val="superscript"/>
          <w:lang w:val="en-US"/>
        </w:rPr>
        <w:t>d</w:t>
      </w:r>
      <w:r>
        <w:rPr>
          <w:sz w:val="18"/>
        </w:rPr>
        <w:tab/>
        <w:t>До 1997 года - пневмония и грипп.</w:t>
      </w:r>
    </w:p>
    <w:p w:rsidR="00000000" w:rsidRDefault="00000000">
      <w:pPr>
        <w:spacing w:line="216" w:lineRule="auto"/>
        <w:rPr>
          <w:sz w:val="18"/>
        </w:rPr>
      </w:pPr>
    </w:p>
    <w:p w:rsidR="00000000" w:rsidRDefault="00000000">
      <w:pPr>
        <w:spacing w:line="216" w:lineRule="auto"/>
        <w:rPr>
          <w:sz w:val="18"/>
        </w:rPr>
      </w:pPr>
      <w:r>
        <w:rPr>
          <w:b/>
          <w:bCs/>
          <w:sz w:val="18"/>
          <w:vertAlign w:val="superscript"/>
        </w:rPr>
        <w:t>е</w:t>
      </w:r>
      <w:r>
        <w:rPr>
          <w:sz w:val="18"/>
        </w:rPr>
        <w:tab/>
        <w:t>До 1997 года - убийства и умышленные телесные повреждения, причиненные другим лицом.</w:t>
      </w:r>
    </w:p>
    <w:p w:rsidR="00000000" w:rsidRDefault="00000000">
      <w:pPr>
        <w:spacing w:line="216" w:lineRule="auto"/>
        <w:rPr>
          <w:sz w:val="18"/>
        </w:rPr>
      </w:pPr>
    </w:p>
    <w:p w:rsidR="00000000" w:rsidRDefault="00000000">
      <w:pPr>
        <w:spacing w:line="216" w:lineRule="auto"/>
        <w:rPr>
          <w:sz w:val="18"/>
        </w:rPr>
      </w:pPr>
      <w:r>
        <w:rPr>
          <w:b/>
          <w:bCs/>
          <w:sz w:val="18"/>
          <w:vertAlign w:val="superscript"/>
          <w:lang w:val="en-US"/>
        </w:rPr>
        <w:t>f</w:t>
      </w:r>
      <w:r>
        <w:rPr>
          <w:sz w:val="18"/>
        </w:rPr>
        <w:tab/>
        <w:t>До 1998 года - дефицит питания.</w:t>
      </w:r>
    </w:p>
    <w:p w:rsidR="00000000" w:rsidRDefault="00000000">
      <w:pPr>
        <w:spacing w:line="216" w:lineRule="auto"/>
        <w:rPr>
          <w:sz w:val="18"/>
        </w:rPr>
      </w:pPr>
    </w:p>
    <w:p w:rsidR="00000000" w:rsidRDefault="00000000">
      <w:pPr>
        <w:spacing w:line="216" w:lineRule="auto"/>
        <w:rPr>
          <w:sz w:val="18"/>
        </w:rPr>
      </w:pPr>
      <w:r>
        <w:rPr>
          <w:b/>
          <w:bCs/>
          <w:sz w:val="18"/>
          <w:vertAlign w:val="superscript"/>
          <w:lang w:val="en-US"/>
        </w:rPr>
        <w:t>g</w:t>
      </w:r>
      <w:r>
        <w:rPr>
          <w:sz w:val="18"/>
        </w:rPr>
        <w:tab/>
        <w:t>До 1997 года - нефрит, нефротический синдром и нефроз.</w:t>
      </w:r>
    </w:p>
    <w:p w:rsidR="00000000" w:rsidRDefault="00000000">
      <w:pPr>
        <w:spacing w:line="216" w:lineRule="auto"/>
        <w:rPr>
          <w:sz w:val="18"/>
        </w:rPr>
      </w:pPr>
    </w:p>
    <w:p w:rsidR="00000000" w:rsidRDefault="00000000">
      <w:pPr>
        <w:spacing w:line="216" w:lineRule="auto"/>
        <w:rPr>
          <w:sz w:val="18"/>
        </w:rPr>
      </w:pPr>
      <w:r>
        <w:rPr>
          <w:b/>
          <w:bCs/>
          <w:sz w:val="18"/>
          <w:vertAlign w:val="superscript"/>
          <w:lang w:val="en-US"/>
        </w:rPr>
        <w:t>h</w:t>
      </w:r>
      <w:r>
        <w:rPr>
          <w:sz w:val="18"/>
        </w:rPr>
        <w:tab/>
        <w:t>До 1997 года - врожденные аномалии.</w:t>
      </w:r>
    </w:p>
    <w:p w:rsidR="00000000" w:rsidRDefault="00000000">
      <w:pPr>
        <w:spacing w:line="216" w:lineRule="auto"/>
        <w:rPr>
          <w:sz w:val="18"/>
        </w:rPr>
      </w:pPr>
    </w:p>
    <w:p w:rsidR="00000000" w:rsidRDefault="00000000">
      <w:pPr>
        <w:spacing w:line="216" w:lineRule="auto"/>
        <w:rPr>
          <w:sz w:val="18"/>
        </w:rPr>
      </w:pPr>
      <w:r>
        <w:rPr>
          <w:b/>
          <w:bCs/>
          <w:sz w:val="18"/>
          <w:vertAlign w:val="superscript"/>
        </w:rPr>
        <w:t>i</w:t>
      </w:r>
      <w:r>
        <w:rPr>
          <w:b/>
          <w:bCs/>
          <w:sz w:val="18"/>
          <w:vertAlign w:val="superscript"/>
        </w:rPr>
        <w:tab/>
      </w:r>
      <w:r>
        <w:rPr>
          <w:sz w:val="18"/>
        </w:rPr>
        <w:t>В 1998 году включаются в группу "хронический и особо не указанный бронхит и эмфизема".</w:t>
      </w:r>
    </w:p>
    <w:p w:rsidR="00000000" w:rsidRDefault="00000000">
      <w:pPr>
        <w:spacing w:line="216" w:lineRule="auto"/>
        <w:rPr>
          <w:sz w:val="18"/>
        </w:rPr>
      </w:pPr>
    </w:p>
    <w:p w:rsidR="00000000" w:rsidRDefault="00000000">
      <w:pPr>
        <w:spacing w:line="216" w:lineRule="auto"/>
        <w:rPr>
          <w:sz w:val="18"/>
        </w:rPr>
      </w:pPr>
      <w:r>
        <w:rPr>
          <w:sz w:val="18"/>
        </w:rPr>
        <w:t>..</w:t>
      </w:r>
      <w:r>
        <w:rPr>
          <w:sz w:val="18"/>
        </w:rPr>
        <w:tab/>
      </w:r>
      <w:r>
        <w:rPr>
          <w:sz w:val="18"/>
          <w:lang w:val="en-US"/>
        </w:rPr>
        <w:t>=</w:t>
      </w:r>
      <w:r>
        <w:rPr>
          <w:sz w:val="18"/>
        </w:rPr>
        <w:t xml:space="preserve"> данные неприменимы.</w:t>
      </w:r>
    </w:p>
    <w:p w:rsidR="00000000" w:rsidRDefault="00000000">
      <w:pPr>
        <w:spacing w:line="216" w:lineRule="auto"/>
      </w:pPr>
    </w:p>
    <w:p w:rsidR="00000000" w:rsidRDefault="00000000">
      <w:pPr>
        <w:rPr>
          <w:b/>
          <w:bCs/>
        </w:rPr>
      </w:pPr>
      <w:r>
        <w:rPr>
          <w:b/>
          <w:bCs/>
        </w:rPr>
        <w:br w:type="page"/>
        <w:t xml:space="preserve">Пункт 50 </w:t>
      </w:r>
      <w:r>
        <w:rPr>
          <w:b/>
          <w:bCs/>
          <w:lang w:val="en-US"/>
        </w:rPr>
        <w:t>g</w:t>
      </w:r>
      <w:r>
        <w:rPr>
          <w:b/>
          <w:bCs/>
        </w:rPr>
        <w:t>)</w:t>
      </w:r>
    </w:p>
    <w:p w:rsidR="00000000" w:rsidRDefault="00000000">
      <w:pPr>
        <w:rPr>
          <w:b/>
          <w:bCs/>
        </w:rPr>
      </w:pPr>
    </w:p>
    <w:tbl>
      <w:tblPr>
        <w:tblW w:w="0" w:type="auto"/>
        <w:tblInd w:w="57" w:type="dxa"/>
        <w:tblLayout w:type="fixed"/>
        <w:tblCellMar>
          <w:top w:w="28" w:type="dxa"/>
          <w:left w:w="57" w:type="dxa"/>
          <w:bottom w:w="28" w:type="dxa"/>
          <w:right w:w="57" w:type="dxa"/>
        </w:tblCellMar>
        <w:tblLook w:val="0000" w:firstRow="0" w:lastRow="0" w:firstColumn="0" w:lastColumn="0" w:noHBand="0" w:noVBand="0"/>
      </w:tblPr>
      <w:tblGrid>
        <w:gridCol w:w="1870"/>
        <w:gridCol w:w="2092"/>
        <w:gridCol w:w="1648"/>
        <w:gridCol w:w="1870"/>
        <w:gridCol w:w="1871"/>
      </w:tblGrid>
      <w:tr w:rsidR="00000000">
        <w:trPr>
          <w:cantSplit/>
        </w:trPr>
        <w:tc>
          <w:tcPr>
            <w:tcW w:w="1870" w:type="dxa"/>
            <w:tcBorders>
              <w:top w:val="single" w:sz="4" w:space="0" w:color="auto"/>
              <w:bottom w:val="single" w:sz="4" w:space="0" w:color="auto"/>
            </w:tcBorders>
            <w:vAlign w:val="center"/>
          </w:tcPr>
          <w:p w:rsidR="00000000" w:rsidRDefault="00000000">
            <w:pPr>
              <w:spacing w:before="40" w:line="240" w:lineRule="auto"/>
              <w:jc w:val="center"/>
              <w:rPr>
                <w:i/>
                <w:iCs/>
                <w:sz w:val="18"/>
                <w:szCs w:val="22"/>
              </w:rPr>
            </w:pPr>
            <w:r>
              <w:rPr>
                <w:i/>
                <w:iCs/>
                <w:sz w:val="18"/>
                <w:szCs w:val="22"/>
              </w:rPr>
              <w:t>Пол</w:t>
            </w:r>
            <w:r>
              <w:rPr>
                <w:i/>
                <w:iCs/>
                <w:sz w:val="18"/>
                <w:szCs w:val="22"/>
              </w:rPr>
              <w:br/>
              <w:t>Возрастная группа</w:t>
            </w:r>
          </w:p>
        </w:tc>
        <w:tc>
          <w:tcPr>
            <w:tcW w:w="2092" w:type="dxa"/>
            <w:tcBorders>
              <w:top w:val="single" w:sz="4" w:space="0" w:color="auto"/>
              <w:bottom w:val="single" w:sz="4" w:space="0" w:color="auto"/>
            </w:tcBorders>
            <w:vAlign w:val="center"/>
          </w:tcPr>
          <w:p w:rsidR="00000000" w:rsidRDefault="00000000">
            <w:pPr>
              <w:spacing w:before="40" w:line="240" w:lineRule="auto"/>
              <w:jc w:val="center"/>
              <w:rPr>
                <w:i/>
                <w:iCs/>
                <w:sz w:val="18"/>
                <w:szCs w:val="22"/>
              </w:rPr>
            </w:pPr>
            <w:r>
              <w:rPr>
                <w:i/>
                <w:iCs/>
                <w:sz w:val="18"/>
                <w:szCs w:val="22"/>
              </w:rPr>
              <w:t>Население, пользующееся медицинскими услугами</w:t>
            </w:r>
          </w:p>
        </w:tc>
        <w:tc>
          <w:tcPr>
            <w:tcW w:w="1648" w:type="dxa"/>
            <w:tcBorders>
              <w:top w:val="single" w:sz="4" w:space="0" w:color="auto"/>
              <w:bottom w:val="single" w:sz="4" w:space="0" w:color="auto"/>
            </w:tcBorders>
            <w:vAlign w:val="center"/>
          </w:tcPr>
          <w:p w:rsidR="00000000" w:rsidRDefault="00000000">
            <w:pPr>
              <w:spacing w:before="40" w:line="240" w:lineRule="auto"/>
              <w:jc w:val="center"/>
              <w:rPr>
                <w:i/>
                <w:iCs/>
                <w:sz w:val="18"/>
                <w:szCs w:val="22"/>
              </w:rPr>
            </w:pPr>
            <w:r>
              <w:rPr>
                <w:i/>
                <w:iCs/>
                <w:sz w:val="18"/>
                <w:szCs w:val="22"/>
              </w:rPr>
              <w:t>Социальное обеспечение</w:t>
            </w:r>
            <w:r>
              <w:rPr>
                <w:b/>
                <w:bCs/>
                <w:i/>
                <w:iCs/>
                <w:sz w:val="18"/>
                <w:szCs w:val="22"/>
                <w:vertAlign w:val="superscript"/>
              </w:rPr>
              <w:t>а</w:t>
            </w:r>
          </w:p>
        </w:tc>
        <w:tc>
          <w:tcPr>
            <w:tcW w:w="1870" w:type="dxa"/>
            <w:tcBorders>
              <w:top w:val="single" w:sz="4" w:space="0" w:color="auto"/>
              <w:bottom w:val="single" w:sz="4" w:space="0" w:color="auto"/>
            </w:tcBorders>
            <w:vAlign w:val="center"/>
          </w:tcPr>
          <w:p w:rsidR="00000000" w:rsidRDefault="00000000">
            <w:pPr>
              <w:spacing w:before="40" w:line="240" w:lineRule="auto"/>
              <w:jc w:val="center"/>
              <w:rPr>
                <w:i/>
                <w:iCs/>
                <w:sz w:val="18"/>
                <w:szCs w:val="22"/>
              </w:rPr>
            </w:pPr>
            <w:r>
              <w:rPr>
                <w:i/>
                <w:iCs/>
                <w:sz w:val="18"/>
                <w:szCs w:val="22"/>
              </w:rPr>
              <w:t>Частные медицинские услуги</w:t>
            </w:r>
            <w:r>
              <w:rPr>
                <w:b/>
                <w:bCs/>
                <w:i/>
                <w:iCs/>
                <w:sz w:val="18"/>
                <w:szCs w:val="22"/>
                <w:vertAlign w:val="superscript"/>
                <w:lang w:val="en-US"/>
              </w:rPr>
              <w:t>b</w:t>
            </w:r>
          </w:p>
        </w:tc>
        <w:tc>
          <w:tcPr>
            <w:tcW w:w="1871" w:type="dxa"/>
            <w:tcBorders>
              <w:top w:val="single" w:sz="4" w:space="0" w:color="auto"/>
              <w:bottom w:val="single" w:sz="4" w:space="0" w:color="auto"/>
            </w:tcBorders>
            <w:vAlign w:val="center"/>
          </w:tcPr>
          <w:p w:rsidR="00000000" w:rsidRDefault="00000000">
            <w:pPr>
              <w:spacing w:before="40" w:line="240" w:lineRule="auto"/>
              <w:jc w:val="center"/>
              <w:rPr>
                <w:i/>
                <w:iCs/>
                <w:sz w:val="18"/>
                <w:szCs w:val="22"/>
              </w:rPr>
            </w:pPr>
            <w:r>
              <w:rPr>
                <w:i/>
                <w:iCs/>
                <w:sz w:val="18"/>
                <w:szCs w:val="22"/>
              </w:rPr>
              <w:t>Услуги, открытие для всего населения</w:t>
            </w:r>
          </w:p>
        </w:tc>
      </w:tr>
      <w:tr w:rsidR="00000000">
        <w:trPr>
          <w:cantSplit/>
        </w:trPr>
        <w:tc>
          <w:tcPr>
            <w:tcW w:w="1870" w:type="dxa"/>
            <w:tcBorders>
              <w:top w:val="single" w:sz="4" w:space="0" w:color="auto"/>
            </w:tcBorders>
          </w:tcPr>
          <w:p w:rsidR="00000000" w:rsidRDefault="00000000">
            <w:pPr>
              <w:spacing w:before="40" w:line="240" w:lineRule="auto"/>
              <w:rPr>
                <w:sz w:val="18"/>
                <w:szCs w:val="22"/>
              </w:rPr>
            </w:pPr>
            <w:r>
              <w:rPr>
                <w:sz w:val="18"/>
                <w:szCs w:val="22"/>
              </w:rPr>
              <w:t>Мужчины</w:t>
            </w:r>
          </w:p>
        </w:tc>
        <w:tc>
          <w:tcPr>
            <w:tcW w:w="2092" w:type="dxa"/>
            <w:tcBorders>
              <w:top w:val="single" w:sz="4" w:space="0" w:color="auto"/>
            </w:tcBorders>
          </w:tcPr>
          <w:p w:rsidR="00000000" w:rsidRDefault="00000000">
            <w:pPr>
              <w:tabs>
                <w:tab w:val="clear" w:pos="567"/>
                <w:tab w:val="clear" w:pos="1134"/>
                <w:tab w:val="clear" w:pos="1701"/>
                <w:tab w:val="clear" w:pos="2268"/>
                <w:tab w:val="clear" w:pos="6237"/>
                <w:tab w:val="decimal" w:pos="1418"/>
              </w:tabs>
              <w:spacing w:before="40" w:line="240" w:lineRule="auto"/>
              <w:rPr>
                <w:sz w:val="18"/>
                <w:szCs w:val="22"/>
              </w:rPr>
            </w:pPr>
            <w:r>
              <w:rPr>
                <w:sz w:val="18"/>
                <w:szCs w:val="22"/>
              </w:rPr>
              <w:t>45 352 031</w:t>
            </w:r>
          </w:p>
        </w:tc>
        <w:tc>
          <w:tcPr>
            <w:tcW w:w="1648" w:type="dxa"/>
            <w:tcBorders>
              <w:top w:val="single" w:sz="4" w:space="0" w:color="auto"/>
            </w:tcBorders>
          </w:tcPr>
          <w:p w:rsidR="00000000" w:rsidRDefault="00000000">
            <w:pPr>
              <w:tabs>
                <w:tab w:val="clear" w:pos="567"/>
                <w:tab w:val="clear" w:pos="1134"/>
                <w:tab w:val="clear" w:pos="1701"/>
              </w:tabs>
              <w:spacing w:before="40" w:line="240" w:lineRule="auto"/>
              <w:jc w:val="center"/>
              <w:rPr>
                <w:sz w:val="18"/>
                <w:szCs w:val="22"/>
              </w:rPr>
            </w:pPr>
            <w:r>
              <w:rPr>
                <w:sz w:val="18"/>
                <w:szCs w:val="22"/>
              </w:rPr>
              <w:t>38,5</w:t>
            </w:r>
          </w:p>
        </w:tc>
        <w:tc>
          <w:tcPr>
            <w:tcW w:w="1870" w:type="dxa"/>
            <w:tcBorders>
              <w:top w:val="single" w:sz="4" w:space="0" w:color="auto"/>
            </w:tcBorders>
          </w:tcPr>
          <w:p w:rsidR="00000000" w:rsidRDefault="00000000">
            <w:pPr>
              <w:tabs>
                <w:tab w:val="clear" w:pos="567"/>
                <w:tab w:val="clear" w:pos="1134"/>
                <w:tab w:val="clear" w:pos="1701"/>
              </w:tabs>
              <w:spacing w:before="40" w:line="240" w:lineRule="auto"/>
              <w:jc w:val="center"/>
              <w:rPr>
                <w:sz w:val="18"/>
                <w:szCs w:val="22"/>
              </w:rPr>
            </w:pPr>
            <w:r>
              <w:rPr>
                <w:sz w:val="18"/>
                <w:szCs w:val="22"/>
              </w:rPr>
              <w:t>34,7</w:t>
            </w:r>
          </w:p>
        </w:tc>
        <w:tc>
          <w:tcPr>
            <w:tcW w:w="1871" w:type="dxa"/>
            <w:tcBorders>
              <w:top w:val="single" w:sz="4" w:space="0" w:color="auto"/>
            </w:tcBorders>
          </w:tcPr>
          <w:p w:rsidR="00000000" w:rsidRDefault="00000000">
            <w:pPr>
              <w:tabs>
                <w:tab w:val="clear" w:pos="567"/>
                <w:tab w:val="clear" w:pos="1134"/>
                <w:tab w:val="clear" w:pos="1701"/>
              </w:tabs>
              <w:spacing w:before="40" w:line="240" w:lineRule="auto"/>
              <w:jc w:val="center"/>
              <w:rPr>
                <w:sz w:val="18"/>
                <w:szCs w:val="22"/>
              </w:rPr>
            </w:pPr>
            <w:r>
              <w:rPr>
                <w:sz w:val="18"/>
                <w:szCs w:val="22"/>
              </w:rPr>
              <w:t>26,8</w:t>
            </w:r>
          </w:p>
        </w:tc>
      </w:tr>
      <w:tr w:rsidR="00000000">
        <w:trPr>
          <w:cantSplit/>
        </w:trPr>
        <w:tc>
          <w:tcPr>
            <w:tcW w:w="1870" w:type="dxa"/>
          </w:tcPr>
          <w:p w:rsidR="00000000" w:rsidRDefault="00000000">
            <w:pPr>
              <w:spacing w:before="40" w:line="240" w:lineRule="auto"/>
              <w:rPr>
                <w:sz w:val="18"/>
                <w:szCs w:val="22"/>
              </w:rPr>
            </w:pPr>
            <w:r>
              <w:rPr>
                <w:sz w:val="18"/>
                <w:szCs w:val="22"/>
                <w:lang w:val="en-US"/>
              </w:rPr>
              <w:t>   </w:t>
            </w:r>
            <w:r>
              <w:rPr>
                <w:sz w:val="18"/>
                <w:szCs w:val="22"/>
              </w:rPr>
              <w:t>0</w:t>
            </w:r>
            <w:r>
              <w:rPr>
                <w:sz w:val="18"/>
                <w:szCs w:val="22"/>
              </w:rPr>
              <w:noBreakHyphen/>
              <w:t>4 года</w:t>
            </w:r>
          </w:p>
        </w:tc>
        <w:tc>
          <w:tcPr>
            <w:tcW w:w="2092" w:type="dxa"/>
          </w:tcPr>
          <w:p w:rsidR="00000000" w:rsidRDefault="00000000">
            <w:pPr>
              <w:tabs>
                <w:tab w:val="clear" w:pos="567"/>
                <w:tab w:val="clear" w:pos="1134"/>
                <w:tab w:val="clear" w:pos="1701"/>
                <w:tab w:val="clear" w:pos="2268"/>
                <w:tab w:val="clear" w:pos="6237"/>
                <w:tab w:val="decimal" w:pos="1418"/>
              </w:tabs>
              <w:spacing w:before="40" w:line="240" w:lineRule="auto"/>
              <w:rPr>
                <w:sz w:val="18"/>
                <w:szCs w:val="22"/>
              </w:rPr>
            </w:pPr>
            <w:r>
              <w:rPr>
                <w:sz w:val="18"/>
                <w:szCs w:val="22"/>
              </w:rPr>
              <w:t>5 256 931</w:t>
            </w:r>
          </w:p>
        </w:tc>
        <w:tc>
          <w:tcPr>
            <w:tcW w:w="1648"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35,6</w:t>
            </w:r>
          </w:p>
        </w:tc>
        <w:tc>
          <w:tcPr>
            <w:tcW w:w="1870"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32,6</w:t>
            </w:r>
          </w:p>
        </w:tc>
        <w:tc>
          <w:tcPr>
            <w:tcW w:w="1871"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31,8</w:t>
            </w:r>
          </w:p>
        </w:tc>
      </w:tr>
      <w:tr w:rsidR="00000000">
        <w:trPr>
          <w:cantSplit/>
        </w:trPr>
        <w:tc>
          <w:tcPr>
            <w:tcW w:w="1870" w:type="dxa"/>
          </w:tcPr>
          <w:p w:rsidR="00000000" w:rsidRDefault="00000000">
            <w:pPr>
              <w:spacing w:before="40" w:line="240" w:lineRule="auto"/>
              <w:rPr>
                <w:sz w:val="18"/>
                <w:szCs w:val="22"/>
              </w:rPr>
            </w:pPr>
            <w:r>
              <w:rPr>
                <w:sz w:val="18"/>
                <w:szCs w:val="22"/>
                <w:lang w:val="en-US"/>
              </w:rPr>
              <w:t>   </w:t>
            </w:r>
            <w:r>
              <w:rPr>
                <w:sz w:val="18"/>
                <w:szCs w:val="22"/>
              </w:rPr>
              <w:t>6</w:t>
            </w:r>
            <w:r>
              <w:rPr>
                <w:sz w:val="18"/>
                <w:szCs w:val="22"/>
              </w:rPr>
              <w:noBreakHyphen/>
              <w:t>14 лет</w:t>
            </w:r>
          </w:p>
        </w:tc>
        <w:tc>
          <w:tcPr>
            <w:tcW w:w="2092" w:type="dxa"/>
          </w:tcPr>
          <w:p w:rsidR="00000000" w:rsidRDefault="00000000">
            <w:pPr>
              <w:tabs>
                <w:tab w:val="clear" w:pos="567"/>
                <w:tab w:val="clear" w:pos="1134"/>
                <w:tab w:val="clear" w:pos="1701"/>
                <w:tab w:val="clear" w:pos="2268"/>
                <w:tab w:val="clear" w:pos="6237"/>
                <w:tab w:val="decimal" w:pos="1418"/>
              </w:tabs>
              <w:spacing w:before="40" w:line="240" w:lineRule="auto"/>
              <w:rPr>
                <w:sz w:val="18"/>
                <w:szCs w:val="22"/>
              </w:rPr>
            </w:pPr>
            <w:r>
              <w:rPr>
                <w:sz w:val="18"/>
                <w:szCs w:val="22"/>
              </w:rPr>
              <w:t>10 898 810</w:t>
            </w:r>
          </w:p>
        </w:tc>
        <w:tc>
          <w:tcPr>
            <w:tcW w:w="1648"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35,4</w:t>
            </w:r>
          </w:p>
        </w:tc>
        <w:tc>
          <w:tcPr>
            <w:tcW w:w="1870"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31,2</w:t>
            </w:r>
          </w:p>
        </w:tc>
        <w:tc>
          <w:tcPr>
            <w:tcW w:w="1871"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33,4</w:t>
            </w:r>
          </w:p>
        </w:tc>
      </w:tr>
      <w:tr w:rsidR="00000000">
        <w:trPr>
          <w:cantSplit/>
        </w:trPr>
        <w:tc>
          <w:tcPr>
            <w:tcW w:w="1870" w:type="dxa"/>
          </w:tcPr>
          <w:p w:rsidR="00000000" w:rsidRDefault="00000000">
            <w:pPr>
              <w:spacing w:before="40" w:line="240" w:lineRule="auto"/>
              <w:rPr>
                <w:sz w:val="18"/>
                <w:szCs w:val="22"/>
              </w:rPr>
            </w:pPr>
            <w:r>
              <w:rPr>
                <w:sz w:val="18"/>
                <w:szCs w:val="22"/>
                <w:lang w:val="fr-FR"/>
              </w:rPr>
              <w:t>   </w:t>
            </w:r>
            <w:r>
              <w:rPr>
                <w:sz w:val="18"/>
                <w:szCs w:val="22"/>
              </w:rPr>
              <w:t>15</w:t>
            </w:r>
            <w:r>
              <w:rPr>
                <w:sz w:val="18"/>
                <w:szCs w:val="22"/>
              </w:rPr>
              <w:noBreakHyphen/>
              <w:t>64 года</w:t>
            </w:r>
          </w:p>
        </w:tc>
        <w:tc>
          <w:tcPr>
            <w:tcW w:w="2092" w:type="dxa"/>
          </w:tcPr>
          <w:p w:rsidR="00000000" w:rsidRDefault="00000000">
            <w:pPr>
              <w:tabs>
                <w:tab w:val="clear" w:pos="567"/>
                <w:tab w:val="clear" w:pos="1134"/>
                <w:tab w:val="clear" w:pos="1701"/>
                <w:tab w:val="clear" w:pos="2268"/>
                <w:tab w:val="clear" w:pos="6237"/>
                <w:tab w:val="decimal" w:pos="1418"/>
              </w:tabs>
              <w:spacing w:before="40" w:line="240" w:lineRule="auto"/>
              <w:rPr>
                <w:sz w:val="18"/>
                <w:szCs w:val="22"/>
              </w:rPr>
            </w:pPr>
            <w:r>
              <w:rPr>
                <w:sz w:val="18"/>
                <w:szCs w:val="22"/>
              </w:rPr>
              <w:t>26 925 920</w:t>
            </w:r>
          </w:p>
        </w:tc>
        <w:tc>
          <w:tcPr>
            <w:tcW w:w="1648"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39,6</w:t>
            </w:r>
          </w:p>
        </w:tc>
        <w:tc>
          <w:tcPr>
            <w:tcW w:w="1870"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36,7</w:t>
            </w:r>
          </w:p>
        </w:tc>
        <w:tc>
          <w:tcPr>
            <w:tcW w:w="1871" w:type="dxa"/>
          </w:tcPr>
          <w:p w:rsidR="00000000" w:rsidRDefault="00000000">
            <w:pPr>
              <w:tabs>
                <w:tab w:val="clear" w:pos="567"/>
                <w:tab w:val="clear" w:pos="1134"/>
                <w:tab w:val="clear" w:pos="1701"/>
              </w:tabs>
              <w:spacing w:before="40" w:line="240" w:lineRule="auto"/>
              <w:jc w:val="center"/>
              <w:rPr>
                <w:sz w:val="18"/>
                <w:szCs w:val="22"/>
              </w:rPr>
            </w:pPr>
            <w:r>
              <w:rPr>
                <w:sz w:val="18"/>
                <w:szCs w:val="22"/>
              </w:rPr>
              <w:t>23,7</w:t>
            </w:r>
          </w:p>
        </w:tc>
      </w:tr>
      <w:tr w:rsidR="00000000">
        <w:trPr>
          <w:cantSplit/>
        </w:trPr>
        <w:tc>
          <w:tcPr>
            <w:tcW w:w="1870" w:type="dxa"/>
          </w:tcPr>
          <w:p w:rsidR="00000000" w:rsidRDefault="00000000">
            <w:pPr>
              <w:spacing w:before="40" w:line="240" w:lineRule="auto"/>
              <w:rPr>
                <w:sz w:val="18"/>
                <w:szCs w:val="22"/>
              </w:rPr>
            </w:pPr>
            <w:r>
              <w:rPr>
                <w:sz w:val="18"/>
                <w:szCs w:val="22"/>
                <w:lang w:val="fr-FR"/>
              </w:rPr>
              <w:t>   </w:t>
            </w:r>
            <w:r>
              <w:rPr>
                <w:sz w:val="18"/>
                <w:szCs w:val="22"/>
              </w:rPr>
              <w:t>65 и более</w:t>
            </w:r>
          </w:p>
        </w:tc>
        <w:tc>
          <w:tcPr>
            <w:tcW w:w="2092" w:type="dxa"/>
          </w:tcPr>
          <w:p w:rsidR="00000000" w:rsidRDefault="00000000">
            <w:pPr>
              <w:tabs>
                <w:tab w:val="clear" w:pos="567"/>
                <w:tab w:val="clear" w:pos="1134"/>
                <w:tab w:val="clear" w:pos="1701"/>
                <w:tab w:val="clear" w:pos="2268"/>
                <w:tab w:val="clear" w:pos="6237"/>
                <w:tab w:val="decimal" w:pos="1418"/>
              </w:tabs>
              <w:spacing w:before="40" w:line="240" w:lineRule="auto"/>
              <w:rPr>
                <w:sz w:val="18"/>
                <w:szCs w:val="22"/>
              </w:rPr>
            </w:pPr>
            <w:r>
              <w:rPr>
                <w:sz w:val="18"/>
                <w:szCs w:val="22"/>
              </w:rPr>
              <w:t>2 140 382</w:t>
            </w:r>
          </w:p>
        </w:tc>
        <w:tc>
          <w:tcPr>
            <w:tcW w:w="1648" w:type="dxa"/>
          </w:tcPr>
          <w:p w:rsidR="00000000" w:rsidRDefault="00000000">
            <w:pPr>
              <w:tabs>
                <w:tab w:val="clear" w:pos="567"/>
                <w:tab w:val="clear" w:pos="1134"/>
                <w:tab w:val="clear" w:pos="1701"/>
              </w:tabs>
              <w:spacing w:before="40" w:line="240" w:lineRule="auto"/>
              <w:jc w:val="center"/>
              <w:rPr>
                <w:sz w:val="18"/>
                <w:szCs w:val="22"/>
              </w:rPr>
            </w:pPr>
            <w:r>
              <w:rPr>
                <w:sz w:val="18"/>
                <w:szCs w:val="22"/>
              </w:rPr>
              <w:t>46,5</w:t>
            </w:r>
          </w:p>
        </w:tc>
        <w:tc>
          <w:tcPr>
            <w:tcW w:w="1870"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32,7</w:t>
            </w:r>
          </w:p>
        </w:tc>
        <w:tc>
          <w:tcPr>
            <w:tcW w:w="1871" w:type="dxa"/>
          </w:tcPr>
          <w:p w:rsidR="00000000" w:rsidRDefault="00000000">
            <w:pPr>
              <w:tabs>
                <w:tab w:val="clear" w:pos="567"/>
                <w:tab w:val="clear" w:pos="1134"/>
                <w:tab w:val="clear" w:pos="1701"/>
              </w:tabs>
              <w:spacing w:before="40" w:line="240" w:lineRule="auto"/>
              <w:jc w:val="center"/>
              <w:rPr>
                <w:sz w:val="18"/>
                <w:szCs w:val="22"/>
              </w:rPr>
            </w:pPr>
            <w:r>
              <w:rPr>
                <w:sz w:val="18"/>
                <w:szCs w:val="22"/>
              </w:rPr>
              <w:t>20,8</w:t>
            </w:r>
          </w:p>
        </w:tc>
      </w:tr>
      <w:tr w:rsidR="00000000">
        <w:trPr>
          <w:cantSplit/>
        </w:trPr>
        <w:tc>
          <w:tcPr>
            <w:tcW w:w="1870" w:type="dxa"/>
          </w:tcPr>
          <w:p w:rsidR="00000000" w:rsidRDefault="00000000">
            <w:pPr>
              <w:spacing w:before="40" w:line="240" w:lineRule="auto"/>
              <w:rPr>
                <w:sz w:val="18"/>
                <w:szCs w:val="22"/>
              </w:rPr>
            </w:pPr>
            <w:r>
              <w:rPr>
                <w:sz w:val="18"/>
                <w:szCs w:val="22"/>
                <w:lang w:val="en-US"/>
              </w:rPr>
              <w:t>   </w:t>
            </w:r>
            <w:r>
              <w:rPr>
                <w:sz w:val="18"/>
                <w:szCs w:val="22"/>
              </w:rPr>
              <w:t>Не указано</w:t>
            </w:r>
          </w:p>
        </w:tc>
        <w:tc>
          <w:tcPr>
            <w:tcW w:w="2092" w:type="dxa"/>
          </w:tcPr>
          <w:p w:rsidR="00000000" w:rsidRDefault="00000000">
            <w:pPr>
              <w:tabs>
                <w:tab w:val="clear" w:pos="567"/>
                <w:tab w:val="clear" w:pos="1134"/>
                <w:tab w:val="clear" w:pos="1701"/>
                <w:tab w:val="clear" w:pos="2268"/>
                <w:tab w:val="clear" w:pos="6237"/>
                <w:tab w:val="decimal" w:pos="1418"/>
              </w:tabs>
              <w:spacing w:before="40" w:line="240" w:lineRule="auto"/>
              <w:rPr>
                <w:sz w:val="18"/>
                <w:szCs w:val="22"/>
              </w:rPr>
            </w:pPr>
            <w:r>
              <w:rPr>
                <w:sz w:val="18"/>
                <w:szCs w:val="22"/>
              </w:rPr>
              <w:t>129 988</w:t>
            </w:r>
          </w:p>
        </w:tc>
        <w:tc>
          <w:tcPr>
            <w:tcW w:w="1648"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31,3</w:t>
            </w:r>
          </w:p>
        </w:tc>
        <w:tc>
          <w:tcPr>
            <w:tcW w:w="1870"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36,9</w:t>
            </w:r>
          </w:p>
        </w:tc>
        <w:tc>
          <w:tcPr>
            <w:tcW w:w="1871"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31,8</w:t>
            </w:r>
          </w:p>
        </w:tc>
      </w:tr>
      <w:tr w:rsidR="00000000">
        <w:trPr>
          <w:cantSplit/>
        </w:trPr>
        <w:tc>
          <w:tcPr>
            <w:tcW w:w="1870" w:type="dxa"/>
          </w:tcPr>
          <w:p w:rsidR="00000000" w:rsidRDefault="00000000">
            <w:pPr>
              <w:spacing w:before="40" w:line="240" w:lineRule="auto"/>
              <w:rPr>
                <w:sz w:val="18"/>
                <w:szCs w:val="22"/>
              </w:rPr>
            </w:pPr>
            <w:r>
              <w:rPr>
                <w:sz w:val="18"/>
                <w:szCs w:val="22"/>
              </w:rPr>
              <w:t>Женщины</w:t>
            </w:r>
          </w:p>
        </w:tc>
        <w:tc>
          <w:tcPr>
            <w:tcW w:w="2092" w:type="dxa"/>
          </w:tcPr>
          <w:p w:rsidR="00000000" w:rsidRDefault="00000000">
            <w:pPr>
              <w:tabs>
                <w:tab w:val="clear" w:pos="567"/>
                <w:tab w:val="clear" w:pos="1134"/>
                <w:tab w:val="clear" w:pos="1701"/>
                <w:tab w:val="clear" w:pos="2268"/>
                <w:tab w:val="clear" w:pos="6237"/>
                <w:tab w:val="decimal" w:pos="1418"/>
              </w:tabs>
              <w:spacing w:before="40" w:line="240" w:lineRule="auto"/>
              <w:rPr>
                <w:sz w:val="18"/>
                <w:szCs w:val="22"/>
              </w:rPr>
            </w:pPr>
            <w:r>
              <w:rPr>
                <w:sz w:val="18"/>
                <w:szCs w:val="22"/>
              </w:rPr>
              <w:t>48 119 229</w:t>
            </w:r>
          </w:p>
        </w:tc>
        <w:tc>
          <w:tcPr>
            <w:tcW w:w="1648"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39,4</w:t>
            </w:r>
          </w:p>
        </w:tc>
        <w:tc>
          <w:tcPr>
            <w:tcW w:w="1870"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33,7</w:t>
            </w:r>
          </w:p>
        </w:tc>
        <w:tc>
          <w:tcPr>
            <w:tcW w:w="1871" w:type="dxa"/>
          </w:tcPr>
          <w:p w:rsidR="00000000" w:rsidRDefault="00000000">
            <w:pPr>
              <w:tabs>
                <w:tab w:val="clear" w:pos="567"/>
                <w:tab w:val="clear" w:pos="1134"/>
                <w:tab w:val="clear" w:pos="1701"/>
              </w:tabs>
              <w:spacing w:before="40" w:line="240" w:lineRule="auto"/>
              <w:jc w:val="center"/>
              <w:rPr>
                <w:sz w:val="18"/>
                <w:szCs w:val="22"/>
              </w:rPr>
            </w:pPr>
            <w:r>
              <w:rPr>
                <w:sz w:val="18"/>
                <w:szCs w:val="22"/>
              </w:rPr>
              <w:t>26,9</w:t>
            </w:r>
          </w:p>
        </w:tc>
      </w:tr>
      <w:tr w:rsidR="00000000">
        <w:trPr>
          <w:cantSplit/>
        </w:trPr>
        <w:tc>
          <w:tcPr>
            <w:tcW w:w="1870" w:type="dxa"/>
          </w:tcPr>
          <w:p w:rsidR="00000000" w:rsidRDefault="00000000">
            <w:pPr>
              <w:spacing w:before="40" w:line="240" w:lineRule="auto"/>
              <w:rPr>
                <w:sz w:val="18"/>
                <w:szCs w:val="22"/>
              </w:rPr>
            </w:pPr>
            <w:r>
              <w:rPr>
                <w:sz w:val="18"/>
                <w:szCs w:val="22"/>
                <w:lang w:val="en-US"/>
              </w:rPr>
              <w:t>   </w:t>
            </w:r>
            <w:r>
              <w:rPr>
                <w:sz w:val="18"/>
                <w:szCs w:val="22"/>
              </w:rPr>
              <w:t>0</w:t>
            </w:r>
            <w:r>
              <w:rPr>
                <w:sz w:val="18"/>
                <w:szCs w:val="22"/>
              </w:rPr>
              <w:noBreakHyphen/>
              <w:t>4 года</w:t>
            </w:r>
          </w:p>
        </w:tc>
        <w:tc>
          <w:tcPr>
            <w:tcW w:w="2092" w:type="dxa"/>
          </w:tcPr>
          <w:p w:rsidR="00000000" w:rsidRDefault="00000000">
            <w:pPr>
              <w:tabs>
                <w:tab w:val="clear" w:pos="567"/>
                <w:tab w:val="clear" w:pos="1134"/>
                <w:tab w:val="clear" w:pos="1701"/>
                <w:tab w:val="clear" w:pos="2268"/>
                <w:tab w:val="clear" w:pos="6237"/>
                <w:tab w:val="decimal" w:pos="1418"/>
              </w:tabs>
              <w:spacing w:before="40" w:line="240" w:lineRule="auto"/>
              <w:rPr>
                <w:sz w:val="18"/>
                <w:szCs w:val="22"/>
              </w:rPr>
            </w:pPr>
            <w:r>
              <w:rPr>
                <w:sz w:val="18"/>
                <w:szCs w:val="22"/>
              </w:rPr>
              <w:t>5 080 100</w:t>
            </w:r>
          </w:p>
        </w:tc>
        <w:tc>
          <w:tcPr>
            <w:tcW w:w="1648"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35,5</w:t>
            </w:r>
          </w:p>
        </w:tc>
        <w:tc>
          <w:tcPr>
            <w:tcW w:w="1870"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32,6</w:t>
            </w:r>
          </w:p>
        </w:tc>
        <w:tc>
          <w:tcPr>
            <w:tcW w:w="1871"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31,9</w:t>
            </w:r>
          </w:p>
        </w:tc>
      </w:tr>
      <w:tr w:rsidR="00000000">
        <w:trPr>
          <w:cantSplit/>
        </w:trPr>
        <w:tc>
          <w:tcPr>
            <w:tcW w:w="1870" w:type="dxa"/>
          </w:tcPr>
          <w:p w:rsidR="00000000" w:rsidRDefault="00000000">
            <w:pPr>
              <w:spacing w:before="40" w:line="240" w:lineRule="auto"/>
              <w:rPr>
                <w:sz w:val="18"/>
                <w:szCs w:val="22"/>
              </w:rPr>
            </w:pPr>
            <w:r>
              <w:rPr>
                <w:sz w:val="18"/>
                <w:szCs w:val="22"/>
                <w:lang w:val="en-US"/>
              </w:rPr>
              <w:t>   </w:t>
            </w:r>
            <w:r>
              <w:rPr>
                <w:sz w:val="18"/>
                <w:szCs w:val="22"/>
              </w:rPr>
              <w:t>6</w:t>
            </w:r>
            <w:r>
              <w:rPr>
                <w:sz w:val="18"/>
                <w:szCs w:val="22"/>
              </w:rPr>
              <w:noBreakHyphen/>
              <w:t>14 лет</w:t>
            </w:r>
          </w:p>
        </w:tc>
        <w:tc>
          <w:tcPr>
            <w:tcW w:w="2092" w:type="dxa"/>
          </w:tcPr>
          <w:p w:rsidR="00000000" w:rsidRDefault="00000000">
            <w:pPr>
              <w:tabs>
                <w:tab w:val="clear" w:pos="567"/>
                <w:tab w:val="clear" w:pos="1134"/>
                <w:tab w:val="clear" w:pos="1701"/>
                <w:tab w:val="clear" w:pos="2268"/>
                <w:tab w:val="clear" w:pos="6237"/>
                <w:tab w:val="decimal" w:pos="1418"/>
              </w:tabs>
              <w:spacing w:before="40" w:line="240" w:lineRule="auto"/>
              <w:rPr>
                <w:sz w:val="18"/>
                <w:szCs w:val="22"/>
              </w:rPr>
            </w:pPr>
            <w:r>
              <w:rPr>
                <w:sz w:val="18"/>
                <w:szCs w:val="22"/>
              </w:rPr>
              <w:t>10 632 394</w:t>
            </w:r>
          </w:p>
        </w:tc>
        <w:tc>
          <w:tcPr>
            <w:tcW w:w="1648"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35,1</w:t>
            </w:r>
          </w:p>
        </w:tc>
        <w:tc>
          <w:tcPr>
            <w:tcW w:w="1870"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31,5</w:t>
            </w:r>
          </w:p>
        </w:tc>
        <w:tc>
          <w:tcPr>
            <w:tcW w:w="1871"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33,4</w:t>
            </w:r>
          </w:p>
        </w:tc>
      </w:tr>
      <w:tr w:rsidR="00000000">
        <w:trPr>
          <w:cantSplit/>
        </w:trPr>
        <w:tc>
          <w:tcPr>
            <w:tcW w:w="1870" w:type="dxa"/>
          </w:tcPr>
          <w:p w:rsidR="00000000" w:rsidRDefault="00000000">
            <w:pPr>
              <w:spacing w:before="40" w:line="240" w:lineRule="auto"/>
              <w:rPr>
                <w:sz w:val="18"/>
                <w:szCs w:val="22"/>
              </w:rPr>
            </w:pPr>
            <w:r>
              <w:rPr>
                <w:sz w:val="18"/>
                <w:szCs w:val="22"/>
                <w:lang w:val="fr-FR"/>
              </w:rPr>
              <w:t>   </w:t>
            </w:r>
            <w:r>
              <w:rPr>
                <w:sz w:val="18"/>
                <w:szCs w:val="22"/>
              </w:rPr>
              <w:t>15</w:t>
            </w:r>
            <w:r>
              <w:rPr>
                <w:sz w:val="18"/>
                <w:szCs w:val="22"/>
              </w:rPr>
              <w:noBreakHyphen/>
              <w:t>64 года</w:t>
            </w:r>
          </w:p>
        </w:tc>
        <w:tc>
          <w:tcPr>
            <w:tcW w:w="2092" w:type="dxa"/>
          </w:tcPr>
          <w:p w:rsidR="00000000" w:rsidRDefault="00000000">
            <w:pPr>
              <w:tabs>
                <w:tab w:val="clear" w:pos="567"/>
                <w:tab w:val="clear" w:pos="1134"/>
                <w:tab w:val="clear" w:pos="1701"/>
                <w:tab w:val="clear" w:pos="2268"/>
                <w:tab w:val="clear" w:pos="6237"/>
                <w:tab w:val="decimal" w:pos="1418"/>
              </w:tabs>
              <w:spacing w:before="40" w:line="240" w:lineRule="auto"/>
              <w:rPr>
                <w:sz w:val="18"/>
                <w:szCs w:val="22"/>
              </w:rPr>
            </w:pPr>
            <w:r>
              <w:rPr>
                <w:sz w:val="18"/>
                <w:szCs w:val="22"/>
              </w:rPr>
              <w:t>29 785 096</w:t>
            </w:r>
          </w:p>
        </w:tc>
        <w:tc>
          <w:tcPr>
            <w:tcW w:w="1648" w:type="dxa"/>
          </w:tcPr>
          <w:p w:rsidR="00000000" w:rsidRDefault="00000000">
            <w:pPr>
              <w:tabs>
                <w:tab w:val="clear" w:pos="567"/>
                <w:tab w:val="clear" w:pos="1134"/>
                <w:tab w:val="clear" w:pos="1701"/>
              </w:tabs>
              <w:spacing w:before="40" w:line="240" w:lineRule="auto"/>
              <w:jc w:val="center"/>
              <w:rPr>
                <w:sz w:val="18"/>
                <w:szCs w:val="22"/>
              </w:rPr>
            </w:pPr>
            <w:r>
              <w:rPr>
                <w:sz w:val="18"/>
                <w:szCs w:val="22"/>
              </w:rPr>
              <w:t>41,0</w:t>
            </w:r>
          </w:p>
        </w:tc>
        <w:tc>
          <w:tcPr>
            <w:tcW w:w="1870"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34,6</w:t>
            </w:r>
          </w:p>
        </w:tc>
        <w:tc>
          <w:tcPr>
            <w:tcW w:w="1871" w:type="dxa"/>
          </w:tcPr>
          <w:p w:rsidR="00000000" w:rsidRDefault="00000000">
            <w:pPr>
              <w:tabs>
                <w:tab w:val="clear" w:pos="567"/>
                <w:tab w:val="clear" w:pos="1134"/>
                <w:tab w:val="clear" w:pos="1701"/>
              </w:tabs>
              <w:spacing w:before="40" w:line="240" w:lineRule="auto"/>
              <w:jc w:val="center"/>
              <w:rPr>
                <w:sz w:val="18"/>
                <w:szCs w:val="22"/>
              </w:rPr>
            </w:pPr>
            <w:r>
              <w:rPr>
                <w:sz w:val="18"/>
                <w:szCs w:val="22"/>
              </w:rPr>
              <w:t>24,4</w:t>
            </w:r>
          </w:p>
        </w:tc>
      </w:tr>
      <w:tr w:rsidR="00000000">
        <w:trPr>
          <w:cantSplit/>
        </w:trPr>
        <w:tc>
          <w:tcPr>
            <w:tcW w:w="1870" w:type="dxa"/>
          </w:tcPr>
          <w:p w:rsidR="00000000" w:rsidRDefault="00000000">
            <w:pPr>
              <w:spacing w:before="40" w:line="240" w:lineRule="auto"/>
              <w:rPr>
                <w:sz w:val="18"/>
                <w:szCs w:val="22"/>
              </w:rPr>
            </w:pPr>
            <w:r>
              <w:rPr>
                <w:sz w:val="18"/>
                <w:szCs w:val="22"/>
                <w:lang w:val="fr-FR"/>
              </w:rPr>
              <w:t>   </w:t>
            </w:r>
            <w:r>
              <w:rPr>
                <w:sz w:val="18"/>
                <w:szCs w:val="22"/>
              </w:rPr>
              <w:t>65 и более</w:t>
            </w:r>
          </w:p>
        </w:tc>
        <w:tc>
          <w:tcPr>
            <w:tcW w:w="2092" w:type="dxa"/>
          </w:tcPr>
          <w:p w:rsidR="00000000" w:rsidRDefault="00000000">
            <w:pPr>
              <w:tabs>
                <w:tab w:val="clear" w:pos="567"/>
                <w:tab w:val="clear" w:pos="1134"/>
                <w:tab w:val="clear" w:pos="1701"/>
                <w:tab w:val="clear" w:pos="2268"/>
                <w:tab w:val="clear" w:pos="6237"/>
                <w:tab w:val="decimal" w:pos="1418"/>
              </w:tabs>
              <w:spacing w:before="40" w:line="240" w:lineRule="auto"/>
              <w:rPr>
                <w:sz w:val="18"/>
                <w:szCs w:val="22"/>
              </w:rPr>
            </w:pPr>
            <w:r>
              <w:rPr>
                <w:sz w:val="18"/>
                <w:szCs w:val="22"/>
              </w:rPr>
              <w:t>2 497 122</w:t>
            </w:r>
          </w:p>
        </w:tc>
        <w:tc>
          <w:tcPr>
            <w:tcW w:w="1648" w:type="dxa"/>
          </w:tcPr>
          <w:p w:rsidR="00000000" w:rsidRDefault="00000000">
            <w:pPr>
              <w:tabs>
                <w:tab w:val="clear" w:pos="567"/>
                <w:tab w:val="clear" w:pos="1134"/>
                <w:tab w:val="clear" w:pos="1701"/>
              </w:tabs>
              <w:spacing w:before="40" w:line="240" w:lineRule="auto"/>
              <w:jc w:val="center"/>
              <w:rPr>
                <w:sz w:val="18"/>
                <w:szCs w:val="22"/>
              </w:rPr>
            </w:pPr>
            <w:r>
              <w:rPr>
                <w:sz w:val="18"/>
                <w:szCs w:val="22"/>
              </w:rPr>
              <w:t>45,8</w:t>
            </w:r>
          </w:p>
        </w:tc>
        <w:tc>
          <w:tcPr>
            <w:tcW w:w="1870" w:type="dxa"/>
          </w:tcPr>
          <w:p w:rsidR="00000000" w:rsidRDefault="00000000">
            <w:pPr>
              <w:tabs>
                <w:tab w:val="clear" w:pos="567"/>
                <w:tab w:val="clear" w:pos="1134"/>
                <w:tab w:val="clear" w:pos="1701"/>
              </w:tabs>
              <w:spacing w:before="40" w:line="240" w:lineRule="auto"/>
              <w:jc w:val="center"/>
              <w:rPr>
                <w:sz w:val="18"/>
                <w:szCs w:val="22"/>
              </w:rPr>
            </w:pPr>
            <w:r>
              <w:rPr>
                <w:sz w:val="18"/>
                <w:szCs w:val="22"/>
              </w:rPr>
              <w:t>34,5</w:t>
            </w:r>
          </w:p>
        </w:tc>
        <w:tc>
          <w:tcPr>
            <w:tcW w:w="1871" w:type="dxa"/>
          </w:tcPr>
          <w:p w:rsidR="00000000" w:rsidRDefault="00000000">
            <w:pPr>
              <w:tabs>
                <w:tab w:val="clear" w:pos="567"/>
                <w:tab w:val="clear" w:pos="1134"/>
                <w:tab w:val="clear" w:pos="1701"/>
              </w:tabs>
              <w:spacing w:before="40" w:line="240" w:lineRule="auto"/>
              <w:jc w:val="center"/>
              <w:rPr>
                <w:sz w:val="18"/>
                <w:szCs w:val="22"/>
              </w:rPr>
            </w:pPr>
            <w:r>
              <w:rPr>
                <w:sz w:val="18"/>
                <w:szCs w:val="22"/>
              </w:rPr>
              <w:t>19,7</w:t>
            </w:r>
          </w:p>
        </w:tc>
      </w:tr>
      <w:tr w:rsidR="00000000">
        <w:trPr>
          <w:cantSplit/>
        </w:trPr>
        <w:tc>
          <w:tcPr>
            <w:tcW w:w="1870" w:type="dxa"/>
            <w:tcBorders>
              <w:bottom w:val="single" w:sz="4" w:space="0" w:color="auto"/>
            </w:tcBorders>
          </w:tcPr>
          <w:p w:rsidR="00000000" w:rsidRDefault="00000000">
            <w:pPr>
              <w:spacing w:before="40" w:line="240" w:lineRule="auto"/>
              <w:rPr>
                <w:sz w:val="18"/>
                <w:szCs w:val="22"/>
              </w:rPr>
            </w:pPr>
            <w:r>
              <w:rPr>
                <w:sz w:val="18"/>
                <w:szCs w:val="22"/>
                <w:lang w:val="en-US"/>
              </w:rPr>
              <w:t>   </w:t>
            </w:r>
            <w:r>
              <w:rPr>
                <w:sz w:val="18"/>
                <w:szCs w:val="22"/>
              </w:rPr>
              <w:t>Не указано</w:t>
            </w:r>
          </w:p>
        </w:tc>
        <w:tc>
          <w:tcPr>
            <w:tcW w:w="2092" w:type="dxa"/>
            <w:tcBorders>
              <w:bottom w:val="single" w:sz="4" w:space="0" w:color="auto"/>
            </w:tcBorders>
          </w:tcPr>
          <w:p w:rsidR="00000000" w:rsidRDefault="00000000">
            <w:pPr>
              <w:tabs>
                <w:tab w:val="clear" w:pos="567"/>
                <w:tab w:val="clear" w:pos="1134"/>
                <w:tab w:val="clear" w:pos="1701"/>
                <w:tab w:val="clear" w:pos="2268"/>
                <w:tab w:val="clear" w:pos="6237"/>
                <w:tab w:val="decimal" w:pos="1418"/>
              </w:tabs>
              <w:spacing w:before="40" w:line="240" w:lineRule="auto"/>
              <w:rPr>
                <w:sz w:val="18"/>
                <w:szCs w:val="22"/>
              </w:rPr>
            </w:pPr>
            <w:r>
              <w:rPr>
                <w:sz w:val="18"/>
                <w:szCs w:val="22"/>
              </w:rPr>
              <w:t>124 517</w:t>
            </w:r>
          </w:p>
        </w:tc>
        <w:tc>
          <w:tcPr>
            <w:tcW w:w="1648" w:type="dxa"/>
            <w:tcBorders>
              <w:bottom w:val="single" w:sz="4" w:space="0" w:color="auto"/>
            </w:tcBorders>
          </w:tcPr>
          <w:p w:rsidR="00000000" w:rsidRDefault="00000000">
            <w:pPr>
              <w:tabs>
                <w:tab w:val="clear" w:pos="567"/>
                <w:tab w:val="clear" w:pos="1134"/>
                <w:tab w:val="clear" w:pos="1701"/>
              </w:tabs>
              <w:spacing w:before="40" w:line="240" w:lineRule="auto"/>
              <w:jc w:val="center"/>
              <w:rPr>
                <w:sz w:val="18"/>
                <w:szCs w:val="22"/>
              </w:rPr>
            </w:pPr>
            <w:r>
              <w:rPr>
                <w:sz w:val="18"/>
                <w:szCs w:val="22"/>
              </w:rPr>
              <w:t>32,4</w:t>
            </w:r>
          </w:p>
        </w:tc>
        <w:tc>
          <w:tcPr>
            <w:tcW w:w="1870" w:type="dxa"/>
            <w:tcBorders>
              <w:bottom w:val="single" w:sz="4" w:space="0" w:color="auto"/>
            </w:tcBorders>
          </w:tcPr>
          <w:p w:rsidR="00000000" w:rsidRDefault="00000000">
            <w:pPr>
              <w:tabs>
                <w:tab w:val="clear" w:pos="567"/>
                <w:tab w:val="clear" w:pos="1134"/>
                <w:tab w:val="clear" w:pos="1701"/>
              </w:tabs>
              <w:spacing w:before="40" w:line="240" w:lineRule="auto"/>
              <w:jc w:val="center"/>
              <w:rPr>
                <w:sz w:val="18"/>
                <w:szCs w:val="22"/>
              </w:rPr>
            </w:pPr>
            <w:r>
              <w:rPr>
                <w:sz w:val="18"/>
                <w:szCs w:val="22"/>
              </w:rPr>
              <w:t>37,3</w:t>
            </w:r>
          </w:p>
        </w:tc>
        <w:tc>
          <w:tcPr>
            <w:tcW w:w="1871" w:type="dxa"/>
            <w:tcBorders>
              <w:bottom w:val="single" w:sz="4" w:space="0" w:color="auto"/>
            </w:tcBorders>
          </w:tcPr>
          <w:p w:rsidR="00000000" w:rsidRDefault="00000000">
            <w:pPr>
              <w:tabs>
                <w:tab w:val="clear" w:pos="567"/>
                <w:tab w:val="clear" w:pos="1134"/>
                <w:tab w:val="clear" w:pos="1701"/>
              </w:tabs>
              <w:spacing w:before="40" w:line="240" w:lineRule="auto"/>
              <w:jc w:val="center"/>
              <w:rPr>
                <w:sz w:val="18"/>
                <w:szCs w:val="22"/>
              </w:rPr>
            </w:pPr>
            <w:r>
              <w:rPr>
                <w:sz w:val="18"/>
                <w:szCs w:val="22"/>
              </w:rPr>
              <w:t>30,3</w:t>
            </w:r>
          </w:p>
        </w:tc>
      </w:tr>
    </w:tbl>
    <w:p w:rsidR="00000000" w:rsidRDefault="00000000">
      <w:pPr>
        <w:spacing w:line="216" w:lineRule="auto"/>
        <w:rPr>
          <w:sz w:val="18"/>
        </w:rPr>
      </w:pPr>
    </w:p>
    <w:p w:rsidR="00000000" w:rsidRDefault="00000000">
      <w:pPr>
        <w:spacing w:line="216" w:lineRule="auto"/>
        <w:rPr>
          <w:sz w:val="18"/>
        </w:rPr>
      </w:pPr>
      <w:r>
        <w:rPr>
          <w:i/>
          <w:iCs/>
          <w:sz w:val="18"/>
        </w:rPr>
        <w:t xml:space="preserve">Источник:  </w:t>
      </w:r>
      <w:r>
        <w:rPr>
          <w:sz w:val="18"/>
        </w:rPr>
        <w:t>НИСГИ, "</w:t>
      </w:r>
      <w:r>
        <w:rPr>
          <w:sz w:val="18"/>
          <w:lang w:val="en-US"/>
        </w:rPr>
        <w:t>XII</w:t>
      </w:r>
      <w:r>
        <w:rPr>
          <w:sz w:val="18"/>
        </w:rPr>
        <w:t xml:space="preserve"> всеобщая перепись населения и жилого фонда 2000 года".  База данных переписной выборки.</w:t>
      </w:r>
    </w:p>
    <w:p w:rsidR="00000000" w:rsidRDefault="00000000">
      <w:pPr>
        <w:spacing w:line="216" w:lineRule="auto"/>
        <w:rPr>
          <w:sz w:val="18"/>
        </w:rPr>
      </w:pPr>
    </w:p>
    <w:p w:rsidR="00000000" w:rsidRDefault="00000000">
      <w:pPr>
        <w:spacing w:line="216" w:lineRule="auto"/>
        <w:rPr>
          <w:color w:val="000000"/>
          <w:sz w:val="18"/>
          <w:szCs w:val="22"/>
        </w:rPr>
      </w:pPr>
      <w:r>
        <w:rPr>
          <w:b/>
          <w:bCs/>
          <w:color w:val="000000"/>
          <w:sz w:val="18"/>
          <w:szCs w:val="22"/>
          <w:vertAlign w:val="superscript"/>
        </w:rPr>
        <w:t>а</w:t>
      </w:r>
      <w:r>
        <w:rPr>
          <w:b/>
          <w:bCs/>
          <w:color w:val="000000"/>
          <w:sz w:val="18"/>
          <w:szCs w:val="22"/>
        </w:rPr>
        <w:tab/>
      </w:r>
      <w:r>
        <w:rPr>
          <w:color w:val="000000"/>
          <w:sz w:val="18"/>
          <w:szCs w:val="22"/>
        </w:rPr>
        <w:t>Включая органы социального обеспечения штатов.</w:t>
      </w:r>
    </w:p>
    <w:p w:rsidR="00000000" w:rsidRDefault="00000000">
      <w:pPr>
        <w:spacing w:line="216" w:lineRule="auto"/>
        <w:rPr>
          <w:color w:val="000000"/>
          <w:sz w:val="18"/>
          <w:szCs w:val="22"/>
        </w:rPr>
      </w:pPr>
    </w:p>
    <w:p w:rsidR="00000000" w:rsidRDefault="00000000">
      <w:pPr>
        <w:spacing w:line="216" w:lineRule="auto"/>
        <w:rPr>
          <w:color w:val="000000"/>
          <w:sz w:val="18"/>
          <w:szCs w:val="22"/>
        </w:rPr>
      </w:pPr>
      <w:r>
        <w:rPr>
          <w:b/>
          <w:bCs/>
          <w:color w:val="000000"/>
          <w:sz w:val="18"/>
          <w:szCs w:val="22"/>
          <w:vertAlign w:val="superscript"/>
          <w:lang w:val="en-US"/>
        </w:rPr>
        <w:t>b</w:t>
      </w:r>
      <w:r>
        <w:rPr>
          <w:b/>
          <w:bCs/>
          <w:color w:val="000000"/>
          <w:sz w:val="18"/>
          <w:szCs w:val="22"/>
        </w:rPr>
        <w:tab/>
      </w:r>
      <w:r>
        <w:rPr>
          <w:color w:val="000000"/>
          <w:sz w:val="18"/>
          <w:szCs w:val="22"/>
        </w:rPr>
        <w:t>Включая лиц, пользующихся услугами частных врачей.</w:t>
      </w:r>
    </w:p>
    <w:p w:rsidR="00000000" w:rsidRDefault="00000000">
      <w:pPr>
        <w:spacing w:line="216" w:lineRule="auto"/>
        <w:rPr>
          <w:color w:val="000000"/>
          <w:szCs w:val="22"/>
        </w:rPr>
      </w:pPr>
    </w:p>
    <w:p w:rsidR="00000000" w:rsidRDefault="00000000">
      <w:pPr>
        <w:keepNext/>
        <w:rPr>
          <w:b/>
          <w:bCs/>
          <w:color w:val="000000"/>
          <w:szCs w:val="22"/>
        </w:rPr>
      </w:pPr>
      <w:r>
        <w:rPr>
          <w:b/>
          <w:bCs/>
          <w:color w:val="000000"/>
          <w:szCs w:val="22"/>
        </w:rPr>
        <w:t>Пункт 51 а)</w:t>
      </w:r>
    </w:p>
    <w:p w:rsidR="00000000" w:rsidRDefault="00000000">
      <w:pPr>
        <w:keepNext/>
        <w:rPr>
          <w:b/>
          <w:bCs/>
          <w:color w:val="000000"/>
          <w:szCs w:val="22"/>
        </w:rPr>
      </w:pPr>
    </w:p>
    <w:p w:rsidR="00000000" w:rsidRDefault="00000000">
      <w:pPr>
        <w:rPr>
          <w:color w:val="000000"/>
          <w:szCs w:val="22"/>
        </w:rPr>
      </w:pPr>
      <w:r>
        <w:rPr>
          <w:color w:val="000000"/>
          <w:szCs w:val="22"/>
        </w:rPr>
        <w:t>512.</w:t>
      </w:r>
      <w:r>
        <w:rPr>
          <w:color w:val="000000"/>
          <w:szCs w:val="22"/>
        </w:rPr>
        <w:tab/>
        <w:t>В 2003 году была проведена структурная реформа национальной системы здравоохранения, направленная на устранение пяти диспропорций в финансировании мексиканской системы здравоохранения.  Ее главная цель заключалась в решении четырех задач НПЗ на период 2001</w:t>
      </w:r>
      <w:r>
        <w:rPr>
          <w:color w:val="000000"/>
          <w:szCs w:val="22"/>
        </w:rPr>
        <w:noBreakHyphen/>
        <w:t>2006 годов, а также в обеспечении справедливого финансирования медицинского обслуживания в целях решения проблем финансовой защиты.</w:t>
      </w:r>
    </w:p>
    <w:p w:rsidR="00000000" w:rsidRDefault="00000000">
      <w:pPr>
        <w:rPr>
          <w:color w:val="000000"/>
          <w:szCs w:val="22"/>
        </w:rPr>
      </w:pPr>
    </w:p>
    <w:p w:rsidR="00000000" w:rsidRDefault="00000000">
      <w:pPr>
        <w:rPr>
          <w:color w:val="000000"/>
          <w:szCs w:val="22"/>
        </w:rPr>
      </w:pPr>
      <w:r>
        <w:rPr>
          <w:color w:val="000000"/>
          <w:szCs w:val="22"/>
        </w:rPr>
        <w:t>513.</w:t>
      </w:r>
      <w:r>
        <w:rPr>
          <w:color w:val="000000"/>
          <w:szCs w:val="22"/>
        </w:rPr>
        <w:tab/>
        <w:t>Реформа также включает важные элементы, призванные достичь четырех других целей и решить задачи повышения равноправия и качества обслуживания.  Она также преследует цель создания новой системы здравоохранения, больше приспособленной для решения задач по охране здоровья, связанных с демографическим и эпидемиологическим переходом, и реализации возможностей политического, экономического и социального развития, возникающих в Мексике.</w:t>
      </w:r>
    </w:p>
    <w:p w:rsidR="00000000" w:rsidRDefault="00000000">
      <w:pPr>
        <w:rPr>
          <w:color w:val="000000"/>
          <w:szCs w:val="22"/>
        </w:rPr>
      </w:pPr>
    </w:p>
    <w:p w:rsidR="00000000" w:rsidRDefault="00000000">
      <w:pPr>
        <w:keepNext/>
        <w:rPr>
          <w:b/>
          <w:bCs/>
          <w:color w:val="000000"/>
          <w:szCs w:val="22"/>
        </w:rPr>
      </w:pPr>
      <w:r>
        <w:rPr>
          <w:b/>
          <w:bCs/>
          <w:color w:val="000000"/>
          <w:szCs w:val="22"/>
        </w:rPr>
        <w:t>Пункт 51</w:t>
      </w:r>
      <w:r>
        <w:rPr>
          <w:b/>
          <w:bCs/>
          <w:color w:val="000000"/>
          <w:szCs w:val="22"/>
          <w:lang w:val="en-US"/>
        </w:rPr>
        <w:t> </w:t>
      </w:r>
      <w:r>
        <w:rPr>
          <w:b/>
          <w:bCs/>
          <w:color w:val="000000"/>
          <w:szCs w:val="22"/>
        </w:rPr>
        <w:t>b)</w:t>
      </w:r>
    </w:p>
    <w:p w:rsidR="00000000" w:rsidRDefault="00000000">
      <w:pPr>
        <w:keepNext/>
        <w:rPr>
          <w:b/>
          <w:bCs/>
          <w:color w:val="000000"/>
          <w:szCs w:val="22"/>
        </w:rPr>
      </w:pPr>
    </w:p>
    <w:p w:rsidR="00000000" w:rsidRDefault="00000000">
      <w:pPr>
        <w:rPr>
          <w:color w:val="000000"/>
          <w:szCs w:val="22"/>
        </w:rPr>
      </w:pPr>
      <w:r>
        <w:rPr>
          <w:color w:val="000000"/>
          <w:szCs w:val="22"/>
        </w:rPr>
        <w:t>514.</w:t>
      </w:r>
      <w:r>
        <w:rPr>
          <w:color w:val="000000"/>
          <w:szCs w:val="22"/>
        </w:rPr>
        <w:tab/>
        <w:t>О проблемах психического здоровья в Мексике указывалось в настоящем докладе в первом разделе, посвященном статье 12.</w:t>
      </w:r>
    </w:p>
    <w:p w:rsidR="00000000" w:rsidRDefault="00000000">
      <w:pPr>
        <w:rPr>
          <w:color w:val="000000"/>
          <w:szCs w:val="22"/>
        </w:rPr>
      </w:pPr>
    </w:p>
    <w:p w:rsidR="00000000" w:rsidRDefault="00000000">
      <w:pPr>
        <w:rPr>
          <w:color w:val="000000"/>
          <w:szCs w:val="22"/>
        </w:rPr>
      </w:pPr>
      <w:r>
        <w:rPr>
          <w:color w:val="000000"/>
          <w:szCs w:val="22"/>
        </w:rPr>
        <w:t>515.</w:t>
      </w:r>
      <w:r>
        <w:rPr>
          <w:color w:val="000000"/>
          <w:szCs w:val="22"/>
        </w:rPr>
        <w:tab/>
        <w:t>Чтобы достичь цели надлежащего уровня физического здоровья жителей Мексики, министерство здравоохранения приступило к осуществлению программы физической культуры для охраны здоровья (ПРОЕСА), которая в настоящее время реализуется в 5 535 медицинских учреждениях в рамках 13 058 групп, предоставляющих консультации по этим вопросам.  Кроме того, имеются 202 активных модуля ПРОЕСА, которые входят в систему других учреждений.</w:t>
      </w:r>
    </w:p>
    <w:p w:rsidR="00000000" w:rsidRDefault="00000000">
      <w:pPr>
        <w:rPr>
          <w:color w:val="000000"/>
          <w:szCs w:val="22"/>
        </w:rPr>
      </w:pPr>
    </w:p>
    <w:p w:rsidR="00000000" w:rsidRDefault="00000000">
      <w:r>
        <w:t>516.</w:t>
      </w:r>
      <w:r>
        <w:tab/>
        <w:t>В 2003 году было проведено 125 000 учебных занятий по вопросам здравоохранения для 2,4 млн. участников;  подготовлено почти 12 000 инструкторов ПРОЕСА, для которых было организовано 1 183 курса.  Для сотрудников программы было проведено 1 004 учебных занятия, на которых присутствовало 10 000 человек.</w:t>
      </w:r>
    </w:p>
    <w:p w:rsidR="00000000" w:rsidRDefault="00000000"/>
    <w:p w:rsidR="00000000" w:rsidRDefault="00000000">
      <w:r>
        <w:t>517.</w:t>
      </w:r>
      <w:r>
        <w:tab/>
        <w:t>В 2003 году было распространено 387 460 информационных буклетов и проведены мероприятия для 1,1 млн. человек.</w:t>
      </w:r>
    </w:p>
    <w:p w:rsidR="00000000" w:rsidRDefault="00000000"/>
    <w:p w:rsidR="00000000" w:rsidRDefault="00000000">
      <w:pPr>
        <w:keepNext/>
        <w:rPr>
          <w:b/>
          <w:bCs/>
        </w:rPr>
      </w:pPr>
      <w:r>
        <w:rPr>
          <w:b/>
          <w:bCs/>
        </w:rPr>
        <w:t>Пункт 51 с)</w:t>
      </w:r>
    </w:p>
    <w:p w:rsidR="00000000" w:rsidRDefault="00000000">
      <w:pPr>
        <w:keepNext/>
        <w:rPr>
          <w:b/>
          <w:bCs/>
        </w:rPr>
      </w:pPr>
    </w:p>
    <w:p w:rsidR="00000000" w:rsidRDefault="00000000">
      <w:r>
        <w:t>518.</w:t>
      </w:r>
      <w:r>
        <w:tab/>
        <w:t>С момента ее создания в 1943 году в мексиканской системе здравоохранения проводится различие между работниками формального сектора и их семьями, которые имеют доступ к социальному страхованию, и остальной частью населения, которая не охвачена какой-либо схемой государственного страхования.  Несмотря на повышение уровня здоровья населения Мексики на протяжении шести десятилетий и трех поколений реформ системы здравоохранения, до сего дня не устранены финансовые диспропорции, как и сегментация доступа к медицинскому обслуживанию.</w:t>
      </w:r>
    </w:p>
    <w:p w:rsidR="00000000" w:rsidRDefault="00000000"/>
    <w:p w:rsidR="00000000" w:rsidRDefault="00000000">
      <w:r>
        <w:t>519.</w:t>
      </w:r>
      <w:r>
        <w:tab/>
        <w:t>В апреле 2003 года была утверждена структурная реформа системы здравоохранения, а 1 января 2004 года вступила в силу система всеобщего страхования, "Система социальной защиты в области здравоохранения".  Эта система ставит своей целью обеспечение всем мексиканцам равных возможностей участия в государственной системе страховой медицины.</w:t>
      </w:r>
    </w:p>
    <w:p w:rsidR="00000000" w:rsidRDefault="00000000"/>
    <w:p w:rsidR="00000000" w:rsidRDefault="00000000">
      <w:r>
        <w:t>520.</w:t>
      </w:r>
      <w:r>
        <w:tab/>
        <w:t>Реформа нацелена на демократизацию системы здравоохранения на основе того принципа, что охрана здоровья должна быть гарантирована всем гражданам и жителям страны независимо от их доходов, места жительства, этнического происхождения или занятости.  Поэтому реформа призвана решить задачу уменьшения доли расходов, покрываемых из личных средств мексиканских домохозяйств, снизить число случаев катастрофических расходов, вызванных болезнями, и расширить охват страхового медицинского обслуживания.</w:t>
      </w:r>
    </w:p>
    <w:p w:rsidR="00000000" w:rsidRDefault="00000000"/>
    <w:p w:rsidR="00000000" w:rsidRDefault="00000000">
      <w:r>
        <w:t>521.</w:t>
      </w:r>
      <w:r>
        <w:tab/>
        <w:t>Реформа основывается на пяти базовых ценностях:  равенство возможностей, социальная открытость, финансовая справедливость, взаимная ответственность и личная самостоятельность.  На основе этих ценностей реформа ставит цель трансформации системы здравоохранения, ныне сегментированной по группам.</w:t>
      </w:r>
    </w:p>
    <w:p w:rsidR="00000000" w:rsidRDefault="00000000"/>
    <w:p w:rsidR="00000000" w:rsidRDefault="00000000">
      <w:r>
        <w:t>522.</w:t>
      </w:r>
      <w:r>
        <w:tab/>
        <w:t>В результате справедливого финансирования и всеобщей социальной защиты населения создается горизонтальная комплексная система, когда каждое учреждение выполняет одну из трех базовых функций всей системы здравоохранения - руководство, финансирование и оказание услуг, - обслуживая таким образом все социальные группы мексиканского населения.</w:t>
      </w:r>
    </w:p>
    <w:p w:rsidR="00000000" w:rsidRDefault="00000000"/>
    <w:p w:rsidR="00000000" w:rsidRDefault="00000000">
      <w:r>
        <w:t>523.</w:t>
      </w:r>
      <w:r>
        <w:tab/>
        <w:t>Реформа также ставит цель устранения пяти существенных финансовых диспропорций, которые характеризуют нынешнюю систему здравоохранения:  а)  низкий уровень общих расходов, b)  зависимость от расходов из личных средств как источника финансирования, с)  неравное распределение ресурсов между застрахованными и незастрахованными, а также между штатами, d)  неравные финансовые усилия, которые предпринимаются разными субъектами федерации, и  е)  снижение доли расходов, выделяемых на инвестиционные цели.</w:t>
      </w:r>
    </w:p>
    <w:p w:rsidR="00000000" w:rsidRDefault="00000000"/>
    <w:p w:rsidR="00000000" w:rsidRDefault="00000000">
      <w:r>
        <w:t>524.</w:t>
      </w:r>
      <w:r>
        <w:tab/>
        <w:t>Возрастет уровень расходов на удовлетворение связанных с охраной здоровья потребностей населения, которое претерпевает сложный процесс эпидемиологического перехода и старения.  Источники финансирования здравоохранения изменятся и будут основываться уже не на расходах из личных средств в момент получения услуг, а на системе предварительной оплаты на основе федеральных отчислений и субсидируемых взносов семей в соответствии с уровнем дохода.  Кроме того, финансирование медицинского обслуживания будет более сбалансированным между застрахованными и незастрахованными и будет основываться на необходимости медицинской помощи, а не на платежеспособности.  Распределение ресурсов между штатами в свою очередь уже не будет подчиняться бюджетной инерции и теперь будет основываться на числе застрахованных семей и прозрачной формуле, которая придет к постепенному устранению неравенства.  Отчисления штатов уже не будут неравными и будут устанавливаться не субъективным образом, а по числу охватываемых системой семей.  Наконец, текущие и инвестиционные расходы будут соответствовать параметрам генерального плана развития инфраструктуры.</w:t>
      </w:r>
    </w:p>
    <w:p w:rsidR="00000000" w:rsidRDefault="00000000"/>
    <w:p w:rsidR="00000000" w:rsidRDefault="00000000">
      <w:r>
        <w:t>525.</w:t>
      </w:r>
      <w:r>
        <w:tab/>
        <w:t>Для достижения целей реформы поставлено 12 новых задач:</w:t>
      </w:r>
    </w:p>
    <w:p w:rsidR="00000000" w:rsidRDefault="00000000"/>
    <w:p w:rsidR="00000000" w:rsidRDefault="00000000">
      <w:pPr>
        <w:numPr>
          <w:ilvl w:val="0"/>
          <w:numId w:val="400"/>
        </w:numPr>
        <w:tabs>
          <w:tab w:val="clear" w:pos="1134"/>
          <w:tab w:val="clear" w:pos="1701"/>
          <w:tab w:val="left" w:pos="1148"/>
        </w:tabs>
        <w:ind w:left="1148" w:hanging="581"/>
      </w:pPr>
      <w:r>
        <w:t>защита финансирования деятельности в области здравоохранения;</w:t>
      </w:r>
    </w:p>
    <w:p w:rsidR="00000000" w:rsidRDefault="00000000">
      <w:pPr>
        <w:tabs>
          <w:tab w:val="clear" w:pos="1134"/>
          <w:tab w:val="clear" w:pos="1701"/>
          <w:tab w:val="left" w:pos="1148"/>
        </w:tabs>
        <w:ind w:left="1148" w:hanging="581"/>
      </w:pPr>
    </w:p>
    <w:p w:rsidR="00000000" w:rsidRDefault="00000000">
      <w:pPr>
        <w:numPr>
          <w:ilvl w:val="0"/>
          <w:numId w:val="400"/>
        </w:numPr>
        <w:tabs>
          <w:tab w:val="clear" w:pos="1134"/>
          <w:tab w:val="clear" w:pos="1701"/>
          <w:tab w:val="left" w:pos="1148"/>
        </w:tabs>
        <w:ind w:left="1148" w:hanging="581"/>
      </w:pPr>
      <w:r>
        <w:t>охват комплекса услуг, включая те из них, которые вызывают катастрофические расходы;</w:t>
      </w:r>
    </w:p>
    <w:p w:rsidR="00000000" w:rsidRDefault="00000000">
      <w:pPr>
        <w:tabs>
          <w:tab w:val="clear" w:pos="1134"/>
          <w:tab w:val="clear" w:pos="1701"/>
          <w:tab w:val="left" w:pos="1148"/>
        </w:tabs>
        <w:ind w:left="1148" w:hanging="581"/>
      </w:pPr>
    </w:p>
    <w:p w:rsidR="00000000" w:rsidRDefault="00000000">
      <w:pPr>
        <w:numPr>
          <w:ilvl w:val="0"/>
          <w:numId w:val="400"/>
        </w:numPr>
        <w:tabs>
          <w:tab w:val="clear" w:pos="1134"/>
          <w:tab w:val="clear" w:pos="1701"/>
          <w:tab w:val="left" w:pos="1148"/>
        </w:tabs>
        <w:ind w:left="1148" w:hanging="581"/>
      </w:pPr>
      <w:r>
        <w:t>процесс распределения ресурсов на основе формулы, уменьшающей неравенство между штатами;</w:t>
      </w:r>
    </w:p>
    <w:p w:rsidR="00000000" w:rsidRDefault="00000000">
      <w:pPr>
        <w:tabs>
          <w:tab w:val="clear" w:pos="1134"/>
          <w:tab w:val="clear" w:pos="1701"/>
          <w:tab w:val="left" w:pos="1148"/>
        </w:tabs>
        <w:ind w:left="1148" w:hanging="581"/>
      </w:pPr>
    </w:p>
    <w:p w:rsidR="00000000" w:rsidRDefault="00000000">
      <w:pPr>
        <w:numPr>
          <w:ilvl w:val="0"/>
          <w:numId w:val="400"/>
        </w:numPr>
        <w:tabs>
          <w:tab w:val="clear" w:pos="1134"/>
          <w:tab w:val="clear" w:pos="1701"/>
          <w:tab w:val="left" w:pos="1148"/>
        </w:tabs>
        <w:ind w:left="1148" w:hanging="581"/>
      </w:pPr>
      <w:r>
        <w:t>демократическое составление бюджета на основе охвата системой семей;</w:t>
      </w:r>
    </w:p>
    <w:p w:rsidR="00000000" w:rsidRDefault="00000000">
      <w:pPr>
        <w:tabs>
          <w:tab w:val="clear" w:pos="1134"/>
          <w:tab w:val="clear" w:pos="1701"/>
          <w:tab w:val="left" w:pos="1148"/>
        </w:tabs>
        <w:ind w:left="1148" w:hanging="581"/>
      </w:pPr>
    </w:p>
    <w:p w:rsidR="00000000" w:rsidRDefault="00000000">
      <w:pPr>
        <w:numPr>
          <w:ilvl w:val="0"/>
          <w:numId w:val="400"/>
        </w:numPr>
        <w:tabs>
          <w:tab w:val="clear" w:pos="1134"/>
          <w:tab w:val="clear" w:pos="1701"/>
          <w:tab w:val="left" w:pos="1148"/>
        </w:tabs>
        <w:ind w:left="1148" w:hanging="581"/>
      </w:pPr>
      <w:r>
        <w:t>нацеленность функциональной системы здравоохранения на экономические выгоды на микро- и макроуровне;</w:t>
      </w:r>
    </w:p>
    <w:p w:rsidR="00000000" w:rsidRDefault="00000000">
      <w:pPr>
        <w:tabs>
          <w:tab w:val="clear" w:pos="1134"/>
          <w:tab w:val="clear" w:pos="1701"/>
          <w:tab w:val="left" w:pos="1148"/>
        </w:tabs>
        <w:ind w:left="1148" w:hanging="581"/>
      </w:pPr>
    </w:p>
    <w:p w:rsidR="00000000" w:rsidRDefault="00000000">
      <w:pPr>
        <w:numPr>
          <w:ilvl w:val="0"/>
          <w:numId w:val="400"/>
        </w:numPr>
        <w:tabs>
          <w:tab w:val="clear" w:pos="1134"/>
          <w:tab w:val="clear" w:pos="1701"/>
          <w:tab w:val="left" w:pos="1148"/>
        </w:tabs>
        <w:ind w:left="1148" w:hanging="581"/>
      </w:pPr>
      <w:r>
        <w:t>создание ряда льгот для достаточного и эффективного инвестирования в инфраструктуру;</w:t>
      </w:r>
    </w:p>
    <w:p w:rsidR="00000000" w:rsidRDefault="00000000">
      <w:pPr>
        <w:tabs>
          <w:tab w:val="clear" w:pos="1134"/>
          <w:tab w:val="clear" w:pos="1701"/>
          <w:tab w:val="left" w:pos="1148"/>
        </w:tabs>
        <w:ind w:left="1148" w:hanging="581"/>
      </w:pPr>
    </w:p>
    <w:p w:rsidR="00000000" w:rsidRDefault="00000000">
      <w:pPr>
        <w:numPr>
          <w:ilvl w:val="0"/>
          <w:numId w:val="400"/>
        </w:numPr>
        <w:tabs>
          <w:tab w:val="clear" w:pos="1134"/>
          <w:tab w:val="clear" w:pos="1701"/>
          <w:tab w:val="left" w:pos="1148"/>
        </w:tabs>
        <w:ind w:left="1148" w:hanging="581"/>
      </w:pPr>
      <w:r>
        <w:t>создание списка охватываемых системой семей;</w:t>
      </w:r>
    </w:p>
    <w:p w:rsidR="00000000" w:rsidRDefault="00000000">
      <w:pPr>
        <w:tabs>
          <w:tab w:val="clear" w:pos="1134"/>
          <w:tab w:val="clear" w:pos="1701"/>
          <w:tab w:val="left" w:pos="1148"/>
        </w:tabs>
        <w:ind w:left="1148" w:hanging="581"/>
      </w:pPr>
    </w:p>
    <w:p w:rsidR="00000000" w:rsidRDefault="00000000">
      <w:pPr>
        <w:numPr>
          <w:ilvl w:val="0"/>
          <w:numId w:val="400"/>
        </w:numPr>
        <w:tabs>
          <w:tab w:val="clear" w:pos="1134"/>
          <w:tab w:val="clear" w:pos="1701"/>
          <w:tab w:val="left" w:pos="1148"/>
        </w:tabs>
        <w:ind w:left="1148" w:hanging="581"/>
      </w:pPr>
      <w:r>
        <w:t>использование объективных критериев и информации как основы для разработки и проведения реформы;</w:t>
      </w:r>
    </w:p>
    <w:p w:rsidR="00000000" w:rsidRDefault="00000000">
      <w:pPr>
        <w:tabs>
          <w:tab w:val="clear" w:pos="1134"/>
          <w:tab w:val="clear" w:pos="1701"/>
          <w:tab w:val="left" w:pos="1148"/>
        </w:tabs>
        <w:ind w:left="1148" w:hanging="581"/>
      </w:pPr>
    </w:p>
    <w:p w:rsidR="00000000" w:rsidRDefault="00000000">
      <w:pPr>
        <w:numPr>
          <w:ilvl w:val="0"/>
          <w:numId w:val="400"/>
        </w:numPr>
        <w:tabs>
          <w:tab w:val="clear" w:pos="1134"/>
          <w:tab w:val="clear" w:pos="1701"/>
          <w:tab w:val="left" w:pos="1148"/>
        </w:tabs>
        <w:ind w:left="1148" w:hanging="581"/>
      </w:pPr>
      <w:r>
        <w:t>строгий контроль и оценка;</w:t>
      </w:r>
    </w:p>
    <w:p w:rsidR="00000000" w:rsidRDefault="00000000">
      <w:pPr>
        <w:tabs>
          <w:tab w:val="clear" w:pos="1134"/>
          <w:tab w:val="clear" w:pos="1701"/>
          <w:tab w:val="left" w:pos="1148"/>
        </w:tabs>
        <w:ind w:left="1148" w:hanging="581"/>
      </w:pPr>
    </w:p>
    <w:p w:rsidR="00000000" w:rsidRDefault="00000000">
      <w:pPr>
        <w:numPr>
          <w:ilvl w:val="0"/>
          <w:numId w:val="400"/>
        </w:numPr>
        <w:tabs>
          <w:tab w:val="clear" w:pos="1134"/>
          <w:tab w:val="clear" w:pos="1701"/>
          <w:tab w:val="left" w:pos="1148"/>
        </w:tabs>
        <w:ind w:left="1148" w:hanging="581"/>
      </w:pPr>
      <w:r>
        <w:t>поощрение действенного участия некоммерческих организаций и частного сектора;</w:t>
      </w:r>
    </w:p>
    <w:p w:rsidR="00000000" w:rsidRDefault="00000000">
      <w:pPr>
        <w:tabs>
          <w:tab w:val="clear" w:pos="1134"/>
          <w:tab w:val="clear" w:pos="1701"/>
          <w:tab w:val="left" w:pos="1148"/>
        </w:tabs>
        <w:ind w:left="1148" w:hanging="581"/>
      </w:pPr>
    </w:p>
    <w:p w:rsidR="00000000" w:rsidRDefault="00000000">
      <w:pPr>
        <w:numPr>
          <w:ilvl w:val="0"/>
          <w:numId w:val="400"/>
        </w:numPr>
        <w:tabs>
          <w:tab w:val="clear" w:pos="1134"/>
          <w:tab w:val="clear" w:pos="1701"/>
          <w:tab w:val="left" w:pos="1148"/>
        </w:tabs>
        <w:ind w:left="1148" w:hanging="581"/>
      </w:pPr>
      <w:r>
        <w:t xml:space="preserve">использование льгот для содействия надлежащей работе медицинских центров;  а также </w:t>
      </w:r>
    </w:p>
    <w:p w:rsidR="00000000" w:rsidRDefault="00000000">
      <w:pPr>
        <w:tabs>
          <w:tab w:val="clear" w:pos="1134"/>
          <w:tab w:val="clear" w:pos="1701"/>
          <w:tab w:val="left" w:pos="1148"/>
        </w:tabs>
        <w:ind w:left="1148" w:hanging="581"/>
      </w:pPr>
    </w:p>
    <w:p w:rsidR="00000000" w:rsidRDefault="00000000">
      <w:pPr>
        <w:numPr>
          <w:ilvl w:val="0"/>
          <w:numId w:val="400"/>
        </w:numPr>
        <w:tabs>
          <w:tab w:val="clear" w:pos="1134"/>
          <w:tab w:val="clear" w:pos="1701"/>
          <w:tab w:val="left" w:pos="1148"/>
        </w:tabs>
        <w:ind w:left="1148" w:hanging="581"/>
      </w:pPr>
      <w:r>
        <w:t>акцент на консенсусе между политическими действующими лицами и поставщиками и потребителями медицинских услуг.</w:t>
      </w:r>
    </w:p>
    <w:p w:rsidR="00000000" w:rsidRDefault="00000000">
      <w:pPr>
        <w:tabs>
          <w:tab w:val="clear" w:pos="1134"/>
          <w:tab w:val="clear" w:pos="1701"/>
          <w:tab w:val="left" w:pos="1148"/>
        </w:tabs>
      </w:pPr>
    </w:p>
    <w:p w:rsidR="00000000" w:rsidRDefault="00000000">
      <w:pPr>
        <w:tabs>
          <w:tab w:val="clear" w:pos="1134"/>
          <w:tab w:val="left" w:pos="1148"/>
        </w:tabs>
      </w:pPr>
      <w:r>
        <w:t>526.</w:t>
      </w:r>
      <w:r>
        <w:tab/>
        <w:t>Медицинское страхование населения - оперативное подразделение системы, которое обеспечивает всем мексиканцам, не охватываемым медицинским страхованием, доступ к государственному медицинскому страхованию, которое охватывает личные услуги здравоохранения.  После семилетнего переходного периода система медицинского страхования населения должна охватить все население, которое в настоящее время не включено в какую-либо систему социального страхования.  Это означает, что в 2010 году мексиканская система здравоохранения достигнет цели всеобщей финансовой защиты.</w:t>
      </w:r>
    </w:p>
    <w:p w:rsidR="00000000" w:rsidRDefault="00000000">
      <w:pPr>
        <w:tabs>
          <w:tab w:val="clear" w:pos="1134"/>
          <w:tab w:val="left" w:pos="1148"/>
        </w:tabs>
      </w:pPr>
    </w:p>
    <w:p w:rsidR="00000000" w:rsidRDefault="00000000">
      <w:r>
        <w:t>527.</w:t>
      </w:r>
      <w:r>
        <w:tab/>
        <w:t>Система народного медицинского страхования финансируется на трехсторонней основе, получая средства от федерального правительства, правительств штатов и застрахованных семей.  Такая структура дает большее единообразие источников финансирования МИСО, ИСОГС и системы народного страхования.</w:t>
      </w:r>
    </w:p>
    <w:p w:rsidR="00000000" w:rsidRDefault="00000000"/>
    <w:p w:rsidR="00000000" w:rsidRDefault="00000000">
      <w:r>
        <w:t>528.</w:t>
      </w:r>
      <w:r>
        <w:tab/>
        <w:t>Таким образом, общее финансирование отходит от инерционной бюрократической логики к логике демократизации и от ориентации на предложение к субсидированию спроса путем передачи федеральных ресурсов исходя из числа застрахованных семей.  Установление суммы федеральных отчислений производится по формуле, которая должна уменьшить неравенство между штатами и группами населения и использует такие центральные параметры, как потребности в здравоохранении, имеющиеся отставания в этой сфере и оказываемые услуги.  Добровольный характер процесса вступления помогает установить баланс между спросом и предложением в системе здравоохранения в целях создания стимулов для оказания поставщиками надлежащих услуг, прежде всего на уровне штата, поскольку размеры отчислений зависят от числа членов.</w:t>
      </w:r>
    </w:p>
    <w:p w:rsidR="00000000" w:rsidRDefault="00000000"/>
    <w:p w:rsidR="00000000" w:rsidRDefault="00000000">
      <w:r>
        <w:t>529.</w:t>
      </w:r>
      <w:r>
        <w:tab/>
        <w:t>Следует подчеркнуть, что первыми к этой новой системе здравоохранения получат доступ самые необеспеченные группы населения страны, и постепенно она охватит остальную часть населения, которая не охватывается никакой другой системой здравоохранения.</w:t>
      </w:r>
    </w:p>
    <w:p w:rsidR="00000000" w:rsidRDefault="00000000"/>
    <w:p w:rsidR="00000000" w:rsidRDefault="00000000">
      <w:r>
        <w:rPr>
          <w:b/>
          <w:bCs/>
        </w:rPr>
        <w:t>Пункт 51 d)</w:t>
      </w:r>
    </w:p>
    <w:p w:rsidR="00000000" w:rsidRDefault="00000000"/>
    <w:p w:rsidR="00000000" w:rsidRDefault="00000000">
      <w:r>
        <w:t>530.</w:t>
      </w:r>
      <w:r>
        <w:tab/>
        <w:t>Реформа также включает в себя серию инноваций, призванных содействовать самостоятельности, включая передвижение, для чего основополагающую важность имеет информация и наглядные примеры.  В числе механизмов получения таких примеров можно выделить экспериментальный этап системы народного медицинского страхования, начавшийся в 2001 году.</w:t>
      </w:r>
    </w:p>
    <w:p w:rsidR="00000000" w:rsidRDefault="00000000"/>
    <w:p w:rsidR="00000000" w:rsidRDefault="00000000">
      <w:r>
        <w:t>531.</w:t>
      </w:r>
      <w:r>
        <w:tab/>
        <w:t xml:space="preserve">В конце 2003 года этим страхованием было охвачено 622 819 семей в 24 из 32 субъектов федерации.  Продолжительность и масштабы экспериментальной фазы позволили разработать при участии поставщиков и потребителей медицинских услуг целый ряд инноваций, которые предполагалось реализовать в ходе реформы.  Поскольку реформа ставит гражданина в центр процесса демократизации, поддержка охваченных системой семей становится залогом ее успеха и устойчивости.  Поэтому министерство здравоохранения будет распространять информацию об условиях членства, которое позволит применять формулу бюджетирования, определяя уровень взноса каждой семьи и обеспечивая прозрачность при распределении ресурсов.  Кроме того, будет делаться упор на информации для застрахованных и на расширении их возможностей.  </w:t>
      </w:r>
    </w:p>
    <w:p w:rsidR="00000000" w:rsidRDefault="00000000">
      <w:r>
        <w:t>532.</w:t>
      </w:r>
      <w:r>
        <w:tab/>
        <w:t>Кроме того, реформа усиливает деятельность по контролю, аккредитации и оценке.  Например, готовятся ежегодные доклады, включающие показатели медицинского обслуживания на уровне штатов.  В свою очередь национальная кампания за качество медицинского обслуживания 2001 года ставит цель повышения специального уровня медицинских услуг и заботы и внимательности со стороны медицинского персонала, включая "хартию прав" потребителей этих услуг, систему жалоб и предложений и официальные процессы аккредитации поставщиков услуг.</w:t>
      </w:r>
    </w:p>
    <w:p w:rsidR="00000000" w:rsidRDefault="00000000"/>
    <w:p w:rsidR="00000000" w:rsidRDefault="00000000">
      <w:r>
        <w:rPr>
          <w:b/>
          <w:bCs/>
        </w:rPr>
        <w:t>Пункт 51 е)</w:t>
      </w:r>
    </w:p>
    <w:p w:rsidR="00000000" w:rsidRDefault="00000000"/>
    <w:p w:rsidR="00000000" w:rsidRDefault="00000000">
      <w:r>
        <w:t>533.</w:t>
      </w:r>
      <w:r>
        <w:tab/>
        <w:t>Программа детского здравоохранения предусматривает медицинское обслуживание новорожденных и грудных детей, дошкольников и школьников в возрасте до 9 лет.  В 2000</w:t>
      </w:r>
      <w:r>
        <w:noBreakHyphen/>
        <w:t>2003 годах показатели неонатальной смертности, младенческой смертности и смертности детского населения в возрасте до 5 лет снизились соответственно на 10,8%, 12,1% и 11,9%, что обусловлено в частности, следующими мерами правительства Мексики и их результатами:</w:t>
      </w:r>
    </w:p>
    <w:p w:rsidR="00000000" w:rsidRDefault="00000000"/>
    <w:p w:rsidR="00000000" w:rsidRDefault="00000000">
      <w:pPr>
        <w:numPr>
          <w:ilvl w:val="0"/>
          <w:numId w:val="401"/>
        </w:numPr>
      </w:pPr>
      <w:r>
        <w:t>снижение смертности от острых респираторных заболеваний;</w:t>
      </w:r>
    </w:p>
    <w:p w:rsidR="00000000" w:rsidRDefault="00000000">
      <w:pPr>
        <w:tabs>
          <w:tab w:val="clear" w:pos="1134"/>
        </w:tabs>
        <w:ind w:left="567"/>
      </w:pPr>
    </w:p>
    <w:p w:rsidR="00000000" w:rsidRDefault="00000000">
      <w:pPr>
        <w:numPr>
          <w:ilvl w:val="0"/>
          <w:numId w:val="401"/>
        </w:numPr>
      </w:pPr>
      <w:r>
        <w:t>снижение смертности от острых диарейных заболеваний;</w:t>
      </w:r>
    </w:p>
    <w:p w:rsidR="00000000" w:rsidRDefault="00000000">
      <w:pPr>
        <w:tabs>
          <w:tab w:val="clear" w:pos="1134"/>
        </w:tabs>
        <w:ind w:left="567"/>
      </w:pPr>
    </w:p>
    <w:p w:rsidR="00000000" w:rsidRDefault="00000000">
      <w:pPr>
        <w:numPr>
          <w:ilvl w:val="0"/>
          <w:numId w:val="401"/>
        </w:numPr>
      </w:pPr>
      <w:r>
        <w:t>создание наиболее полной в Латинской Америке системы вакцинации с высокими показателями охвата;</w:t>
      </w:r>
    </w:p>
    <w:p w:rsidR="00000000" w:rsidRDefault="00000000">
      <w:pPr>
        <w:tabs>
          <w:tab w:val="clear" w:pos="1134"/>
        </w:tabs>
        <w:ind w:left="567"/>
      </w:pPr>
    </w:p>
    <w:p w:rsidR="00000000" w:rsidRDefault="00000000">
      <w:pPr>
        <w:numPr>
          <w:ilvl w:val="0"/>
          <w:numId w:val="401"/>
        </w:numPr>
      </w:pPr>
      <w:r>
        <w:t>поддержка искоренения, ликвидации и борьбы с заболеваниями, профилактика которых возможна путем вакцинации (полиомиелит, дифтерия, неонатальный столбняк, корь);</w:t>
      </w:r>
    </w:p>
    <w:p w:rsidR="00000000" w:rsidRDefault="00000000">
      <w:pPr>
        <w:tabs>
          <w:tab w:val="clear" w:pos="1134"/>
        </w:tabs>
        <w:ind w:left="567"/>
      </w:pPr>
    </w:p>
    <w:p w:rsidR="00000000" w:rsidRDefault="00000000">
      <w:pPr>
        <w:numPr>
          <w:ilvl w:val="0"/>
          <w:numId w:val="401"/>
        </w:numPr>
      </w:pPr>
      <w:r>
        <w:t>широкое распространение комплектов солей для пероральной дегидратации (ВСО);</w:t>
      </w:r>
    </w:p>
    <w:p w:rsidR="00000000" w:rsidRDefault="00000000">
      <w:pPr>
        <w:tabs>
          <w:tab w:val="clear" w:pos="1134"/>
        </w:tabs>
        <w:ind w:left="567"/>
      </w:pPr>
    </w:p>
    <w:p w:rsidR="00000000" w:rsidRDefault="00000000">
      <w:pPr>
        <w:numPr>
          <w:ilvl w:val="0"/>
          <w:numId w:val="401"/>
        </w:numPr>
      </w:pPr>
      <w:r>
        <w:t>обучение матерей выявлению признаков острых респираторных заболеваний (ОРЗ) и диарейных заболеваний (ДЗ);</w:t>
      </w:r>
    </w:p>
    <w:p w:rsidR="00000000" w:rsidRDefault="00000000">
      <w:pPr>
        <w:tabs>
          <w:tab w:val="clear" w:pos="1134"/>
        </w:tabs>
        <w:ind w:left="567"/>
      </w:pPr>
    </w:p>
    <w:p w:rsidR="00000000" w:rsidRDefault="00000000">
      <w:pPr>
        <w:numPr>
          <w:ilvl w:val="0"/>
          <w:numId w:val="401"/>
        </w:numPr>
      </w:pPr>
      <w:r>
        <w:t>прием витамина А и депаразитизация (альбендазол) в наиболее маргинализованных районах.</w:t>
      </w:r>
    </w:p>
    <w:p w:rsidR="00000000" w:rsidRDefault="00000000">
      <w:pPr>
        <w:jc w:val="center"/>
        <w:rPr>
          <w:b/>
          <w:bCs/>
        </w:rPr>
      </w:pPr>
    </w:p>
    <w:p w:rsidR="00000000" w:rsidRDefault="00000000">
      <w:pPr>
        <w:jc w:val="center"/>
        <w:rPr>
          <w:b/>
          <w:bCs/>
        </w:rPr>
      </w:pPr>
      <w:r>
        <w:rPr>
          <w:b/>
          <w:bCs/>
        </w:rPr>
        <w:br w:type="page"/>
        <w:t>Показатели неонатальной и младенческой смертности и смертности детского населения в возрасте до 5 лет, 2000</w:t>
      </w:r>
      <w:r>
        <w:rPr>
          <w:b/>
          <w:bCs/>
        </w:rPr>
        <w:noBreakHyphen/>
        <w:t>2003 годы</w:t>
      </w:r>
    </w:p>
    <w:p w:rsidR="00000000" w:rsidRDefault="00000000">
      <w:pPr>
        <w:jc w:val="center"/>
        <w:rPr>
          <w:b/>
          <w:bCs/>
        </w:rPr>
      </w:pPr>
    </w:p>
    <w:tbl>
      <w:tblPr>
        <w:tblW w:w="0" w:type="auto"/>
        <w:jc w:val="center"/>
        <w:tblBorders>
          <w:bottom w:val="single" w:sz="2" w:space="0" w:color="auto"/>
        </w:tblBorders>
        <w:tblLayout w:type="fixed"/>
        <w:tblCellMar>
          <w:left w:w="70" w:type="dxa"/>
          <w:right w:w="70" w:type="dxa"/>
        </w:tblCellMar>
        <w:tblLook w:val="0000" w:firstRow="0" w:lastRow="0" w:firstColumn="0" w:lastColumn="0" w:noHBand="0" w:noVBand="0"/>
      </w:tblPr>
      <w:tblGrid>
        <w:gridCol w:w="5572"/>
      </w:tblGrid>
      <w:tr w:rsidR="00000000">
        <w:tblPrEx>
          <w:tblCellMar>
            <w:top w:w="0" w:type="dxa"/>
            <w:bottom w:w="0" w:type="dxa"/>
          </w:tblCellMar>
        </w:tblPrEx>
        <w:trPr>
          <w:trHeight w:hRule="exact" w:val="4098"/>
          <w:jc w:val="center"/>
        </w:trPr>
        <w:tc>
          <w:tcPr>
            <w:tcW w:w="5572" w:type="dxa"/>
            <w:tcBorders>
              <w:top w:val="single" w:sz="4" w:space="0" w:color="auto"/>
              <w:left w:val="single" w:sz="4" w:space="0" w:color="auto"/>
              <w:bottom w:val="single" w:sz="4" w:space="0" w:color="auto"/>
              <w:right w:val="single" w:sz="4" w:space="0" w:color="auto"/>
            </w:tcBorders>
          </w:tcPr>
          <w:bookmarkStart w:id="115" w:name="_MON_1198039634"/>
          <w:bookmarkStart w:id="116" w:name="_MON_1198040489"/>
          <w:bookmarkStart w:id="117" w:name="_MON_1198040567"/>
          <w:bookmarkStart w:id="118" w:name="_MON_1198040605"/>
          <w:bookmarkStart w:id="119" w:name="_MON_1198040721"/>
          <w:bookmarkStart w:id="120" w:name="_MON_1198043094"/>
          <w:bookmarkStart w:id="121" w:name="_MON_1206266656"/>
          <w:bookmarkStart w:id="122" w:name="_MON_1206270977"/>
          <w:bookmarkEnd w:id="115"/>
          <w:bookmarkEnd w:id="116"/>
          <w:bookmarkEnd w:id="117"/>
          <w:bookmarkEnd w:id="118"/>
          <w:bookmarkEnd w:id="119"/>
          <w:bookmarkEnd w:id="120"/>
          <w:bookmarkEnd w:id="121"/>
          <w:bookmarkEnd w:id="122"/>
          <w:p w:rsidR="00000000" w:rsidRDefault="00000000">
            <w:pPr>
              <w:pStyle w:val="PRIMERPARRAFO"/>
              <w:spacing w:before="0" w:after="0" w:line="240" w:lineRule="auto"/>
              <w:rPr>
                <w:rFonts w:ascii="Arial" w:hAnsi="Arial" w:cs="Arial"/>
                <w:b/>
                <w:szCs w:val="22"/>
              </w:rPr>
            </w:pPr>
            <w:r>
              <w:rPr>
                <w:rFonts w:ascii="Arial" w:hAnsi="Arial" w:cs="Arial"/>
                <w:b/>
                <w:szCs w:val="22"/>
              </w:rPr>
              <w:object w:dxaOrig="4501" w:dyaOrig="3681">
                <v:shape id="_x0000_i1035" type="#_x0000_t75" style="width:266.25pt;height:198pt" o:ole="" fillcolor="window">
                  <v:imagedata r:id="rId174" o:title=""/>
                </v:shape>
                <o:OLEObject Type="Embed" ProgID="Word.Picture.8" ShapeID="_x0000_i1035" DrawAspect="Content" ObjectID="_1394895090" r:id="rId175"/>
              </w:object>
            </w:r>
          </w:p>
        </w:tc>
      </w:tr>
    </w:tbl>
    <w:p w:rsidR="00000000" w:rsidRDefault="00000000">
      <w:pPr>
        <w:spacing w:line="240" w:lineRule="auto"/>
        <w:rPr>
          <w:i/>
          <w:iCs/>
          <w:sz w:val="18"/>
        </w:rPr>
      </w:pPr>
    </w:p>
    <w:p w:rsidR="00000000" w:rsidRDefault="00000000">
      <w:pPr>
        <w:spacing w:line="240" w:lineRule="auto"/>
        <w:rPr>
          <w:i/>
          <w:iCs/>
          <w:sz w:val="18"/>
        </w:rPr>
      </w:pPr>
      <w:r>
        <w:rPr>
          <w:i/>
          <w:iCs/>
          <w:sz w:val="18"/>
        </w:rPr>
        <w:t>Источник:  </w:t>
      </w:r>
      <w:r>
        <w:rPr>
          <w:sz w:val="18"/>
        </w:rPr>
        <w:t>министерство здравоохранения, 2004 год.</w:t>
      </w:r>
    </w:p>
    <w:p w:rsidR="00000000" w:rsidRDefault="00000000">
      <w:pPr>
        <w:spacing w:line="240" w:lineRule="auto"/>
        <w:rPr>
          <w:i/>
          <w:iCs/>
        </w:rPr>
      </w:pPr>
    </w:p>
    <w:p w:rsidR="00000000" w:rsidRDefault="00000000">
      <w:r>
        <w:t>534.</w:t>
      </w:r>
      <w:r>
        <w:tab/>
        <w:t>Снижение смертности от ОРЗ ускорилось с началом использования в 1999 году пентавалентной вакцины (ДКС+ГБ+Хиб), что позволило снизить смертность детского населения в возрасте до 5 лет с 38,8 в 2000 году до 30,7 в 2003 году</w:t>
      </w:r>
      <w:r>
        <w:rPr>
          <w:rStyle w:val="FootnoteReference"/>
        </w:rPr>
        <w:footnoteReference w:id="21"/>
      </w:r>
      <w:r>
        <w:t>.</w:t>
      </w:r>
    </w:p>
    <w:p w:rsidR="00000000" w:rsidRDefault="00000000"/>
    <w:p w:rsidR="00000000" w:rsidRDefault="00000000">
      <w:r>
        <w:t>535.</w:t>
      </w:r>
      <w:r>
        <w:tab/>
        <w:t>В 2000</w:t>
      </w:r>
      <w:r>
        <w:noBreakHyphen/>
        <w:t>2003 годах смертность от ДЗ снизилась на 27,1% </w:t>
      </w:r>
      <w:r>
        <w:noBreakHyphen/>
        <w:t xml:space="preserve"> с 22,9 до 16,7 на 100 000 человек детского населения в возрасте до 5 лет.</w:t>
      </w:r>
    </w:p>
    <w:p w:rsidR="00000000" w:rsidRDefault="00000000"/>
    <w:p w:rsidR="00000000" w:rsidRDefault="00000000">
      <w:r>
        <w:t>536.</w:t>
      </w:r>
      <w:r>
        <w:tab/>
        <w:t>Программа "Равный старт в жизни" ставит своей целью обеспечение здорового течения беременности, безопасных родов и послеродового периода без осложнений для всех мексиканских женщин, а также равенство возможностей роста и развития для всех детей с рождения до двухлетнего возраста.</w:t>
      </w:r>
    </w:p>
    <w:p w:rsidR="00000000" w:rsidRDefault="00000000"/>
    <w:p w:rsidR="00000000" w:rsidRDefault="00000000">
      <w:r>
        <w:t>537.</w:t>
      </w:r>
      <w:r>
        <w:tab/>
        <w:t>Программа осуществляется в 500 муниципиях 251 группой "Помощь женщинам", 149 из которых созданы клиниками, а 102 </w:t>
      </w:r>
      <w:r>
        <w:noBreakHyphen/>
        <w:t xml:space="preserve"> больницами.  Была оказана помощь несколько более 1 млн. пациентов, из которых 39% </w:t>
      </w:r>
      <w:r>
        <w:noBreakHyphen/>
        <w:t xml:space="preserve"> беременные женщины, а 61% </w:t>
      </w:r>
      <w:r>
        <w:noBreakHyphen/>
        <w:t xml:space="preserve"> дети моложе двух лет.</w:t>
      </w:r>
    </w:p>
    <w:p w:rsidR="00000000" w:rsidRDefault="00000000"/>
    <w:p w:rsidR="00000000" w:rsidRDefault="00000000">
      <w:r>
        <w:br w:type="page"/>
        <w:t>538.</w:t>
      </w:r>
      <w:r>
        <w:tab/>
        <w:t>Было проведено скринирование 877 000 новорожденных, на 18,8% больше, чем в предыдущий период, включая методы использования фильтрующей бумаги и тестовых полосок для своевременного выявления врожденного гипотироидизма в маргинальных районах страны.</w:t>
      </w:r>
    </w:p>
    <w:p w:rsidR="00000000" w:rsidRDefault="00000000"/>
    <w:p w:rsidR="00000000" w:rsidRDefault="00000000">
      <w:r>
        <w:t>539.</w:t>
      </w:r>
      <w:r>
        <w:tab/>
        <w:t>В ходе второй национальной недели здравоохранения, проведенной в мае 2003 года, было распространено 55 000 флаконов фолиевой кислоты и питательных микродобавок для женщин детородного возраста.</w:t>
      </w:r>
    </w:p>
    <w:p w:rsidR="00000000" w:rsidRDefault="00000000"/>
    <w:p w:rsidR="00000000" w:rsidRDefault="00000000">
      <w:r>
        <w:t>540.</w:t>
      </w:r>
      <w:r>
        <w:tab/>
        <w:t>Проведено 2,3 млн. дородовых консультаций.  Число врачебных консультаций в среднем на одну беременность составляет 3,8.  По сравнению с 2002 годом этот показатель вырос на 6,4%.</w:t>
      </w:r>
    </w:p>
    <w:p w:rsidR="00000000" w:rsidRDefault="00000000"/>
    <w:p w:rsidR="00000000" w:rsidRDefault="00000000">
      <w:pPr>
        <w:jc w:val="center"/>
        <w:rPr>
          <w:b/>
          <w:bCs/>
          <w:lang w:val="en-US"/>
        </w:rPr>
      </w:pPr>
      <w:r>
        <w:rPr>
          <w:b/>
          <w:bCs/>
        </w:rPr>
        <w:t>Программа "Равный старт в жизни", 2002</w:t>
      </w:r>
      <w:r>
        <w:rPr>
          <w:b/>
          <w:bCs/>
        </w:rPr>
        <w:noBreakHyphen/>
        <w:t>2003 годы</w:t>
      </w:r>
    </w:p>
    <w:p w:rsidR="00000000" w:rsidRDefault="00000000">
      <w:pPr>
        <w:jc w:val="center"/>
        <w:rPr>
          <w:b/>
          <w:bCs/>
          <w:lang w:val="en-US"/>
        </w:rPr>
      </w:pPr>
    </w:p>
    <w:tbl>
      <w:tblPr>
        <w:tblW w:w="4963" w:type="pct"/>
        <w:tblInd w:w="70" w:type="dxa"/>
        <w:tblCellMar>
          <w:left w:w="70" w:type="dxa"/>
          <w:right w:w="70" w:type="dxa"/>
        </w:tblCellMar>
        <w:tblLook w:val="0000" w:firstRow="0" w:lastRow="0" w:firstColumn="0" w:lastColumn="0" w:noHBand="0" w:noVBand="0"/>
      </w:tblPr>
      <w:tblGrid>
        <w:gridCol w:w="4395"/>
        <w:gridCol w:w="1610"/>
        <w:gridCol w:w="1400"/>
        <w:gridCol w:w="2019"/>
      </w:tblGrid>
      <w:tr w:rsidR="00000000">
        <w:tblPrEx>
          <w:tblCellMar>
            <w:top w:w="0" w:type="dxa"/>
            <w:bottom w:w="0" w:type="dxa"/>
          </w:tblCellMar>
        </w:tblPrEx>
        <w:trPr>
          <w:cantSplit/>
          <w:trHeight w:val="268"/>
        </w:trPr>
        <w:tc>
          <w:tcPr>
            <w:tcW w:w="2332" w:type="pct"/>
            <w:vMerge w:val="restart"/>
            <w:tcBorders>
              <w:top w:val="single" w:sz="4" w:space="0" w:color="auto"/>
              <w:bottom w:val="single" w:sz="4" w:space="0" w:color="auto"/>
            </w:tcBorders>
            <w:vAlign w:val="center"/>
          </w:tcPr>
          <w:p w:rsidR="00000000" w:rsidRDefault="00000000">
            <w:pPr>
              <w:spacing w:before="60"/>
              <w:jc w:val="center"/>
              <w:rPr>
                <w:i/>
                <w:iCs/>
                <w:sz w:val="18"/>
              </w:rPr>
            </w:pPr>
            <w:r>
              <w:rPr>
                <w:i/>
                <w:iCs/>
                <w:sz w:val="18"/>
              </w:rPr>
              <w:t>Описание</w:t>
            </w:r>
          </w:p>
        </w:tc>
        <w:tc>
          <w:tcPr>
            <w:tcW w:w="1597" w:type="pct"/>
            <w:gridSpan w:val="2"/>
            <w:tcBorders>
              <w:top w:val="single" w:sz="4" w:space="0" w:color="auto"/>
            </w:tcBorders>
          </w:tcPr>
          <w:p w:rsidR="00000000" w:rsidRDefault="00000000">
            <w:pPr>
              <w:spacing w:before="60"/>
              <w:jc w:val="center"/>
              <w:rPr>
                <w:i/>
                <w:iCs/>
                <w:sz w:val="18"/>
              </w:rPr>
            </w:pPr>
            <w:r>
              <w:rPr>
                <w:i/>
                <w:iCs/>
                <w:sz w:val="18"/>
              </w:rPr>
              <w:t>Данные за год</w:t>
            </w:r>
          </w:p>
        </w:tc>
        <w:tc>
          <w:tcPr>
            <w:tcW w:w="1071" w:type="pct"/>
            <w:vMerge w:val="restart"/>
            <w:tcBorders>
              <w:top w:val="single" w:sz="4" w:space="0" w:color="auto"/>
            </w:tcBorders>
            <w:vAlign w:val="center"/>
          </w:tcPr>
          <w:p w:rsidR="00000000" w:rsidRDefault="00000000">
            <w:pPr>
              <w:spacing w:before="60"/>
              <w:jc w:val="center"/>
              <w:rPr>
                <w:i/>
                <w:iCs/>
                <w:sz w:val="18"/>
              </w:rPr>
            </w:pPr>
            <w:r>
              <w:rPr>
                <w:i/>
                <w:iCs/>
                <w:sz w:val="18"/>
              </w:rPr>
              <w:t>Изменения за год (в %)</w:t>
            </w:r>
          </w:p>
        </w:tc>
      </w:tr>
      <w:tr w:rsidR="00000000">
        <w:tblPrEx>
          <w:tblCellMar>
            <w:top w:w="0" w:type="dxa"/>
            <w:bottom w:w="0" w:type="dxa"/>
          </w:tblCellMar>
        </w:tblPrEx>
        <w:trPr>
          <w:cantSplit/>
          <w:trHeight w:val="321"/>
        </w:trPr>
        <w:tc>
          <w:tcPr>
            <w:tcW w:w="2332" w:type="pct"/>
            <w:vMerge/>
            <w:tcBorders>
              <w:bottom w:val="single" w:sz="4" w:space="0" w:color="auto"/>
            </w:tcBorders>
          </w:tcPr>
          <w:p w:rsidR="00000000" w:rsidRDefault="00000000">
            <w:pPr>
              <w:spacing w:before="60"/>
              <w:jc w:val="center"/>
              <w:rPr>
                <w:sz w:val="18"/>
              </w:rPr>
            </w:pPr>
          </w:p>
        </w:tc>
        <w:tc>
          <w:tcPr>
            <w:tcW w:w="854" w:type="pct"/>
            <w:tcBorders>
              <w:bottom w:val="single" w:sz="4" w:space="0" w:color="auto"/>
            </w:tcBorders>
          </w:tcPr>
          <w:p w:rsidR="00000000" w:rsidRDefault="00000000">
            <w:pPr>
              <w:spacing w:before="60"/>
              <w:jc w:val="center"/>
              <w:rPr>
                <w:i/>
                <w:iCs/>
                <w:sz w:val="18"/>
              </w:rPr>
            </w:pPr>
            <w:r>
              <w:rPr>
                <w:i/>
                <w:iCs/>
                <w:sz w:val="18"/>
              </w:rPr>
              <w:t>2002 год</w:t>
            </w:r>
          </w:p>
        </w:tc>
        <w:tc>
          <w:tcPr>
            <w:tcW w:w="743" w:type="pct"/>
            <w:tcBorders>
              <w:bottom w:val="single" w:sz="4" w:space="0" w:color="auto"/>
            </w:tcBorders>
          </w:tcPr>
          <w:p w:rsidR="00000000" w:rsidRDefault="00000000">
            <w:pPr>
              <w:spacing w:before="60"/>
              <w:jc w:val="center"/>
              <w:rPr>
                <w:i/>
                <w:iCs/>
                <w:sz w:val="18"/>
              </w:rPr>
            </w:pPr>
            <w:r>
              <w:rPr>
                <w:i/>
                <w:iCs/>
                <w:sz w:val="18"/>
              </w:rPr>
              <w:t>2003 год</w:t>
            </w:r>
            <w:r>
              <w:rPr>
                <w:b/>
                <w:bCs/>
                <w:i/>
                <w:iCs/>
                <w:sz w:val="18"/>
                <w:vertAlign w:val="superscript"/>
                <w:lang w:val="en-US"/>
              </w:rPr>
              <w:t>*</w:t>
            </w:r>
          </w:p>
        </w:tc>
        <w:tc>
          <w:tcPr>
            <w:tcW w:w="1071" w:type="pct"/>
            <w:vMerge/>
            <w:tcBorders>
              <w:bottom w:val="single" w:sz="4" w:space="0" w:color="auto"/>
            </w:tcBorders>
          </w:tcPr>
          <w:p w:rsidR="00000000" w:rsidRDefault="00000000">
            <w:pPr>
              <w:spacing w:before="60"/>
              <w:jc w:val="center"/>
              <w:rPr>
                <w:sz w:val="18"/>
              </w:rPr>
            </w:pPr>
          </w:p>
        </w:tc>
      </w:tr>
      <w:tr w:rsidR="00000000">
        <w:tblPrEx>
          <w:tblCellMar>
            <w:top w:w="0" w:type="dxa"/>
            <w:bottom w:w="0" w:type="dxa"/>
          </w:tblCellMar>
        </w:tblPrEx>
        <w:trPr>
          <w:cantSplit/>
        </w:trPr>
        <w:tc>
          <w:tcPr>
            <w:tcW w:w="2332" w:type="pct"/>
            <w:tcBorders>
              <w:top w:val="single" w:sz="4" w:space="0" w:color="auto"/>
            </w:tcBorders>
            <w:shd w:val="clear" w:color="auto" w:fill="FFFFFF"/>
          </w:tcPr>
          <w:p w:rsidR="00000000" w:rsidRDefault="00000000">
            <w:pPr>
              <w:spacing w:before="60"/>
              <w:rPr>
                <w:iCs/>
                <w:sz w:val="18"/>
              </w:rPr>
            </w:pPr>
            <w:r>
              <w:rPr>
                <w:iCs/>
                <w:sz w:val="18"/>
              </w:rPr>
              <w:t>Охват</w:t>
            </w:r>
          </w:p>
        </w:tc>
        <w:tc>
          <w:tcPr>
            <w:tcW w:w="854" w:type="pct"/>
            <w:tcBorders>
              <w:top w:val="single" w:sz="4" w:space="0" w:color="auto"/>
            </w:tcBorders>
            <w:shd w:val="clear" w:color="auto" w:fill="FFFFFF"/>
          </w:tcPr>
          <w:p w:rsidR="00000000" w:rsidRDefault="00000000">
            <w:pPr>
              <w:spacing w:before="60"/>
              <w:jc w:val="right"/>
              <w:rPr>
                <w:sz w:val="18"/>
              </w:rPr>
            </w:pPr>
          </w:p>
        </w:tc>
        <w:tc>
          <w:tcPr>
            <w:tcW w:w="743" w:type="pct"/>
            <w:tcBorders>
              <w:top w:val="single" w:sz="4" w:space="0" w:color="auto"/>
            </w:tcBorders>
            <w:shd w:val="clear" w:color="auto" w:fill="FFFFFF"/>
          </w:tcPr>
          <w:p w:rsidR="00000000" w:rsidRDefault="00000000">
            <w:pPr>
              <w:spacing w:before="60"/>
              <w:jc w:val="right"/>
              <w:rPr>
                <w:sz w:val="18"/>
              </w:rPr>
            </w:pPr>
          </w:p>
        </w:tc>
        <w:tc>
          <w:tcPr>
            <w:tcW w:w="1071" w:type="pct"/>
            <w:tcBorders>
              <w:top w:val="single" w:sz="4" w:space="0" w:color="auto"/>
            </w:tcBorders>
            <w:shd w:val="clear" w:color="auto" w:fill="FFFFFF"/>
          </w:tcPr>
          <w:p w:rsidR="00000000" w:rsidRDefault="00000000">
            <w:pPr>
              <w:spacing w:before="60"/>
              <w:jc w:val="right"/>
              <w:rPr>
                <w:sz w:val="18"/>
              </w:rPr>
            </w:pPr>
          </w:p>
        </w:tc>
      </w:tr>
      <w:tr w:rsidR="00000000">
        <w:tblPrEx>
          <w:tblCellMar>
            <w:top w:w="0" w:type="dxa"/>
            <w:bottom w:w="0" w:type="dxa"/>
          </w:tblCellMar>
        </w:tblPrEx>
        <w:trPr>
          <w:cantSplit/>
        </w:trPr>
        <w:tc>
          <w:tcPr>
            <w:tcW w:w="2332" w:type="pct"/>
            <w:shd w:val="clear" w:color="auto" w:fill="FFFFFF"/>
          </w:tcPr>
          <w:p w:rsidR="00000000" w:rsidRDefault="00000000">
            <w:pPr>
              <w:tabs>
                <w:tab w:val="left" w:pos="245"/>
              </w:tabs>
              <w:spacing w:before="60"/>
              <w:rPr>
                <w:iCs/>
                <w:sz w:val="18"/>
              </w:rPr>
            </w:pPr>
            <w:r>
              <w:rPr>
                <w:iCs/>
                <w:sz w:val="18"/>
              </w:rPr>
              <w:t>Штаты</w:t>
            </w:r>
          </w:p>
        </w:tc>
        <w:tc>
          <w:tcPr>
            <w:tcW w:w="854" w:type="pct"/>
            <w:shd w:val="clear" w:color="auto" w:fill="FFFFFF"/>
          </w:tcPr>
          <w:p w:rsidR="00000000" w:rsidRDefault="00000000">
            <w:pPr>
              <w:tabs>
                <w:tab w:val="clear" w:pos="1134"/>
              </w:tabs>
              <w:spacing w:before="60"/>
              <w:ind w:right="449"/>
              <w:jc w:val="right"/>
              <w:rPr>
                <w:sz w:val="18"/>
              </w:rPr>
            </w:pPr>
            <w:r>
              <w:rPr>
                <w:sz w:val="18"/>
              </w:rPr>
              <w:t>17</w:t>
            </w:r>
          </w:p>
        </w:tc>
        <w:tc>
          <w:tcPr>
            <w:tcW w:w="743" w:type="pct"/>
            <w:shd w:val="clear" w:color="auto" w:fill="FFFFFF"/>
          </w:tcPr>
          <w:p w:rsidR="00000000" w:rsidRDefault="00000000">
            <w:pPr>
              <w:tabs>
                <w:tab w:val="clear" w:pos="1134"/>
              </w:tabs>
              <w:spacing w:before="60"/>
              <w:ind w:right="449"/>
              <w:jc w:val="right"/>
              <w:rPr>
                <w:sz w:val="18"/>
              </w:rPr>
            </w:pPr>
            <w:r>
              <w:rPr>
                <w:sz w:val="18"/>
              </w:rPr>
              <w:t>32</w:t>
            </w:r>
          </w:p>
        </w:tc>
        <w:tc>
          <w:tcPr>
            <w:tcW w:w="1071" w:type="pct"/>
            <w:shd w:val="clear" w:color="auto" w:fill="FFFFFF"/>
          </w:tcPr>
          <w:p w:rsidR="00000000" w:rsidRDefault="00000000">
            <w:pPr>
              <w:spacing w:before="60"/>
              <w:ind w:right="122"/>
              <w:jc w:val="right"/>
              <w:rPr>
                <w:sz w:val="18"/>
              </w:rPr>
            </w:pPr>
            <w:r>
              <w:rPr>
                <w:sz w:val="18"/>
              </w:rPr>
              <w:t>88,2</w:t>
            </w:r>
          </w:p>
        </w:tc>
      </w:tr>
      <w:tr w:rsidR="00000000">
        <w:tblPrEx>
          <w:tblCellMar>
            <w:top w:w="0" w:type="dxa"/>
            <w:bottom w:w="0" w:type="dxa"/>
          </w:tblCellMar>
        </w:tblPrEx>
        <w:trPr>
          <w:cantSplit/>
        </w:trPr>
        <w:tc>
          <w:tcPr>
            <w:tcW w:w="2332" w:type="pct"/>
            <w:shd w:val="clear" w:color="auto" w:fill="FFFFFF"/>
          </w:tcPr>
          <w:p w:rsidR="00000000" w:rsidRDefault="00000000">
            <w:pPr>
              <w:tabs>
                <w:tab w:val="left" w:pos="245"/>
              </w:tabs>
              <w:spacing w:before="60"/>
              <w:rPr>
                <w:iCs/>
                <w:sz w:val="18"/>
              </w:rPr>
            </w:pPr>
            <w:r>
              <w:rPr>
                <w:iCs/>
                <w:sz w:val="18"/>
              </w:rPr>
              <w:t>Муниципии</w:t>
            </w:r>
          </w:p>
        </w:tc>
        <w:tc>
          <w:tcPr>
            <w:tcW w:w="854" w:type="pct"/>
            <w:shd w:val="clear" w:color="auto" w:fill="FFFFFF"/>
          </w:tcPr>
          <w:p w:rsidR="00000000" w:rsidRDefault="00000000">
            <w:pPr>
              <w:tabs>
                <w:tab w:val="clear" w:pos="1134"/>
              </w:tabs>
              <w:spacing w:before="60"/>
              <w:ind w:right="449"/>
              <w:jc w:val="right"/>
              <w:rPr>
                <w:sz w:val="18"/>
              </w:rPr>
            </w:pPr>
            <w:r>
              <w:rPr>
                <w:sz w:val="18"/>
              </w:rPr>
              <w:t>330</w:t>
            </w:r>
          </w:p>
        </w:tc>
        <w:tc>
          <w:tcPr>
            <w:tcW w:w="743" w:type="pct"/>
            <w:shd w:val="clear" w:color="auto" w:fill="FFFFFF"/>
          </w:tcPr>
          <w:p w:rsidR="00000000" w:rsidRDefault="00000000">
            <w:pPr>
              <w:tabs>
                <w:tab w:val="clear" w:pos="1134"/>
              </w:tabs>
              <w:spacing w:before="60"/>
              <w:ind w:right="449"/>
              <w:jc w:val="right"/>
              <w:rPr>
                <w:sz w:val="18"/>
              </w:rPr>
            </w:pPr>
            <w:r>
              <w:rPr>
                <w:sz w:val="18"/>
              </w:rPr>
              <w:t>500</w:t>
            </w:r>
          </w:p>
        </w:tc>
        <w:tc>
          <w:tcPr>
            <w:tcW w:w="1071" w:type="pct"/>
            <w:shd w:val="clear" w:color="auto" w:fill="FFFFFF"/>
          </w:tcPr>
          <w:p w:rsidR="00000000" w:rsidRDefault="00000000">
            <w:pPr>
              <w:spacing w:before="60"/>
              <w:ind w:right="122"/>
              <w:jc w:val="right"/>
              <w:rPr>
                <w:sz w:val="18"/>
              </w:rPr>
            </w:pPr>
            <w:r>
              <w:rPr>
                <w:sz w:val="18"/>
              </w:rPr>
              <w:t>51,1</w:t>
            </w:r>
          </w:p>
        </w:tc>
      </w:tr>
      <w:tr w:rsidR="00000000">
        <w:tblPrEx>
          <w:tblCellMar>
            <w:top w:w="0" w:type="dxa"/>
            <w:bottom w:w="0" w:type="dxa"/>
          </w:tblCellMar>
        </w:tblPrEx>
        <w:trPr>
          <w:cantSplit/>
        </w:trPr>
        <w:tc>
          <w:tcPr>
            <w:tcW w:w="2332" w:type="pct"/>
            <w:shd w:val="clear" w:color="auto" w:fill="FFFFFF"/>
          </w:tcPr>
          <w:p w:rsidR="00000000" w:rsidRDefault="00000000">
            <w:pPr>
              <w:spacing w:before="60"/>
              <w:rPr>
                <w:iCs/>
                <w:sz w:val="18"/>
                <w:vertAlign w:val="superscript"/>
              </w:rPr>
            </w:pPr>
            <w:r>
              <w:rPr>
                <w:iCs/>
                <w:sz w:val="18"/>
              </w:rPr>
              <w:t>Людские ресурсы</w:t>
            </w:r>
            <w:r>
              <w:rPr>
                <w:b/>
                <w:bCs/>
                <w:iCs/>
                <w:sz w:val="18"/>
                <w:vertAlign w:val="superscript"/>
              </w:rPr>
              <w:t>1</w:t>
            </w:r>
          </w:p>
        </w:tc>
        <w:tc>
          <w:tcPr>
            <w:tcW w:w="854" w:type="pct"/>
            <w:shd w:val="clear" w:color="auto" w:fill="FFFFFF"/>
          </w:tcPr>
          <w:p w:rsidR="00000000" w:rsidRDefault="00000000">
            <w:pPr>
              <w:tabs>
                <w:tab w:val="clear" w:pos="1134"/>
              </w:tabs>
              <w:spacing w:before="60"/>
              <w:ind w:right="449"/>
              <w:jc w:val="right"/>
              <w:rPr>
                <w:sz w:val="18"/>
              </w:rPr>
            </w:pPr>
          </w:p>
        </w:tc>
        <w:tc>
          <w:tcPr>
            <w:tcW w:w="743" w:type="pct"/>
            <w:shd w:val="clear" w:color="auto" w:fill="FFFFFF"/>
          </w:tcPr>
          <w:p w:rsidR="00000000" w:rsidRDefault="00000000">
            <w:pPr>
              <w:tabs>
                <w:tab w:val="clear" w:pos="1134"/>
              </w:tabs>
              <w:spacing w:before="60"/>
              <w:ind w:right="449"/>
              <w:jc w:val="right"/>
              <w:rPr>
                <w:sz w:val="18"/>
              </w:rPr>
            </w:pPr>
          </w:p>
        </w:tc>
        <w:tc>
          <w:tcPr>
            <w:tcW w:w="1071" w:type="pct"/>
            <w:shd w:val="clear" w:color="auto" w:fill="FFFFFF"/>
          </w:tcPr>
          <w:p w:rsidR="00000000" w:rsidRDefault="00000000">
            <w:pPr>
              <w:spacing w:before="60"/>
              <w:ind w:right="122"/>
              <w:jc w:val="right"/>
              <w:rPr>
                <w:sz w:val="18"/>
              </w:rPr>
            </w:pPr>
          </w:p>
        </w:tc>
      </w:tr>
      <w:tr w:rsidR="00000000">
        <w:tblPrEx>
          <w:tblCellMar>
            <w:top w:w="0" w:type="dxa"/>
            <w:bottom w:w="0" w:type="dxa"/>
          </w:tblCellMar>
        </w:tblPrEx>
        <w:trPr>
          <w:cantSplit/>
        </w:trPr>
        <w:tc>
          <w:tcPr>
            <w:tcW w:w="2332" w:type="pct"/>
            <w:shd w:val="clear" w:color="auto" w:fill="FFFFFF"/>
          </w:tcPr>
          <w:p w:rsidR="00000000" w:rsidRDefault="00000000">
            <w:pPr>
              <w:tabs>
                <w:tab w:val="left" w:pos="245"/>
              </w:tabs>
              <w:spacing w:before="60"/>
              <w:rPr>
                <w:iCs/>
                <w:sz w:val="18"/>
              </w:rPr>
            </w:pPr>
            <w:r>
              <w:rPr>
                <w:iCs/>
                <w:sz w:val="18"/>
              </w:rPr>
              <w:t>Врачи</w:t>
            </w:r>
          </w:p>
        </w:tc>
        <w:tc>
          <w:tcPr>
            <w:tcW w:w="854" w:type="pct"/>
            <w:shd w:val="clear" w:color="auto" w:fill="FFFFFF"/>
          </w:tcPr>
          <w:p w:rsidR="00000000" w:rsidRDefault="00000000">
            <w:pPr>
              <w:tabs>
                <w:tab w:val="clear" w:pos="1134"/>
              </w:tabs>
              <w:spacing w:before="60"/>
              <w:ind w:right="449"/>
              <w:jc w:val="right"/>
              <w:rPr>
                <w:sz w:val="18"/>
              </w:rPr>
            </w:pPr>
            <w:r>
              <w:rPr>
                <w:sz w:val="18"/>
              </w:rPr>
              <w:t>12 729</w:t>
            </w:r>
          </w:p>
        </w:tc>
        <w:tc>
          <w:tcPr>
            <w:tcW w:w="743" w:type="pct"/>
            <w:shd w:val="clear" w:color="auto" w:fill="FFFFFF"/>
          </w:tcPr>
          <w:p w:rsidR="00000000" w:rsidRDefault="00000000">
            <w:pPr>
              <w:tabs>
                <w:tab w:val="clear" w:pos="1134"/>
              </w:tabs>
              <w:spacing w:before="60"/>
              <w:ind w:right="449"/>
              <w:jc w:val="right"/>
              <w:rPr>
                <w:sz w:val="18"/>
              </w:rPr>
            </w:pPr>
            <w:r>
              <w:rPr>
                <w:sz w:val="18"/>
              </w:rPr>
              <w:t>17 576</w:t>
            </w:r>
          </w:p>
        </w:tc>
        <w:tc>
          <w:tcPr>
            <w:tcW w:w="1071" w:type="pct"/>
            <w:shd w:val="clear" w:color="auto" w:fill="FFFFFF"/>
          </w:tcPr>
          <w:p w:rsidR="00000000" w:rsidRDefault="00000000">
            <w:pPr>
              <w:spacing w:before="60"/>
              <w:ind w:right="122"/>
              <w:jc w:val="right"/>
              <w:rPr>
                <w:sz w:val="18"/>
              </w:rPr>
            </w:pPr>
          </w:p>
        </w:tc>
      </w:tr>
      <w:tr w:rsidR="00000000">
        <w:tblPrEx>
          <w:tblCellMar>
            <w:top w:w="0" w:type="dxa"/>
            <w:bottom w:w="0" w:type="dxa"/>
          </w:tblCellMar>
        </w:tblPrEx>
        <w:trPr>
          <w:cantSplit/>
        </w:trPr>
        <w:tc>
          <w:tcPr>
            <w:tcW w:w="2332" w:type="pct"/>
            <w:shd w:val="clear" w:color="auto" w:fill="FFFFFF"/>
          </w:tcPr>
          <w:p w:rsidR="00000000" w:rsidRDefault="00000000">
            <w:pPr>
              <w:tabs>
                <w:tab w:val="left" w:pos="245"/>
              </w:tabs>
              <w:spacing w:before="60"/>
              <w:rPr>
                <w:iCs/>
                <w:sz w:val="18"/>
              </w:rPr>
            </w:pPr>
            <w:r>
              <w:rPr>
                <w:iCs/>
                <w:sz w:val="18"/>
              </w:rPr>
              <w:t>Санитарный персонал</w:t>
            </w:r>
          </w:p>
        </w:tc>
        <w:tc>
          <w:tcPr>
            <w:tcW w:w="854" w:type="pct"/>
            <w:shd w:val="clear" w:color="auto" w:fill="FFFFFF"/>
          </w:tcPr>
          <w:p w:rsidR="00000000" w:rsidRDefault="00000000">
            <w:pPr>
              <w:tabs>
                <w:tab w:val="clear" w:pos="1134"/>
              </w:tabs>
              <w:spacing w:before="60"/>
              <w:ind w:right="449"/>
              <w:jc w:val="right"/>
              <w:rPr>
                <w:sz w:val="18"/>
              </w:rPr>
            </w:pPr>
            <w:r>
              <w:rPr>
                <w:sz w:val="18"/>
              </w:rPr>
              <w:t>16 642</w:t>
            </w:r>
          </w:p>
        </w:tc>
        <w:tc>
          <w:tcPr>
            <w:tcW w:w="743" w:type="pct"/>
            <w:shd w:val="clear" w:color="auto" w:fill="FFFFFF"/>
          </w:tcPr>
          <w:p w:rsidR="00000000" w:rsidRDefault="00000000">
            <w:pPr>
              <w:tabs>
                <w:tab w:val="clear" w:pos="1134"/>
              </w:tabs>
              <w:spacing w:before="60"/>
              <w:ind w:right="449"/>
              <w:jc w:val="right"/>
              <w:rPr>
                <w:sz w:val="18"/>
              </w:rPr>
            </w:pPr>
            <w:r>
              <w:rPr>
                <w:sz w:val="18"/>
              </w:rPr>
              <w:t>29 101</w:t>
            </w:r>
          </w:p>
        </w:tc>
        <w:tc>
          <w:tcPr>
            <w:tcW w:w="1071" w:type="pct"/>
            <w:shd w:val="clear" w:color="auto" w:fill="FFFFFF"/>
          </w:tcPr>
          <w:p w:rsidR="00000000" w:rsidRDefault="00000000">
            <w:pPr>
              <w:spacing w:before="60"/>
              <w:ind w:right="122"/>
              <w:jc w:val="right"/>
              <w:rPr>
                <w:sz w:val="18"/>
              </w:rPr>
            </w:pPr>
          </w:p>
        </w:tc>
      </w:tr>
      <w:tr w:rsidR="00000000">
        <w:tblPrEx>
          <w:tblCellMar>
            <w:top w:w="0" w:type="dxa"/>
            <w:bottom w:w="0" w:type="dxa"/>
          </w:tblCellMar>
        </w:tblPrEx>
        <w:trPr>
          <w:cantSplit/>
        </w:trPr>
        <w:tc>
          <w:tcPr>
            <w:tcW w:w="2332" w:type="pct"/>
            <w:shd w:val="clear" w:color="auto" w:fill="FFFFFF"/>
          </w:tcPr>
          <w:p w:rsidR="00000000" w:rsidRDefault="00000000">
            <w:pPr>
              <w:tabs>
                <w:tab w:val="left" w:pos="245"/>
              </w:tabs>
              <w:spacing w:before="60"/>
              <w:rPr>
                <w:iCs/>
                <w:sz w:val="18"/>
              </w:rPr>
            </w:pPr>
            <w:r>
              <w:rPr>
                <w:iCs/>
                <w:sz w:val="18"/>
              </w:rPr>
              <w:t>Младший санитарный персонал</w:t>
            </w:r>
          </w:p>
        </w:tc>
        <w:tc>
          <w:tcPr>
            <w:tcW w:w="854" w:type="pct"/>
            <w:shd w:val="clear" w:color="auto" w:fill="FFFFFF"/>
          </w:tcPr>
          <w:p w:rsidR="00000000" w:rsidRDefault="00000000">
            <w:pPr>
              <w:tabs>
                <w:tab w:val="clear" w:pos="1134"/>
              </w:tabs>
              <w:spacing w:before="60"/>
              <w:ind w:right="449"/>
              <w:jc w:val="right"/>
              <w:rPr>
                <w:sz w:val="18"/>
              </w:rPr>
            </w:pPr>
            <w:r>
              <w:rPr>
                <w:sz w:val="18"/>
              </w:rPr>
              <w:t>3 544</w:t>
            </w:r>
          </w:p>
        </w:tc>
        <w:tc>
          <w:tcPr>
            <w:tcW w:w="743" w:type="pct"/>
            <w:shd w:val="clear" w:color="auto" w:fill="FFFFFF"/>
          </w:tcPr>
          <w:p w:rsidR="00000000" w:rsidRDefault="00000000">
            <w:pPr>
              <w:tabs>
                <w:tab w:val="clear" w:pos="1134"/>
              </w:tabs>
              <w:spacing w:before="60"/>
              <w:ind w:right="449"/>
              <w:jc w:val="right"/>
              <w:rPr>
                <w:sz w:val="18"/>
              </w:rPr>
            </w:pPr>
            <w:r>
              <w:rPr>
                <w:sz w:val="18"/>
              </w:rPr>
              <w:t>4 979</w:t>
            </w:r>
          </w:p>
        </w:tc>
        <w:tc>
          <w:tcPr>
            <w:tcW w:w="1071" w:type="pct"/>
            <w:shd w:val="clear" w:color="auto" w:fill="FFFFFF"/>
          </w:tcPr>
          <w:p w:rsidR="00000000" w:rsidRDefault="00000000">
            <w:pPr>
              <w:spacing w:before="60"/>
              <w:ind w:right="122"/>
              <w:jc w:val="right"/>
              <w:rPr>
                <w:sz w:val="18"/>
              </w:rPr>
            </w:pPr>
          </w:p>
        </w:tc>
      </w:tr>
      <w:tr w:rsidR="00000000">
        <w:tblPrEx>
          <w:tblCellMar>
            <w:top w:w="0" w:type="dxa"/>
            <w:bottom w:w="0" w:type="dxa"/>
          </w:tblCellMar>
        </w:tblPrEx>
        <w:trPr>
          <w:cantSplit/>
        </w:trPr>
        <w:tc>
          <w:tcPr>
            <w:tcW w:w="2332" w:type="pct"/>
            <w:shd w:val="clear" w:color="auto" w:fill="FFFFFF"/>
          </w:tcPr>
          <w:p w:rsidR="00000000" w:rsidRDefault="00000000">
            <w:pPr>
              <w:spacing w:before="60"/>
              <w:rPr>
                <w:iCs/>
                <w:sz w:val="18"/>
              </w:rPr>
            </w:pPr>
            <w:r>
              <w:rPr>
                <w:iCs/>
                <w:sz w:val="18"/>
              </w:rPr>
              <w:t>Медицинская помощь</w:t>
            </w:r>
          </w:p>
        </w:tc>
        <w:tc>
          <w:tcPr>
            <w:tcW w:w="854" w:type="pct"/>
            <w:shd w:val="clear" w:color="auto" w:fill="FFFFFF"/>
          </w:tcPr>
          <w:p w:rsidR="00000000" w:rsidRDefault="00000000">
            <w:pPr>
              <w:tabs>
                <w:tab w:val="clear" w:pos="1134"/>
              </w:tabs>
              <w:spacing w:before="60"/>
              <w:ind w:right="449"/>
              <w:jc w:val="right"/>
              <w:rPr>
                <w:sz w:val="18"/>
              </w:rPr>
            </w:pPr>
          </w:p>
        </w:tc>
        <w:tc>
          <w:tcPr>
            <w:tcW w:w="743" w:type="pct"/>
            <w:shd w:val="clear" w:color="auto" w:fill="FFFFFF"/>
          </w:tcPr>
          <w:p w:rsidR="00000000" w:rsidRDefault="00000000">
            <w:pPr>
              <w:tabs>
                <w:tab w:val="clear" w:pos="1134"/>
              </w:tabs>
              <w:spacing w:before="60"/>
              <w:ind w:right="449"/>
              <w:jc w:val="right"/>
              <w:rPr>
                <w:sz w:val="18"/>
              </w:rPr>
            </w:pPr>
          </w:p>
        </w:tc>
        <w:tc>
          <w:tcPr>
            <w:tcW w:w="1071" w:type="pct"/>
            <w:shd w:val="clear" w:color="auto" w:fill="FFFFFF"/>
          </w:tcPr>
          <w:p w:rsidR="00000000" w:rsidRDefault="00000000">
            <w:pPr>
              <w:spacing w:before="60"/>
              <w:ind w:right="122"/>
              <w:jc w:val="right"/>
              <w:rPr>
                <w:sz w:val="18"/>
              </w:rPr>
            </w:pPr>
          </w:p>
        </w:tc>
      </w:tr>
      <w:tr w:rsidR="00000000">
        <w:tblPrEx>
          <w:tblCellMar>
            <w:top w:w="0" w:type="dxa"/>
            <w:bottom w:w="0" w:type="dxa"/>
          </w:tblCellMar>
        </w:tblPrEx>
        <w:trPr>
          <w:cantSplit/>
        </w:trPr>
        <w:tc>
          <w:tcPr>
            <w:tcW w:w="2332" w:type="pct"/>
            <w:shd w:val="clear" w:color="auto" w:fill="FFFFFF"/>
          </w:tcPr>
          <w:p w:rsidR="00000000" w:rsidRDefault="00000000">
            <w:pPr>
              <w:tabs>
                <w:tab w:val="left" w:pos="304"/>
              </w:tabs>
              <w:spacing w:before="60"/>
              <w:ind w:left="304" w:hanging="304"/>
              <w:rPr>
                <w:iCs/>
                <w:sz w:val="18"/>
              </w:rPr>
            </w:pPr>
            <w:r>
              <w:rPr>
                <w:iCs/>
                <w:sz w:val="18"/>
              </w:rPr>
              <w:t>Доля родов в больничных условиях (%)</w:t>
            </w:r>
          </w:p>
        </w:tc>
        <w:tc>
          <w:tcPr>
            <w:tcW w:w="854" w:type="pct"/>
            <w:shd w:val="clear" w:color="auto" w:fill="FFFFFF"/>
          </w:tcPr>
          <w:p w:rsidR="00000000" w:rsidRDefault="00000000">
            <w:pPr>
              <w:tabs>
                <w:tab w:val="clear" w:pos="1134"/>
              </w:tabs>
              <w:spacing w:before="60"/>
              <w:ind w:right="449"/>
              <w:jc w:val="right"/>
              <w:rPr>
                <w:sz w:val="18"/>
              </w:rPr>
            </w:pPr>
            <w:r>
              <w:rPr>
                <w:sz w:val="18"/>
              </w:rPr>
              <w:t>77,52</w:t>
            </w:r>
          </w:p>
        </w:tc>
        <w:tc>
          <w:tcPr>
            <w:tcW w:w="743" w:type="pct"/>
            <w:shd w:val="clear" w:color="auto" w:fill="FFFFFF"/>
          </w:tcPr>
          <w:p w:rsidR="00000000" w:rsidRDefault="00000000">
            <w:pPr>
              <w:tabs>
                <w:tab w:val="clear" w:pos="1134"/>
              </w:tabs>
              <w:spacing w:before="60"/>
              <w:ind w:right="449"/>
              <w:jc w:val="right"/>
              <w:rPr>
                <w:sz w:val="18"/>
              </w:rPr>
            </w:pPr>
            <w:r>
              <w:rPr>
                <w:sz w:val="18"/>
              </w:rPr>
              <w:t>79,80</w:t>
            </w:r>
          </w:p>
        </w:tc>
        <w:tc>
          <w:tcPr>
            <w:tcW w:w="1071" w:type="pct"/>
            <w:shd w:val="clear" w:color="auto" w:fill="FFFFFF"/>
          </w:tcPr>
          <w:p w:rsidR="00000000" w:rsidRDefault="00000000">
            <w:pPr>
              <w:spacing w:before="60"/>
              <w:ind w:right="122"/>
              <w:jc w:val="right"/>
              <w:rPr>
                <w:sz w:val="18"/>
              </w:rPr>
            </w:pPr>
            <w:r>
              <w:rPr>
                <w:sz w:val="18"/>
              </w:rPr>
              <w:t>2,9</w:t>
            </w:r>
          </w:p>
        </w:tc>
      </w:tr>
      <w:tr w:rsidR="00000000">
        <w:tblPrEx>
          <w:tblCellMar>
            <w:top w:w="0" w:type="dxa"/>
            <w:bottom w:w="0" w:type="dxa"/>
          </w:tblCellMar>
        </w:tblPrEx>
        <w:trPr>
          <w:cantSplit/>
        </w:trPr>
        <w:tc>
          <w:tcPr>
            <w:tcW w:w="2332" w:type="pct"/>
            <w:tcBorders>
              <w:bottom w:val="single" w:sz="4" w:space="0" w:color="auto"/>
            </w:tcBorders>
            <w:shd w:val="clear" w:color="auto" w:fill="FFFFFF"/>
          </w:tcPr>
          <w:p w:rsidR="00000000" w:rsidRDefault="00000000">
            <w:pPr>
              <w:tabs>
                <w:tab w:val="left" w:pos="304"/>
              </w:tabs>
              <w:spacing w:before="60"/>
              <w:rPr>
                <w:iCs/>
                <w:sz w:val="18"/>
              </w:rPr>
            </w:pPr>
            <w:r>
              <w:rPr>
                <w:iCs/>
                <w:sz w:val="18"/>
              </w:rPr>
              <w:t>Число консультаций в расчете на одну беременность</w:t>
            </w:r>
          </w:p>
        </w:tc>
        <w:tc>
          <w:tcPr>
            <w:tcW w:w="854" w:type="pct"/>
            <w:tcBorders>
              <w:bottom w:val="single" w:sz="4" w:space="0" w:color="auto"/>
            </w:tcBorders>
            <w:shd w:val="clear" w:color="auto" w:fill="FFFFFF"/>
          </w:tcPr>
          <w:p w:rsidR="00000000" w:rsidRDefault="00000000">
            <w:pPr>
              <w:tabs>
                <w:tab w:val="clear" w:pos="1134"/>
              </w:tabs>
              <w:spacing w:before="60"/>
              <w:ind w:right="449"/>
              <w:jc w:val="right"/>
              <w:rPr>
                <w:sz w:val="18"/>
              </w:rPr>
            </w:pPr>
            <w:r>
              <w:rPr>
                <w:sz w:val="18"/>
              </w:rPr>
              <w:t>3,58</w:t>
            </w:r>
          </w:p>
        </w:tc>
        <w:tc>
          <w:tcPr>
            <w:tcW w:w="743" w:type="pct"/>
            <w:tcBorders>
              <w:bottom w:val="single" w:sz="4" w:space="0" w:color="auto"/>
            </w:tcBorders>
            <w:shd w:val="clear" w:color="auto" w:fill="FFFFFF"/>
          </w:tcPr>
          <w:p w:rsidR="00000000" w:rsidRDefault="00000000">
            <w:pPr>
              <w:tabs>
                <w:tab w:val="clear" w:pos="1134"/>
              </w:tabs>
              <w:spacing w:before="60"/>
              <w:ind w:right="449"/>
              <w:jc w:val="right"/>
              <w:rPr>
                <w:sz w:val="18"/>
              </w:rPr>
            </w:pPr>
            <w:r>
              <w:rPr>
                <w:sz w:val="18"/>
              </w:rPr>
              <w:t>3,81</w:t>
            </w:r>
          </w:p>
        </w:tc>
        <w:tc>
          <w:tcPr>
            <w:tcW w:w="1071" w:type="pct"/>
            <w:tcBorders>
              <w:bottom w:val="single" w:sz="4" w:space="0" w:color="auto"/>
            </w:tcBorders>
            <w:shd w:val="clear" w:color="auto" w:fill="FFFFFF"/>
          </w:tcPr>
          <w:p w:rsidR="00000000" w:rsidRDefault="00000000">
            <w:pPr>
              <w:spacing w:before="60"/>
              <w:ind w:right="122"/>
              <w:jc w:val="right"/>
              <w:rPr>
                <w:sz w:val="18"/>
              </w:rPr>
            </w:pPr>
            <w:r>
              <w:rPr>
                <w:sz w:val="18"/>
              </w:rPr>
              <w:t>6,42</w:t>
            </w:r>
          </w:p>
        </w:tc>
      </w:tr>
    </w:tbl>
    <w:p w:rsidR="00000000" w:rsidRDefault="00000000">
      <w:pPr>
        <w:spacing w:line="240" w:lineRule="auto"/>
        <w:rPr>
          <w:sz w:val="18"/>
        </w:rPr>
      </w:pPr>
    </w:p>
    <w:p w:rsidR="00000000" w:rsidRDefault="00000000">
      <w:pPr>
        <w:spacing w:line="216" w:lineRule="auto"/>
        <w:rPr>
          <w:sz w:val="18"/>
        </w:rPr>
      </w:pPr>
      <w:r>
        <w:rPr>
          <w:i/>
          <w:iCs/>
          <w:sz w:val="18"/>
        </w:rPr>
        <w:t>Источник:</w:t>
      </w:r>
      <w:r>
        <w:rPr>
          <w:sz w:val="18"/>
        </w:rPr>
        <w:t xml:space="preserve">  Министерство здравоохранения, 2004 год.</w:t>
      </w:r>
    </w:p>
    <w:p w:rsidR="00000000" w:rsidRDefault="00000000">
      <w:pPr>
        <w:spacing w:line="216" w:lineRule="auto"/>
        <w:rPr>
          <w:sz w:val="18"/>
        </w:rPr>
      </w:pPr>
    </w:p>
    <w:p w:rsidR="00000000" w:rsidRDefault="00000000">
      <w:pPr>
        <w:spacing w:line="216" w:lineRule="auto"/>
        <w:rPr>
          <w:sz w:val="18"/>
        </w:rPr>
      </w:pPr>
      <w:r>
        <w:rPr>
          <w:b/>
          <w:bCs/>
          <w:sz w:val="18"/>
          <w:vertAlign w:val="superscript"/>
        </w:rPr>
        <w:t>*</w:t>
      </w:r>
      <w:r>
        <w:rPr>
          <w:sz w:val="18"/>
        </w:rPr>
        <w:tab/>
        <w:t>Оценка.</w:t>
      </w:r>
    </w:p>
    <w:p w:rsidR="00000000" w:rsidRDefault="00000000">
      <w:pPr>
        <w:spacing w:line="216" w:lineRule="auto"/>
        <w:rPr>
          <w:sz w:val="18"/>
        </w:rPr>
      </w:pPr>
    </w:p>
    <w:p w:rsidR="00000000" w:rsidRDefault="00000000">
      <w:pPr>
        <w:spacing w:line="216" w:lineRule="auto"/>
        <w:rPr>
          <w:sz w:val="18"/>
        </w:rPr>
      </w:pPr>
      <w:r>
        <w:rPr>
          <w:b/>
          <w:bCs/>
          <w:sz w:val="18"/>
          <w:vertAlign w:val="superscript"/>
        </w:rPr>
        <w:t>1</w:t>
      </w:r>
      <w:r>
        <w:rPr>
          <w:sz w:val="18"/>
        </w:rPr>
        <w:tab/>
        <w:t>Людские ресурсы включают весь персонал министерства здравоохранения штата, а не только персонал, непосредственно участвующий в осуществлении программы "Равный старт в жизни".</w:t>
      </w:r>
    </w:p>
    <w:p w:rsidR="00000000" w:rsidRDefault="00000000">
      <w:pPr>
        <w:spacing w:line="216" w:lineRule="auto"/>
        <w:rPr>
          <w:sz w:val="18"/>
        </w:rPr>
      </w:pPr>
    </w:p>
    <w:p w:rsidR="00000000" w:rsidRDefault="00000000"/>
    <w:p w:rsidR="00000000" w:rsidRDefault="00000000">
      <w:r>
        <w:t>541.</w:t>
      </w:r>
      <w:r>
        <w:tab/>
        <w:t>В рамках этой программы на 2006 год поставлены следующие цели:</w:t>
      </w:r>
    </w:p>
    <w:p w:rsidR="00000000" w:rsidRDefault="00000000"/>
    <w:p w:rsidR="00000000" w:rsidRDefault="00000000">
      <w:pPr>
        <w:numPr>
          <w:ilvl w:val="0"/>
          <w:numId w:val="402"/>
        </w:numPr>
      </w:pPr>
      <w:r>
        <w:t>предотвратить как минимум 420 смертей среди матерей;</w:t>
      </w:r>
    </w:p>
    <w:p w:rsidR="00000000" w:rsidRDefault="00000000">
      <w:pPr>
        <w:tabs>
          <w:tab w:val="clear" w:pos="1134"/>
        </w:tabs>
        <w:rPr>
          <w:lang w:val="en-US"/>
        </w:rPr>
      </w:pPr>
    </w:p>
    <w:p w:rsidR="00000000" w:rsidRDefault="00000000">
      <w:pPr>
        <w:numPr>
          <w:ilvl w:val="0"/>
          <w:numId w:val="402"/>
        </w:numPr>
      </w:pPr>
      <w:r>
        <w:t>предотвратить 4 000 смертей среди новорожденных;</w:t>
      </w:r>
    </w:p>
    <w:p w:rsidR="00000000" w:rsidRDefault="00000000">
      <w:pPr>
        <w:tabs>
          <w:tab w:val="clear" w:pos="1134"/>
        </w:tabs>
        <w:rPr>
          <w:lang w:val="en-US"/>
        </w:rPr>
      </w:pPr>
    </w:p>
    <w:p w:rsidR="00000000" w:rsidRDefault="00000000">
      <w:pPr>
        <w:numPr>
          <w:ilvl w:val="0"/>
          <w:numId w:val="402"/>
        </w:numPr>
      </w:pPr>
      <w:r>
        <w:t>предотвратить 12 000 смертей детей в возрасте младше двух лет.</w:t>
      </w:r>
    </w:p>
    <w:p w:rsidR="00000000" w:rsidRDefault="00000000">
      <w:pPr>
        <w:rPr>
          <w:b/>
          <w:bCs/>
        </w:rPr>
      </w:pPr>
      <w:r>
        <w:rPr>
          <w:b/>
          <w:bCs/>
        </w:rPr>
        <w:t>Пункт 51 f)</w:t>
      </w:r>
    </w:p>
    <w:p w:rsidR="00000000" w:rsidRDefault="00000000">
      <w:pPr>
        <w:rPr>
          <w:b/>
          <w:bCs/>
        </w:rPr>
      </w:pPr>
    </w:p>
    <w:p w:rsidR="00000000" w:rsidRDefault="00000000">
      <w:pPr>
        <w:rPr>
          <w:b/>
          <w:bCs/>
        </w:rPr>
      </w:pPr>
      <w:r>
        <w:rPr>
          <w:b/>
          <w:bCs/>
        </w:rPr>
        <w:tab/>
        <w:t>Водоснабжение</w:t>
      </w:r>
    </w:p>
    <w:p w:rsidR="00000000" w:rsidRDefault="00000000">
      <w:pPr>
        <w:rPr>
          <w:b/>
          <w:bCs/>
        </w:rPr>
      </w:pPr>
    </w:p>
    <w:p w:rsidR="00000000" w:rsidRDefault="00000000">
      <w:r>
        <w:t>542.</w:t>
      </w:r>
      <w:r>
        <w:tab/>
        <w:t>Для повышения эффективности дезинфекции питьевой воды Национальная комиссия водоснабжения (НКВ) приступила к осуществлению программы, в соответствии с которой теперь плату за воду получают муниципии, что должно дать им возможность повышать эффективность хлорирования и совершенствовать инфраструктуру снабжения питьевой водой и канализации.</w:t>
      </w:r>
    </w:p>
    <w:p w:rsidR="00000000" w:rsidRDefault="00000000"/>
    <w:p w:rsidR="00000000" w:rsidRDefault="00000000">
      <w:r>
        <w:t>543.</w:t>
      </w:r>
      <w:r>
        <w:tab/>
        <w:t>Совместно с министерством здравоохранения и НКВ ведется работа по ряду направлений, таких, как разработка типового справочника и методики определения содержания остаточного хлора, составление проекта и реализация системы информирования по вопросам эффективности обеззараживания воды и выработка договоренностей о координации на уровне штатов в целях поощрения и осуществления мероприятий по охране здоровья населения от санитарных рисков, обусловленных воздействием физических, химических и биологических агентов, присутствующих в воде, и профилактика заболеваний, переносимых водой.</w:t>
      </w:r>
    </w:p>
    <w:p w:rsidR="00000000" w:rsidRDefault="00000000"/>
    <w:p w:rsidR="00000000" w:rsidRDefault="00000000">
      <w:r>
        <w:t>544.</w:t>
      </w:r>
      <w:r>
        <w:tab/>
        <w:t>В 2003 году было проведено 4 170 340 анализов содержания хлора в воде, подаваемой в дома.</w:t>
      </w:r>
    </w:p>
    <w:p w:rsidR="00000000" w:rsidRDefault="00000000"/>
    <w:p w:rsidR="00000000" w:rsidRDefault="00000000">
      <w:r>
        <w:t>545.</w:t>
      </w:r>
      <w:r>
        <w:tab/>
        <w:t>83,39% населения обеспечивается водой микробиологического качества.</w:t>
      </w:r>
    </w:p>
    <w:p w:rsidR="00000000" w:rsidRDefault="00000000"/>
    <w:p w:rsidR="00000000" w:rsidRDefault="00000000">
      <w:r>
        <w:t>546.</w:t>
      </w:r>
      <w:r>
        <w:tab/>
        <w:t>В 2004 году будет проведен комплекс мероприятий по обеспечению чистоты цистерн для воды.</w:t>
      </w:r>
    </w:p>
    <w:p w:rsidR="00000000" w:rsidRDefault="00000000"/>
    <w:p w:rsidR="00000000" w:rsidRDefault="00000000">
      <w:r>
        <w:t>547.</w:t>
      </w:r>
      <w:r>
        <w:tab/>
        <w:t>В 2004 году будет проведено выборочное обследование, в ходе которого основное внимание будет уделяться системам водоснабжения, густонаселенным районам и районам с перебоями в водоснабжении;  будут определены районы с высоким риском, например автостанции, рынки и т.п.</w:t>
      </w:r>
    </w:p>
    <w:p w:rsidR="00000000" w:rsidRDefault="00000000"/>
    <w:p w:rsidR="00000000" w:rsidRDefault="00000000">
      <w:r>
        <w:t>548.</w:t>
      </w:r>
      <w:r>
        <w:tab/>
        <w:t>Поскольку мышьяк и фтор - два наиболее изученных химических загрязнителя - широко распространены на значительной части территории страны, Мексиканский институт технологии водоснабжения (ИМТА), Федеральная комиссия по борьбе с санитарными рисками (ФКСР) и НКВ разработают приоритетные проекты принятия ответных мер ФКСР, результаты которых будут задавать направления будущих ответных мер в других штатах, которые сталкиваются с теми же проблемами.</w:t>
      </w:r>
    </w:p>
    <w:p w:rsidR="00000000" w:rsidRDefault="00000000"/>
    <w:p w:rsidR="00000000" w:rsidRDefault="00000000">
      <w:r>
        <w:t>549.</w:t>
      </w:r>
      <w:r>
        <w:tab/>
        <w:t>В то же время ФКСР разработан план на 2003-2004 годы, предусматривающий обучение сотрудников и минимальное оснащение лабораторий с учетом приоритетов и потребностей штатов и регионов в целях определения содержания фтора и мышьяка и других физико-химических параметров, а также проведения полного анализа качества воды для использования и потребления людьми в стране.</w:t>
      </w:r>
    </w:p>
    <w:p w:rsidR="00000000" w:rsidRDefault="00000000"/>
    <w:p w:rsidR="00000000" w:rsidRDefault="00000000">
      <w:r>
        <w:t>550.</w:t>
      </w:r>
      <w:r>
        <w:tab/>
        <w:t>В 1998-2001 годах вырос импорт химических средств очистки воды низкой токсичности (класс IV) (с 64 до 70%), которые представляют меньшую опасность для здоровья, и уменьшился ввоз исключительно токсичных средств очистки (с 5 до 3%);  кроме того, было полностью прекращено использование ДДТ как средства борьбы с малярией.</w:t>
      </w:r>
    </w:p>
    <w:p w:rsidR="00000000" w:rsidRDefault="00000000"/>
    <w:p w:rsidR="00000000" w:rsidRDefault="00000000">
      <w:r>
        <w:t>551.</w:t>
      </w:r>
      <w:r>
        <w:tab/>
        <w:t>В рамках международного сотрудничества Комиссией по сотрудничеству в области окружающей среды рассматривается вопрос об уходе с рынка товаров, произведенных на основе линдана, используемых для борьбы с педикулезом, и технического линдана для сельского хозяйства.</w:t>
      </w:r>
    </w:p>
    <w:p w:rsidR="00000000" w:rsidRDefault="00000000"/>
    <w:p w:rsidR="00000000" w:rsidRDefault="00000000">
      <w:pPr>
        <w:rPr>
          <w:b/>
          <w:bCs/>
        </w:rPr>
      </w:pPr>
      <w:r>
        <w:tab/>
      </w:r>
      <w:r>
        <w:rPr>
          <w:b/>
          <w:bCs/>
        </w:rPr>
        <w:t>Воздух</w:t>
      </w:r>
    </w:p>
    <w:p w:rsidR="00000000" w:rsidRDefault="00000000">
      <w:pPr>
        <w:rPr>
          <w:b/>
          <w:bCs/>
        </w:rPr>
      </w:pPr>
    </w:p>
    <w:p w:rsidR="00000000" w:rsidRDefault="00000000">
      <w:r>
        <w:t>552.</w:t>
      </w:r>
      <w:r>
        <w:tab/>
        <w:t>В рамках Комиссии Мехико по окружающей среде в соответствии с программой повышения качества воздуха (ПРОАИРЕ) ФКСР проведет с использованием самых современных технологий скринирование детского населения школьного возраста и взрослых в возрасте старше 65 лет в Мехико и окрестных районах долины Мехико одновременно с мониторингом загрязнителей атмосферы, включая озон, твердые частицы диаметром 10 и 2,5 мкм, двуокись азота и органический и элементарный углерод.</w:t>
      </w:r>
    </w:p>
    <w:p w:rsidR="00000000" w:rsidRDefault="00000000"/>
    <w:p w:rsidR="00000000" w:rsidRDefault="00000000">
      <w:r>
        <w:t>553.</w:t>
      </w:r>
      <w:r>
        <w:tab/>
        <w:t>Будет реализована система контроля за санитарными последствиями, которые связаны с воздействием этих загрязняющих веществ, в рамках которой будет на постоянной основе вестись контроль за такого рода симптомами для определения их возможной связи с повышением уровней подверженности влиянию указанных выше загрязнителей.</w:t>
      </w:r>
    </w:p>
    <w:p w:rsidR="00000000" w:rsidRDefault="00000000"/>
    <w:p w:rsidR="00000000" w:rsidRDefault="00000000">
      <w:r>
        <w:t>554.</w:t>
      </w:r>
      <w:r>
        <w:tab/>
        <w:t>Считается, что примерно в 17% общего числа домов в сельских и пригородных районах в качестве топлива используется биомасса, что связано с загрязнением воздуха в закрытых помещениях, вызывая возрастание риска легочных заболеваний, которому в первую очередь подвержены дети, женщины и пожилые.  В 2004 году в координации с Национальным институтом здравоохранения будет проведено исследование по вопросу об использовании в сельских районах с коренным населением печей новой конструкции в целях уменьшения бытового загрязнения воздуха.</w:t>
      </w:r>
    </w:p>
    <w:p w:rsidR="00000000" w:rsidRDefault="00000000">
      <w:r>
        <w:t>555.</w:t>
      </w:r>
      <w:r>
        <w:tab/>
        <w:t>ФКСР проводит анализы качества морской воды на 218 пляжах в 33 курортах.</w:t>
      </w:r>
    </w:p>
    <w:p w:rsidR="00000000" w:rsidRDefault="00000000"/>
    <w:p w:rsidR="00000000" w:rsidRDefault="00000000">
      <w:r>
        <w:t>556.</w:t>
      </w:r>
      <w:r>
        <w:tab/>
        <w:t>В координации с НКВ были созданы местные комитеты по пляжам для разработки совместных мероприятий по обеспечению чистоты в местах развития туризма.</w:t>
      </w:r>
    </w:p>
    <w:p w:rsidR="00000000" w:rsidRDefault="00000000"/>
    <w:p w:rsidR="00000000" w:rsidRDefault="00000000">
      <w:r>
        <w:t>557.</w:t>
      </w:r>
      <w:r>
        <w:tab/>
        <w:t>Было проведено три эпидемиологических обследования состояния тех пляжей, где зафиксированы наиболее высокие показатели загрязнения фекальным энтерококком в целях установления уровней этого загрязнителей и предотвращения опасности для здоровья.  Эти обследования показали, что международные критерии, принятые ВОЗ, правильны и позволяют считать, что имеющийся риск минимален.</w:t>
      </w:r>
    </w:p>
    <w:p w:rsidR="00000000" w:rsidRDefault="00000000"/>
    <w:p w:rsidR="00000000" w:rsidRDefault="00000000">
      <w:r>
        <w:t>558.</w:t>
      </w:r>
      <w:r>
        <w:tab/>
        <w:t>В 2004 году в районе высокого риска будет проведено эпидемиологическое исследование по вопросу использования неочищенных сточных вод для орошения в сельском хозяйстве, в частности в овощеводстве, в целях анализа риска.</w:t>
      </w:r>
    </w:p>
    <w:p w:rsidR="00000000" w:rsidRDefault="00000000"/>
    <w:p w:rsidR="00000000" w:rsidRDefault="00000000">
      <w:r>
        <w:t>559.</w:t>
      </w:r>
      <w:r>
        <w:tab/>
        <w:t>Серьезная опасность для здоровья связана в стране с содержанием свинца в глазурованной керамической посуде, и для установления масштабов этой проблемы ФКСР реализует проект устранения подверженности воздействию оксида свинца среди населения, занятого в производстве или использующего керамическую посуду для приготовления, употребления или хранения еды и питья, цель которого заключается в снижении содержания свинца в крови этой группы населения.  В настоящее время в штате Мехико осуществляется экспериментальный проект, который впоследствии должен быть осуществлен в других штатах Республики, где производится и используется такая посуда.</w:t>
      </w:r>
    </w:p>
    <w:p w:rsidR="00000000" w:rsidRDefault="00000000">
      <w:pPr>
        <w:spacing w:line="240" w:lineRule="auto"/>
      </w:pPr>
    </w:p>
    <w:p w:rsidR="00000000" w:rsidRDefault="00000000">
      <w:pPr>
        <w:keepNext/>
        <w:spacing w:line="240" w:lineRule="auto"/>
      </w:pPr>
      <w:r>
        <w:rPr>
          <w:b/>
          <w:bCs/>
        </w:rPr>
        <w:t xml:space="preserve">Пункт 51 </w:t>
      </w:r>
      <w:r>
        <w:rPr>
          <w:b/>
          <w:bCs/>
          <w:lang w:val="en-US"/>
        </w:rPr>
        <w:t>g</w:t>
      </w:r>
      <w:r>
        <w:rPr>
          <w:b/>
          <w:bCs/>
        </w:rPr>
        <w:t>)</w:t>
      </w:r>
    </w:p>
    <w:p w:rsidR="00000000" w:rsidRDefault="00000000">
      <w:pPr>
        <w:keepNext/>
        <w:spacing w:line="240" w:lineRule="auto"/>
      </w:pPr>
    </w:p>
    <w:p w:rsidR="00000000" w:rsidRDefault="00000000">
      <w:r>
        <w:t>560.</w:t>
      </w:r>
      <w:r>
        <w:tab/>
        <w:t>Чтобы способствовать повышению уровня здоровья населения Мексики, на основе укрепления и координации контроля, профилактики и борьбы с наиболее распространенными, вновь появившимися и новыми заболеваниями, которые затрагивают общество в его различных группах, министерство здравоохранения ведет в рамках своих различных программ работу по профилактике, лечению и ликвидации такого рода заболеваний.</w:t>
      </w:r>
    </w:p>
    <w:p w:rsidR="00000000" w:rsidRDefault="00000000"/>
    <w:p w:rsidR="00000000" w:rsidRDefault="00000000">
      <w:pPr>
        <w:keepNext/>
        <w:ind w:left="567"/>
        <w:rPr>
          <w:b/>
          <w:bCs/>
        </w:rPr>
      </w:pPr>
      <w:r>
        <w:rPr>
          <w:b/>
          <w:bCs/>
        </w:rPr>
        <w:t>Денге</w:t>
      </w:r>
    </w:p>
    <w:p w:rsidR="00000000" w:rsidRDefault="00000000">
      <w:pPr>
        <w:keepNext/>
        <w:ind w:left="567"/>
        <w:rPr>
          <w:b/>
          <w:bCs/>
        </w:rPr>
      </w:pPr>
    </w:p>
    <w:p w:rsidR="00000000" w:rsidRDefault="00000000">
      <w:r>
        <w:t>561.</w:t>
      </w:r>
      <w:r>
        <w:tab/>
        <w:t xml:space="preserve">Обычная лихорадка денге и геморрагическая лихорадка денге в различных районах страны, подвергающихся риску, находятся под эпидемиологическим контролем.  Хотя наблюдаются отдельные вспышки болезни, они в основном связаны с одновременной циркуляцией двух серотипов в одной и той же области.  Кроме того, разрушительные </w:t>
      </w:r>
    </w:p>
    <w:p w:rsidR="00000000" w:rsidRDefault="00000000">
      <w:r>
        <w:br w:type="page"/>
        <w:t>последствия тропических ураганов и штормов в прибрежных районах страны также стали одной из причин возникновения новых вспышек в районах, где это заболевание было уже искоренено.</w:t>
      </w:r>
    </w:p>
    <w:p w:rsidR="00000000" w:rsidRDefault="00000000"/>
    <w:p w:rsidR="00000000" w:rsidRDefault="00000000">
      <w:r>
        <w:t>562.</w:t>
      </w:r>
      <w:r>
        <w:tab/>
        <w:t>В 2003 году заболеваемость от обычной денге снизилась на 28,3%.  Кроме того, было достигнуто снижение числа случаев на более чем 60% по сравнению с годом ранее.  В период 2001</w:t>
      </w:r>
      <w:r>
        <w:noBreakHyphen/>
        <w:t>2003 годов заболеваемость от обычной лихорадки денге оставалась ниже уровня, установленного в национальной программе здравоохранения </w:t>
      </w:r>
      <w:r>
        <w:noBreakHyphen/>
        <w:t xml:space="preserve"> 20 заболеваний за 100 000 жителей.</w:t>
      </w:r>
    </w:p>
    <w:p w:rsidR="00000000" w:rsidRDefault="00000000"/>
    <w:p w:rsidR="00000000" w:rsidRDefault="00000000">
      <w:r>
        <w:t>563.</w:t>
      </w:r>
      <w:r>
        <w:tab/>
        <w:t>Смертность от геморрагической лихорадки денге остается ниже 2%;  этот показатель сохраняется на протяжении последних трех лет.</w:t>
      </w:r>
    </w:p>
    <w:p w:rsidR="00000000" w:rsidRDefault="00000000"/>
    <w:tbl>
      <w:tblPr>
        <w:tblW w:w="0" w:type="auto"/>
        <w:tblInd w:w="113" w:type="dxa"/>
        <w:tblLayout w:type="fixed"/>
        <w:tblCellMar>
          <w:top w:w="57" w:type="dxa"/>
          <w:left w:w="113" w:type="dxa"/>
          <w:bottom w:w="57" w:type="dxa"/>
          <w:right w:w="113" w:type="dxa"/>
        </w:tblCellMar>
        <w:tblLook w:val="0000" w:firstRow="0" w:lastRow="0" w:firstColumn="0" w:lastColumn="0" w:noHBand="0" w:noVBand="0"/>
      </w:tblPr>
      <w:tblGrid>
        <w:gridCol w:w="5054"/>
        <w:gridCol w:w="1074"/>
        <w:gridCol w:w="1074"/>
        <w:gridCol w:w="1074"/>
        <w:gridCol w:w="1074"/>
      </w:tblGrid>
      <w:tr w:rsidR="00000000">
        <w:trPr>
          <w:cantSplit/>
        </w:trPr>
        <w:tc>
          <w:tcPr>
            <w:tcW w:w="5054" w:type="dxa"/>
            <w:tcBorders>
              <w:top w:val="single" w:sz="4" w:space="0" w:color="auto"/>
              <w:bottom w:val="single" w:sz="4" w:space="0" w:color="auto"/>
            </w:tcBorders>
          </w:tcPr>
          <w:p w:rsidR="00000000" w:rsidRDefault="00000000">
            <w:pPr>
              <w:jc w:val="center"/>
              <w:rPr>
                <w:i/>
                <w:iCs/>
                <w:sz w:val="18"/>
              </w:rPr>
            </w:pPr>
            <w:r>
              <w:rPr>
                <w:i/>
                <w:iCs/>
                <w:sz w:val="18"/>
              </w:rPr>
              <w:t>Коэффициент</w:t>
            </w:r>
          </w:p>
        </w:tc>
        <w:tc>
          <w:tcPr>
            <w:tcW w:w="1074" w:type="dxa"/>
            <w:tcBorders>
              <w:top w:val="single" w:sz="4" w:space="0" w:color="auto"/>
              <w:bottom w:val="single" w:sz="4" w:space="0" w:color="auto"/>
            </w:tcBorders>
          </w:tcPr>
          <w:p w:rsidR="00000000" w:rsidRDefault="00000000">
            <w:pPr>
              <w:jc w:val="center"/>
              <w:rPr>
                <w:i/>
                <w:iCs/>
                <w:sz w:val="18"/>
              </w:rPr>
            </w:pPr>
            <w:r>
              <w:rPr>
                <w:i/>
                <w:iCs/>
                <w:sz w:val="18"/>
              </w:rPr>
              <w:t>2000</w:t>
            </w:r>
          </w:p>
        </w:tc>
        <w:tc>
          <w:tcPr>
            <w:tcW w:w="1074" w:type="dxa"/>
            <w:tcBorders>
              <w:top w:val="single" w:sz="4" w:space="0" w:color="auto"/>
              <w:bottom w:val="single" w:sz="4" w:space="0" w:color="auto"/>
            </w:tcBorders>
          </w:tcPr>
          <w:p w:rsidR="00000000" w:rsidRDefault="00000000">
            <w:pPr>
              <w:jc w:val="center"/>
              <w:rPr>
                <w:i/>
                <w:iCs/>
                <w:sz w:val="18"/>
              </w:rPr>
            </w:pPr>
            <w:r>
              <w:rPr>
                <w:i/>
                <w:iCs/>
                <w:sz w:val="18"/>
              </w:rPr>
              <w:t>2001</w:t>
            </w:r>
          </w:p>
        </w:tc>
        <w:tc>
          <w:tcPr>
            <w:tcW w:w="1074" w:type="dxa"/>
            <w:tcBorders>
              <w:top w:val="single" w:sz="4" w:space="0" w:color="auto"/>
              <w:bottom w:val="single" w:sz="4" w:space="0" w:color="auto"/>
            </w:tcBorders>
          </w:tcPr>
          <w:p w:rsidR="00000000" w:rsidRDefault="00000000">
            <w:pPr>
              <w:jc w:val="center"/>
              <w:rPr>
                <w:i/>
                <w:iCs/>
                <w:sz w:val="18"/>
              </w:rPr>
            </w:pPr>
            <w:r>
              <w:rPr>
                <w:i/>
                <w:iCs/>
                <w:sz w:val="18"/>
              </w:rPr>
              <w:t>2002</w:t>
            </w:r>
          </w:p>
        </w:tc>
        <w:tc>
          <w:tcPr>
            <w:tcW w:w="1074" w:type="dxa"/>
            <w:tcBorders>
              <w:top w:val="single" w:sz="4" w:space="0" w:color="auto"/>
              <w:bottom w:val="single" w:sz="4" w:space="0" w:color="auto"/>
            </w:tcBorders>
          </w:tcPr>
          <w:p w:rsidR="00000000" w:rsidRDefault="00000000">
            <w:pPr>
              <w:jc w:val="center"/>
              <w:rPr>
                <w:i/>
                <w:iCs/>
                <w:sz w:val="18"/>
              </w:rPr>
            </w:pPr>
            <w:r>
              <w:rPr>
                <w:i/>
                <w:iCs/>
                <w:sz w:val="18"/>
              </w:rPr>
              <w:t>2003</w:t>
            </w:r>
            <w:r>
              <w:rPr>
                <w:b/>
                <w:bCs/>
                <w:i/>
                <w:iCs/>
                <w:sz w:val="18"/>
              </w:rPr>
              <w:t>*</w:t>
            </w:r>
          </w:p>
        </w:tc>
      </w:tr>
      <w:tr w:rsidR="00000000">
        <w:trPr>
          <w:cantSplit/>
        </w:trPr>
        <w:tc>
          <w:tcPr>
            <w:tcW w:w="5054" w:type="dxa"/>
            <w:tcBorders>
              <w:top w:val="single" w:sz="4" w:space="0" w:color="auto"/>
            </w:tcBorders>
          </w:tcPr>
          <w:p w:rsidR="00000000" w:rsidRDefault="00000000">
            <w:pPr>
              <w:rPr>
                <w:sz w:val="18"/>
              </w:rPr>
            </w:pPr>
            <w:r>
              <w:rPr>
                <w:sz w:val="18"/>
              </w:rPr>
              <w:t>Заболеваемость обычной лихорадкой денге</w:t>
            </w:r>
            <w:r>
              <w:rPr>
                <w:b/>
                <w:bCs/>
                <w:sz w:val="18"/>
                <w:vertAlign w:val="superscript"/>
              </w:rPr>
              <w:t>1</w:t>
            </w:r>
          </w:p>
        </w:tc>
        <w:tc>
          <w:tcPr>
            <w:tcW w:w="1074" w:type="dxa"/>
            <w:tcBorders>
              <w:top w:val="single" w:sz="4" w:space="0" w:color="auto"/>
            </w:tcBorders>
          </w:tcPr>
          <w:p w:rsidR="00000000" w:rsidRDefault="00000000">
            <w:pPr>
              <w:jc w:val="center"/>
              <w:rPr>
                <w:sz w:val="18"/>
              </w:rPr>
            </w:pPr>
            <w:r>
              <w:rPr>
                <w:sz w:val="18"/>
              </w:rPr>
              <w:t>1,7</w:t>
            </w:r>
          </w:p>
        </w:tc>
        <w:tc>
          <w:tcPr>
            <w:tcW w:w="1074" w:type="dxa"/>
            <w:tcBorders>
              <w:top w:val="single" w:sz="4" w:space="0" w:color="auto"/>
            </w:tcBorders>
          </w:tcPr>
          <w:p w:rsidR="00000000" w:rsidRDefault="00000000">
            <w:pPr>
              <w:jc w:val="center"/>
              <w:rPr>
                <w:sz w:val="18"/>
              </w:rPr>
            </w:pPr>
            <w:r>
              <w:rPr>
                <w:sz w:val="18"/>
              </w:rPr>
              <w:t>4,6</w:t>
            </w:r>
          </w:p>
        </w:tc>
        <w:tc>
          <w:tcPr>
            <w:tcW w:w="1074" w:type="dxa"/>
            <w:tcBorders>
              <w:top w:val="single" w:sz="4" w:space="0" w:color="auto"/>
            </w:tcBorders>
          </w:tcPr>
          <w:p w:rsidR="00000000" w:rsidRDefault="00000000">
            <w:pPr>
              <w:jc w:val="center"/>
              <w:rPr>
                <w:sz w:val="18"/>
              </w:rPr>
            </w:pPr>
            <w:r>
              <w:rPr>
                <w:sz w:val="18"/>
              </w:rPr>
              <w:t>12,9</w:t>
            </w:r>
          </w:p>
        </w:tc>
        <w:tc>
          <w:tcPr>
            <w:tcW w:w="1074" w:type="dxa"/>
            <w:tcBorders>
              <w:top w:val="single" w:sz="4" w:space="0" w:color="auto"/>
            </w:tcBorders>
          </w:tcPr>
          <w:p w:rsidR="00000000" w:rsidRDefault="00000000">
            <w:pPr>
              <w:jc w:val="center"/>
              <w:rPr>
                <w:sz w:val="18"/>
              </w:rPr>
            </w:pPr>
            <w:r>
              <w:rPr>
                <w:sz w:val="18"/>
              </w:rPr>
              <w:t>4,8</w:t>
            </w:r>
          </w:p>
        </w:tc>
      </w:tr>
      <w:tr w:rsidR="00000000">
        <w:trPr>
          <w:cantSplit/>
        </w:trPr>
        <w:tc>
          <w:tcPr>
            <w:tcW w:w="5054" w:type="dxa"/>
            <w:tcBorders>
              <w:bottom w:val="single" w:sz="4" w:space="0" w:color="auto"/>
            </w:tcBorders>
          </w:tcPr>
          <w:p w:rsidR="00000000" w:rsidRDefault="00000000">
            <w:pPr>
              <w:rPr>
                <w:sz w:val="18"/>
              </w:rPr>
            </w:pPr>
            <w:r>
              <w:rPr>
                <w:sz w:val="18"/>
              </w:rPr>
              <w:t>Смертность от геморрагической денге</w:t>
            </w:r>
            <w:r>
              <w:rPr>
                <w:b/>
                <w:bCs/>
                <w:sz w:val="18"/>
                <w:vertAlign w:val="superscript"/>
              </w:rPr>
              <w:t>2</w:t>
            </w:r>
          </w:p>
        </w:tc>
        <w:tc>
          <w:tcPr>
            <w:tcW w:w="1074" w:type="dxa"/>
            <w:tcBorders>
              <w:bottom w:val="single" w:sz="4" w:space="0" w:color="auto"/>
            </w:tcBorders>
          </w:tcPr>
          <w:p w:rsidR="00000000" w:rsidRDefault="00000000">
            <w:pPr>
              <w:jc w:val="center"/>
              <w:rPr>
                <w:sz w:val="18"/>
              </w:rPr>
            </w:pPr>
            <w:r>
              <w:rPr>
                <w:sz w:val="18"/>
              </w:rPr>
              <w:t>0</w:t>
            </w:r>
          </w:p>
        </w:tc>
        <w:tc>
          <w:tcPr>
            <w:tcW w:w="1074" w:type="dxa"/>
            <w:tcBorders>
              <w:bottom w:val="single" w:sz="4" w:space="0" w:color="auto"/>
            </w:tcBorders>
          </w:tcPr>
          <w:p w:rsidR="00000000" w:rsidRDefault="00000000">
            <w:pPr>
              <w:jc w:val="center"/>
              <w:rPr>
                <w:sz w:val="18"/>
              </w:rPr>
            </w:pPr>
            <w:r>
              <w:rPr>
                <w:sz w:val="18"/>
              </w:rPr>
              <w:t>0,3</w:t>
            </w:r>
          </w:p>
        </w:tc>
        <w:tc>
          <w:tcPr>
            <w:tcW w:w="1074" w:type="dxa"/>
            <w:tcBorders>
              <w:bottom w:val="single" w:sz="4" w:space="0" w:color="auto"/>
            </w:tcBorders>
          </w:tcPr>
          <w:p w:rsidR="00000000" w:rsidRDefault="00000000">
            <w:pPr>
              <w:jc w:val="center"/>
              <w:rPr>
                <w:sz w:val="18"/>
              </w:rPr>
            </w:pPr>
            <w:r>
              <w:rPr>
                <w:sz w:val="18"/>
              </w:rPr>
              <w:t>0,4</w:t>
            </w:r>
          </w:p>
        </w:tc>
        <w:tc>
          <w:tcPr>
            <w:tcW w:w="1074" w:type="dxa"/>
            <w:tcBorders>
              <w:bottom w:val="single" w:sz="4" w:space="0" w:color="auto"/>
            </w:tcBorders>
          </w:tcPr>
          <w:p w:rsidR="00000000" w:rsidRDefault="00000000">
            <w:pPr>
              <w:jc w:val="center"/>
              <w:rPr>
                <w:sz w:val="18"/>
              </w:rPr>
            </w:pPr>
            <w:r>
              <w:rPr>
                <w:sz w:val="18"/>
              </w:rPr>
              <w:t>0,8</w:t>
            </w:r>
          </w:p>
        </w:tc>
      </w:tr>
    </w:tbl>
    <w:p w:rsidR="00000000" w:rsidRDefault="00000000">
      <w:pPr>
        <w:keepNext/>
        <w:spacing w:line="216" w:lineRule="auto"/>
      </w:pPr>
    </w:p>
    <w:p w:rsidR="00000000" w:rsidRDefault="00000000">
      <w:pPr>
        <w:keepNext/>
        <w:spacing w:line="216" w:lineRule="auto"/>
        <w:rPr>
          <w:sz w:val="18"/>
        </w:rPr>
      </w:pPr>
      <w:r>
        <w:rPr>
          <w:i/>
          <w:iCs/>
          <w:sz w:val="18"/>
        </w:rPr>
        <w:t>Источник:</w:t>
      </w:r>
      <w:r>
        <w:rPr>
          <w:sz w:val="18"/>
        </w:rPr>
        <w:t xml:space="preserve">  министерство здравоохранения.</w:t>
      </w:r>
    </w:p>
    <w:p w:rsidR="00000000" w:rsidRDefault="00000000">
      <w:pPr>
        <w:keepNext/>
        <w:spacing w:line="216" w:lineRule="auto"/>
        <w:rPr>
          <w:sz w:val="18"/>
        </w:rPr>
      </w:pPr>
    </w:p>
    <w:p w:rsidR="00000000" w:rsidRDefault="00000000">
      <w:pPr>
        <w:keepNext/>
        <w:spacing w:line="216" w:lineRule="auto"/>
        <w:rPr>
          <w:sz w:val="18"/>
        </w:rPr>
      </w:pPr>
      <w:r>
        <w:rPr>
          <w:b/>
          <w:bCs/>
          <w:sz w:val="18"/>
        </w:rPr>
        <w:t>*</w:t>
      </w:r>
      <w:r>
        <w:rPr>
          <w:sz w:val="18"/>
        </w:rPr>
        <w:tab/>
        <w:t>Оценка.</w:t>
      </w:r>
    </w:p>
    <w:p w:rsidR="00000000" w:rsidRDefault="00000000">
      <w:pPr>
        <w:keepNext/>
        <w:spacing w:line="216" w:lineRule="auto"/>
        <w:rPr>
          <w:sz w:val="18"/>
        </w:rPr>
      </w:pPr>
    </w:p>
    <w:p w:rsidR="00000000" w:rsidRDefault="00000000">
      <w:pPr>
        <w:keepNext/>
        <w:spacing w:line="216" w:lineRule="auto"/>
        <w:rPr>
          <w:sz w:val="18"/>
        </w:rPr>
      </w:pPr>
      <w:r>
        <w:rPr>
          <w:b/>
          <w:bCs/>
          <w:sz w:val="18"/>
          <w:vertAlign w:val="superscript"/>
        </w:rPr>
        <w:t>1</w:t>
      </w:r>
      <w:r>
        <w:rPr>
          <w:sz w:val="18"/>
        </w:rPr>
        <w:tab/>
        <w:t>На 100 000 человек населения, по данным НСН.</w:t>
      </w:r>
    </w:p>
    <w:p w:rsidR="00000000" w:rsidRDefault="00000000">
      <w:pPr>
        <w:keepNext/>
        <w:spacing w:line="216" w:lineRule="auto"/>
        <w:rPr>
          <w:sz w:val="18"/>
        </w:rPr>
      </w:pPr>
    </w:p>
    <w:p w:rsidR="00000000" w:rsidRDefault="00000000">
      <w:pPr>
        <w:keepNext/>
        <w:spacing w:line="216" w:lineRule="auto"/>
        <w:rPr>
          <w:sz w:val="18"/>
        </w:rPr>
      </w:pPr>
      <w:r>
        <w:rPr>
          <w:b/>
          <w:bCs/>
          <w:sz w:val="18"/>
          <w:vertAlign w:val="superscript"/>
        </w:rPr>
        <w:t>2</w:t>
      </w:r>
      <w:r>
        <w:rPr>
          <w:sz w:val="18"/>
        </w:rPr>
        <w:tab/>
        <w:t>На 100 случаев заболевания геморрагической денге.</w:t>
      </w:r>
    </w:p>
    <w:p w:rsidR="00000000" w:rsidRDefault="00000000">
      <w:pPr>
        <w:spacing w:line="216" w:lineRule="auto"/>
      </w:pPr>
    </w:p>
    <w:p w:rsidR="00000000" w:rsidRDefault="00000000">
      <w:pPr>
        <w:keepNext/>
        <w:ind w:left="567"/>
        <w:rPr>
          <w:b/>
          <w:bCs/>
        </w:rPr>
      </w:pPr>
      <w:r>
        <w:rPr>
          <w:b/>
          <w:bCs/>
        </w:rPr>
        <w:t>Малярия</w:t>
      </w:r>
    </w:p>
    <w:p w:rsidR="00000000" w:rsidRDefault="00000000">
      <w:pPr>
        <w:keepNext/>
        <w:ind w:left="567"/>
        <w:rPr>
          <w:b/>
          <w:bCs/>
        </w:rPr>
      </w:pPr>
    </w:p>
    <w:p w:rsidR="00000000" w:rsidRDefault="00000000">
      <w:r>
        <w:t>564.</w:t>
      </w:r>
      <w:r>
        <w:tab/>
        <w:t>В 2003 году было зарегистрировано самое низкое число заболеваний малярией, которое уменьшилось на 21,7% по сравнению с годом ранее, а по сравнению с 2000 годом снижение за три года составило 51%.</w:t>
      </w:r>
    </w:p>
    <w:p w:rsidR="00000000" w:rsidRDefault="00000000"/>
    <w:p w:rsidR="00000000" w:rsidRDefault="00000000">
      <w:r>
        <w:t>565.</w:t>
      </w:r>
      <w:r>
        <w:tab/>
        <w:t>Было прекращено использование ДДТ и начато осуществление новаторских и экологически обоснованных, экономически эффективных и предусматривающих участие общества стратегий обработки мест размножения малярийных комаров (ОМРК).</w:t>
      </w:r>
    </w:p>
    <w:p w:rsidR="00000000" w:rsidRDefault="00000000"/>
    <w:p w:rsidR="00000000" w:rsidRDefault="00000000">
      <w:r>
        <w:t>566.</w:t>
      </w:r>
      <w:r>
        <w:tab/>
        <w:t>Поддерживается эпидемиологический контроль:  ежегодно проводится 1,5 млн. анализов крови и ведется профилактика распространения этого заболевания, что позволило снизить на 12,5% число населенных пунктов, в которых имелись случаи малярии, по сравнению с 2002 годом.</w:t>
      </w:r>
    </w:p>
    <w:p w:rsidR="00000000" w:rsidRDefault="00000000"/>
    <w:p w:rsidR="00000000" w:rsidRDefault="00000000">
      <w:r>
        <w:t>567.</w:t>
      </w:r>
      <w:r>
        <w:tab/>
        <w:t>Активизируется осуществление стратегии "Адресное лечение" в четырех штатах с эксцессами передачи этого заболевания и в 11 других штатах, где, возможно, будет начат процесс борьбы с ним.</w:t>
      </w:r>
    </w:p>
    <w:tbl>
      <w:tblPr>
        <w:tblW w:w="0" w:type="auto"/>
        <w:tblInd w:w="122" w:type="dxa"/>
        <w:tblLook w:val="0000" w:firstRow="0" w:lastRow="0" w:firstColumn="0" w:lastColumn="0" w:noHBand="0" w:noVBand="0"/>
      </w:tblPr>
      <w:tblGrid>
        <w:gridCol w:w="3814"/>
        <w:gridCol w:w="920"/>
        <w:gridCol w:w="920"/>
        <w:gridCol w:w="921"/>
        <w:gridCol w:w="920"/>
        <w:gridCol w:w="920"/>
        <w:gridCol w:w="921"/>
      </w:tblGrid>
      <w:tr w:rsidR="00000000">
        <w:tblPrEx>
          <w:tblCellMar>
            <w:top w:w="0" w:type="dxa"/>
            <w:bottom w:w="0" w:type="dxa"/>
          </w:tblCellMar>
        </w:tblPrEx>
        <w:trPr>
          <w:cantSplit/>
        </w:trPr>
        <w:tc>
          <w:tcPr>
            <w:tcW w:w="3814" w:type="dxa"/>
            <w:vMerge w:val="restart"/>
            <w:tcBorders>
              <w:top w:val="single" w:sz="4" w:space="0" w:color="auto"/>
            </w:tcBorders>
            <w:vAlign w:val="center"/>
          </w:tcPr>
          <w:p w:rsidR="00000000" w:rsidRDefault="00000000">
            <w:pPr>
              <w:spacing w:before="60" w:line="240" w:lineRule="auto"/>
              <w:jc w:val="center"/>
              <w:rPr>
                <w:i/>
                <w:iCs/>
                <w:sz w:val="18"/>
                <w:szCs w:val="22"/>
              </w:rPr>
            </w:pPr>
            <w:r>
              <w:rPr>
                <w:i/>
                <w:iCs/>
                <w:sz w:val="18"/>
                <w:szCs w:val="22"/>
              </w:rPr>
              <w:t>Деятельность</w:t>
            </w:r>
          </w:p>
        </w:tc>
        <w:tc>
          <w:tcPr>
            <w:tcW w:w="5522" w:type="dxa"/>
            <w:gridSpan w:val="6"/>
            <w:tcBorders>
              <w:top w:val="single" w:sz="4" w:space="0" w:color="auto"/>
              <w:bottom w:val="single" w:sz="4" w:space="0" w:color="auto"/>
            </w:tcBorders>
          </w:tcPr>
          <w:p w:rsidR="00000000" w:rsidRDefault="00000000">
            <w:pPr>
              <w:spacing w:before="60" w:line="240" w:lineRule="auto"/>
              <w:jc w:val="center"/>
              <w:rPr>
                <w:i/>
                <w:iCs/>
                <w:sz w:val="18"/>
                <w:szCs w:val="22"/>
              </w:rPr>
            </w:pPr>
            <w:r>
              <w:rPr>
                <w:i/>
                <w:iCs/>
                <w:sz w:val="18"/>
                <w:szCs w:val="22"/>
              </w:rPr>
              <w:t>Год</w:t>
            </w:r>
          </w:p>
        </w:tc>
      </w:tr>
      <w:tr w:rsidR="00000000">
        <w:tblPrEx>
          <w:tblCellMar>
            <w:top w:w="0" w:type="dxa"/>
            <w:bottom w:w="0" w:type="dxa"/>
          </w:tblCellMar>
        </w:tblPrEx>
        <w:trPr>
          <w:cantSplit/>
        </w:trPr>
        <w:tc>
          <w:tcPr>
            <w:tcW w:w="3814" w:type="dxa"/>
            <w:vMerge/>
            <w:tcBorders>
              <w:bottom w:val="single" w:sz="4" w:space="0" w:color="auto"/>
            </w:tcBorders>
          </w:tcPr>
          <w:p w:rsidR="00000000" w:rsidRDefault="00000000">
            <w:pPr>
              <w:spacing w:before="60" w:line="240" w:lineRule="auto"/>
              <w:jc w:val="both"/>
              <w:rPr>
                <w:sz w:val="18"/>
                <w:szCs w:val="22"/>
              </w:rPr>
            </w:pPr>
          </w:p>
        </w:tc>
        <w:tc>
          <w:tcPr>
            <w:tcW w:w="920" w:type="dxa"/>
            <w:tcBorders>
              <w:top w:val="single" w:sz="4" w:space="0" w:color="auto"/>
              <w:bottom w:val="single" w:sz="4" w:space="0" w:color="auto"/>
            </w:tcBorders>
          </w:tcPr>
          <w:p w:rsidR="00000000" w:rsidRDefault="00000000">
            <w:pPr>
              <w:spacing w:before="60" w:line="240" w:lineRule="auto"/>
              <w:jc w:val="center"/>
              <w:rPr>
                <w:i/>
                <w:iCs/>
                <w:sz w:val="18"/>
                <w:szCs w:val="22"/>
              </w:rPr>
            </w:pPr>
            <w:r>
              <w:rPr>
                <w:i/>
                <w:iCs/>
                <w:sz w:val="18"/>
                <w:szCs w:val="22"/>
              </w:rPr>
              <w:t>1998</w:t>
            </w:r>
          </w:p>
        </w:tc>
        <w:tc>
          <w:tcPr>
            <w:tcW w:w="920" w:type="dxa"/>
            <w:tcBorders>
              <w:top w:val="single" w:sz="4" w:space="0" w:color="auto"/>
              <w:bottom w:val="single" w:sz="4" w:space="0" w:color="auto"/>
            </w:tcBorders>
          </w:tcPr>
          <w:p w:rsidR="00000000" w:rsidRDefault="00000000">
            <w:pPr>
              <w:spacing w:before="60" w:line="240" w:lineRule="auto"/>
              <w:jc w:val="center"/>
              <w:rPr>
                <w:i/>
                <w:iCs/>
                <w:sz w:val="18"/>
                <w:szCs w:val="22"/>
              </w:rPr>
            </w:pPr>
            <w:r>
              <w:rPr>
                <w:i/>
                <w:iCs/>
                <w:sz w:val="18"/>
                <w:szCs w:val="22"/>
              </w:rPr>
              <w:t>1999</w:t>
            </w:r>
          </w:p>
        </w:tc>
        <w:tc>
          <w:tcPr>
            <w:tcW w:w="921" w:type="dxa"/>
            <w:tcBorders>
              <w:top w:val="single" w:sz="4" w:space="0" w:color="auto"/>
              <w:bottom w:val="single" w:sz="4" w:space="0" w:color="auto"/>
            </w:tcBorders>
          </w:tcPr>
          <w:p w:rsidR="00000000" w:rsidRDefault="00000000">
            <w:pPr>
              <w:spacing w:before="60" w:line="240" w:lineRule="auto"/>
              <w:jc w:val="center"/>
              <w:rPr>
                <w:i/>
                <w:iCs/>
                <w:sz w:val="18"/>
                <w:szCs w:val="22"/>
              </w:rPr>
            </w:pPr>
            <w:r>
              <w:rPr>
                <w:i/>
                <w:iCs/>
                <w:sz w:val="18"/>
                <w:szCs w:val="22"/>
              </w:rPr>
              <w:t>2000</w:t>
            </w:r>
          </w:p>
        </w:tc>
        <w:tc>
          <w:tcPr>
            <w:tcW w:w="920" w:type="dxa"/>
            <w:tcBorders>
              <w:top w:val="single" w:sz="4" w:space="0" w:color="auto"/>
              <w:bottom w:val="single" w:sz="4" w:space="0" w:color="auto"/>
            </w:tcBorders>
          </w:tcPr>
          <w:p w:rsidR="00000000" w:rsidRDefault="00000000">
            <w:pPr>
              <w:spacing w:before="60" w:line="240" w:lineRule="auto"/>
              <w:jc w:val="center"/>
              <w:rPr>
                <w:i/>
                <w:iCs/>
                <w:sz w:val="18"/>
                <w:szCs w:val="22"/>
              </w:rPr>
            </w:pPr>
            <w:r>
              <w:rPr>
                <w:i/>
                <w:iCs/>
                <w:sz w:val="18"/>
                <w:szCs w:val="22"/>
              </w:rPr>
              <w:t>2001</w:t>
            </w:r>
          </w:p>
        </w:tc>
        <w:tc>
          <w:tcPr>
            <w:tcW w:w="920" w:type="dxa"/>
            <w:tcBorders>
              <w:top w:val="single" w:sz="4" w:space="0" w:color="auto"/>
              <w:bottom w:val="single" w:sz="4" w:space="0" w:color="auto"/>
            </w:tcBorders>
          </w:tcPr>
          <w:p w:rsidR="00000000" w:rsidRDefault="00000000">
            <w:pPr>
              <w:spacing w:before="60" w:line="240" w:lineRule="auto"/>
              <w:jc w:val="center"/>
              <w:rPr>
                <w:i/>
                <w:iCs/>
                <w:sz w:val="18"/>
                <w:szCs w:val="22"/>
              </w:rPr>
            </w:pPr>
            <w:r>
              <w:rPr>
                <w:i/>
                <w:iCs/>
                <w:sz w:val="18"/>
                <w:szCs w:val="22"/>
              </w:rPr>
              <w:t>2002</w:t>
            </w:r>
          </w:p>
        </w:tc>
        <w:tc>
          <w:tcPr>
            <w:tcW w:w="921" w:type="dxa"/>
            <w:tcBorders>
              <w:top w:val="single" w:sz="4" w:space="0" w:color="auto"/>
              <w:bottom w:val="single" w:sz="4" w:space="0" w:color="auto"/>
            </w:tcBorders>
          </w:tcPr>
          <w:p w:rsidR="00000000" w:rsidRDefault="00000000">
            <w:pPr>
              <w:spacing w:before="60" w:line="240" w:lineRule="auto"/>
              <w:jc w:val="center"/>
              <w:rPr>
                <w:i/>
                <w:iCs/>
                <w:sz w:val="18"/>
                <w:szCs w:val="22"/>
              </w:rPr>
            </w:pPr>
            <w:r>
              <w:rPr>
                <w:i/>
                <w:iCs/>
                <w:sz w:val="18"/>
                <w:szCs w:val="22"/>
              </w:rPr>
              <w:t>2003</w:t>
            </w:r>
          </w:p>
        </w:tc>
      </w:tr>
      <w:tr w:rsidR="00000000">
        <w:tblPrEx>
          <w:tblCellMar>
            <w:top w:w="0" w:type="dxa"/>
            <w:bottom w:w="0" w:type="dxa"/>
          </w:tblCellMar>
        </w:tblPrEx>
        <w:tc>
          <w:tcPr>
            <w:tcW w:w="3814" w:type="dxa"/>
            <w:tcBorders>
              <w:top w:val="single" w:sz="4" w:space="0" w:color="auto"/>
            </w:tcBorders>
          </w:tcPr>
          <w:p w:rsidR="00000000" w:rsidRDefault="00000000">
            <w:pPr>
              <w:spacing w:before="60" w:line="240" w:lineRule="auto"/>
              <w:rPr>
                <w:sz w:val="18"/>
                <w:szCs w:val="22"/>
              </w:rPr>
            </w:pPr>
            <w:r>
              <w:rPr>
                <w:sz w:val="18"/>
                <w:szCs w:val="22"/>
              </w:rPr>
              <w:t>Число заболеваний</w:t>
            </w:r>
          </w:p>
        </w:tc>
        <w:tc>
          <w:tcPr>
            <w:tcW w:w="920" w:type="dxa"/>
            <w:tcBorders>
              <w:top w:val="single" w:sz="4" w:space="0" w:color="auto"/>
            </w:tcBorders>
          </w:tcPr>
          <w:p w:rsidR="00000000" w:rsidRDefault="00000000">
            <w:pPr>
              <w:tabs>
                <w:tab w:val="clear" w:pos="567"/>
              </w:tabs>
              <w:spacing w:before="60" w:line="240" w:lineRule="auto"/>
              <w:ind w:right="170"/>
              <w:jc w:val="right"/>
              <w:rPr>
                <w:sz w:val="18"/>
                <w:szCs w:val="22"/>
              </w:rPr>
            </w:pPr>
            <w:r>
              <w:rPr>
                <w:sz w:val="18"/>
                <w:szCs w:val="22"/>
              </w:rPr>
              <w:t>25 023</w:t>
            </w:r>
          </w:p>
        </w:tc>
        <w:tc>
          <w:tcPr>
            <w:tcW w:w="920" w:type="dxa"/>
            <w:tcBorders>
              <w:top w:val="single" w:sz="4" w:space="0" w:color="auto"/>
            </w:tcBorders>
          </w:tcPr>
          <w:p w:rsidR="00000000" w:rsidRDefault="00000000">
            <w:pPr>
              <w:tabs>
                <w:tab w:val="clear" w:pos="567"/>
              </w:tabs>
              <w:spacing w:before="60" w:line="240" w:lineRule="auto"/>
              <w:ind w:right="170"/>
              <w:jc w:val="right"/>
              <w:rPr>
                <w:sz w:val="18"/>
                <w:szCs w:val="22"/>
              </w:rPr>
            </w:pPr>
            <w:r>
              <w:rPr>
                <w:sz w:val="18"/>
                <w:szCs w:val="22"/>
              </w:rPr>
              <w:t>13 450</w:t>
            </w:r>
          </w:p>
        </w:tc>
        <w:tc>
          <w:tcPr>
            <w:tcW w:w="921" w:type="dxa"/>
            <w:tcBorders>
              <w:top w:val="single" w:sz="4" w:space="0" w:color="auto"/>
            </w:tcBorders>
          </w:tcPr>
          <w:p w:rsidR="00000000" w:rsidRDefault="00000000">
            <w:pPr>
              <w:tabs>
                <w:tab w:val="clear" w:pos="567"/>
              </w:tabs>
              <w:spacing w:before="60" w:line="240" w:lineRule="auto"/>
              <w:ind w:right="170"/>
              <w:jc w:val="right"/>
              <w:rPr>
                <w:sz w:val="18"/>
                <w:szCs w:val="22"/>
              </w:rPr>
            </w:pPr>
            <w:r>
              <w:rPr>
                <w:sz w:val="18"/>
                <w:szCs w:val="22"/>
              </w:rPr>
              <w:t>7 390</w:t>
            </w:r>
          </w:p>
        </w:tc>
        <w:tc>
          <w:tcPr>
            <w:tcW w:w="920" w:type="dxa"/>
            <w:tcBorders>
              <w:top w:val="single" w:sz="4" w:space="0" w:color="auto"/>
            </w:tcBorders>
          </w:tcPr>
          <w:p w:rsidR="00000000" w:rsidRDefault="00000000">
            <w:pPr>
              <w:tabs>
                <w:tab w:val="clear" w:pos="567"/>
              </w:tabs>
              <w:spacing w:before="60" w:line="240" w:lineRule="auto"/>
              <w:ind w:right="170"/>
              <w:jc w:val="right"/>
              <w:rPr>
                <w:sz w:val="18"/>
                <w:szCs w:val="22"/>
              </w:rPr>
            </w:pPr>
            <w:r>
              <w:rPr>
                <w:sz w:val="18"/>
                <w:szCs w:val="22"/>
              </w:rPr>
              <w:t>4 996</w:t>
            </w:r>
          </w:p>
        </w:tc>
        <w:tc>
          <w:tcPr>
            <w:tcW w:w="920" w:type="dxa"/>
            <w:tcBorders>
              <w:top w:val="single" w:sz="4" w:space="0" w:color="auto"/>
            </w:tcBorders>
          </w:tcPr>
          <w:p w:rsidR="00000000" w:rsidRDefault="00000000">
            <w:pPr>
              <w:tabs>
                <w:tab w:val="clear" w:pos="567"/>
              </w:tabs>
              <w:spacing w:before="60" w:line="240" w:lineRule="auto"/>
              <w:ind w:right="170"/>
              <w:jc w:val="right"/>
              <w:rPr>
                <w:sz w:val="18"/>
                <w:szCs w:val="22"/>
              </w:rPr>
            </w:pPr>
            <w:r>
              <w:rPr>
                <w:sz w:val="18"/>
                <w:szCs w:val="22"/>
              </w:rPr>
              <w:t>4 624</w:t>
            </w:r>
          </w:p>
        </w:tc>
        <w:tc>
          <w:tcPr>
            <w:tcW w:w="921" w:type="dxa"/>
            <w:tcBorders>
              <w:top w:val="single" w:sz="4" w:space="0" w:color="auto"/>
            </w:tcBorders>
          </w:tcPr>
          <w:p w:rsidR="00000000" w:rsidRDefault="00000000">
            <w:pPr>
              <w:tabs>
                <w:tab w:val="clear" w:pos="567"/>
              </w:tabs>
              <w:spacing w:before="60" w:line="240" w:lineRule="auto"/>
              <w:ind w:right="170"/>
              <w:jc w:val="right"/>
              <w:rPr>
                <w:sz w:val="18"/>
                <w:szCs w:val="22"/>
              </w:rPr>
            </w:pPr>
            <w:r>
              <w:rPr>
                <w:sz w:val="18"/>
                <w:szCs w:val="22"/>
              </w:rPr>
              <w:t>3 621</w:t>
            </w:r>
          </w:p>
        </w:tc>
      </w:tr>
      <w:tr w:rsidR="00000000">
        <w:tblPrEx>
          <w:tblCellMar>
            <w:top w:w="0" w:type="dxa"/>
            <w:bottom w:w="0" w:type="dxa"/>
          </w:tblCellMar>
        </w:tblPrEx>
        <w:tc>
          <w:tcPr>
            <w:tcW w:w="3814" w:type="dxa"/>
            <w:tcBorders>
              <w:bottom w:val="single" w:sz="4" w:space="0" w:color="auto"/>
            </w:tcBorders>
          </w:tcPr>
          <w:p w:rsidR="00000000" w:rsidRDefault="00000000">
            <w:pPr>
              <w:spacing w:before="60" w:line="240" w:lineRule="auto"/>
              <w:rPr>
                <w:sz w:val="18"/>
                <w:szCs w:val="22"/>
              </w:rPr>
            </w:pPr>
            <w:r>
              <w:rPr>
                <w:sz w:val="18"/>
                <w:szCs w:val="22"/>
              </w:rPr>
              <w:t>Число населенных пунктов, в которых осуществляется программа ОМРК</w:t>
            </w:r>
          </w:p>
        </w:tc>
        <w:tc>
          <w:tcPr>
            <w:tcW w:w="920" w:type="dxa"/>
            <w:tcBorders>
              <w:bottom w:val="single" w:sz="4" w:space="0" w:color="auto"/>
            </w:tcBorders>
          </w:tcPr>
          <w:p w:rsidR="00000000" w:rsidRDefault="00000000">
            <w:pPr>
              <w:tabs>
                <w:tab w:val="clear" w:pos="567"/>
              </w:tabs>
              <w:spacing w:before="60" w:line="240" w:lineRule="auto"/>
              <w:ind w:right="170"/>
              <w:jc w:val="right"/>
              <w:rPr>
                <w:sz w:val="18"/>
                <w:szCs w:val="22"/>
              </w:rPr>
            </w:pPr>
            <w:r>
              <w:rPr>
                <w:sz w:val="18"/>
                <w:szCs w:val="22"/>
              </w:rPr>
              <w:t>0</w:t>
            </w:r>
          </w:p>
        </w:tc>
        <w:tc>
          <w:tcPr>
            <w:tcW w:w="920" w:type="dxa"/>
            <w:tcBorders>
              <w:bottom w:val="single" w:sz="4" w:space="0" w:color="auto"/>
            </w:tcBorders>
          </w:tcPr>
          <w:p w:rsidR="00000000" w:rsidRDefault="00000000">
            <w:pPr>
              <w:tabs>
                <w:tab w:val="clear" w:pos="567"/>
              </w:tabs>
              <w:spacing w:before="60" w:line="240" w:lineRule="auto"/>
              <w:ind w:right="170"/>
              <w:jc w:val="right"/>
              <w:rPr>
                <w:sz w:val="18"/>
                <w:szCs w:val="22"/>
              </w:rPr>
            </w:pPr>
            <w:r>
              <w:rPr>
                <w:sz w:val="18"/>
                <w:szCs w:val="22"/>
              </w:rPr>
              <w:t>254</w:t>
            </w:r>
          </w:p>
        </w:tc>
        <w:tc>
          <w:tcPr>
            <w:tcW w:w="921" w:type="dxa"/>
            <w:tcBorders>
              <w:bottom w:val="single" w:sz="4" w:space="0" w:color="auto"/>
            </w:tcBorders>
          </w:tcPr>
          <w:p w:rsidR="00000000" w:rsidRDefault="00000000">
            <w:pPr>
              <w:tabs>
                <w:tab w:val="clear" w:pos="567"/>
              </w:tabs>
              <w:spacing w:before="60" w:line="240" w:lineRule="auto"/>
              <w:ind w:right="170"/>
              <w:jc w:val="right"/>
              <w:rPr>
                <w:sz w:val="18"/>
                <w:szCs w:val="22"/>
              </w:rPr>
            </w:pPr>
            <w:r>
              <w:rPr>
                <w:sz w:val="18"/>
                <w:szCs w:val="22"/>
              </w:rPr>
              <w:t>678</w:t>
            </w:r>
          </w:p>
        </w:tc>
        <w:tc>
          <w:tcPr>
            <w:tcW w:w="920" w:type="dxa"/>
            <w:tcBorders>
              <w:bottom w:val="single" w:sz="4" w:space="0" w:color="auto"/>
            </w:tcBorders>
          </w:tcPr>
          <w:p w:rsidR="00000000" w:rsidRDefault="00000000">
            <w:pPr>
              <w:tabs>
                <w:tab w:val="clear" w:pos="567"/>
              </w:tabs>
              <w:spacing w:before="60" w:line="240" w:lineRule="auto"/>
              <w:ind w:right="170"/>
              <w:jc w:val="right"/>
              <w:rPr>
                <w:sz w:val="18"/>
                <w:szCs w:val="22"/>
              </w:rPr>
            </w:pPr>
            <w:r>
              <w:rPr>
                <w:sz w:val="18"/>
                <w:szCs w:val="22"/>
              </w:rPr>
              <w:t>1 200</w:t>
            </w:r>
          </w:p>
        </w:tc>
        <w:tc>
          <w:tcPr>
            <w:tcW w:w="920" w:type="dxa"/>
            <w:tcBorders>
              <w:bottom w:val="single" w:sz="4" w:space="0" w:color="auto"/>
            </w:tcBorders>
          </w:tcPr>
          <w:p w:rsidR="00000000" w:rsidRDefault="00000000">
            <w:pPr>
              <w:tabs>
                <w:tab w:val="clear" w:pos="567"/>
              </w:tabs>
              <w:spacing w:before="60" w:line="240" w:lineRule="auto"/>
              <w:ind w:right="170"/>
              <w:jc w:val="right"/>
              <w:rPr>
                <w:sz w:val="18"/>
                <w:szCs w:val="22"/>
              </w:rPr>
            </w:pPr>
            <w:r>
              <w:rPr>
                <w:sz w:val="18"/>
                <w:szCs w:val="22"/>
              </w:rPr>
              <w:t>2 083</w:t>
            </w:r>
          </w:p>
        </w:tc>
        <w:tc>
          <w:tcPr>
            <w:tcW w:w="921" w:type="dxa"/>
            <w:tcBorders>
              <w:bottom w:val="single" w:sz="4" w:space="0" w:color="auto"/>
            </w:tcBorders>
          </w:tcPr>
          <w:p w:rsidR="00000000" w:rsidRDefault="00000000">
            <w:pPr>
              <w:tabs>
                <w:tab w:val="clear" w:pos="567"/>
              </w:tabs>
              <w:spacing w:before="60" w:line="240" w:lineRule="auto"/>
              <w:ind w:right="170"/>
              <w:jc w:val="right"/>
              <w:rPr>
                <w:sz w:val="18"/>
                <w:szCs w:val="22"/>
              </w:rPr>
            </w:pPr>
            <w:r>
              <w:rPr>
                <w:sz w:val="18"/>
                <w:szCs w:val="22"/>
              </w:rPr>
              <w:t>3 024</w:t>
            </w:r>
          </w:p>
        </w:tc>
      </w:tr>
    </w:tbl>
    <w:p w:rsidR="00000000" w:rsidRDefault="00000000">
      <w:pPr>
        <w:spacing w:before="40" w:line="240" w:lineRule="auto"/>
        <w:ind w:left="567" w:hanging="567"/>
        <w:jc w:val="both"/>
        <w:rPr>
          <w:rFonts w:ascii="Arial" w:hAnsi="Arial" w:cs="Arial"/>
          <w:sz w:val="18"/>
          <w:szCs w:val="22"/>
        </w:rPr>
      </w:pPr>
    </w:p>
    <w:p w:rsidR="00000000" w:rsidRDefault="00000000">
      <w:pPr>
        <w:spacing w:line="216" w:lineRule="auto"/>
        <w:rPr>
          <w:sz w:val="18"/>
        </w:rPr>
      </w:pPr>
      <w:r>
        <w:rPr>
          <w:i/>
          <w:iCs/>
          <w:sz w:val="18"/>
        </w:rPr>
        <w:t>Источник</w:t>
      </w:r>
      <w:r>
        <w:rPr>
          <w:b/>
          <w:bCs/>
          <w:i/>
          <w:iCs/>
          <w:sz w:val="18"/>
        </w:rPr>
        <w:t xml:space="preserve">:  </w:t>
      </w:r>
      <w:r>
        <w:rPr>
          <w:sz w:val="18"/>
        </w:rPr>
        <w:t>министерство здравоохранения.</w:t>
      </w:r>
    </w:p>
    <w:p w:rsidR="00000000" w:rsidRDefault="00000000">
      <w:pPr>
        <w:spacing w:line="216" w:lineRule="auto"/>
        <w:rPr>
          <w:sz w:val="18"/>
        </w:rPr>
      </w:pPr>
    </w:p>
    <w:p w:rsidR="00000000" w:rsidRDefault="00000000">
      <w:pPr>
        <w:rPr>
          <w:b/>
          <w:bCs/>
        </w:rPr>
      </w:pPr>
      <w:r>
        <w:tab/>
      </w:r>
      <w:r>
        <w:rPr>
          <w:b/>
          <w:bCs/>
        </w:rPr>
        <w:t>Онхоцеркоз</w:t>
      </w:r>
    </w:p>
    <w:p w:rsidR="00000000" w:rsidRDefault="00000000">
      <w:pPr>
        <w:rPr>
          <w:b/>
          <w:bCs/>
        </w:rPr>
      </w:pPr>
    </w:p>
    <w:p w:rsidR="00000000" w:rsidRDefault="00000000">
      <w:r>
        <w:t>568.</w:t>
      </w:r>
      <w:r>
        <w:tab/>
        <w:t>Онхоцеркоз встречается в горных районах двух штатов страны (Чьяпас и Оахака), где в силу некоторых географических особенностей борьба с ним затруднена.  Он встречается главным образом среди коренного населения, что представляет собой санитарную проблему самых неимущих групп населения;  тем не менее, несмотря на это, удалось не допустить распространения этого заболевания из мест, в которых оно еще встречается в этих двух штатах.  Число новых заболеваний за год на юге в штате Чьяпас сократилось на 38,1%.  В последние три года свыше 85% больных, которым был прописан мектизан, получали это лекарство.</w:t>
      </w:r>
    </w:p>
    <w:p w:rsidR="00000000" w:rsidRDefault="00000000"/>
    <w:tbl>
      <w:tblPr>
        <w:tblW w:w="0" w:type="auto"/>
        <w:jc w:val="center"/>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25"/>
      </w:tblGrid>
      <w:tr w:rsidR="00000000">
        <w:tblPrEx>
          <w:tblCellMar>
            <w:top w:w="0" w:type="dxa"/>
            <w:bottom w:w="0" w:type="dxa"/>
          </w:tblCellMar>
        </w:tblPrEx>
        <w:trPr>
          <w:trHeight w:val="3565"/>
          <w:jc w:val="center"/>
        </w:trPr>
        <w:tc>
          <w:tcPr>
            <w:tcW w:w="6825" w:type="dxa"/>
          </w:tcPr>
          <w:bookmarkStart w:id="123" w:name="_MON_1184901222"/>
          <w:bookmarkStart w:id="124" w:name="_MON_1184901443"/>
          <w:bookmarkStart w:id="125" w:name="_MON_1184901494"/>
          <w:bookmarkStart w:id="126" w:name="_MON_1184903345"/>
          <w:bookmarkStart w:id="127" w:name="_MON_1204531791"/>
          <w:bookmarkStart w:id="128" w:name="_MON_1204531807"/>
          <w:bookmarkStart w:id="129" w:name="_MON_1204532457"/>
          <w:bookmarkStart w:id="130" w:name="_MON_1204533363"/>
          <w:bookmarkEnd w:id="123"/>
          <w:bookmarkEnd w:id="124"/>
          <w:bookmarkEnd w:id="125"/>
          <w:bookmarkEnd w:id="126"/>
          <w:bookmarkEnd w:id="127"/>
          <w:bookmarkEnd w:id="128"/>
          <w:bookmarkEnd w:id="129"/>
          <w:bookmarkEnd w:id="130"/>
          <w:p w:rsidR="00000000" w:rsidRDefault="00000000">
            <w:pPr>
              <w:spacing w:after="240"/>
              <w:jc w:val="center"/>
              <w:rPr>
                <w:rFonts w:cs="Arial"/>
                <w:bCs/>
                <w:szCs w:val="22"/>
                <w:lang w:val="en-US"/>
              </w:rPr>
            </w:pPr>
            <w:r>
              <w:rPr>
                <w:lang w:val="en-US"/>
              </w:rPr>
              <w:object w:dxaOrig="5412" w:dyaOrig="3547">
                <v:shape id="_x0000_i1036" type="#_x0000_t75" style="width:270.75pt;height:177pt" o:ole="">
                  <v:imagedata r:id="rId176" o:title="" grayscale="t"/>
                </v:shape>
                <o:OLEObject Type="Embed" ProgID="Word.Picture.8" ShapeID="_x0000_i1036" DrawAspect="Content" ObjectID="_1394895091" r:id="rId177"/>
              </w:object>
            </w:r>
          </w:p>
        </w:tc>
      </w:tr>
    </w:tbl>
    <w:p w:rsidR="00000000" w:rsidRDefault="00000000"/>
    <w:p w:rsidR="00000000" w:rsidRDefault="00000000">
      <w:pPr>
        <w:spacing w:line="216" w:lineRule="auto"/>
        <w:rPr>
          <w:sz w:val="18"/>
        </w:rPr>
      </w:pPr>
      <w:r>
        <w:rPr>
          <w:i/>
          <w:iCs/>
          <w:sz w:val="18"/>
        </w:rPr>
        <w:t>Источник</w:t>
      </w:r>
      <w:r>
        <w:rPr>
          <w:sz w:val="18"/>
        </w:rPr>
        <w:t>:  министерство здравоохранения.</w:t>
      </w:r>
    </w:p>
    <w:p w:rsidR="00000000" w:rsidRDefault="00000000">
      <w:pPr>
        <w:spacing w:line="216" w:lineRule="auto"/>
        <w:rPr>
          <w:sz w:val="18"/>
        </w:rPr>
      </w:pPr>
    </w:p>
    <w:p w:rsidR="00000000" w:rsidRDefault="00000000">
      <w:pPr>
        <w:rPr>
          <w:b/>
          <w:bCs/>
        </w:rPr>
      </w:pPr>
      <w:r>
        <w:tab/>
      </w:r>
      <w:r>
        <w:rPr>
          <w:b/>
          <w:bCs/>
        </w:rPr>
        <w:t>Туберкулез</w:t>
      </w:r>
    </w:p>
    <w:p w:rsidR="00000000" w:rsidRDefault="00000000">
      <w:pPr>
        <w:rPr>
          <w:b/>
          <w:bCs/>
        </w:rPr>
      </w:pPr>
    </w:p>
    <w:p w:rsidR="00000000" w:rsidRDefault="00000000">
      <w:r>
        <w:t>569.</w:t>
      </w:r>
      <w:r>
        <w:tab/>
        <w:t>Еще одна серьезная санитарная проблема Мексики, которой она уделяет первоочередное внимание, </w:t>
      </w:r>
      <w:r>
        <w:noBreakHyphen/>
        <w:t xml:space="preserve"> туберкулез легких, который встречается во всех группах населения, хотя чаще всего от него страдает население трудоспособного возраста, в равной степени мужчины и женщины.  В последние пять лет заболеваемость туберкулезом легких демонстрировала стабильную тенденцию, колеблясь вблизи показателя 20 случаев на 100 000 человек населения старше 15 лет.</w:t>
      </w:r>
    </w:p>
    <w:p w:rsidR="00000000" w:rsidRDefault="00000000">
      <w:r>
        <w:t>570.</w:t>
      </w:r>
      <w:r>
        <w:tab/>
        <w:t>В 2001 году заболеваемость туберкулезом легких снизилась на 0,4% по сравнению с годом ранее.  Показатель излечения составляет 83% (цель </w:t>
      </w:r>
      <w:r>
        <w:noBreakHyphen/>
        <w:t xml:space="preserve"> 90%).  В фармакорезистентных случаях выделяемые ресурсы в аспекте качества увеличены на 50%.</w:t>
      </w:r>
    </w:p>
    <w:p w:rsidR="00000000" w:rsidRDefault="00000000"/>
    <w:p w:rsidR="00000000" w:rsidRDefault="00000000">
      <w:r>
        <w:t>571.</w:t>
      </w:r>
      <w:r>
        <w:tab/>
        <w:t>Для своевременной диагностики и выявления новых случаев проведено свыше 600 000 флюорографий.  Кроме того, проводятся эпидемиологические обследования 95% контактов заболевших, что должно исключить возможность заражения.</w:t>
      </w:r>
    </w:p>
    <w:p w:rsidR="00000000" w:rsidRDefault="00000000"/>
    <w:p w:rsidR="00000000" w:rsidRDefault="00000000">
      <w:r>
        <w:t>572.</w:t>
      </w:r>
      <w:r>
        <w:tab/>
        <w:t>Создана мексиканская сеть ухода за больными туберкулезом, охватывающая 32 штата, в которой участвует свыше 250 медицинских сестер и медиков сходного профиля.  Кроме того, в стране проведен "Всемирный день борьбы с туберкулезом":  организовано 25 000 бесед для 380 000 слушателей, распространено 488 000 информационных материалов, по радио и телевидению и в печати передано и опубликовано 6 300 сообщений.  Кроме активной деятельности на общенациональном, штатном и местном уровне проведены массовые и учебные мероприятия с участием национальных и международных организаций, на которых прозвучал настоятельный призыв ко всем медицинским работникам активизировать усилия по достижению цели "Мексика, свободная от туберкулеза".</w:t>
      </w:r>
    </w:p>
    <w:p w:rsidR="00000000" w:rsidRDefault="00000000"/>
    <w:p w:rsidR="00000000" w:rsidRDefault="00000000">
      <w:r>
        <w:t>573.</w:t>
      </w:r>
      <w:r>
        <w:tab/>
        <w:t>Налажено сотрудничество с Соединенными Штатами Америки в целях укрепления действующей в обеих странах системы информации о пациентах с использованием в обеих из них "медицинской карты по туберкулезу" для мигрантов, больных туберкулезом, в целях непрерывного лечения;  укрепляется также программа "Уезжай здоровым </w:t>
      </w:r>
      <w:r>
        <w:noBreakHyphen/>
        <w:t xml:space="preserve"> приезжай здоровым".</w:t>
      </w:r>
    </w:p>
    <w:p w:rsidR="00000000" w:rsidRDefault="00000000"/>
    <w:p w:rsidR="00000000" w:rsidRDefault="00000000">
      <w:r>
        <w:t>574.</w:t>
      </w:r>
      <w:r>
        <w:tab/>
        <w:t>Мексика - представитель американского континента в рамках всемирной инициативы "СТОП</w:t>
      </w:r>
      <w:r>
        <w:noBreakHyphen/>
        <w:t>ТБ" Всемирной организации здравоохранения.</w:t>
      </w:r>
    </w:p>
    <w:p w:rsidR="00000000" w:rsidRDefault="00000000"/>
    <w:p w:rsidR="00000000" w:rsidRDefault="00000000">
      <w:pPr>
        <w:keepNext/>
        <w:ind w:left="567"/>
        <w:rPr>
          <w:b/>
          <w:bCs/>
        </w:rPr>
      </w:pPr>
      <w:r>
        <w:rPr>
          <w:b/>
          <w:bCs/>
        </w:rPr>
        <w:t>ВИЧ/СПИД</w:t>
      </w:r>
    </w:p>
    <w:p w:rsidR="00000000" w:rsidRDefault="00000000">
      <w:pPr>
        <w:keepNext/>
        <w:ind w:left="567"/>
        <w:rPr>
          <w:b/>
          <w:bCs/>
        </w:rPr>
      </w:pPr>
    </w:p>
    <w:p w:rsidR="00000000" w:rsidRDefault="00000000">
      <w:r>
        <w:t>575.</w:t>
      </w:r>
      <w:r>
        <w:tab/>
        <w:t>В последние три года число случаев СПИДа в стране возрастало в среднем на 3% в год.  Хотя общее число случаев СПИДа, выявленных в 2003 году, выше, чем в предыдущие годы, этот показатель сохраняется на примерно одном уровне, составив 2003</w:t>
      </w:r>
      <w:r>
        <w:noBreakHyphen/>
        <w:t>2003 годах 4,8%.</w:t>
      </w:r>
    </w:p>
    <w:p w:rsidR="00000000" w:rsidRDefault="00000000"/>
    <w:p w:rsidR="00000000" w:rsidRDefault="00000000">
      <w:r>
        <w:br w:type="page"/>
        <w:t>576.</w:t>
      </w:r>
      <w:r>
        <w:tab/>
        <w:t>Чтобы оказать медицинскую помощь пациентам, страдающим от ВИЧ/СПИДа, Федерация выделила свыше 300 млн. песо для приобретения антиретровирусных лекарств для наиболее уязвимого населения, не охватываемого социальным обеспечением.  Эти средства позволяют обеспечить непрерывность лечения свыше 3 000 пациентов и охватить еще 3 400 новых пациентов.  Правительства штатов окажут помощь еще 2 961 пациенту.</w:t>
      </w:r>
    </w:p>
    <w:p w:rsidR="00000000" w:rsidRDefault="00000000">
      <w:pPr>
        <w:spacing w:line="216" w:lineRule="auto"/>
      </w:pPr>
    </w:p>
    <w:p w:rsidR="00000000" w:rsidRDefault="00000000">
      <w:pPr>
        <w:spacing w:line="216" w:lineRule="auto"/>
        <w:jc w:val="center"/>
        <w:rPr>
          <w:b/>
          <w:bCs/>
        </w:rPr>
      </w:pPr>
      <w:r>
        <w:rPr>
          <w:b/>
          <w:bCs/>
        </w:rPr>
        <w:t>Показатели заболеваемости СПИДом, 2000-2003 годы</w:t>
      </w:r>
    </w:p>
    <w:p w:rsidR="00000000" w:rsidRDefault="00000000">
      <w:pPr>
        <w:spacing w:line="216" w:lineRule="auto"/>
        <w:jc w:val="center"/>
      </w:pPr>
    </w:p>
    <w:tbl>
      <w:tblPr>
        <w:tblW w:w="9411" w:type="dxa"/>
        <w:tblLayout w:type="fixed"/>
        <w:tblCellMar>
          <w:left w:w="28" w:type="dxa"/>
          <w:right w:w="28" w:type="dxa"/>
        </w:tblCellMar>
        <w:tblLook w:val="0000" w:firstRow="0" w:lastRow="0" w:firstColumn="0" w:lastColumn="0" w:noHBand="0" w:noVBand="0"/>
      </w:tblPr>
      <w:tblGrid>
        <w:gridCol w:w="2884"/>
        <w:gridCol w:w="919"/>
        <w:gridCol w:w="919"/>
        <w:gridCol w:w="920"/>
        <w:gridCol w:w="1161"/>
        <w:gridCol w:w="1386"/>
        <w:gridCol w:w="1222"/>
      </w:tblGrid>
      <w:tr w:rsidR="00000000">
        <w:tblPrEx>
          <w:tblCellMar>
            <w:top w:w="0" w:type="dxa"/>
            <w:bottom w:w="0" w:type="dxa"/>
          </w:tblCellMar>
        </w:tblPrEx>
        <w:trPr>
          <w:cantSplit/>
        </w:trPr>
        <w:tc>
          <w:tcPr>
            <w:tcW w:w="2884" w:type="dxa"/>
            <w:vMerge w:val="restart"/>
            <w:tcBorders>
              <w:top w:val="single" w:sz="4" w:space="0" w:color="auto"/>
            </w:tcBorders>
            <w:vAlign w:val="center"/>
          </w:tcPr>
          <w:p w:rsidR="00000000" w:rsidRDefault="00000000">
            <w:pPr>
              <w:spacing w:before="60" w:line="240" w:lineRule="auto"/>
              <w:jc w:val="center"/>
              <w:rPr>
                <w:i/>
                <w:iCs/>
                <w:sz w:val="18"/>
              </w:rPr>
            </w:pPr>
            <w:r>
              <w:rPr>
                <w:i/>
                <w:iCs/>
                <w:sz w:val="18"/>
              </w:rPr>
              <w:t>Описание</w:t>
            </w:r>
          </w:p>
        </w:tc>
        <w:tc>
          <w:tcPr>
            <w:tcW w:w="919" w:type="dxa"/>
            <w:vMerge w:val="restart"/>
            <w:tcBorders>
              <w:top w:val="single" w:sz="4" w:space="0" w:color="auto"/>
            </w:tcBorders>
            <w:vAlign w:val="center"/>
          </w:tcPr>
          <w:p w:rsidR="00000000" w:rsidRDefault="00000000">
            <w:pPr>
              <w:spacing w:before="60" w:line="240" w:lineRule="auto"/>
              <w:jc w:val="center"/>
              <w:rPr>
                <w:i/>
                <w:iCs/>
                <w:sz w:val="18"/>
              </w:rPr>
            </w:pPr>
            <w:r>
              <w:rPr>
                <w:i/>
                <w:iCs/>
                <w:sz w:val="18"/>
              </w:rPr>
              <w:t>2000 год</w:t>
            </w:r>
          </w:p>
        </w:tc>
        <w:tc>
          <w:tcPr>
            <w:tcW w:w="919" w:type="dxa"/>
            <w:vMerge w:val="restart"/>
            <w:tcBorders>
              <w:top w:val="single" w:sz="4" w:space="0" w:color="auto"/>
            </w:tcBorders>
            <w:vAlign w:val="center"/>
          </w:tcPr>
          <w:p w:rsidR="00000000" w:rsidRDefault="00000000">
            <w:pPr>
              <w:spacing w:before="60" w:line="240" w:lineRule="auto"/>
              <w:jc w:val="center"/>
              <w:rPr>
                <w:i/>
                <w:iCs/>
                <w:sz w:val="18"/>
              </w:rPr>
            </w:pPr>
            <w:r>
              <w:rPr>
                <w:i/>
                <w:iCs/>
                <w:sz w:val="18"/>
              </w:rPr>
              <w:t>2001 год</w:t>
            </w:r>
          </w:p>
        </w:tc>
        <w:tc>
          <w:tcPr>
            <w:tcW w:w="920" w:type="dxa"/>
            <w:vMerge w:val="restart"/>
            <w:tcBorders>
              <w:top w:val="single" w:sz="4" w:space="0" w:color="auto"/>
            </w:tcBorders>
            <w:vAlign w:val="center"/>
          </w:tcPr>
          <w:p w:rsidR="00000000" w:rsidRDefault="00000000">
            <w:pPr>
              <w:spacing w:before="60" w:line="240" w:lineRule="auto"/>
              <w:jc w:val="center"/>
              <w:rPr>
                <w:i/>
                <w:iCs/>
                <w:sz w:val="18"/>
              </w:rPr>
            </w:pPr>
            <w:r>
              <w:rPr>
                <w:i/>
                <w:iCs/>
                <w:sz w:val="18"/>
              </w:rPr>
              <w:t>2002 год</w:t>
            </w:r>
          </w:p>
        </w:tc>
        <w:tc>
          <w:tcPr>
            <w:tcW w:w="3769" w:type="dxa"/>
            <w:gridSpan w:val="3"/>
            <w:tcBorders>
              <w:top w:val="single" w:sz="4" w:space="0" w:color="auto"/>
              <w:bottom w:val="single" w:sz="4" w:space="0" w:color="auto"/>
            </w:tcBorders>
            <w:vAlign w:val="center"/>
          </w:tcPr>
          <w:p w:rsidR="00000000" w:rsidRDefault="00000000">
            <w:pPr>
              <w:spacing w:before="60" w:line="240" w:lineRule="auto"/>
              <w:jc w:val="center"/>
              <w:rPr>
                <w:i/>
                <w:iCs/>
                <w:sz w:val="18"/>
              </w:rPr>
            </w:pPr>
            <w:r>
              <w:rPr>
                <w:i/>
                <w:iCs/>
                <w:sz w:val="18"/>
              </w:rPr>
              <w:t>2003 год</w:t>
            </w:r>
          </w:p>
        </w:tc>
      </w:tr>
      <w:tr w:rsidR="00000000">
        <w:tblPrEx>
          <w:tblCellMar>
            <w:top w:w="0" w:type="dxa"/>
            <w:bottom w:w="0" w:type="dxa"/>
          </w:tblCellMar>
        </w:tblPrEx>
        <w:trPr>
          <w:cantSplit/>
        </w:trPr>
        <w:tc>
          <w:tcPr>
            <w:tcW w:w="2884" w:type="dxa"/>
            <w:vMerge/>
          </w:tcPr>
          <w:p w:rsidR="00000000" w:rsidRDefault="00000000">
            <w:pPr>
              <w:spacing w:before="60" w:line="240" w:lineRule="auto"/>
              <w:jc w:val="center"/>
              <w:rPr>
                <w:i/>
                <w:iCs/>
                <w:sz w:val="18"/>
              </w:rPr>
            </w:pPr>
          </w:p>
        </w:tc>
        <w:tc>
          <w:tcPr>
            <w:tcW w:w="919" w:type="dxa"/>
            <w:vMerge/>
          </w:tcPr>
          <w:p w:rsidR="00000000" w:rsidRDefault="00000000">
            <w:pPr>
              <w:spacing w:before="60" w:line="240" w:lineRule="auto"/>
              <w:jc w:val="center"/>
              <w:rPr>
                <w:i/>
                <w:iCs/>
                <w:sz w:val="18"/>
              </w:rPr>
            </w:pPr>
          </w:p>
        </w:tc>
        <w:tc>
          <w:tcPr>
            <w:tcW w:w="919" w:type="dxa"/>
            <w:vMerge/>
          </w:tcPr>
          <w:p w:rsidR="00000000" w:rsidRDefault="00000000">
            <w:pPr>
              <w:spacing w:before="60" w:line="240" w:lineRule="auto"/>
              <w:jc w:val="center"/>
              <w:rPr>
                <w:i/>
                <w:iCs/>
                <w:sz w:val="18"/>
              </w:rPr>
            </w:pPr>
          </w:p>
        </w:tc>
        <w:tc>
          <w:tcPr>
            <w:tcW w:w="920" w:type="dxa"/>
            <w:vMerge/>
          </w:tcPr>
          <w:p w:rsidR="00000000" w:rsidRDefault="00000000">
            <w:pPr>
              <w:spacing w:before="60" w:line="240" w:lineRule="auto"/>
              <w:jc w:val="center"/>
              <w:rPr>
                <w:i/>
                <w:iCs/>
                <w:sz w:val="18"/>
              </w:rPr>
            </w:pPr>
          </w:p>
        </w:tc>
        <w:tc>
          <w:tcPr>
            <w:tcW w:w="1161" w:type="dxa"/>
            <w:vMerge w:val="restart"/>
            <w:tcBorders>
              <w:top w:val="single" w:sz="4" w:space="0" w:color="auto"/>
            </w:tcBorders>
          </w:tcPr>
          <w:p w:rsidR="00000000" w:rsidRDefault="00000000">
            <w:pPr>
              <w:spacing w:before="60" w:line="240" w:lineRule="auto"/>
              <w:jc w:val="center"/>
              <w:rPr>
                <w:i/>
                <w:iCs/>
                <w:sz w:val="18"/>
              </w:rPr>
            </w:pPr>
            <w:r>
              <w:rPr>
                <w:i/>
                <w:iCs/>
                <w:sz w:val="18"/>
              </w:rPr>
              <w:t>Фактическое число</w:t>
            </w:r>
          </w:p>
        </w:tc>
        <w:tc>
          <w:tcPr>
            <w:tcW w:w="2608" w:type="dxa"/>
            <w:gridSpan w:val="2"/>
            <w:tcBorders>
              <w:top w:val="single" w:sz="4" w:space="0" w:color="auto"/>
              <w:bottom w:val="single" w:sz="4" w:space="0" w:color="auto"/>
            </w:tcBorders>
          </w:tcPr>
          <w:p w:rsidR="00000000" w:rsidRDefault="00000000">
            <w:pPr>
              <w:spacing w:before="60" w:line="240" w:lineRule="auto"/>
              <w:jc w:val="center"/>
              <w:rPr>
                <w:i/>
                <w:iCs/>
                <w:sz w:val="18"/>
              </w:rPr>
            </w:pPr>
            <w:r>
              <w:rPr>
                <w:i/>
                <w:iCs/>
                <w:sz w:val="18"/>
              </w:rPr>
              <w:t>Изменение в % по сравнению с:</w:t>
            </w:r>
          </w:p>
        </w:tc>
      </w:tr>
      <w:tr w:rsidR="00000000">
        <w:tblPrEx>
          <w:tblCellMar>
            <w:top w:w="0" w:type="dxa"/>
            <w:bottom w:w="0" w:type="dxa"/>
          </w:tblCellMar>
        </w:tblPrEx>
        <w:trPr>
          <w:cantSplit/>
        </w:trPr>
        <w:tc>
          <w:tcPr>
            <w:tcW w:w="2884" w:type="dxa"/>
            <w:vMerge/>
            <w:tcBorders>
              <w:bottom w:val="single" w:sz="4" w:space="0" w:color="auto"/>
            </w:tcBorders>
          </w:tcPr>
          <w:p w:rsidR="00000000" w:rsidRDefault="00000000">
            <w:pPr>
              <w:spacing w:before="60" w:line="240" w:lineRule="auto"/>
              <w:jc w:val="center"/>
              <w:rPr>
                <w:i/>
                <w:iCs/>
                <w:sz w:val="18"/>
              </w:rPr>
            </w:pPr>
          </w:p>
        </w:tc>
        <w:tc>
          <w:tcPr>
            <w:tcW w:w="919" w:type="dxa"/>
            <w:vMerge/>
            <w:tcBorders>
              <w:bottom w:val="single" w:sz="4" w:space="0" w:color="auto"/>
            </w:tcBorders>
          </w:tcPr>
          <w:p w:rsidR="00000000" w:rsidRDefault="00000000">
            <w:pPr>
              <w:spacing w:before="60" w:line="240" w:lineRule="auto"/>
              <w:jc w:val="center"/>
              <w:rPr>
                <w:i/>
                <w:iCs/>
                <w:sz w:val="18"/>
              </w:rPr>
            </w:pPr>
          </w:p>
        </w:tc>
        <w:tc>
          <w:tcPr>
            <w:tcW w:w="919" w:type="dxa"/>
            <w:vMerge/>
            <w:tcBorders>
              <w:bottom w:val="single" w:sz="4" w:space="0" w:color="auto"/>
            </w:tcBorders>
          </w:tcPr>
          <w:p w:rsidR="00000000" w:rsidRDefault="00000000">
            <w:pPr>
              <w:spacing w:before="60" w:line="240" w:lineRule="auto"/>
              <w:jc w:val="center"/>
              <w:rPr>
                <w:i/>
                <w:iCs/>
                <w:sz w:val="18"/>
              </w:rPr>
            </w:pPr>
          </w:p>
        </w:tc>
        <w:tc>
          <w:tcPr>
            <w:tcW w:w="920" w:type="dxa"/>
            <w:vMerge/>
            <w:tcBorders>
              <w:bottom w:val="single" w:sz="4" w:space="0" w:color="auto"/>
            </w:tcBorders>
          </w:tcPr>
          <w:p w:rsidR="00000000" w:rsidRDefault="00000000">
            <w:pPr>
              <w:spacing w:before="60" w:line="240" w:lineRule="auto"/>
              <w:jc w:val="center"/>
              <w:rPr>
                <w:i/>
                <w:iCs/>
                <w:sz w:val="18"/>
              </w:rPr>
            </w:pPr>
          </w:p>
        </w:tc>
        <w:tc>
          <w:tcPr>
            <w:tcW w:w="1161" w:type="dxa"/>
            <w:vMerge/>
            <w:tcBorders>
              <w:bottom w:val="single" w:sz="4" w:space="0" w:color="auto"/>
            </w:tcBorders>
          </w:tcPr>
          <w:p w:rsidR="00000000" w:rsidRDefault="00000000">
            <w:pPr>
              <w:spacing w:before="60" w:line="240" w:lineRule="auto"/>
              <w:jc w:val="center"/>
              <w:rPr>
                <w:i/>
                <w:iCs/>
                <w:sz w:val="18"/>
              </w:rPr>
            </w:pPr>
          </w:p>
        </w:tc>
        <w:tc>
          <w:tcPr>
            <w:tcW w:w="1386" w:type="dxa"/>
            <w:tcBorders>
              <w:top w:val="single" w:sz="4" w:space="0" w:color="auto"/>
              <w:bottom w:val="single" w:sz="4" w:space="0" w:color="auto"/>
            </w:tcBorders>
          </w:tcPr>
          <w:p w:rsidR="00000000" w:rsidRDefault="00000000">
            <w:pPr>
              <w:spacing w:before="60" w:line="240" w:lineRule="auto"/>
              <w:jc w:val="center"/>
              <w:rPr>
                <w:i/>
                <w:iCs/>
                <w:sz w:val="18"/>
              </w:rPr>
            </w:pPr>
            <w:r>
              <w:rPr>
                <w:i/>
                <w:iCs/>
                <w:sz w:val="18"/>
              </w:rPr>
              <w:t>2000 годом</w:t>
            </w:r>
          </w:p>
        </w:tc>
        <w:tc>
          <w:tcPr>
            <w:tcW w:w="1222" w:type="dxa"/>
            <w:tcBorders>
              <w:top w:val="single" w:sz="4" w:space="0" w:color="auto"/>
              <w:bottom w:val="single" w:sz="4" w:space="0" w:color="auto"/>
            </w:tcBorders>
          </w:tcPr>
          <w:p w:rsidR="00000000" w:rsidRDefault="00000000">
            <w:pPr>
              <w:spacing w:before="60" w:line="240" w:lineRule="auto"/>
              <w:jc w:val="center"/>
              <w:rPr>
                <w:i/>
                <w:iCs/>
                <w:sz w:val="18"/>
              </w:rPr>
            </w:pPr>
            <w:r>
              <w:rPr>
                <w:i/>
                <w:iCs/>
                <w:sz w:val="18"/>
              </w:rPr>
              <w:t>2003 годом</w:t>
            </w:r>
          </w:p>
        </w:tc>
      </w:tr>
      <w:tr w:rsidR="00000000">
        <w:tblPrEx>
          <w:tblCellMar>
            <w:top w:w="0" w:type="dxa"/>
            <w:bottom w:w="0" w:type="dxa"/>
          </w:tblCellMar>
        </w:tblPrEx>
        <w:trPr>
          <w:cantSplit/>
        </w:trPr>
        <w:tc>
          <w:tcPr>
            <w:tcW w:w="2884" w:type="dxa"/>
            <w:tcBorders>
              <w:top w:val="single" w:sz="4" w:space="0" w:color="auto"/>
            </w:tcBorders>
          </w:tcPr>
          <w:p w:rsidR="00000000" w:rsidRDefault="00000000">
            <w:pPr>
              <w:spacing w:before="80" w:line="240" w:lineRule="auto"/>
              <w:rPr>
                <w:sz w:val="18"/>
                <w:vertAlign w:val="superscript"/>
              </w:rPr>
            </w:pPr>
            <w:r>
              <w:rPr>
                <w:sz w:val="18"/>
              </w:rPr>
              <w:t>Общее число случаев</w:t>
            </w:r>
            <w:r>
              <w:rPr>
                <w:b/>
                <w:bCs/>
                <w:sz w:val="18"/>
                <w:vertAlign w:val="superscript"/>
              </w:rPr>
              <w:t>*</w:t>
            </w:r>
          </w:p>
        </w:tc>
        <w:tc>
          <w:tcPr>
            <w:tcW w:w="919" w:type="dxa"/>
            <w:tcBorders>
              <w:top w:val="single" w:sz="4" w:space="0" w:color="auto"/>
            </w:tcBorders>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4 596</w:t>
            </w:r>
          </w:p>
        </w:tc>
        <w:tc>
          <w:tcPr>
            <w:tcW w:w="919" w:type="dxa"/>
            <w:tcBorders>
              <w:top w:val="single" w:sz="4" w:space="0" w:color="auto"/>
            </w:tcBorders>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4 696</w:t>
            </w:r>
          </w:p>
        </w:tc>
        <w:tc>
          <w:tcPr>
            <w:tcW w:w="920" w:type="dxa"/>
            <w:tcBorders>
              <w:top w:val="single" w:sz="4" w:space="0" w:color="auto"/>
            </w:tcBorders>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4 916</w:t>
            </w:r>
          </w:p>
        </w:tc>
        <w:tc>
          <w:tcPr>
            <w:tcW w:w="1161" w:type="dxa"/>
            <w:tcBorders>
              <w:top w:val="single" w:sz="4" w:space="0" w:color="auto"/>
            </w:tcBorders>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5 020</w:t>
            </w:r>
          </w:p>
        </w:tc>
        <w:tc>
          <w:tcPr>
            <w:tcW w:w="1386" w:type="dxa"/>
            <w:tcBorders>
              <w:top w:val="single" w:sz="4" w:space="0" w:color="auto"/>
            </w:tcBorders>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9,2</w:t>
            </w:r>
          </w:p>
        </w:tc>
        <w:tc>
          <w:tcPr>
            <w:tcW w:w="1222" w:type="dxa"/>
            <w:tcBorders>
              <w:top w:val="single" w:sz="4" w:space="0" w:color="auto"/>
            </w:tcBorders>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2,1</w:t>
            </w:r>
          </w:p>
        </w:tc>
      </w:tr>
      <w:tr w:rsidR="00000000">
        <w:tblPrEx>
          <w:tblCellMar>
            <w:top w:w="0" w:type="dxa"/>
            <w:bottom w:w="0" w:type="dxa"/>
          </w:tblCellMar>
        </w:tblPrEx>
        <w:trPr>
          <w:cantSplit/>
        </w:trPr>
        <w:tc>
          <w:tcPr>
            <w:tcW w:w="2884" w:type="dxa"/>
          </w:tcPr>
          <w:p w:rsidR="00000000" w:rsidRDefault="00000000">
            <w:pPr>
              <w:spacing w:before="80" w:line="240" w:lineRule="auto"/>
              <w:ind w:left="567" w:hanging="525"/>
              <w:rPr>
                <w:sz w:val="18"/>
              </w:rPr>
            </w:pPr>
            <w:r>
              <w:rPr>
                <w:sz w:val="18"/>
              </w:rPr>
              <w:t>Мужчины</w:t>
            </w:r>
          </w:p>
        </w:tc>
        <w:tc>
          <w:tcPr>
            <w:tcW w:w="919" w:type="dxa"/>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3 981</w:t>
            </w:r>
          </w:p>
        </w:tc>
        <w:tc>
          <w:tcPr>
            <w:tcW w:w="919" w:type="dxa"/>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4 086</w:t>
            </w:r>
          </w:p>
        </w:tc>
        <w:tc>
          <w:tcPr>
            <w:tcW w:w="920" w:type="dxa"/>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4 214</w:t>
            </w:r>
          </w:p>
        </w:tc>
        <w:tc>
          <w:tcPr>
            <w:tcW w:w="1161" w:type="dxa"/>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4 303</w:t>
            </w:r>
          </w:p>
        </w:tc>
        <w:tc>
          <w:tcPr>
            <w:tcW w:w="1386" w:type="dxa"/>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8,1</w:t>
            </w:r>
          </w:p>
        </w:tc>
        <w:tc>
          <w:tcPr>
            <w:tcW w:w="1222" w:type="dxa"/>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2,1</w:t>
            </w:r>
          </w:p>
        </w:tc>
      </w:tr>
      <w:tr w:rsidR="00000000">
        <w:tblPrEx>
          <w:tblCellMar>
            <w:top w:w="0" w:type="dxa"/>
            <w:bottom w:w="0" w:type="dxa"/>
          </w:tblCellMar>
        </w:tblPrEx>
        <w:trPr>
          <w:cantSplit/>
        </w:trPr>
        <w:tc>
          <w:tcPr>
            <w:tcW w:w="2884" w:type="dxa"/>
          </w:tcPr>
          <w:p w:rsidR="00000000" w:rsidRDefault="00000000">
            <w:pPr>
              <w:spacing w:before="80" w:line="240" w:lineRule="auto"/>
              <w:ind w:left="567" w:hanging="525"/>
              <w:rPr>
                <w:sz w:val="18"/>
              </w:rPr>
            </w:pPr>
            <w:r>
              <w:rPr>
                <w:sz w:val="18"/>
              </w:rPr>
              <w:t>Женщины</w:t>
            </w:r>
          </w:p>
        </w:tc>
        <w:tc>
          <w:tcPr>
            <w:tcW w:w="919" w:type="dxa"/>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615</w:t>
            </w:r>
          </w:p>
        </w:tc>
        <w:tc>
          <w:tcPr>
            <w:tcW w:w="919" w:type="dxa"/>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610</w:t>
            </w:r>
          </w:p>
        </w:tc>
        <w:tc>
          <w:tcPr>
            <w:tcW w:w="920" w:type="dxa"/>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702</w:t>
            </w:r>
          </w:p>
        </w:tc>
        <w:tc>
          <w:tcPr>
            <w:tcW w:w="1161" w:type="dxa"/>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717</w:t>
            </w:r>
          </w:p>
        </w:tc>
        <w:tc>
          <w:tcPr>
            <w:tcW w:w="1386" w:type="dxa"/>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16,6</w:t>
            </w:r>
          </w:p>
        </w:tc>
        <w:tc>
          <w:tcPr>
            <w:tcW w:w="1222" w:type="dxa"/>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2,1</w:t>
            </w:r>
          </w:p>
        </w:tc>
      </w:tr>
      <w:tr w:rsidR="00000000">
        <w:tblPrEx>
          <w:tblCellMar>
            <w:top w:w="0" w:type="dxa"/>
            <w:bottom w:w="0" w:type="dxa"/>
          </w:tblCellMar>
        </w:tblPrEx>
        <w:trPr>
          <w:cantSplit/>
        </w:trPr>
        <w:tc>
          <w:tcPr>
            <w:tcW w:w="2884" w:type="dxa"/>
          </w:tcPr>
          <w:p w:rsidR="00000000" w:rsidRDefault="00000000">
            <w:pPr>
              <w:spacing w:before="80" w:line="240" w:lineRule="auto"/>
              <w:rPr>
                <w:sz w:val="18"/>
                <w:vertAlign w:val="superscript"/>
              </w:rPr>
            </w:pPr>
            <w:r>
              <w:rPr>
                <w:sz w:val="18"/>
              </w:rPr>
              <w:t>Число новых выявленных случаев</w:t>
            </w:r>
            <w:r>
              <w:rPr>
                <w:b/>
                <w:bCs/>
                <w:sz w:val="18"/>
                <w:vertAlign w:val="superscript"/>
              </w:rPr>
              <w:t>1</w:t>
            </w:r>
          </w:p>
        </w:tc>
        <w:tc>
          <w:tcPr>
            <w:tcW w:w="919" w:type="dxa"/>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1 114</w:t>
            </w:r>
          </w:p>
        </w:tc>
        <w:tc>
          <w:tcPr>
            <w:tcW w:w="919" w:type="dxa"/>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1 172</w:t>
            </w:r>
          </w:p>
        </w:tc>
        <w:tc>
          <w:tcPr>
            <w:tcW w:w="920" w:type="dxa"/>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1 574</w:t>
            </w:r>
          </w:p>
        </w:tc>
        <w:tc>
          <w:tcPr>
            <w:tcW w:w="1161" w:type="dxa"/>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2 033</w:t>
            </w:r>
          </w:p>
        </w:tc>
        <w:tc>
          <w:tcPr>
            <w:tcW w:w="1386" w:type="dxa"/>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82,5</w:t>
            </w:r>
          </w:p>
        </w:tc>
        <w:tc>
          <w:tcPr>
            <w:tcW w:w="1222" w:type="dxa"/>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29,2</w:t>
            </w:r>
          </w:p>
        </w:tc>
      </w:tr>
      <w:tr w:rsidR="00000000">
        <w:tblPrEx>
          <w:tblCellMar>
            <w:top w:w="0" w:type="dxa"/>
            <w:bottom w:w="0" w:type="dxa"/>
          </w:tblCellMar>
        </w:tblPrEx>
        <w:trPr>
          <w:cantSplit/>
        </w:trPr>
        <w:tc>
          <w:tcPr>
            <w:tcW w:w="2884" w:type="dxa"/>
            <w:tcBorders>
              <w:bottom w:val="single" w:sz="4" w:space="0" w:color="auto"/>
            </w:tcBorders>
          </w:tcPr>
          <w:p w:rsidR="00000000" w:rsidRDefault="00000000">
            <w:pPr>
              <w:spacing w:before="80" w:line="240" w:lineRule="auto"/>
              <w:rPr>
                <w:sz w:val="18"/>
                <w:vertAlign w:val="superscript"/>
              </w:rPr>
            </w:pPr>
            <w:r>
              <w:rPr>
                <w:sz w:val="18"/>
              </w:rPr>
              <w:t>Прирост за год</w:t>
            </w:r>
            <w:r>
              <w:rPr>
                <w:b/>
                <w:bCs/>
                <w:sz w:val="18"/>
                <w:vertAlign w:val="superscript"/>
              </w:rPr>
              <w:t>2</w:t>
            </w:r>
          </w:p>
        </w:tc>
        <w:tc>
          <w:tcPr>
            <w:tcW w:w="919" w:type="dxa"/>
            <w:tcBorders>
              <w:bottom w:val="single" w:sz="4" w:space="0" w:color="auto"/>
            </w:tcBorders>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4,2</w:t>
            </w:r>
          </w:p>
        </w:tc>
        <w:tc>
          <w:tcPr>
            <w:tcW w:w="919" w:type="dxa"/>
            <w:tcBorders>
              <w:bottom w:val="single" w:sz="4" w:space="0" w:color="auto"/>
            </w:tcBorders>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4,3</w:t>
            </w:r>
          </w:p>
        </w:tc>
        <w:tc>
          <w:tcPr>
            <w:tcW w:w="920" w:type="dxa"/>
            <w:tcBorders>
              <w:bottom w:val="single" w:sz="4" w:space="0" w:color="auto"/>
            </w:tcBorders>
            <w:tcMar>
              <w:left w:w="85" w:type="dxa"/>
              <w:right w:w="85" w:type="dxa"/>
            </w:tcMar>
          </w:tcPr>
          <w:p w:rsidR="00000000" w:rsidRDefault="00000000">
            <w:pPr>
              <w:tabs>
                <w:tab w:val="clear" w:pos="567"/>
                <w:tab w:val="left" w:pos="1418"/>
              </w:tabs>
              <w:spacing w:before="80" w:line="240" w:lineRule="auto"/>
              <w:ind w:right="170"/>
              <w:jc w:val="right"/>
              <w:rPr>
                <w:sz w:val="18"/>
                <w:szCs w:val="22"/>
              </w:rPr>
            </w:pPr>
            <w:r>
              <w:rPr>
                <w:sz w:val="18"/>
                <w:szCs w:val="22"/>
              </w:rPr>
              <w:t>4,48</w:t>
            </w:r>
          </w:p>
        </w:tc>
        <w:tc>
          <w:tcPr>
            <w:tcW w:w="1161" w:type="dxa"/>
            <w:tcBorders>
              <w:bottom w:val="single" w:sz="4" w:space="0" w:color="auto"/>
            </w:tcBorders>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4,5</w:t>
            </w:r>
          </w:p>
        </w:tc>
        <w:tc>
          <w:tcPr>
            <w:tcW w:w="1386" w:type="dxa"/>
            <w:tcBorders>
              <w:bottom w:val="single" w:sz="4" w:space="0" w:color="auto"/>
            </w:tcBorders>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7,1</w:t>
            </w:r>
          </w:p>
        </w:tc>
        <w:tc>
          <w:tcPr>
            <w:tcW w:w="1222" w:type="dxa"/>
            <w:tcBorders>
              <w:bottom w:val="single" w:sz="4" w:space="0" w:color="auto"/>
            </w:tcBorders>
            <w:tcMar>
              <w:left w:w="85" w:type="dxa"/>
              <w:right w:w="85" w:type="dxa"/>
            </w:tcMar>
          </w:tcPr>
          <w:p w:rsidR="00000000" w:rsidRDefault="00000000">
            <w:pPr>
              <w:tabs>
                <w:tab w:val="clear" w:pos="567"/>
                <w:tab w:val="left" w:pos="1418"/>
              </w:tabs>
              <w:spacing w:before="80" w:line="240" w:lineRule="auto"/>
              <w:ind w:right="340"/>
              <w:jc w:val="right"/>
              <w:rPr>
                <w:sz w:val="18"/>
                <w:szCs w:val="22"/>
              </w:rPr>
            </w:pPr>
            <w:r>
              <w:rPr>
                <w:sz w:val="18"/>
                <w:szCs w:val="22"/>
              </w:rPr>
              <w:t>0,44</w:t>
            </w:r>
          </w:p>
        </w:tc>
      </w:tr>
    </w:tbl>
    <w:p w:rsidR="00000000" w:rsidRDefault="00000000">
      <w:pPr>
        <w:spacing w:before="60" w:line="216" w:lineRule="auto"/>
        <w:rPr>
          <w:sz w:val="18"/>
        </w:rPr>
      </w:pPr>
    </w:p>
    <w:p w:rsidR="00000000" w:rsidRDefault="00000000">
      <w:pPr>
        <w:spacing w:line="216" w:lineRule="auto"/>
        <w:rPr>
          <w:sz w:val="18"/>
        </w:rPr>
      </w:pPr>
      <w:r>
        <w:rPr>
          <w:i/>
          <w:iCs/>
          <w:sz w:val="18"/>
        </w:rPr>
        <w:t>Источник</w:t>
      </w:r>
      <w:r>
        <w:rPr>
          <w:sz w:val="18"/>
        </w:rPr>
        <w:t>:  министерство здравоохранения 2004 год.</w:t>
      </w:r>
    </w:p>
    <w:p w:rsidR="00000000" w:rsidRDefault="00000000">
      <w:pPr>
        <w:spacing w:line="216" w:lineRule="auto"/>
      </w:pPr>
    </w:p>
    <w:p w:rsidR="00000000" w:rsidRDefault="00000000">
      <w:pPr>
        <w:spacing w:line="216" w:lineRule="auto"/>
        <w:rPr>
          <w:sz w:val="18"/>
        </w:rPr>
      </w:pPr>
      <w:r>
        <w:rPr>
          <w:b/>
          <w:bCs/>
          <w:sz w:val="18"/>
          <w:vertAlign w:val="superscript"/>
        </w:rPr>
        <w:t>*</w:t>
      </w:r>
      <w:r>
        <w:rPr>
          <w:sz w:val="18"/>
        </w:rPr>
        <w:tab/>
        <w:t>Оценка, что объясняется задержкой в уведомлении о случаях СПИДа.  Соответствует новым случаям с оценкой по году диагностики.</w:t>
      </w:r>
    </w:p>
    <w:p w:rsidR="00000000" w:rsidRDefault="00000000">
      <w:pPr>
        <w:spacing w:line="216" w:lineRule="auto"/>
        <w:rPr>
          <w:sz w:val="18"/>
        </w:rPr>
      </w:pPr>
    </w:p>
    <w:p w:rsidR="00000000" w:rsidRDefault="00000000">
      <w:pPr>
        <w:spacing w:line="216" w:lineRule="auto"/>
        <w:rPr>
          <w:sz w:val="18"/>
        </w:rPr>
      </w:pPr>
      <w:r>
        <w:rPr>
          <w:b/>
          <w:bCs/>
          <w:sz w:val="18"/>
          <w:vertAlign w:val="superscript"/>
        </w:rPr>
        <w:t>1</w:t>
      </w:r>
      <w:r>
        <w:rPr>
          <w:sz w:val="18"/>
        </w:rPr>
        <w:tab/>
        <w:t>Число случаев СПИДа по данным за соответствующий год.</w:t>
      </w:r>
    </w:p>
    <w:p w:rsidR="00000000" w:rsidRDefault="00000000">
      <w:pPr>
        <w:spacing w:line="216" w:lineRule="auto"/>
        <w:rPr>
          <w:sz w:val="18"/>
        </w:rPr>
      </w:pPr>
    </w:p>
    <w:p w:rsidR="00000000" w:rsidRDefault="00000000">
      <w:pPr>
        <w:spacing w:line="216" w:lineRule="auto"/>
        <w:rPr>
          <w:sz w:val="18"/>
        </w:rPr>
      </w:pPr>
      <w:r>
        <w:rPr>
          <w:b/>
          <w:bCs/>
          <w:sz w:val="18"/>
          <w:vertAlign w:val="superscript"/>
        </w:rPr>
        <w:t>2</w:t>
      </w:r>
      <w:r>
        <w:rPr>
          <w:sz w:val="18"/>
        </w:rPr>
        <w:tab/>
        <w:t>Ежегодный прирост рассчитывается по общему числу новых случаев по оценке за год диагностики.</w:t>
      </w:r>
    </w:p>
    <w:p w:rsidR="00000000" w:rsidRDefault="00000000">
      <w:pPr>
        <w:spacing w:line="216" w:lineRule="auto"/>
        <w:rPr>
          <w:sz w:val="18"/>
        </w:rPr>
      </w:pPr>
    </w:p>
    <w:p w:rsidR="00000000" w:rsidRDefault="00000000">
      <w:pPr>
        <w:spacing w:line="216" w:lineRule="auto"/>
        <w:rPr>
          <w:sz w:val="18"/>
        </w:rPr>
      </w:pPr>
    </w:p>
    <w:p w:rsidR="00000000" w:rsidRDefault="00000000">
      <w:r>
        <w:t>577.</w:t>
      </w:r>
      <w:r>
        <w:tab/>
        <w:t>Можно отметить следующие успехи в борьбе с ВИЧ/СПИДом в Мексике:</w:t>
      </w:r>
    </w:p>
    <w:p w:rsidR="00000000" w:rsidRDefault="00000000"/>
    <w:p w:rsidR="00000000" w:rsidRDefault="00000000">
      <w:pPr>
        <w:numPr>
          <w:ilvl w:val="0"/>
          <w:numId w:val="403"/>
        </w:numPr>
      </w:pPr>
      <w:r>
        <w:t>выделено 20 млн. долл. на проекты профилактики ВИЧ среди наиболее уязвимых групп населения, подвергающихся наибольшему риску, для проведения 400 учебных мероприятий в масштабах всей страны;</w:t>
      </w:r>
    </w:p>
    <w:p w:rsidR="00000000" w:rsidRDefault="00000000">
      <w:pPr>
        <w:tabs>
          <w:tab w:val="clear" w:pos="1134"/>
        </w:tabs>
      </w:pPr>
    </w:p>
    <w:p w:rsidR="00000000" w:rsidRDefault="00000000">
      <w:pPr>
        <w:numPr>
          <w:ilvl w:val="0"/>
          <w:numId w:val="403"/>
        </w:numPr>
      </w:pPr>
      <w:r>
        <w:t>с 84% до 100% расширен охват бесплатным антиретровирусным лечением лиц со СПИДом, у которых это заболевание было выявлено медицинскими учреждениями.</w:t>
      </w:r>
    </w:p>
    <w:p w:rsidR="00000000" w:rsidRDefault="00000000">
      <w:pPr>
        <w:tabs>
          <w:tab w:val="clear" w:pos="1134"/>
        </w:tabs>
      </w:pPr>
    </w:p>
    <w:p w:rsidR="00000000" w:rsidRDefault="00000000">
      <w:pPr>
        <w:keepNext/>
        <w:jc w:val="center"/>
        <w:rPr>
          <w:b/>
          <w:bCs/>
        </w:rPr>
      </w:pPr>
      <w:r>
        <w:rPr>
          <w:b/>
          <w:bCs/>
        </w:rPr>
        <w:t>Доля пациентов с ВИЧ/СПИДом, получающих антиретровирусные лекарства</w:t>
      </w:r>
    </w:p>
    <w:p w:rsidR="00000000" w:rsidRDefault="00000000">
      <w:pPr>
        <w:keepNext/>
        <w:jc w:val="center"/>
      </w:pPr>
    </w:p>
    <w:p w:rsidR="00000000" w:rsidRDefault="00000000">
      <w:pPr>
        <w:keepNext/>
        <w:pBdr>
          <w:top w:val="single" w:sz="4" w:space="1" w:color="auto"/>
          <w:left w:val="single" w:sz="4" w:space="0" w:color="auto"/>
          <w:bottom w:val="single" w:sz="4" w:space="1" w:color="auto"/>
          <w:right w:val="single" w:sz="4" w:space="0" w:color="auto"/>
        </w:pBdr>
        <w:ind w:left="532" w:right="591"/>
        <w:jc w:val="center"/>
      </w:pPr>
    </w:p>
    <w:bookmarkStart w:id="131" w:name="_MON_1198574350"/>
    <w:bookmarkEnd w:id="131"/>
    <w:p w:rsidR="00000000" w:rsidRDefault="00000000">
      <w:pPr>
        <w:pBdr>
          <w:top w:val="single" w:sz="4" w:space="1" w:color="auto"/>
          <w:left w:val="single" w:sz="4" w:space="0" w:color="auto"/>
          <w:bottom w:val="single" w:sz="4" w:space="1" w:color="auto"/>
          <w:right w:val="single" w:sz="4" w:space="0" w:color="auto"/>
        </w:pBdr>
        <w:ind w:left="532" w:right="591"/>
        <w:jc w:val="center"/>
      </w:pPr>
      <w:r>
        <w:object w:dxaOrig="6012" w:dyaOrig="2228">
          <v:shape id="_x0000_i1037" type="#_x0000_t75" style="width:336pt;height:145.5pt" o:ole="">
            <v:imagedata r:id="rId178" o:title=""/>
          </v:shape>
          <o:OLEObject Type="Embed" ProgID="Word.Picture.8" ShapeID="_x0000_i1037" DrawAspect="Content" ObjectID="_1394895092" r:id="rId179"/>
        </w:object>
      </w:r>
    </w:p>
    <w:p w:rsidR="00000000" w:rsidRDefault="00000000">
      <w:pPr>
        <w:jc w:val="center"/>
      </w:pPr>
    </w:p>
    <w:p w:rsidR="00000000" w:rsidRDefault="00000000">
      <w:pPr>
        <w:tabs>
          <w:tab w:val="clear" w:pos="1701"/>
        </w:tabs>
        <w:spacing w:line="240" w:lineRule="auto"/>
        <w:rPr>
          <w:sz w:val="18"/>
        </w:rPr>
      </w:pPr>
      <w:r>
        <w:rPr>
          <w:i/>
          <w:iCs/>
          <w:sz w:val="18"/>
        </w:rPr>
        <w:t>Источник</w:t>
      </w:r>
      <w:r>
        <w:rPr>
          <w:sz w:val="18"/>
        </w:rPr>
        <w:t>:  министерство здравоохранения.</w:t>
      </w:r>
    </w:p>
    <w:p w:rsidR="00000000" w:rsidRDefault="00000000"/>
    <w:p w:rsidR="00000000" w:rsidRDefault="00000000">
      <w:r>
        <w:t>578.</w:t>
      </w:r>
      <w:r>
        <w:tab/>
        <w:t xml:space="preserve">В рамках постоянной программы пропаганды правильного использования кондомов среди групп населения повышенного риска и наибольшей уязвимости для эпидемии и других заболеваний, передаваемых половым путем, к концу 2003 года среди общественных организаций, просветительских учреждений и органов управления различных уровней было распространено 16 500 000 кондомов.  </w:t>
      </w:r>
    </w:p>
    <w:p w:rsidR="00000000" w:rsidRDefault="00000000"/>
    <w:p w:rsidR="00000000" w:rsidRDefault="00000000">
      <w:r>
        <w:t>579.</w:t>
      </w:r>
      <w:r>
        <w:tab/>
        <w:t>В 2001-2004 годах ежегодные расходы на лечение в расчете на пациента сократились с 73 000 песо до 51 000 песо.  В июне 2002 года были завершены переговоры, позволившие снизить цены антиретровирусной терапии первой линии, которая шире всего используется для лечения ВИЧ-инфицированных.  Стоимость такого лечения, которое в 2001 году составляло от 1 000 до 5 000 долларов, в настоящее время колеблется в районе 350-690 долларов.</w:t>
      </w:r>
    </w:p>
    <w:p w:rsidR="00000000" w:rsidRDefault="00000000"/>
    <w:p w:rsidR="00000000" w:rsidRDefault="00000000">
      <w:r>
        <w:t>580.</w:t>
      </w:r>
      <w:r>
        <w:tab/>
        <w:t>На 10,5% выросло число анализов на ВИЧ, с 448 825 анализов в 2002 году до 495 993 в 2003 году.</w:t>
      </w:r>
    </w:p>
    <w:p w:rsidR="00000000" w:rsidRDefault="00000000"/>
    <w:p w:rsidR="00000000" w:rsidRDefault="00000000">
      <w:r>
        <w:t>581.</w:t>
      </w:r>
      <w:r>
        <w:tab/>
        <w:t>В 2003 году было предоставлено 408 000 консультаций по вопросам профилактики заболеваний, передаваемых половым путем;  по сравнению с 360 000 консультаций годом ранее их число выросло на 12,3%.</w:t>
      </w:r>
    </w:p>
    <w:p w:rsidR="00000000" w:rsidRDefault="00000000"/>
    <w:p w:rsidR="00000000" w:rsidRDefault="00000000">
      <w:r>
        <w:t>582.</w:t>
      </w:r>
      <w:r>
        <w:tab/>
        <w:t xml:space="preserve">В целях обеспечения надлежащего обслуживания инфицированных ВИЧ/СПИДом, не охватываемых социальным обеспечением, в 2002 году число специализированных подразделений по уходу в учреждениях министерства здравоохранения выросло в </w:t>
      </w:r>
    </w:p>
    <w:p w:rsidR="00000000" w:rsidRDefault="00000000">
      <w:r>
        <w:br w:type="page"/>
        <w:t>2003 году до 94 по сравнению с 76 в 2002 году, или на 23%.  Эти новые подразделения были созданы в штатах, в которых больше всего инфицированных ВИЧ/СПИДом и где доступ к медицинскому обслуживанию более затруднен в силу географии штата.</w:t>
      </w:r>
    </w:p>
    <w:p w:rsidR="00000000" w:rsidRDefault="00000000"/>
    <w:p w:rsidR="00000000" w:rsidRDefault="00000000">
      <w:pPr>
        <w:rPr>
          <w:b/>
          <w:bCs/>
        </w:rPr>
      </w:pPr>
      <w:r>
        <w:rPr>
          <w:b/>
          <w:bCs/>
        </w:rPr>
        <w:tab/>
        <w:t>Хронические дегенеративные заболевания</w:t>
      </w:r>
    </w:p>
    <w:p w:rsidR="00000000" w:rsidRDefault="00000000">
      <w:pPr>
        <w:rPr>
          <w:b/>
          <w:bCs/>
        </w:rPr>
      </w:pPr>
    </w:p>
    <w:p w:rsidR="00000000" w:rsidRDefault="00000000">
      <w:r>
        <w:t>583.</w:t>
      </w:r>
      <w:r>
        <w:tab/>
        <w:t>Эпидемиологический переход в Мексике характеризуется наибольшей распространенностью непередаваемых заболеваний, среди которых сахарный диабет и артериальная гипертония как следствие старения населения и возрастания рисков, связанных с индустриализацией и урбанизацией.</w:t>
      </w:r>
    </w:p>
    <w:p w:rsidR="00000000" w:rsidRDefault="00000000"/>
    <w:p w:rsidR="00000000" w:rsidRDefault="00000000">
      <w:pPr>
        <w:rPr>
          <w:b/>
          <w:bCs/>
          <w:i/>
          <w:iCs/>
        </w:rPr>
      </w:pPr>
      <w:r>
        <w:tab/>
      </w:r>
      <w:r>
        <w:rPr>
          <w:b/>
          <w:bCs/>
          <w:i/>
          <w:iCs/>
        </w:rPr>
        <w:t>Сахарный диабет</w:t>
      </w:r>
    </w:p>
    <w:p w:rsidR="00000000" w:rsidRDefault="00000000">
      <w:pPr>
        <w:rPr>
          <w:b/>
          <w:bCs/>
          <w:i/>
          <w:iCs/>
        </w:rPr>
      </w:pPr>
    </w:p>
    <w:p w:rsidR="00000000" w:rsidRDefault="00000000">
      <w:r>
        <w:t>584.</w:t>
      </w:r>
      <w:r>
        <w:tab/>
        <w:t>В целях борьбы с диабетом ведется работа, включающая пропаганду здорового образа жизни, заблаговременную диагностику диабета, подготовку медицинских работников и информирование населения на основе участия в деятельности групп взаимопомощи в целях содействия метаболическому контролю за этим заболеванием среди страдающих от него лиц и постоянного проведения разъяснительных и просветительских кампаний.</w:t>
      </w:r>
    </w:p>
    <w:p w:rsidR="00000000" w:rsidRDefault="00000000"/>
    <w:p w:rsidR="00000000" w:rsidRDefault="00000000">
      <w:r>
        <w:t>585.</w:t>
      </w:r>
      <w:r>
        <w:tab/>
        <w:t>В координации с Панамериканской организацией здравоохранения (ПАОЗ) разрабатывается проект "Повышение качества жизни диабетиков" в целях расширения возможностей медицинский учреждений по диагностике и контролю диабета и внедрения методов оказания больным диабетом необходимой помощи.</w:t>
      </w:r>
    </w:p>
    <w:p w:rsidR="00000000" w:rsidRDefault="00000000"/>
    <w:p w:rsidR="00000000" w:rsidRDefault="00000000">
      <w:r>
        <w:t>586.</w:t>
      </w:r>
      <w:r>
        <w:tab/>
        <w:t xml:space="preserve">В 2002 году было проведено свыше 6,1 млн. анализов, а в 2003 году </w:t>
      </w:r>
      <w:r>
        <w:noBreakHyphen/>
        <w:t xml:space="preserve"> 6,5 млн., или на 7% больше.</w:t>
      </w:r>
    </w:p>
    <w:p w:rsidR="00000000" w:rsidRDefault="00000000"/>
    <w:p w:rsidR="00000000" w:rsidRDefault="00000000">
      <w:r>
        <w:t>587.</w:t>
      </w:r>
      <w:r>
        <w:tab/>
        <w:t>При медицинских учреждениях действует 7 413 групп взаимопомощи, в которых участвуют почти 132 000 больных диабетом, систематической артериальной гипертонией или избыточным весом.</w:t>
      </w:r>
    </w:p>
    <w:p w:rsidR="00000000" w:rsidRDefault="00000000">
      <w:pPr>
        <w:spacing w:line="240" w:lineRule="auto"/>
      </w:pPr>
    </w:p>
    <w:p w:rsidR="00000000" w:rsidRDefault="00000000">
      <w:pPr>
        <w:spacing w:line="240" w:lineRule="auto"/>
        <w:jc w:val="center"/>
        <w:rPr>
          <w:b/>
          <w:bCs/>
          <w:lang w:val="en-US"/>
        </w:rPr>
      </w:pPr>
      <w:r>
        <w:rPr>
          <w:b/>
          <w:bCs/>
        </w:rPr>
        <w:t>Хронические дегенеративные заболевания:  сахарный диабет</w:t>
      </w:r>
    </w:p>
    <w:p w:rsidR="00000000" w:rsidRDefault="00000000">
      <w:pPr>
        <w:spacing w:line="240" w:lineRule="auto"/>
        <w:jc w:val="center"/>
        <w:rPr>
          <w:b/>
          <w:bCs/>
          <w:lang w:val="en-US"/>
        </w:rPr>
      </w:pPr>
    </w:p>
    <w:tbl>
      <w:tblPr>
        <w:tblW w:w="0" w:type="auto"/>
        <w:tblInd w:w="122" w:type="dxa"/>
        <w:tblLook w:val="0000" w:firstRow="0" w:lastRow="0" w:firstColumn="0" w:lastColumn="0" w:noHBand="0" w:noVBand="0"/>
      </w:tblPr>
      <w:tblGrid>
        <w:gridCol w:w="3912"/>
        <w:gridCol w:w="2805"/>
        <w:gridCol w:w="2634"/>
      </w:tblGrid>
      <w:tr w:rsidR="00000000">
        <w:tblPrEx>
          <w:tblCellMar>
            <w:top w:w="0" w:type="dxa"/>
            <w:bottom w:w="0" w:type="dxa"/>
          </w:tblCellMar>
        </w:tblPrEx>
        <w:tc>
          <w:tcPr>
            <w:tcW w:w="3912" w:type="dxa"/>
            <w:tcBorders>
              <w:top w:val="single" w:sz="4" w:space="0" w:color="auto"/>
              <w:bottom w:val="single" w:sz="4" w:space="0" w:color="auto"/>
            </w:tcBorders>
          </w:tcPr>
          <w:p w:rsidR="00000000" w:rsidRDefault="00000000">
            <w:pPr>
              <w:spacing w:before="40"/>
              <w:jc w:val="center"/>
              <w:rPr>
                <w:i/>
                <w:iCs/>
                <w:sz w:val="18"/>
              </w:rPr>
            </w:pPr>
            <w:r>
              <w:rPr>
                <w:i/>
                <w:iCs/>
                <w:sz w:val="18"/>
              </w:rPr>
              <w:t>Действие</w:t>
            </w:r>
          </w:p>
        </w:tc>
        <w:tc>
          <w:tcPr>
            <w:tcW w:w="2805" w:type="dxa"/>
            <w:tcBorders>
              <w:top w:val="single" w:sz="4" w:space="0" w:color="auto"/>
              <w:bottom w:val="single" w:sz="4" w:space="0" w:color="auto"/>
            </w:tcBorders>
          </w:tcPr>
          <w:p w:rsidR="00000000" w:rsidRDefault="00000000">
            <w:pPr>
              <w:tabs>
                <w:tab w:val="clear" w:pos="567"/>
                <w:tab w:val="clear" w:pos="1134"/>
                <w:tab w:val="clear" w:pos="1701"/>
                <w:tab w:val="clear" w:pos="2268"/>
              </w:tabs>
              <w:spacing w:before="40"/>
              <w:ind w:right="928"/>
              <w:jc w:val="right"/>
              <w:rPr>
                <w:i/>
                <w:iCs/>
                <w:sz w:val="18"/>
              </w:rPr>
            </w:pPr>
            <w:r>
              <w:rPr>
                <w:i/>
                <w:iCs/>
                <w:sz w:val="18"/>
              </w:rPr>
              <w:t>2002 год</w:t>
            </w:r>
          </w:p>
        </w:tc>
        <w:tc>
          <w:tcPr>
            <w:tcW w:w="2634" w:type="dxa"/>
            <w:tcBorders>
              <w:top w:val="single" w:sz="4" w:space="0" w:color="auto"/>
              <w:bottom w:val="single" w:sz="4" w:space="0" w:color="auto"/>
            </w:tcBorders>
          </w:tcPr>
          <w:p w:rsidR="00000000" w:rsidRDefault="00000000">
            <w:pPr>
              <w:tabs>
                <w:tab w:val="clear" w:pos="567"/>
                <w:tab w:val="clear" w:pos="1134"/>
                <w:tab w:val="clear" w:pos="1701"/>
                <w:tab w:val="clear" w:pos="2268"/>
              </w:tabs>
              <w:spacing w:before="40"/>
              <w:ind w:right="940"/>
              <w:jc w:val="right"/>
              <w:rPr>
                <w:i/>
                <w:iCs/>
                <w:sz w:val="18"/>
              </w:rPr>
            </w:pPr>
            <w:r>
              <w:rPr>
                <w:i/>
                <w:iCs/>
                <w:sz w:val="18"/>
              </w:rPr>
              <w:t>2003 год</w:t>
            </w:r>
          </w:p>
        </w:tc>
      </w:tr>
      <w:tr w:rsidR="00000000">
        <w:tblPrEx>
          <w:tblCellMar>
            <w:top w:w="0" w:type="dxa"/>
            <w:bottom w:w="0" w:type="dxa"/>
          </w:tblCellMar>
        </w:tblPrEx>
        <w:tc>
          <w:tcPr>
            <w:tcW w:w="3912" w:type="dxa"/>
            <w:tcBorders>
              <w:top w:val="single" w:sz="4" w:space="0" w:color="auto"/>
            </w:tcBorders>
          </w:tcPr>
          <w:p w:rsidR="00000000" w:rsidRDefault="00000000">
            <w:pPr>
              <w:spacing w:before="40"/>
              <w:rPr>
                <w:sz w:val="18"/>
              </w:rPr>
            </w:pPr>
            <w:r>
              <w:rPr>
                <w:sz w:val="18"/>
              </w:rPr>
              <w:t>Число анализов</w:t>
            </w:r>
          </w:p>
        </w:tc>
        <w:tc>
          <w:tcPr>
            <w:tcW w:w="2805" w:type="dxa"/>
            <w:tcBorders>
              <w:top w:val="single" w:sz="4" w:space="0" w:color="auto"/>
            </w:tcBorders>
          </w:tcPr>
          <w:p w:rsidR="00000000" w:rsidRDefault="00000000">
            <w:pPr>
              <w:tabs>
                <w:tab w:val="clear" w:pos="2268"/>
              </w:tabs>
              <w:spacing w:before="40"/>
              <w:ind w:right="928"/>
              <w:jc w:val="right"/>
              <w:rPr>
                <w:sz w:val="18"/>
              </w:rPr>
            </w:pPr>
            <w:r>
              <w:rPr>
                <w:sz w:val="18"/>
              </w:rPr>
              <w:t>6 107 822</w:t>
            </w:r>
          </w:p>
        </w:tc>
        <w:tc>
          <w:tcPr>
            <w:tcW w:w="2634" w:type="dxa"/>
            <w:tcBorders>
              <w:top w:val="single" w:sz="4" w:space="0" w:color="auto"/>
            </w:tcBorders>
          </w:tcPr>
          <w:p w:rsidR="00000000" w:rsidRDefault="00000000">
            <w:pPr>
              <w:tabs>
                <w:tab w:val="clear" w:pos="567"/>
                <w:tab w:val="clear" w:pos="1134"/>
                <w:tab w:val="clear" w:pos="1701"/>
                <w:tab w:val="clear" w:pos="2268"/>
              </w:tabs>
              <w:spacing w:before="40"/>
              <w:ind w:right="940"/>
              <w:jc w:val="right"/>
              <w:rPr>
                <w:sz w:val="18"/>
              </w:rPr>
            </w:pPr>
            <w:r>
              <w:rPr>
                <w:sz w:val="18"/>
              </w:rPr>
              <w:t>6 539 322</w:t>
            </w:r>
          </w:p>
        </w:tc>
      </w:tr>
      <w:tr w:rsidR="00000000">
        <w:tblPrEx>
          <w:tblCellMar>
            <w:top w:w="0" w:type="dxa"/>
            <w:bottom w:w="0" w:type="dxa"/>
          </w:tblCellMar>
        </w:tblPrEx>
        <w:tc>
          <w:tcPr>
            <w:tcW w:w="3912" w:type="dxa"/>
          </w:tcPr>
          <w:p w:rsidR="00000000" w:rsidRDefault="00000000">
            <w:pPr>
              <w:spacing w:before="40"/>
              <w:rPr>
                <w:sz w:val="18"/>
              </w:rPr>
            </w:pPr>
            <w:r>
              <w:rPr>
                <w:sz w:val="18"/>
              </w:rPr>
              <w:t>Заболевания в стадии лечения</w:t>
            </w:r>
          </w:p>
        </w:tc>
        <w:tc>
          <w:tcPr>
            <w:tcW w:w="2805" w:type="dxa"/>
          </w:tcPr>
          <w:p w:rsidR="00000000" w:rsidRDefault="00000000">
            <w:pPr>
              <w:tabs>
                <w:tab w:val="clear" w:pos="2268"/>
              </w:tabs>
              <w:spacing w:before="40"/>
              <w:ind w:right="928"/>
              <w:jc w:val="right"/>
              <w:rPr>
                <w:sz w:val="18"/>
              </w:rPr>
            </w:pPr>
            <w:r>
              <w:rPr>
                <w:sz w:val="18"/>
              </w:rPr>
              <w:t>321 857</w:t>
            </w:r>
          </w:p>
        </w:tc>
        <w:tc>
          <w:tcPr>
            <w:tcW w:w="2634" w:type="dxa"/>
          </w:tcPr>
          <w:p w:rsidR="00000000" w:rsidRDefault="00000000">
            <w:pPr>
              <w:tabs>
                <w:tab w:val="clear" w:pos="567"/>
                <w:tab w:val="clear" w:pos="1134"/>
                <w:tab w:val="clear" w:pos="1701"/>
                <w:tab w:val="clear" w:pos="2268"/>
              </w:tabs>
              <w:spacing w:before="40"/>
              <w:ind w:right="940"/>
              <w:jc w:val="right"/>
              <w:rPr>
                <w:sz w:val="18"/>
              </w:rPr>
            </w:pPr>
            <w:r>
              <w:rPr>
                <w:sz w:val="18"/>
              </w:rPr>
              <w:t>369 606</w:t>
            </w:r>
          </w:p>
        </w:tc>
      </w:tr>
      <w:tr w:rsidR="00000000">
        <w:tblPrEx>
          <w:tblCellMar>
            <w:top w:w="0" w:type="dxa"/>
            <w:bottom w:w="0" w:type="dxa"/>
          </w:tblCellMar>
        </w:tblPrEx>
        <w:tc>
          <w:tcPr>
            <w:tcW w:w="3912" w:type="dxa"/>
          </w:tcPr>
          <w:p w:rsidR="00000000" w:rsidRDefault="00000000">
            <w:pPr>
              <w:spacing w:before="40"/>
              <w:rPr>
                <w:sz w:val="18"/>
              </w:rPr>
            </w:pPr>
            <w:r>
              <w:rPr>
                <w:sz w:val="18"/>
              </w:rPr>
              <w:t>Заболевания в стадии контроля</w:t>
            </w:r>
          </w:p>
        </w:tc>
        <w:tc>
          <w:tcPr>
            <w:tcW w:w="2805" w:type="dxa"/>
          </w:tcPr>
          <w:p w:rsidR="00000000" w:rsidRDefault="00000000">
            <w:pPr>
              <w:tabs>
                <w:tab w:val="clear" w:pos="2268"/>
              </w:tabs>
              <w:spacing w:before="40"/>
              <w:ind w:right="928"/>
              <w:jc w:val="right"/>
              <w:rPr>
                <w:sz w:val="18"/>
              </w:rPr>
            </w:pPr>
            <w:r>
              <w:rPr>
                <w:sz w:val="18"/>
              </w:rPr>
              <w:t>108 731</w:t>
            </w:r>
          </w:p>
        </w:tc>
        <w:tc>
          <w:tcPr>
            <w:tcW w:w="2634" w:type="dxa"/>
          </w:tcPr>
          <w:p w:rsidR="00000000" w:rsidRDefault="00000000">
            <w:pPr>
              <w:tabs>
                <w:tab w:val="clear" w:pos="567"/>
                <w:tab w:val="clear" w:pos="1134"/>
                <w:tab w:val="clear" w:pos="1701"/>
                <w:tab w:val="clear" w:pos="2268"/>
              </w:tabs>
              <w:spacing w:before="40"/>
              <w:ind w:right="940"/>
              <w:jc w:val="right"/>
              <w:rPr>
                <w:sz w:val="18"/>
              </w:rPr>
            </w:pPr>
            <w:r>
              <w:rPr>
                <w:sz w:val="18"/>
              </w:rPr>
              <w:t>131 770</w:t>
            </w:r>
          </w:p>
        </w:tc>
      </w:tr>
      <w:tr w:rsidR="00000000">
        <w:tblPrEx>
          <w:tblCellMar>
            <w:top w:w="0" w:type="dxa"/>
            <w:bottom w:w="0" w:type="dxa"/>
          </w:tblCellMar>
        </w:tblPrEx>
        <w:tc>
          <w:tcPr>
            <w:tcW w:w="3912" w:type="dxa"/>
            <w:tcBorders>
              <w:bottom w:val="single" w:sz="4" w:space="0" w:color="auto"/>
            </w:tcBorders>
          </w:tcPr>
          <w:p w:rsidR="00000000" w:rsidRDefault="00000000">
            <w:pPr>
              <w:spacing w:before="40"/>
              <w:rPr>
                <w:sz w:val="18"/>
              </w:rPr>
            </w:pPr>
            <w:r>
              <w:rPr>
                <w:sz w:val="18"/>
              </w:rPr>
              <w:t>Число групп взаимопомощи</w:t>
            </w:r>
          </w:p>
        </w:tc>
        <w:tc>
          <w:tcPr>
            <w:tcW w:w="2805" w:type="dxa"/>
            <w:tcBorders>
              <w:bottom w:val="single" w:sz="4" w:space="0" w:color="auto"/>
            </w:tcBorders>
          </w:tcPr>
          <w:p w:rsidR="00000000" w:rsidRDefault="00000000">
            <w:pPr>
              <w:tabs>
                <w:tab w:val="clear" w:pos="2268"/>
              </w:tabs>
              <w:spacing w:before="40"/>
              <w:ind w:right="928"/>
              <w:jc w:val="right"/>
              <w:rPr>
                <w:sz w:val="18"/>
              </w:rPr>
            </w:pPr>
            <w:r>
              <w:rPr>
                <w:sz w:val="18"/>
              </w:rPr>
              <w:t>4 085</w:t>
            </w:r>
          </w:p>
        </w:tc>
        <w:tc>
          <w:tcPr>
            <w:tcW w:w="2634" w:type="dxa"/>
            <w:tcBorders>
              <w:bottom w:val="single" w:sz="4" w:space="0" w:color="auto"/>
            </w:tcBorders>
          </w:tcPr>
          <w:p w:rsidR="00000000" w:rsidRDefault="00000000">
            <w:pPr>
              <w:tabs>
                <w:tab w:val="clear" w:pos="567"/>
                <w:tab w:val="clear" w:pos="1134"/>
                <w:tab w:val="clear" w:pos="1701"/>
                <w:tab w:val="clear" w:pos="2268"/>
              </w:tabs>
              <w:spacing w:before="40"/>
              <w:ind w:right="940"/>
              <w:jc w:val="right"/>
              <w:rPr>
                <w:sz w:val="18"/>
              </w:rPr>
            </w:pPr>
            <w:r>
              <w:rPr>
                <w:sz w:val="18"/>
              </w:rPr>
              <w:t>7 413</w:t>
            </w:r>
          </w:p>
        </w:tc>
      </w:tr>
    </w:tbl>
    <w:p w:rsidR="00000000" w:rsidRDefault="00000000">
      <w:pPr>
        <w:spacing w:line="240" w:lineRule="auto"/>
      </w:pPr>
    </w:p>
    <w:p w:rsidR="00000000" w:rsidRDefault="00000000">
      <w:pPr>
        <w:spacing w:line="240" w:lineRule="auto"/>
        <w:rPr>
          <w:i/>
          <w:iCs/>
          <w:sz w:val="18"/>
        </w:rPr>
      </w:pPr>
      <w:r>
        <w:rPr>
          <w:i/>
          <w:iCs/>
          <w:sz w:val="18"/>
        </w:rPr>
        <w:t>Источник:  министерство здравоохранения 2004 год.</w:t>
      </w:r>
    </w:p>
    <w:p w:rsidR="00000000" w:rsidRDefault="00000000">
      <w:pPr>
        <w:keepNext/>
        <w:rPr>
          <w:b/>
          <w:bCs/>
          <w:i/>
          <w:iCs/>
        </w:rPr>
      </w:pPr>
      <w:r>
        <w:rPr>
          <w:i/>
          <w:iCs/>
        </w:rPr>
        <w:tab/>
      </w:r>
      <w:r>
        <w:rPr>
          <w:b/>
          <w:bCs/>
          <w:i/>
          <w:iCs/>
        </w:rPr>
        <w:t>Артериальная гипертония</w:t>
      </w:r>
    </w:p>
    <w:p w:rsidR="00000000" w:rsidRDefault="00000000">
      <w:pPr>
        <w:keepNext/>
        <w:rPr>
          <w:b/>
          <w:bCs/>
          <w:i/>
          <w:iCs/>
        </w:rPr>
      </w:pPr>
    </w:p>
    <w:p w:rsidR="00000000" w:rsidRDefault="00000000">
      <w:pPr>
        <w:keepNext/>
      </w:pPr>
      <w:r>
        <w:t>588.</w:t>
      </w:r>
      <w:r>
        <w:tab/>
        <w:t>Сердечно-сосудистые заболевания представляют собой серьезную проблему здравоохранения, занимая первое место в числе причин смертности в Мексике.  Из них главная причина смертности - заболевания сердца.</w:t>
      </w:r>
    </w:p>
    <w:p w:rsidR="00000000" w:rsidRDefault="00000000"/>
    <w:p w:rsidR="00000000" w:rsidRDefault="00000000">
      <w:r>
        <w:t>589.</w:t>
      </w:r>
      <w:r>
        <w:tab/>
        <w:t>Постоянное увеличение подверженности воздействию факторов риска, таких, как неправильное питание, малоподвижный образ жизни, избыточный вес, расстройство обмена углеводов, жиров и белков, табакокурение, алкоголизм и собственно артериальная гипертония способствуют расширению числа сердечно-сосудистых заболеваний, которые в настоящее время представляют собой серьезную проблему для страны.</w:t>
      </w:r>
    </w:p>
    <w:p w:rsidR="00000000" w:rsidRDefault="00000000"/>
    <w:p w:rsidR="00000000" w:rsidRDefault="00000000">
      <w:r>
        <w:t>590.</w:t>
      </w:r>
      <w:r>
        <w:tab/>
        <w:t>Для борьбы с артериальной гипертонией предпринимаются усилия по поощрению здорового образа жизни, ранней диагностике артериальной гипертонии, подготовке медицинского персонала по информированию населения на основе его участия в деятельности групп взаимопомощи.</w:t>
      </w:r>
    </w:p>
    <w:p w:rsidR="00000000" w:rsidRDefault="00000000"/>
    <w:p w:rsidR="00000000" w:rsidRDefault="00000000">
      <w:r>
        <w:t>591.</w:t>
      </w:r>
      <w:r>
        <w:tab/>
        <w:t>В 2002 году было проведено 8,5 млн. анализов, а в 2003 году - уже более 8,6 миллионов.</w:t>
      </w:r>
    </w:p>
    <w:p w:rsidR="00000000" w:rsidRDefault="00000000"/>
    <w:p w:rsidR="00000000" w:rsidRDefault="00000000">
      <w:r>
        <w:t>592.</w:t>
      </w:r>
      <w:r>
        <w:tab/>
        <w:t>Программа "План снижения артериальной гипертонии среди пожилых людей старше 60 лет" охватывает более 117 000 пожилых с артериальной гипертонией, что позволило наладить надлежащий контроль за артериальным давлением 44,5% больных этим заболеванием, что, без сомнения, поможет предотвратить примерно 20% риска возникновения сосудистых заболеваний мозга.</w:t>
      </w:r>
    </w:p>
    <w:p w:rsidR="00000000" w:rsidRDefault="00000000"/>
    <w:p w:rsidR="00000000" w:rsidRDefault="00000000">
      <w:r>
        <w:t>593.</w:t>
      </w:r>
      <w:r>
        <w:tab/>
        <w:t>Достигнут показатель контроля за артериальным давлением 45,8% числа пациентов, проходящих лечение, и 44,5% пожилых старше 60 лет с диагнозом гипертония.  Группы самопомощи созданы при 42,0% медицинских учреждений, на 2 процентных пункта больше, чем в 2002 году.  Показатель распространенности артериальной гипертонии составил 36,3%.  Показатель заболеваемости ишемической болезнью сердца составил 44,97%, а цереброваскулярными заболеваниями - 25,4 на 100 000 человек.</w:t>
      </w:r>
    </w:p>
    <w:p w:rsidR="00000000" w:rsidRDefault="00000000">
      <w:pPr>
        <w:rPr>
          <w:b/>
          <w:bCs/>
          <w:lang w:val="en-US"/>
        </w:rPr>
      </w:pPr>
    </w:p>
    <w:p w:rsidR="00000000" w:rsidRDefault="00000000">
      <w:pPr>
        <w:rPr>
          <w:b/>
          <w:bCs/>
        </w:rPr>
      </w:pPr>
      <w:r>
        <w:rPr>
          <w:b/>
          <w:bCs/>
        </w:rPr>
        <w:t xml:space="preserve">Пункт 51 </w:t>
      </w:r>
      <w:r>
        <w:rPr>
          <w:b/>
          <w:bCs/>
          <w:lang w:val="en-US"/>
        </w:rPr>
        <w:t>h</w:t>
      </w:r>
      <w:r>
        <w:rPr>
          <w:b/>
          <w:bCs/>
        </w:rPr>
        <w:t>)</w:t>
      </w:r>
    </w:p>
    <w:p w:rsidR="00000000" w:rsidRDefault="00000000">
      <w:pPr>
        <w:rPr>
          <w:b/>
          <w:bCs/>
        </w:rPr>
      </w:pPr>
    </w:p>
    <w:p w:rsidR="00000000" w:rsidRDefault="00000000">
      <w:r>
        <w:t>594.</w:t>
      </w:r>
      <w:r>
        <w:tab/>
        <w:t>Эти руководящие принципы изложены в подпункте 5 пункта С статьи 12.</w:t>
      </w:r>
    </w:p>
    <w:p w:rsidR="00000000" w:rsidRDefault="00000000"/>
    <w:p w:rsidR="00000000" w:rsidRDefault="00000000">
      <w:pPr>
        <w:rPr>
          <w:b/>
          <w:bCs/>
        </w:rPr>
      </w:pPr>
      <w:r>
        <w:rPr>
          <w:b/>
          <w:bCs/>
        </w:rPr>
        <w:br w:type="page"/>
        <w:t>Пункт 51 i)</w:t>
      </w:r>
    </w:p>
    <w:p w:rsidR="00000000" w:rsidRDefault="00000000">
      <w:pPr>
        <w:rPr>
          <w:b/>
          <w:bCs/>
        </w:rPr>
      </w:pPr>
    </w:p>
    <w:p w:rsidR="00000000" w:rsidRDefault="00000000">
      <w:r>
        <w:t>595.</w:t>
      </w:r>
      <w:r>
        <w:tab/>
        <w:t>Проведение реформы требует решения ряда масштабных задач.  Необходимы дополнительные государственные ресурсы для замещения расходов из личных средств и обеспечения неудовлетворенных потребностей населения в области здравоохранения.  Финансирование услуг государством и муниципальными органами также требует серьезной перестройки, обеспечивающей равновесие расходов на профилактику и расходов на лечение пациентов.  Другая масштабная задача </w:t>
      </w:r>
      <w:r>
        <w:noBreakHyphen/>
        <w:t xml:space="preserve"> привитие системе организационной культуры, благодаря которой она смогла бы оперативнее реагировать и больше учитывать потребности пациентов.  Чтобы население производило отчисления на медицинское обслуживание и вступало в систему народного медицинского обеспечения, необходимо, чтобы оно доверяло системе медицинского обслуживания и понимало ее полезность.  Еще одна масштабная задача </w:t>
      </w:r>
      <w:r>
        <w:noBreakHyphen/>
        <w:t xml:space="preserve"> создание конкурентной среды на стороне предложения.  На этапе перехода необходимо изменить ориентацию льгот в сторону спроса при одновременном укреплении предложения.  Для решения этой задачи в условиях стремительных организационных и системных изменений необходима глубокая перестройка, требующая стратегии управления переменами.</w:t>
      </w:r>
    </w:p>
    <w:p w:rsidR="00000000" w:rsidRDefault="00000000"/>
    <w:p w:rsidR="00000000" w:rsidRDefault="00000000">
      <w:r>
        <w:t>596.</w:t>
      </w:r>
      <w:r>
        <w:tab/>
        <w:t>Необходимо также создать механизмы компенсации между штатами и поставщиками медицинских услуг, обеспечить улучшение географического и институционального охвата государственного страхования, содействовать усилению конкуренции между поставщиками медицинских услуг и расширить возможности выбора потребителей.  Необходимо также содействовать более широкому и более рациональному участию частного сектора и некоммерческих организаций.</w:t>
      </w:r>
    </w:p>
    <w:p w:rsidR="00000000" w:rsidRDefault="00000000"/>
    <w:p w:rsidR="00000000" w:rsidRDefault="00000000">
      <w:r>
        <w:t>597.</w:t>
      </w:r>
      <w:r>
        <w:tab/>
        <w:t xml:space="preserve">Мексиканская реформа также представляет собой важный пример одновременной работы по этическому, техническому и политическому направлениям реформы.  Наконец, мексиканская реформа дает пример "добродетельного круга", установившегося между выработкой информации и данных на национальном и международном уровне.  </w:t>
      </w:r>
    </w:p>
    <w:p w:rsidR="00000000" w:rsidRDefault="00000000"/>
    <w:p w:rsidR="00000000" w:rsidRDefault="00000000">
      <w:pPr>
        <w:rPr>
          <w:b/>
          <w:bCs/>
        </w:rPr>
      </w:pPr>
      <w:r>
        <w:rPr>
          <w:b/>
          <w:bCs/>
        </w:rPr>
        <w:t>Пункт 52</w:t>
      </w:r>
    </w:p>
    <w:p w:rsidR="00000000" w:rsidRDefault="00000000">
      <w:pPr>
        <w:rPr>
          <w:b/>
          <w:bCs/>
        </w:rPr>
      </w:pPr>
    </w:p>
    <w:p w:rsidR="00000000" w:rsidRDefault="00000000">
      <w:r>
        <w:t>598.</w:t>
      </w:r>
      <w:r>
        <w:tab/>
        <w:t>Изменения демографической пирамиды обусловили демографический переход, который сказался на эпидемиологической статистике, характеризующейся ростом потребностей в лечении таких заболеваний, как диабет и гипертония, которые связаны с большими сложностями и затратами и встречаются прежде всего среди взрослого населения.</w:t>
      </w:r>
    </w:p>
    <w:p w:rsidR="00000000" w:rsidRDefault="00000000"/>
    <w:p w:rsidR="00000000" w:rsidRDefault="00000000">
      <w:r>
        <w:t>599.</w:t>
      </w:r>
      <w:r>
        <w:tab/>
        <w:t>Теперь, когда работа по профилактике предыдущих лет, вызвавшая существенное увеличение средней продолжительности жизни, привела к образованию многочисленной группы пожилых людей, необходимо, чтобы национальная система здравоохранения активизировала свою деятельность по программам, предусматривающим оказание помощи группе населения, которой необходимо обеспечить достойное качество жизни.  В этой связи большинство программ предусматривают цели и мероприятия по оказанию помощи этой группе населения, в осуществлении которых активно участвуют органы государственного управления федерального, штатного и муниципального уровня. В качестве примера можно привести вакцинацию взрослых "ПРЕВЕР</w:t>
      </w:r>
      <w:r>
        <w:noBreakHyphen/>
        <w:t>ДИС" (профилактика и реабилитация инвалидностей), предотвращение несчастных случаев и специальную медицинскую помощь.</w:t>
      </w:r>
    </w:p>
    <w:p w:rsidR="00000000" w:rsidRDefault="00000000"/>
    <w:p w:rsidR="00000000" w:rsidRDefault="00000000">
      <w:pPr>
        <w:rPr>
          <w:lang w:val="en-US"/>
        </w:rPr>
      </w:pPr>
      <w:r>
        <w:t>600.</w:t>
      </w:r>
      <w:r>
        <w:tab/>
        <w:t xml:space="preserve">В последние восемь лет ожидаемая продолжительность жизни выросла почти на два года.  </w:t>
      </w:r>
    </w:p>
    <w:p w:rsidR="00000000" w:rsidRDefault="00000000">
      <w:pPr>
        <w:rPr>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0"/>
      </w:tblGrid>
      <w:tr w:rsidR="00000000">
        <w:tblPrEx>
          <w:tblCellMar>
            <w:top w:w="0" w:type="dxa"/>
            <w:bottom w:w="0" w:type="dxa"/>
          </w:tblCellMar>
        </w:tblPrEx>
        <w:trPr>
          <w:jc w:val="center"/>
        </w:trPr>
        <w:tc>
          <w:tcPr>
            <w:tcW w:w="9070" w:type="dxa"/>
          </w:tcPr>
          <w:bookmarkStart w:id="132" w:name="_MON_1184911964"/>
          <w:bookmarkStart w:id="133" w:name="_MON_1190780986"/>
          <w:bookmarkStart w:id="134" w:name="_MON_1190781209"/>
          <w:bookmarkStart w:id="135" w:name="_MON_1190781343"/>
          <w:bookmarkStart w:id="136" w:name="_MON_1190781434"/>
          <w:bookmarkStart w:id="137" w:name="_MON_1190783071"/>
          <w:bookmarkEnd w:id="132"/>
          <w:bookmarkEnd w:id="133"/>
          <w:bookmarkEnd w:id="134"/>
          <w:bookmarkEnd w:id="135"/>
          <w:bookmarkEnd w:id="136"/>
          <w:bookmarkEnd w:id="137"/>
          <w:p w:rsidR="00000000" w:rsidRDefault="00000000">
            <w:pPr>
              <w:keepNext/>
              <w:keepLines/>
              <w:spacing w:after="240"/>
              <w:jc w:val="center"/>
              <w:rPr>
                <w:lang w:val="en-US"/>
              </w:rPr>
            </w:pPr>
            <w:r>
              <w:rPr>
                <w:lang w:val="en-US"/>
              </w:rPr>
              <w:object w:dxaOrig="6905" w:dyaOrig="2052">
                <v:shape id="_x0000_i1038" type="#_x0000_t75" style="width:444pt;height:132pt" o:ole="">
                  <v:imagedata r:id="rId180" o:title="" gain="61604f" grayscale="t"/>
                </v:shape>
                <o:OLEObject Type="Embed" ProgID="Word.Picture.8" ShapeID="_x0000_i1038" DrawAspect="Content" ObjectID="_1394895093" r:id="rId181"/>
              </w:object>
            </w:r>
          </w:p>
        </w:tc>
      </w:tr>
    </w:tbl>
    <w:p w:rsidR="00000000" w:rsidRDefault="00000000">
      <w:pPr>
        <w:jc w:val="center"/>
        <w:rPr>
          <w:lang w:val="en-US"/>
        </w:rPr>
      </w:pPr>
    </w:p>
    <w:p w:rsidR="00000000" w:rsidRDefault="00000000">
      <w:pPr>
        <w:pStyle w:val="BodyText"/>
        <w:ind w:left="240" w:hanging="240"/>
        <w:jc w:val="left"/>
        <w:rPr>
          <w:rFonts w:ascii="Arial" w:hAnsi="Arial" w:cs="Arial"/>
          <w:sz w:val="18"/>
          <w:szCs w:val="22"/>
          <w:lang w:val="ru-RU"/>
        </w:rPr>
      </w:pPr>
      <w:r>
        <w:rPr>
          <w:b w:val="0"/>
          <w:i/>
          <w:iCs/>
          <w:sz w:val="18"/>
          <w:szCs w:val="22"/>
          <w:lang w:val="ru-RU"/>
        </w:rPr>
        <w:t>Источник:</w:t>
      </w:r>
      <w:r>
        <w:rPr>
          <w:rFonts w:ascii="Arial" w:hAnsi="Arial" w:cs="Arial"/>
          <w:b w:val="0"/>
          <w:i/>
          <w:iCs/>
          <w:sz w:val="18"/>
          <w:szCs w:val="22"/>
          <w:lang w:val="ru-RU"/>
        </w:rPr>
        <w:t xml:space="preserve">  </w:t>
      </w:r>
      <w:r>
        <w:rPr>
          <w:b w:val="0"/>
          <w:bCs w:val="0"/>
          <w:sz w:val="18"/>
          <w:lang w:val="ru-RU"/>
        </w:rPr>
        <w:t>министерство здравоохранения 2004 год.</w:t>
      </w:r>
    </w:p>
    <w:p w:rsidR="00000000" w:rsidRDefault="00000000"/>
    <w:p w:rsidR="00000000" w:rsidRDefault="00000000">
      <w:pPr>
        <w:rPr>
          <w:b/>
          <w:bCs/>
        </w:rPr>
      </w:pPr>
      <w:r>
        <w:rPr>
          <w:b/>
          <w:bCs/>
        </w:rPr>
        <w:t>Пункт 53</w:t>
      </w:r>
    </w:p>
    <w:p w:rsidR="00000000" w:rsidRDefault="00000000">
      <w:pPr>
        <w:rPr>
          <w:b/>
          <w:bCs/>
        </w:rPr>
      </w:pPr>
    </w:p>
    <w:p w:rsidR="00000000" w:rsidRDefault="00000000">
      <w:r>
        <w:t>601.</w:t>
      </w:r>
      <w:r>
        <w:tab/>
        <w:t>Программа "Здоровые общины" осуществляется при участии муниципий и населенных пунктов в координации с программой здравоохранения.</w:t>
      </w:r>
    </w:p>
    <w:p w:rsidR="00000000" w:rsidRDefault="00000000"/>
    <w:p w:rsidR="00000000" w:rsidRDefault="00000000">
      <w:r>
        <w:t>602.</w:t>
      </w:r>
      <w:r>
        <w:tab/>
        <w:t>Пропаганда здоровья ведется по следующим основным направлениям:</w:t>
      </w:r>
    </w:p>
    <w:p w:rsidR="00000000" w:rsidRDefault="00000000"/>
    <w:p w:rsidR="00000000" w:rsidRDefault="00000000">
      <w:pPr>
        <w:numPr>
          <w:ilvl w:val="0"/>
          <w:numId w:val="404"/>
        </w:numPr>
        <w:ind w:left="1148" w:hanging="546"/>
      </w:pPr>
      <w:r>
        <w:t>информационная работа, ориентация, стимулирование, укрепление и признание участия местных властей;</w:t>
      </w:r>
    </w:p>
    <w:p w:rsidR="00000000" w:rsidRDefault="00000000"/>
    <w:p w:rsidR="00000000" w:rsidRDefault="00000000">
      <w:pPr>
        <w:numPr>
          <w:ilvl w:val="0"/>
          <w:numId w:val="404"/>
        </w:numPr>
        <w:ind w:left="1148" w:hanging="546"/>
      </w:pPr>
      <w:r>
        <w:t>информация, просвещение и информирование населения;</w:t>
      </w:r>
    </w:p>
    <w:p w:rsidR="00000000" w:rsidRDefault="00000000"/>
    <w:p w:rsidR="00000000" w:rsidRDefault="00000000">
      <w:pPr>
        <w:numPr>
          <w:ilvl w:val="0"/>
          <w:numId w:val="404"/>
        </w:numPr>
        <w:ind w:left="1148" w:hanging="546"/>
      </w:pPr>
      <w:r>
        <w:t>подготовка материалов для санитарного просвещения;</w:t>
      </w:r>
    </w:p>
    <w:p w:rsidR="00000000" w:rsidRDefault="00000000"/>
    <w:p w:rsidR="00000000" w:rsidRDefault="00000000">
      <w:pPr>
        <w:numPr>
          <w:ilvl w:val="0"/>
          <w:numId w:val="404"/>
        </w:numPr>
        <w:ind w:left="1148" w:hanging="546"/>
      </w:pPr>
      <w:r>
        <w:t>соединение действий, обязательств с помощью местных муниципальных комитетов;</w:t>
      </w:r>
    </w:p>
    <w:p w:rsidR="00000000" w:rsidRDefault="00000000"/>
    <w:p w:rsidR="00000000" w:rsidRDefault="00000000">
      <w:pPr>
        <w:numPr>
          <w:ilvl w:val="0"/>
          <w:numId w:val="404"/>
        </w:numPr>
        <w:ind w:left="1148" w:hanging="546"/>
      </w:pPr>
      <w:r>
        <w:t>техническая и финансовая поддержка осуществления проектов.</w:t>
      </w:r>
    </w:p>
    <w:p w:rsidR="00000000" w:rsidRDefault="00000000"/>
    <w:p w:rsidR="00000000" w:rsidRDefault="00000000">
      <w:r>
        <w:t>603.</w:t>
      </w:r>
      <w:r>
        <w:tab/>
        <w:t>В настоящее время эта система охватывает 71,22% всех муниципий страны, в которых по меньшей мере имеется муниципальный комитет здравоохранения.  В координации с санитарными органами проводится диагностика ситуации, которая обсуждается на рабочем совещании по определению приоритетов и планировании, на основе чего составляется программа работы.</w:t>
      </w:r>
    </w:p>
    <w:p w:rsidR="00000000" w:rsidRDefault="00000000"/>
    <w:p w:rsidR="00000000" w:rsidRDefault="00000000">
      <w:r>
        <w:t>604.</w:t>
      </w:r>
      <w:r>
        <w:tab/>
        <w:t>Следует отметить, что этой программой охвачены уже 59,27% муниципий с коренным населением, на 10,88% больше чем в 2002 году.</w:t>
      </w:r>
    </w:p>
    <w:p w:rsidR="00000000" w:rsidRDefault="00000000"/>
    <w:p w:rsidR="00000000" w:rsidRDefault="00000000">
      <w:r>
        <w:t>605.</w:t>
      </w:r>
      <w:r>
        <w:tab/>
        <w:t>В 2003 году число сетей здоровых муниципий на уровне штатов выросло до 30 по сравнению с 25 в 2000 году.</w:t>
      </w:r>
    </w:p>
    <w:p w:rsidR="00000000" w:rsidRDefault="00000000"/>
    <w:p w:rsidR="00000000" w:rsidRDefault="00000000">
      <w:r>
        <w:t>606.</w:t>
      </w:r>
      <w:r>
        <w:tab/>
        <w:t>В настоящее время программой охвачены 1 742 муниципии всех субъектов федерации.</w:t>
      </w:r>
    </w:p>
    <w:p w:rsidR="00000000" w:rsidRDefault="00000000"/>
    <w:p w:rsidR="00000000" w:rsidRDefault="00000000">
      <w:pPr>
        <w:numPr>
          <w:ilvl w:val="0"/>
          <w:numId w:val="404"/>
        </w:numPr>
        <w:ind w:left="1148" w:hanging="546"/>
      </w:pPr>
      <w:r>
        <w:t>Программа предусматривает финансовую поддержку муниципальных проектов здравоохранения:  в 2002 году была оказана помощь 371 муниципальному проекту на общую сумму 76 млн. песо.</w:t>
      </w:r>
    </w:p>
    <w:p w:rsidR="00000000" w:rsidRDefault="00000000"/>
    <w:p w:rsidR="00000000" w:rsidRDefault="00000000">
      <w:pPr>
        <w:numPr>
          <w:ilvl w:val="0"/>
          <w:numId w:val="404"/>
        </w:numPr>
        <w:ind w:left="1148" w:hanging="546"/>
      </w:pPr>
      <w:r>
        <w:t>В ходе нынешнего финансового года было представлено 428 проектов, 176 из которых были отобраны для финансирования;  это меньше чем в 2002 году, поскольку бюджет программы снизился с 28 600 000 песо, при этом дополнительный вклад со стороны муниципий для этих проектов составил 59 500 000 песо.</w:t>
      </w:r>
    </w:p>
    <w:p w:rsidR="00000000" w:rsidRDefault="00000000"/>
    <w:p w:rsidR="00000000" w:rsidRDefault="00000000">
      <w:r>
        <w:t>607.</w:t>
      </w:r>
      <w:r>
        <w:tab/>
        <w:t>Что касается процесса организации деятельности в области здравоохранения на уровне населенных пунктов, предусматривающего сертификацию здоровых населенных пунктов, то было образовано 20 995 местных комитетов здравоохранения, из которых 16 515 провели анализ и составили программу работы, 8 154 сообщают населению о темах и основных мерах по уходу за своим здоровьем, а 155 получили диплом "здорового населенного пункта".</w:t>
      </w:r>
    </w:p>
    <w:p w:rsidR="00000000" w:rsidRDefault="00000000"/>
    <w:p w:rsidR="00000000" w:rsidRDefault="00000000">
      <w:pPr>
        <w:rPr>
          <w:b/>
          <w:bCs/>
        </w:rPr>
      </w:pPr>
      <w:r>
        <w:rPr>
          <w:b/>
          <w:bCs/>
        </w:rPr>
        <w:br w:type="page"/>
        <w:t>Пункт 54</w:t>
      </w:r>
    </w:p>
    <w:p w:rsidR="00000000" w:rsidRDefault="00000000">
      <w:pPr>
        <w:rPr>
          <w:b/>
          <w:bCs/>
        </w:rPr>
      </w:pPr>
    </w:p>
    <w:p w:rsidR="00000000" w:rsidRDefault="00000000">
      <w:r>
        <w:t>608.</w:t>
      </w:r>
      <w:r>
        <w:tab/>
        <w:t>В августе 2001 года была начата межсекторальная программа санитарного просвещения, основывающаяся на координационной платформе, подписанной руководством министерства просвещения и министерства здравоохранения:</w:t>
      </w:r>
    </w:p>
    <w:p w:rsidR="00000000" w:rsidRDefault="00000000"/>
    <w:p w:rsidR="00000000" w:rsidRDefault="00000000">
      <w:pPr>
        <w:numPr>
          <w:ilvl w:val="0"/>
          <w:numId w:val="404"/>
        </w:numPr>
        <w:ind w:left="1148" w:hanging="546"/>
      </w:pPr>
      <w:r>
        <w:t>в августе 2003 года из 7 187 школ, охваченных этой программой, 1 271 была признана здоровой и безопасной, из них 215 - дошкольные программы, 944 </w:t>
      </w:r>
      <w:r>
        <w:noBreakHyphen/>
        <w:t> начальные школы и 112 - средние школы;</w:t>
      </w:r>
    </w:p>
    <w:p w:rsidR="00000000" w:rsidRDefault="00000000"/>
    <w:p w:rsidR="00000000" w:rsidRDefault="00000000">
      <w:pPr>
        <w:numPr>
          <w:ilvl w:val="0"/>
          <w:numId w:val="404"/>
        </w:numPr>
        <w:ind w:left="1148" w:hanging="546"/>
      </w:pPr>
      <w:r>
        <w:t>в ходе 2001/02 и 2002/03 учебных годов были проведены медосмотры в общей сложности 4 291 000 школьников, из которых 1 628 000 получили направление в медицинское учреждение;</w:t>
      </w:r>
    </w:p>
    <w:p w:rsidR="00000000" w:rsidRDefault="00000000"/>
    <w:p w:rsidR="00000000" w:rsidRDefault="00000000">
      <w:pPr>
        <w:numPr>
          <w:ilvl w:val="0"/>
          <w:numId w:val="404"/>
        </w:numPr>
        <w:ind w:left="1148" w:hanging="546"/>
      </w:pPr>
      <w:r>
        <w:t>был проанализирован и обновлен материал, касающийся здравоохранения, в бесплатных учебниках системы начального образования (с первого по шестой класс).</w:t>
      </w:r>
    </w:p>
    <w:p w:rsidR="00000000" w:rsidRDefault="00000000"/>
    <w:p w:rsidR="00000000" w:rsidRDefault="00000000">
      <w:r>
        <w:t>609.</w:t>
      </w:r>
      <w:r>
        <w:tab/>
        <w:t>Для пропаганды физической культуры среди мексиканского населения министерство здравоохранения осуществляет программу упражнений для поддержания здоровья (ПРОЕСА).</w:t>
      </w:r>
    </w:p>
    <w:p w:rsidR="00000000" w:rsidRDefault="00000000"/>
    <w:p w:rsidR="00000000" w:rsidRDefault="00000000">
      <w:r>
        <w:t>610.</w:t>
      </w:r>
      <w:r>
        <w:tab/>
        <w:t>Программа упражнений для поддержания здоровья осуществляется в 2 777 медицинских учреждениях, в ее рамках действуют 6 130 групп, предоставляющих консультации.  Кроме того, имеется 94 модуля ПРОЕСА, которые входят в системы других учреждений.</w:t>
      </w:r>
    </w:p>
    <w:p w:rsidR="00000000" w:rsidRDefault="00000000"/>
    <w:p w:rsidR="00000000" w:rsidRDefault="00000000">
      <w:r>
        <w:t>611.</w:t>
      </w:r>
      <w:r>
        <w:tab/>
        <w:t>За 2003 год было проведено 125 909 учебных занятий по проблемам здравоохранения для 2 400 000 участников.  Было подготовлено 3 672 обучающих ПРОЕСА, для чего было проведено 1 189 учебных занятий.  Для штатных сотрудников было организовано 1 006 учебных занятий для 10 027 участников.</w:t>
      </w:r>
    </w:p>
    <w:p w:rsidR="00000000" w:rsidRDefault="00000000"/>
    <w:p w:rsidR="00000000" w:rsidRDefault="00000000">
      <w:r>
        <w:t>612.</w:t>
      </w:r>
      <w:r>
        <w:tab/>
        <w:t>В 2003 году было распространено 389 021 экземпляр учебных материалов и оказано содействие 1 106 661 человеку.</w:t>
      </w:r>
    </w:p>
    <w:p w:rsidR="00000000" w:rsidRDefault="00000000"/>
    <w:p w:rsidR="00000000" w:rsidRDefault="00000000">
      <w:pPr>
        <w:keepNext/>
        <w:rPr>
          <w:b/>
          <w:bCs/>
        </w:rPr>
      </w:pPr>
      <w:r>
        <w:rPr>
          <w:b/>
          <w:bCs/>
        </w:rPr>
        <w:t>Пункт 55</w:t>
      </w:r>
    </w:p>
    <w:p w:rsidR="00000000" w:rsidRDefault="00000000">
      <w:pPr>
        <w:rPr>
          <w:b/>
          <w:bCs/>
        </w:rPr>
      </w:pPr>
    </w:p>
    <w:p w:rsidR="00000000" w:rsidRDefault="00000000">
      <w:r>
        <w:t>613.</w:t>
      </w:r>
      <w:r>
        <w:tab/>
        <w:t>Международное содействие, получаемое Мексикой для принятия мер, перечисленных конкретно в статье 12 Пакта, подразделяется на две основные области.</w:t>
      </w:r>
    </w:p>
    <w:p w:rsidR="00000000" w:rsidRDefault="00000000">
      <w:pPr>
        <w:rPr>
          <w:b/>
          <w:bCs/>
        </w:rPr>
      </w:pPr>
      <w:r>
        <w:rPr>
          <w:b/>
          <w:bCs/>
        </w:rPr>
        <w:tab/>
      </w:r>
      <w:r>
        <w:rPr>
          <w:b/>
          <w:bCs/>
          <w:lang w:val="en-US"/>
        </w:rPr>
        <w:t>a</w:t>
      </w:r>
      <w:r>
        <w:rPr>
          <w:b/>
          <w:bCs/>
        </w:rPr>
        <w:t>)</w:t>
      </w:r>
      <w:r>
        <w:rPr>
          <w:b/>
          <w:bCs/>
        </w:rPr>
        <w:tab/>
        <w:t>Многосторонние связи</w:t>
      </w:r>
    </w:p>
    <w:p w:rsidR="00000000" w:rsidRDefault="00000000">
      <w:pPr>
        <w:rPr>
          <w:b/>
          <w:bCs/>
        </w:rPr>
      </w:pPr>
    </w:p>
    <w:p w:rsidR="00000000" w:rsidRDefault="00000000">
      <w:r>
        <w:t>614.</w:t>
      </w:r>
      <w:r>
        <w:tab/>
        <w:t xml:space="preserve">Система народного здравоохранения </w:t>
      </w:r>
      <w:r>
        <w:noBreakHyphen/>
        <w:t xml:space="preserve"> главный проект правительства, преследующий цель обеспечения доступа всего населения к медицинским услугам, </w:t>
      </w:r>
      <w:r>
        <w:noBreakHyphen/>
        <w:t xml:space="preserve"> получает поддержку от международных организаций, в том числе от Всемирного банка (ВБ), Межамериканского банка развития (МАБР) и Всемирной организации здравоохранения (ВОЗ) на основе ознакомления с опытом других стран в области социальной защиты и в виде непосредственной поддержки поездок сотрудников системы социальной защиты, занимающихся вопросами здравоохранения, в страны, в которых были осуществлены успешные проекты в данной области, финансирования и организационной поддержки проведения в Мексике международных мероприятий по изучению и анализу опыта финансирования здравоохранения.</w:t>
      </w:r>
    </w:p>
    <w:p w:rsidR="00000000" w:rsidRDefault="00000000">
      <w:pPr>
        <w:spacing w:line="240" w:lineRule="auto"/>
      </w:pPr>
    </w:p>
    <w:p w:rsidR="00000000" w:rsidRDefault="00000000">
      <w:pPr>
        <w:spacing w:line="240" w:lineRule="auto"/>
        <w:rPr>
          <w:b/>
          <w:bCs/>
        </w:rPr>
      </w:pPr>
      <w:r>
        <w:rPr>
          <w:b/>
          <w:bCs/>
        </w:rPr>
        <w:tab/>
      </w:r>
      <w:r>
        <w:rPr>
          <w:b/>
          <w:bCs/>
          <w:lang w:val="en-US"/>
        </w:rPr>
        <w:t>b</w:t>
      </w:r>
      <w:r>
        <w:rPr>
          <w:b/>
          <w:bCs/>
        </w:rPr>
        <w:t>)</w:t>
      </w:r>
      <w:r>
        <w:rPr>
          <w:b/>
          <w:bCs/>
        </w:rPr>
        <w:tab/>
        <w:t>Двусторонние и региональные связи</w:t>
      </w:r>
    </w:p>
    <w:p w:rsidR="00000000" w:rsidRDefault="00000000">
      <w:pPr>
        <w:spacing w:line="240" w:lineRule="auto"/>
        <w:rPr>
          <w:b/>
          <w:bCs/>
        </w:rPr>
      </w:pPr>
    </w:p>
    <w:p w:rsidR="00000000" w:rsidRDefault="00000000">
      <w:r>
        <w:t>615.</w:t>
      </w:r>
      <w:r>
        <w:tab/>
        <w:t>Международное содействие по двусторонним каналам как со стороны правительства, так и со стороны региональных органов здравоохранения позволило активизировать обмен опытом и подготовку мексиканских работников здравоохранения по различным темам.</w:t>
      </w:r>
    </w:p>
    <w:p w:rsidR="00000000" w:rsidRDefault="00000000"/>
    <w:p w:rsidR="00000000" w:rsidRDefault="00000000">
      <w:r>
        <w:t>616.</w:t>
      </w:r>
      <w:r>
        <w:tab/>
        <w:t xml:space="preserve">По линии Агентства международного сотрудничества Японии (АМРЯ) от правительства Японии за истекший год было получено пять стипендий </w:t>
      </w:r>
      <w:r>
        <w:noBreakHyphen/>
        <w:t xml:space="preserve"> четыре для мексиканских работников здравоохранения, занимающихся вопросами качества услуг здравоохранения на местном уровне, и одна стипендия для обучения по вопросам репродуктивного здоровья.</w:t>
      </w:r>
    </w:p>
    <w:p w:rsidR="00000000" w:rsidRDefault="00000000"/>
    <w:p w:rsidR="00000000" w:rsidRDefault="00000000">
      <w:r>
        <w:t>617.</w:t>
      </w:r>
      <w:r>
        <w:tab/>
        <w:t>Работники Панамериканской организации здравоохранения (ПАОЗ) провели в Мексике несколько миссий по активизации технического сотрудничества, в частности по вопросам иммунизации, здравоохранения коренных народов, охраны здоровья, инфекционных заболеваний и непередаваемых заболеваний.  Кроме того, мексиканские специалисты приняли участие в ряде мероприятий, организованных ПАОЗ по вопросам здравоохранения, иммунизации, новых заболеваний и по другим вопросам.</w:t>
      </w:r>
    </w:p>
    <w:p w:rsidR="00000000" w:rsidRDefault="00000000"/>
    <w:p w:rsidR="00000000" w:rsidRDefault="00000000">
      <w:r>
        <w:t>618.</w:t>
      </w:r>
      <w:r>
        <w:tab/>
        <w:t>В области обмена опытом ПАОЗ/ВОЗ в сотрудничестве с министерством здравоохранения Мексики и соответствующими ведомствами, занимающимися двусторонним сотрудничеством, разработали четыре программы технического сотрудничества между странами:</w:t>
      </w:r>
    </w:p>
    <w:p w:rsidR="00000000" w:rsidRDefault="00000000"/>
    <w:p w:rsidR="00000000" w:rsidRDefault="00000000">
      <w:pPr>
        <w:ind w:left="1134" w:hanging="1134"/>
      </w:pPr>
      <w:r>
        <w:br w:type="page"/>
      </w:r>
      <w:r>
        <w:tab/>
      </w:r>
      <w:r>
        <w:rPr>
          <w:lang w:val="en-US"/>
        </w:rPr>
        <w:sym w:font="Symbol" w:char="F0B7"/>
      </w:r>
      <w:r>
        <w:tab/>
        <w:t>Проект технического сотрудничества между Мексикой и Белизом по вопросам контроля и профилактики бешенства, цель которого заключается в укреплении системы контроля, включающей участие общин, в целях снижения опасности заражения водобоязнью в населенных пунктах, подвергающихся риску.</w:t>
      </w:r>
    </w:p>
    <w:p w:rsidR="00000000" w:rsidRDefault="00000000">
      <w:pPr>
        <w:ind w:left="1134" w:hanging="1134"/>
      </w:pPr>
    </w:p>
    <w:p w:rsidR="00000000" w:rsidRDefault="00000000">
      <w:pPr>
        <w:ind w:left="1134" w:hanging="1134"/>
      </w:pPr>
      <w:r>
        <w:tab/>
      </w:r>
      <w:r>
        <w:rPr>
          <w:lang w:val="en-US"/>
        </w:rPr>
        <w:sym w:font="Symbol" w:char="F0B7"/>
      </w:r>
      <w:r>
        <w:tab/>
        <w:t>Проект технического сотрудничества между Мексикой и Гватемалой по вопросам снижения опасности передачи водобоязни в районе границы между обеими странами.  Этот проект изучается центральными учреждениями ВОЗ, куда он был представлен на учреждение.</w:t>
      </w:r>
    </w:p>
    <w:p w:rsidR="00000000" w:rsidRDefault="00000000">
      <w:pPr>
        <w:ind w:left="1134" w:hanging="1134"/>
      </w:pPr>
    </w:p>
    <w:p w:rsidR="00000000" w:rsidRDefault="00000000">
      <w:pPr>
        <w:ind w:left="1134" w:hanging="1134"/>
      </w:pPr>
      <w:r>
        <w:tab/>
      </w:r>
      <w:r>
        <w:rPr>
          <w:lang w:val="en-US"/>
        </w:rPr>
        <w:sym w:font="Symbol" w:char="F0B7"/>
      </w:r>
      <w:r>
        <w:tab/>
        <w:t>Проект технического сотрудничества между Мексикой и Бразилией об активизации участия граждан в решении вопросов здравоохранения, цель которого заключается в укреплении механизмов участия населения в повышении качества услуг и выработке политики здравоохранения в обеих странах.  Это предложение рассматривается в министерстве здравоохранения Мексики.</w:t>
      </w:r>
    </w:p>
    <w:p w:rsidR="00000000" w:rsidRDefault="00000000">
      <w:pPr>
        <w:ind w:left="1134" w:hanging="1134"/>
      </w:pPr>
    </w:p>
    <w:p w:rsidR="00000000" w:rsidRDefault="00000000">
      <w:pPr>
        <w:ind w:left="1134" w:hanging="1134"/>
      </w:pPr>
      <w:r>
        <w:tab/>
      </w:r>
      <w:r>
        <w:rPr>
          <w:lang w:val="en-US"/>
        </w:rPr>
        <w:sym w:font="Symbol" w:char="F0B7"/>
      </w:r>
      <w:r>
        <w:tab/>
        <w:t>Проект технического сотрудничества между Мексикой и Коста-Рикой в области здравоохранения, конкретно предусматривающий обмен успешным опытом в области медицинского арбитража, сбор информации о раковых заболеваниях, врожденных злокачественных образованиях и материнской детской смертности и санитарного контроля.</w:t>
      </w:r>
    </w:p>
    <w:p w:rsidR="00000000" w:rsidRDefault="00000000">
      <w:pPr>
        <w:ind w:left="1134" w:hanging="1134"/>
      </w:pPr>
    </w:p>
    <w:p w:rsidR="00000000" w:rsidRDefault="00000000">
      <w:pPr>
        <w:ind w:left="567" w:hanging="567"/>
      </w:pPr>
      <w:r>
        <w:rPr>
          <w:i/>
          <w:iCs/>
        </w:rPr>
        <w:tab/>
        <w:t>Примечание</w:t>
      </w:r>
      <w:r>
        <w:t>:  Важно отметить, что министерство здравоохранения еще не получило международного содействия в вопросах, указанных в подпункте а) статьи 12.</w:t>
      </w:r>
    </w:p>
    <w:p w:rsidR="00000000" w:rsidRDefault="00000000"/>
    <w:p w:rsidR="00000000" w:rsidRDefault="00000000">
      <w:pPr>
        <w:jc w:val="center"/>
        <w:rPr>
          <w:b/>
          <w:bCs/>
        </w:rPr>
      </w:pPr>
      <w:r>
        <w:rPr>
          <w:b/>
          <w:bCs/>
          <w:lang w:val="en-US"/>
        </w:rPr>
        <w:t>H</w:t>
      </w:r>
      <w:r>
        <w:rPr>
          <w:b/>
          <w:bCs/>
        </w:rPr>
        <w:t>.</w:t>
      </w:r>
      <w:r>
        <w:rPr>
          <w:b/>
          <w:bCs/>
        </w:rPr>
        <w:tab/>
        <w:t>Статья 13</w:t>
      </w:r>
    </w:p>
    <w:p w:rsidR="00000000" w:rsidRDefault="00000000">
      <w:pPr>
        <w:jc w:val="center"/>
        <w:rPr>
          <w:b/>
          <w:bCs/>
        </w:rPr>
      </w:pPr>
    </w:p>
    <w:p w:rsidR="00000000" w:rsidRDefault="00000000">
      <w:pPr>
        <w:rPr>
          <w:b/>
          <w:bCs/>
        </w:rPr>
      </w:pPr>
      <w:r>
        <w:rPr>
          <w:b/>
          <w:bCs/>
        </w:rPr>
        <w:t xml:space="preserve">Пункт 56 </w:t>
      </w:r>
      <w:r>
        <w:rPr>
          <w:b/>
          <w:bCs/>
          <w:lang w:val="en-US"/>
        </w:rPr>
        <w:t>a</w:t>
      </w:r>
      <w:r>
        <w:rPr>
          <w:b/>
          <w:bCs/>
        </w:rPr>
        <w:t>) руководящих принципов</w:t>
      </w:r>
    </w:p>
    <w:p w:rsidR="00000000" w:rsidRDefault="00000000">
      <w:pPr>
        <w:rPr>
          <w:b/>
          <w:bCs/>
        </w:rPr>
      </w:pPr>
    </w:p>
    <w:p w:rsidR="00000000" w:rsidRDefault="00000000">
      <w:r>
        <w:t>619.</w:t>
      </w:r>
      <w:r>
        <w:tab/>
        <w:t>Как уже сообщалось Комитету, статья 3 Конституции предусматривает, что каждый имеет право на получение образования.  Кроме того, устанавливается обязательство государства предоставлять бесплатное, дошкольное, начальное и среднее образование.  В этой связи правительством осуществляются федеральные программы, такие, как программы предоставления бесплатных учебников, предусматривающие выдачу учебных материалов всем школьникам страны, обучающимся в начальных школах, для чего используются возможности штатов, а также основная инфраструктура учебных заведений,</w:t>
      </w:r>
    </w:p>
    <w:p w:rsidR="00000000" w:rsidRDefault="00000000">
      <w:r>
        <w:br w:type="page"/>
        <w:t>в которых осуществляется начальное образование, и разрабатываются компенсационные программы и курсы, предназначенные для населения отдаленных и труднодоступных районов, а также для детей мигрантов.</w:t>
      </w:r>
    </w:p>
    <w:p w:rsidR="00000000" w:rsidRDefault="00000000"/>
    <w:p w:rsidR="00000000" w:rsidRDefault="00000000">
      <w:pPr>
        <w:rPr>
          <w:b/>
          <w:bCs/>
        </w:rPr>
      </w:pPr>
      <w:r>
        <w:rPr>
          <w:b/>
          <w:bCs/>
        </w:rPr>
        <w:t xml:space="preserve">Пункт 56 </w:t>
      </w:r>
      <w:r>
        <w:rPr>
          <w:b/>
          <w:bCs/>
          <w:lang w:val="en-US"/>
        </w:rPr>
        <w:t>b</w:t>
      </w:r>
      <w:r>
        <w:rPr>
          <w:b/>
          <w:bCs/>
        </w:rPr>
        <w:t>)</w:t>
      </w:r>
    </w:p>
    <w:p w:rsidR="00000000" w:rsidRDefault="00000000">
      <w:pPr>
        <w:rPr>
          <w:b/>
          <w:bCs/>
        </w:rPr>
      </w:pPr>
    </w:p>
    <w:p w:rsidR="00000000" w:rsidRDefault="00000000">
      <w:r>
        <w:t>620.</w:t>
      </w:r>
      <w:r>
        <w:tab/>
        <w:t>Начиная с 1993 года среднее образование имеет обязательный характер.  С 1997 года реализуется программа массовых закупок учебников у частных издательств, публикующих учебники, допущенные министерством просвещения.  Эти учебники выдаются в школах с условием их возврата, чтобы они могли использоваться три учебных года.</w:t>
      </w:r>
    </w:p>
    <w:p w:rsidR="00000000" w:rsidRDefault="00000000"/>
    <w:p w:rsidR="00000000" w:rsidRDefault="00000000">
      <w:pPr>
        <w:rPr>
          <w:b/>
          <w:bCs/>
        </w:rPr>
      </w:pPr>
      <w:r>
        <w:rPr>
          <w:b/>
          <w:bCs/>
        </w:rPr>
        <w:t xml:space="preserve">Пункт 56 </w:t>
      </w:r>
      <w:r>
        <w:rPr>
          <w:b/>
          <w:bCs/>
          <w:lang w:val="en-US"/>
        </w:rPr>
        <w:t>c</w:t>
      </w:r>
      <w:r>
        <w:rPr>
          <w:b/>
          <w:bCs/>
        </w:rPr>
        <w:t>)</w:t>
      </w:r>
    </w:p>
    <w:p w:rsidR="00000000" w:rsidRDefault="00000000">
      <w:pPr>
        <w:rPr>
          <w:b/>
          <w:bCs/>
        </w:rPr>
      </w:pPr>
    </w:p>
    <w:p w:rsidR="00000000" w:rsidRDefault="00000000">
      <w:r>
        <w:t>621.</w:t>
      </w:r>
      <w:r>
        <w:tab/>
        <w:t>Политика просвещения, проводимая в последние годы, демонстрирует активные усилия по расширению возможностей доступа к высшему образованию.</w:t>
      </w:r>
    </w:p>
    <w:p w:rsidR="00000000" w:rsidRDefault="00000000"/>
    <w:tbl>
      <w:tblPr>
        <w:tblW w:w="0" w:type="auto"/>
        <w:tblInd w:w="1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8"/>
        <w:gridCol w:w="3176"/>
      </w:tblGrid>
      <w:tr w:rsidR="00000000">
        <w:tblPrEx>
          <w:tblCellMar>
            <w:top w:w="0" w:type="dxa"/>
            <w:bottom w:w="0" w:type="dxa"/>
          </w:tblCellMar>
        </w:tblPrEx>
        <w:tc>
          <w:tcPr>
            <w:tcW w:w="2808" w:type="dxa"/>
          </w:tcPr>
          <w:p w:rsidR="00000000" w:rsidRDefault="00000000">
            <w:pPr>
              <w:spacing w:before="60"/>
              <w:jc w:val="center"/>
              <w:rPr>
                <w:i/>
                <w:iCs/>
                <w:sz w:val="18"/>
              </w:rPr>
            </w:pPr>
            <w:r>
              <w:rPr>
                <w:i/>
                <w:iCs/>
                <w:sz w:val="18"/>
              </w:rPr>
              <w:t>Число учащихся в 2000/01 учебном году</w:t>
            </w:r>
          </w:p>
        </w:tc>
        <w:tc>
          <w:tcPr>
            <w:tcW w:w="3176" w:type="dxa"/>
          </w:tcPr>
          <w:p w:rsidR="00000000" w:rsidRDefault="00000000">
            <w:pPr>
              <w:spacing w:before="60"/>
              <w:jc w:val="center"/>
              <w:rPr>
                <w:i/>
                <w:iCs/>
                <w:sz w:val="18"/>
              </w:rPr>
            </w:pPr>
            <w:r>
              <w:rPr>
                <w:i/>
                <w:iCs/>
                <w:sz w:val="18"/>
              </w:rPr>
              <w:t>Число учащихся в 2003/04 учебном году</w:t>
            </w:r>
          </w:p>
        </w:tc>
      </w:tr>
      <w:tr w:rsidR="00000000">
        <w:tblPrEx>
          <w:tblCellMar>
            <w:top w:w="0" w:type="dxa"/>
            <w:bottom w:w="0" w:type="dxa"/>
          </w:tblCellMar>
        </w:tblPrEx>
        <w:tc>
          <w:tcPr>
            <w:tcW w:w="2808" w:type="dxa"/>
          </w:tcPr>
          <w:p w:rsidR="00000000" w:rsidRDefault="00000000">
            <w:pPr>
              <w:spacing w:before="60"/>
              <w:jc w:val="center"/>
              <w:rPr>
                <w:sz w:val="18"/>
                <w:lang w:val="en-US"/>
              </w:rPr>
            </w:pPr>
            <w:r>
              <w:rPr>
                <w:sz w:val="18"/>
              </w:rPr>
              <w:t>2 197 7</w:t>
            </w:r>
            <w:r>
              <w:rPr>
                <w:sz w:val="18"/>
                <w:lang w:val="en-US"/>
              </w:rPr>
              <w:t>02</w:t>
            </w:r>
          </w:p>
        </w:tc>
        <w:tc>
          <w:tcPr>
            <w:tcW w:w="3176" w:type="dxa"/>
          </w:tcPr>
          <w:p w:rsidR="00000000" w:rsidRDefault="00000000">
            <w:pPr>
              <w:spacing w:before="60"/>
              <w:jc w:val="center"/>
              <w:rPr>
                <w:sz w:val="18"/>
                <w:lang w:val="en-US"/>
              </w:rPr>
            </w:pPr>
            <w:r>
              <w:rPr>
                <w:sz w:val="18"/>
                <w:lang w:val="en-US"/>
              </w:rPr>
              <w:t>2 522 276</w:t>
            </w:r>
          </w:p>
        </w:tc>
      </w:tr>
    </w:tbl>
    <w:p w:rsidR="00000000" w:rsidRDefault="00000000">
      <w:pPr>
        <w:ind w:left="1134" w:hanging="1134"/>
        <w:rPr>
          <w:i/>
          <w:iCs/>
        </w:rPr>
      </w:pPr>
    </w:p>
    <w:p w:rsidR="00000000" w:rsidRDefault="00000000">
      <w:pPr>
        <w:spacing w:line="240" w:lineRule="auto"/>
        <w:ind w:left="1134" w:hanging="1134"/>
        <w:rPr>
          <w:sz w:val="18"/>
        </w:rPr>
      </w:pPr>
      <w:r>
        <w:rPr>
          <w:i/>
          <w:iCs/>
          <w:sz w:val="18"/>
        </w:rPr>
        <w:t>Источник</w:t>
      </w:r>
      <w:r>
        <w:rPr>
          <w:sz w:val="18"/>
        </w:rPr>
        <w:t>:  министерство просвещения, отдел международных связей, 2004 год.</w:t>
      </w:r>
    </w:p>
    <w:p w:rsidR="00000000" w:rsidRDefault="00000000">
      <w:pPr>
        <w:spacing w:line="240" w:lineRule="auto"/>
        <w:ind w:left="1134" w:hanging="1134"/>
      </w:pPr>
    </w:p>
    <w:p w:rsidR="00000000" w:rsidRDefault="00000000">
      <w:r>
        <w:t>622.</w:t>
      </w:r>
      <w:r>
        <w:tab/>
        <w:t>В 2003/04 учебном году число студентов достигло 2 522 276 человек, примерно на 32 000 студентов больше, чем в 2000/01 учебном году и на 990 000 студентов больше, чем в 1995/96 учебном году (в первом учебном году предыдущего шестилетнего периода).  Эти количественные показатели указывают на увеличение численности студентов в системе высшего образования соответственно на 14,77% и 64,5%.</w:t>
      </w:r>
    </w:p>
    <w:p w:rsidR="00000000" w:rsidRDefault="00000000"/>
    <w:p w:rsidR="00000000" w:rsidRDefault="00000000">
      <w:r>
        <w:t>623.</w:t>
      </w:r>
      <w:r>
        <w:tab/>
        <w:t>Федеральные расходы на одного студента в 2004 году составили, по оценке, 43 800 песо.</w:t>
      </w:r>
    </w:p>
    <w:p w:rsidR="00000000" w:rsidRDefault="00000000"/>
    <w:p w:rsidR="00000000" w:rsidRDefault="00000000">
      <w:r>
        <w:t>624.</w:t>
      </w:r>
      <w:r>
        <w:tab/>
        <w:t xml:space="preserve">В системе высшего образования обучается в 12 раз больше студентов из семей, включаемых по уровню дохода в три последних дециля, чем студентов из семей, относимых по уровню доходов к трем первым децилям, и это показывает, что нынешняя система бесплатного образования приводит к усилению неравенства в доступе.  Поэтому нынешнее правительство создало национальную программу стипендий для студентов вузов (ПРОНАБЕС).  Эти стипендии предоставляются на безвозмездной основе и </w:t>
      </w:r>
    </w:p>
    <w:p w:rsidR="00000000" w:rsidRDefault="00000000">
      <w:r>
        <w:br w:type="page"/>
        <w:t>ежемесячно выплачиваются студентам, находящимся в стесненных материальных условиях, с тем чтобы те могли начать или продолжить свое университетское образование.</w:t>
      </w:r>
    </w:p>
    <w:p w:rsidR="00000000" w:rsidRDefault="00000000"/>
    <w:p w:rsidR="00000000" w:rsidRDefault="00000000">
      <w:pPr>
        <w:rPr>
          <w:b/>
          <w:bCs/>
        </w:rPr>
      </w:pPr>
      <w:r>
        <w:rPr>
          <w:b/>
          <w:bCs/>
        </w:rPr>
        <w:t xml:space="preserve">Пункт 56 </w:t>
      </w:r>
      <w:r>
        <w:rPr>
          <w:b/>
          <w:bCs/>
          <w:lang w:val="en-US"/>
        </w:rPr>
        <w:t>d</w:t>
      </w:r>
      <w:r>
        <w:rPr>
          <w:b/>
          <w:bCs/>
        </w:rPr>
        <w:t>)</w:t>
      </w:r>
    </w:p>
    <w:p w:rsidR="00000000" w:rsidRDefault="00000000">
      <w:pPr>
        <w:rPr>
          <w:b/>
          <w:bCs/>
        </w:rPr>
      </w:pPr>
    </w:p>
    <w:p w:rsidR="00000000" w:rsidRDefault="00000000">
      <w:r>
        <w:t>625.</w:t>
      </w:r>
      <w:r>
        <w:tab/>
        <w:t>Национальный институт образования для взрослых (ИНЕА) предпринимает усилия по поиску альтернатив образования для молодого или взрослого населения в возрасте 15 лет и старше, которое по тем или иным причинам не получило или не завершило начального образования, и таким образом оказывает помощь людям, которые хотят научиться читать и писать или получить начальное или среднее образование.  Кроме того, оказывается помощь подросткам в возрасте от 10 до 14 лет, не охваченным школьной системой.</w:t>
      </w:r>
    </w:p>
    <w:p w:rsidR="00000000" w:rsidRDefault="00000000"/>
    <w:p w:rsidR="00000000" w:rsidRDefault="00000000">
      <w:r>
        <w:t>626.</w:t>
      </w:r>
      <w:r>
        <w:tab/>
        <w:t>В настоящее время потенциальный спрос на получение базового образования среди взрослых в стране составляет 32 500 000 человек, к которым относятся такие приоритетные группы населения, как женщины, одноязычные или двуязычные коренные жители, молодые люди в возрасте 18 лет, призванные на военную службу, престарелые, лица с инвалидностями, сезонные рабочие-мигранты и мексиканцы, проживающие в Соединенных Штатах Америки, которые не получили или не завершили базового образования.</w:t>
      </w:r>
    </w:p>
    <w:p w:rsidR="00000000" w:rsidRDefault="00000000"/>
    <w:p w:rsidR="00000000" w:rsidRDefault="00000000">
      <w:r>
        <w:t>627.</w:t>
      </w:r>
      <w:r>
        <w:tab/>
        <w:t>В последнее десятилетие систематические возможности получения образования  были расширены в системе базового образования неравномерным образом, поэтому среди неграмотных преобладают престарелые, а среди населения, желающего получить среднее образование, доминирует молодежь.</w:t>
      </w:r>
    </w:p>
    <w:p w:rsidR="00000000" w:rsidRDefault="00000000"/>
    <w:p w:rsidR="00000000" w:rsidRDefault="00000000">
      <w:r>
        <w:t>628.</w:t>
      </w:r>
      <w:r>
        <w:tab/>
        <w:t xml:space="preserve">В 90-е годы ИНЕА была начата серьезная организационная перестройка в соответствии с организациями различных международных форумов, таких, как Джомтьенская конференция 1990 года, на которой подчеркивалось, что базовое образование </w:t>
      </w:r>
      <w:r>
        <w:noBreakHyphen/>
        <w:t xml:space="preserve"> право всех людей.</w:t>
      </w:r>
    </w:p>
    <w:p w:rsidR="00000000" w:rsidRDefault="00000000"/>
    <w:p w:rsidR="00000000" w:rsidRDefault="00000000">
      <w:r>
        <w:t>629.</w:t>
      </w:r>
      <w:r>
        <w:tab/>
        <w:t>Различные модели базового образования, разработанные ИНЕА для молодежи и взрослых, основываются на открытых и гибких схемах обучения, призванных учитывать особенности времени и групп населения, на которые они ориентированы.</w:t>
      </w:r>
    </w:p>
    <w:p w:rsidR="00000000" w:rsidRDefault="00000000"/>
    <w:p w:rsidR="00000000" w:rsidRDefault="00000000">
      <w:r>
        <w:br w:type="page"/>
        <w:t>630.</w:t>
      </w:r>
      <w:r>
        <w:tab/>
        <w:t xml:space="preserve">Одна из этих моделей </w:t>
      </w:r>
      <w:r>
        <w:noBreakHyphen/>
        <w:t xml:space="preserve"> модель образования для жизни и работы (МОЖР), осуществление которой было начато в 2000 году.  В 2002 году она была укреплена в 21 штате, где было оказано содействие 650 000 молодых людей.  В текущем году 63 000 человек закончили среднее образование, 34 000 </w:t>
      </w:r>
      <w:r>
        <w:noBreakHyphen/>
        <w:t xml:space="preserve"> начальное образование, а 40 500 человек обучились основам грамоты.</w:t>
      </w:r>
    </w:p>
    <w:p w:rsidR="00000000" w:rsidRDefault="00000000"/>
    <w:p w:rsidR="00000000" w:rsidRDefault="00000000">
      <w:r>
        <w:t>631.</w:t>
      </w:r>
      <w:r>
        <w:tab/>
        <w:t>В 2002</w:t>
      </w:r>
      <w:r>
        <w:noBreakHyphen/>
        <w:t>2003 годах были достигнуты большие успехи в разработке и составлении новых модулей, предназначенных для удовлетворения потребностей различных групп населения, прежде всего молодежи и женщин.</w:t>
      </w:r>
    </w:p>
    <w:p w:rsidR="00000000" w:rsidRDefault="00000000"/>
    <w:p w:rsidR="00000000" w:rsidRDefault="00000000">
      <w:r>
        <w:t>632.</w:t>
      </w:r>
      <w:r>
        <w:tab/>
        <w:t xml:space="preserve">Другая модель </w:t>
      </w:r>
      <w:r>
        <w:noBreakHyphen/>
        <w:t xml:space="preserve"> новый подход в сфере базового образования для начального обучения подростков 10-14 лет (НПБО 10-14).  Программа НПБО 10-14 представляет собой стратегию снижения отставания в образовании подростков в возрасте 10-14 лет, которые по тем или иным причина не начали или не продолжили начальное образование и не хотят возвращаться в начальную школу.  Эта программа реализуется под руководством ИНЕА 1990 года, и уже тогда были начаты усилия по повышению ее качества и актуальности.</w:t>
      </w:r>
    </w:p>
    <w:p w:rsidR="00000000" w:rsidRDefault="00000000"/>
    <w:p w:rsidR="00000000" w:rsidRDefault="00000000">
      <w:r>
        <w:t>633.</w:t>
      </w:r>
      <w:r>
        <w:tab/>
        <w:t>Для предоставления более гибкого и актуального начального образования учебная программа строится на попредметной основе.  Каждый этап соответствует определенной стадии начального образования</w:t>
      </w:r>
      <w:r>
        <w:rPr>
          <w:rStyle w:val="FootnoteReference"/>
        </w:rPr>
        <w:footnoteReference w:id="22"/>
      </w:r>
      <w:r>
        <w:t>, и на нем среди прочих материалов используются бесплатные учебники министерства просвещения.</w:t>
      </w:r>
    </w:p>
    <w:p w:rsidR="00000000" w:rsidRDefault="00000000"/>
    <w:p w:rsidR="00000000" w:rsidRDefault="00000000">
      <w:r>
        <w:t>634.</w:t>
      </w:r>
      <w:r>
        <w:tab/>
        <w:t>В 2002 году была начата разработка и осуществление новой стратегии деятельности, получившей название "Общинные площади", в которых сочетаются возможности обучения с мультимедийными и информационными услугами.</w:t>
      </w:r>
    </w:p>
    <w:p w:rsidR="00000000" w:rsidRDefault="00000000"/>
    <w:p w:rsidR="00000000" w:rsidRDefault="00000000">
      <w:r>
        <w:t>635.</w:t>
      </w:r>
      <w:r>
        <w:tab/>
        <w:t xml:space="preserve">Общинные площади </w:t>
      </w:r>
      <w:r>
        <w:noBreakHyphen/>
        <w:t xml:space="preserve"> образовательные площадки, открытые для населения.  Здесь предлагаются приоритетные программы и образовательные услуги для молодежи и взрослых, которые не завершили начального обучения.  "Общинные площади" преследуют следующие цели:</w:t>
      </w:r>
    </w:p>
    <w:p w:rsidR="00000000" w:rsidRDefault="00000000"/>
    <w:p w:rsidR="00000000" w:rsidRDefault="00000000">
      <w:pPr>
        <w:ind w:left="1134" w:hanging="1134"/>
      </w:pPr>
      <w:r>
        <w:tab/>
      </w:r>
      <w:r>
        <w:rPr>
          <w:lang w:val="en-US"/>
        </w:rPr>
        <w:sym w:font="Symbol" w:char="F0B7"/>
      </w:r>
      <w:r>
        <w:tab/>
        <w:t>предложение программ и услуг по профессиональной подготовке, сдаче экзаменов с помощью дистанционных средств и связи с другими государственными и социальными программами, которые расширяют возможности молодых людей и взрослых, отставших в своем образовании, а также общин, в которых они осуществляются;</w:t>
      </w:r>
    </w:p>
    <w:p w:rsidR="00000000" w:rsidRDefault="00000000">
      <w:pPr>
        <w:ind w:left="1134" w:hanging="1134"/>
      </w:pPr>
      <w:r>
        <w:tab/>
      </w:r>
      <w:r>
        <w:rPr>
          <w:lang w:val="en-US"/>
        </w:rPr>
        <w:sym w:font="Symbol" w:char="F0B7"/>
      </w:r>
      <w:r>
        <w:tab/>
        <w:t>использование технологий для поддержки программ и образовательных услуг, серьезная подготовка к жизни и работе, а также содействие функциональному использованию языка;</w:t>
      </w:r>
    </w:p>
    <w:p w:rsidR="00000000" w:rsidRDefault="00000000">
      <w:pPr>
        <w:ind w:left="1134" w:hanging="1134"/>
      </w:pPr>
    </w:p>
    <w:p w:rsidR="00000000" w:rsidRDefault="00000000">
      <w:pPr>
        <w:ind w:left="1134" w:hanging="1134"/>
      </w:pPr>
      <w:r>
        <w:tab/>
      </w:r>
      <w:r>
        <w:rPr>
          <w:lang w:val="en-US"/>
        </w:rPr>
        <w:sym w:font="Symbol" w:char="F0B7"/>
      </w:r>
      <w:r>
        <w:tab/>
        <w:t>содействие изучению и использованию навыков работы с компьютером, которые полезны для устройства на работу и обучения;</w:t>
      </w:r>
    </w:p>
    <w:p w:rsidR="00000000" w:rsidRDefault="00000000">
      <w:pPr>
        <w:ind w:left="1134" w:hanging="1134"/>
      </w:pPr>
    </w:p>
    <w:p w:rsidR="00000000" w:rsidRDefault="00000000">
      <w:pPr>
        <w:ind w:left="1134" w:hanging="1134"/>
      </w:pPr>
      <w:r>
        <w:tab/>
      </w:r>
      <w:r>
        <w:rPr>
          <w:lang w:val="en-US"/>
        </w:rPr>
        <w:sym w:font="Symbol" w:char="F0B7"/>
      </w:r>
      <w:r>
        <w:tab/>
        <w:t>достижение того, чтобы они служили местами обучения и профессиональной подготовки различного профиля с разнообразными ресурсами, где используется потенциал каждого ресурса, по отдельности или в комплексе с другими, и создаются условия для налаживания связей с другими важными программами или мероприятиями государства.</w:t>
      </w:r>
    </w:p>
    <w:p w:rsidR="00000000" w:rsidRDefault="00000000">
      <w:pPr>
        <w:ind w:left="1134" w:hanging="1134"/>
      </w:pPr>
    </w:p>
    <w:p w:rsidR="00000000" w:rsidRDefault="00000000">
      <w:pPr>
        <w:rPr>
          <w:b/>
          <w:bCs/>
        </w:rPr>
      </w:pPr>
      <w:r>
        <w:rPr>
          <w:b/>
          <w:bCs/>
        </w:rPr>
        <w:tab/>
        <w:t>Образование для конкретных групп</w:t>
      </w:r>
    </w:p>
    <w:p w:rsidR="00000000" w:rsidRDefault="00000000">
      <w:pPr>
        <w:rPr>
          <w:b/>
          <w:bCs/>
        </w:rPr>
      </w:pPr>
    </w:p>
    <w:p w:rsidR="00000000" w:rsidRDefault="00000000">
      <w:r>
        <w:t>636.</w:t>
      </w:r>
      <w:r>
        <w:tab/>
        <w:t>В рамках этого проекта ставится цель обеспечения предложения образовательных услуг комплексного характера для коренного населения молодого возраста и взрослых, которые охватывали бы обучение основам грамоты и техническую подготовку при межкультурном подходе и реализации двуязычных стратегий, с тем чтобы учесть их культурное и языковое многообразие, а также создания возможностей генерирования различных направлений обучения в зависимости от коммуникативных компетенций образовательных субъектов и функциональности письменного языка в конкретном контексте.  Все это должно обеспечить данной группе населения непрерывные возможности получения образования.</w:t>
      </w:r>
    </w:p>
    <w:p w:rsidR="00000000" w:rsidRDefault="00000000"/>
    <w:p w:rsidR="00000000" w:rsidRDefault="00000000">
      <w:r>
        <w:t>637.</w:t>
      </w:r>
      <w:r>
        <w:tab/>
        <w:t>В 2002 году насчитывалось 13 млн. человек</w:t>
      </w:r>
      <w:r>
        <w:rPr>
          <w:rStyle w:val="FootnoteReference"/>
        </w:rPr>
        <w:footnoteReference w:id="23"/>
      </w:r>
      <w:r>
        <w:t>, которые принадлежали к одной из 62 этнических групп, выделяемых на территории Мексики.  Учитывая культурный критерий принадлежности, более широкий по сравнению с языковым критерием, Национальный институт коренных народов (Н</w:t>
      </w:r>
      <w:r>
        <w:rPr>
          <w:lang w:val="en-US"/>
        </w:rPr>
        <w:t>C</w:t>
      </w:r>
      <w:r>
        <w:t>Н) в сотрудничестве с Национальным советом по народонаселению (КОНАПО) подготовил оценку численности коренного населения страны:  в общей сложности 12 707 000 человек, или 13% всего населения страны.  Эта цифра включает две большие группы, которые в общей сложности составляют 10 253 627 коренных жителей:</w:t>
      </w:r>
    </w:p>
    <w:p w:rsidR="00000000" w:rsidRDefault="00000000">
      <w:pPr>
        <w:ind w:left="1134" w:hanging="1134"/>
      </w:pPr>
      <w:r>
        <w:tab/>
        <w:t>а)</w:t>
      </w:r>
      <w:r>
        <w:tab/>
        <w:t>6 044 547 человек, владеющих каким-либо языком коренных народов, в возрасте 5 лет и больше (лица, владеющие языком коренных народов);</w:t>
      </w:r>
    </w:p>
    <w:p w:rsidR="00000000" w:rsidRDefault="00000000">
      <w:pPr>
        <w:ind w:left="1134" w:hanging="1134"/>
      </w:pPr>
    </w:p>
    <w:p w:rsidR="00000000" w:rsidRDefault="00000000">
      <w:pPr>
        <w:ind w:left="1134" w:hanging="1134"/>
      </w:pPr>
      <w:r>
        <w:tab/>
      </w:r>
      <w:r>
        <w:rPr>
          <w:lang w:val="en-US"/>
        </w:rPr>
        <w:t>b</w:t>
      </w:r>
      <w:r>
        <w:t>)</w:t>
      </w:r>
      <w:r>
        <w:tab/>
        <w:t>4 209 080 человек, не владеющих языками коренных народов, но причисляющих себя к таковым</w:t>
      </w:r>
      <w:r>
        <w:rPr>
          <w:rStyle w:val="FootnoteReference"/>
        </w:rPr>
        <w:footnoteReference w:id="24"/>
      </w:r>
      <w:r>
        <w:t>.</w:t>
      </w:r>
    </w:p>
    <w:p w:rsidR="00000000" w:rsidRDefault="00000000">
      <w:pPr>
        <w:ind w:left="1134" w:hanging="1134"/>
      </w:pPr>
    </w:p>
    <w:p w:rsidR="00000000" w:rsidRDefault="00000000">
      <w:r>
        <w:t>638.</w:t>
      </w:r>
      <w:r>
        <w:tab/>
        <w:t>Коренное население страны живет в условиях крайней бедности и лишено условий жизни и воспроизводства, таких, как канализация, питьевая вода, электричество, пути сообщения, услуги здравоохранения высокого уровня и тому подобное.</w:t>
      </w:r>
    </w:p>
    <w:p w:rsidR="00000000" w:rsidRDefault="00000000"/>
    <w:p w:rsidR="00000000" w:rsidRDefault="00000000">
      <w:r>
        <w:t>639.</w:t>
      </w:r>
      <w:r>
        <w:tab/>
        <w:t>ИНЕА осуществляет конкретный проект обучения грамоте различных групп коренных народов, цель которого заключается в содействии получению молодежью и взрослыми необходимых элементарных навыков счета, чтения, письма и владения испанским языком, чтобы они могли урегулировать различные ситуации и взаимодействовать в различных контекстах, что найдет свое проявление в улучшении их условий жизни.  Программа осуществляется в 14 штатах и ориентирована на оказание помощи молодежи и взрослым из числа коренного населения в сельских районах;  для нее подготовлены конкретные материалы на языках и диалектах как для обучения грамоте на родном языке, так и для обучения испанскому языку как второму языку (материалы на 53 языках и диалектах).  В мае 2003 года 23 094 человека обучались в рамках проекта чтению и письму на родном языке и 12 793 - на испанском как втором языке.</w:t>
      </w:r>
    </w:p>
    <w:p w:rsidR="00000000" w:rsidRDefault="00000000"/>
    <w:p w:rsidR="00000000" w:rsidRDefault="00000000">
      <w:r>
        <w:t>640.</w:t>
      </w:r>
      <w:r>
        <w:tab/>
        <w:t>Кроме того, для данной группы населения реализуется экспериментальный проект "Мосты в будущее", который предусматривает базовое обучение грамоте и техническое обучение с ориентацией на усиление межкультурного и языкового взаимодействия с другими образовательными возможностями для жизни и труда.  В рамках этого проекта учебные материалы разрабатываются при поддержке центральных бюро на местном уровне, чтобы таким образом учесть культурные особенности этнических групп.</w:t>
      </w:r>
    </w:p>
    <w:p w:rsidR="00000000" w:rsidRDefault="00000000"/>
    <w:p w:rsidR="00000000" w:rsidRDefault="00000000">
      <w:pPr>
        <w:rPr>
          <w:b/>
          <w:bCs/>
        </w:rPr>
      </w:pPr>
      <w:r>
        <w:tab/>
      </w:r>
      <w:r>
        <w:rPr>
          <w:b/>
          <w:bCs/>
        </w:rPr>
        <w:t>Программа для сезонных сельскохозяйственных рабочих-мигрантов</w:t>
      </w:r>
    </w:p>
    <w:p w:rsidR="00000000" w:rsidRDefault="00000000">
      <w:pPr>
        <w:rPr>
          <w:b/>
          <w:bCs/>
        </w:rPr>
      </w:pPr>
    </w:p>
    <w:p w:rsidR="00000000" w:rsidRDefault="00000000">
      <w:r>
        <w:t>641.</w:t>
      </w:r>
      <w:r>
        <w:tab/>
        <w:t xml:space="preserve">Эта программа призвана учесть конкретные особенности группы населения, которая живет в условиях активной мобильности в поисках труда, что вызывает крайнюю оторванность этих групп населения от процессов формального образования.  Поэтому для этой группы населения необходимо разработать и осуществить стратегии, которые облегчили бы участие в процессах обучения и позволили бы им развить свои основные навыки общения, анализа проблем и участия, с тем чтобы они могли осуществлять свои </w:t>
      </w:r>
    </w:p>
    <w:p w:rsidR="00000000" w:rsidRDefault="00000000">
      <w:r>
        <w:br w:type="page"/>
        <w:t>права и улучшать свои условия жизни и работы.  В 2003 году эта программа осуществлялась в 16 штатах:  в поселках, общежитиях, стихийных поселениях, а также в населенных пунктах, из которых такие мигранты обычно отправляются на работу.  В этом же году помощь оказывалась в среднем 4 000 человек в месяц, в том числе 562 людям в рамках программы обучения грамоте.  В рамках этой программы при участии 16 организаций секторов здравоохранения, труда, образования и социального обеспечения в шести штатах разрабатывается межсекторальный экспериментальный проект.  Программа включает новые образовательные стратегии, ориентированные на мигрантов из числа коренного населения, касающегося использования испанского в качестве второго языка.  В ходе 2003 года экспериментального проекта содействие оказывалось также примерно 4 000 человек в месяц.  Следует подчеркнуть, что основная черта программы - ее гибкость, поскольку она реализуется в период пребывания мигрантов.</w:t>
      </w:r>
    </w:p>
    <w:p w:rsidR="00000000" w:rsidRDefault="00000000"/>
    <w:p w:rsidR="00000000" w:rsidRDefault="00000000">
      <w:r>
        <w:t>642.</w:t>
      </w:r>
      <w:r>
        <w:tab/>
        <w:t>С 2002 года в рамках межучрежденческого проекта "Развитие и укрепление межкультурного образования для мигрантов", финансируемого Совместным фондом сотрудничества между Мексикой и Испанией, было подготовлено предложение об организации образования в штатах Наярит и Оахака, предусматривающее пять направлений действий во взаимодействии с другими учреждениями:  анализ потребностей в образовании и возможностей и качества обучения целевого населения, разработка оси межкультурного взаимодействия, методологические предложения, касающиеся обучения испанскому языку как второму, и подготовка преподавателей.</w:t>
      </w:r>
    </w:p>
    <w:p w:rsidR="00000000" w:rsidRDefault="00000000"/>
    <w:p w:rsidR="00000000" w:rsidRDefault="00000000">
      <w:pPr>
        <w:rPr>
          <w:b/>
          <w:bCs/>
        </w:rPr>
      </w:pPr>
      <w:r>
        <w:tab/>
      </w:r>
      <w:r>
        <w:rPr>
          <w:b/>
          <w:bCs/>
        </w:rPr>
        <w:t>Помощь мексиканским общинам за рубежом</w:t>
      </w:r>
    </w:p>
    <w:p w:rsidR="00000000" w:rsidRDefault="00000000">
      <w:pPr>
        <w:rPr>
          <w:b/>
          <w:bCs/>
        </w:rPr>
      </w:pPr>
    </w:p>
    <w:p w:rsidR="00000000" w:rsidRDefault="00000000">
      <w:r>
        <w:t>643.</w:t>
      </w:r>
      <w:r>
        <w:tab/>
        <w:t>В координации с другими государственными органами ИНЕА предоставляет услуги по обучению грамоте, начальному образованию и среднему образованию в рамках системы открытого традиционного обучения и проекта "Общинные площади" в ряде штатов Соединенных Штатов Америки.  Программа призвана способствовать адаптации мексиканских граждан за рубежом на основе изучения испанского языка как средства овладения английским.</w:t>
      </w:r>
    </w:p>
    <w:p w:rsidR="00000000" w:rsidRDefault="00000000"/>
    <w:p w:rsidR="00000000" w:rsidRDefault="00000000">
      <w:r>
        <w:tab/>
      </w:r>
      <w:r>
        <w:rPr>
          <w:b/>
          <w:bCs/>
        </w:rPr>
        <w:t>Гендер</w:t>
      </w:r>
    </w:p>
    <w:p w:rsidR="00000000" w:rsidRDefault="00000000"/>
    <w:p w:rsidR="00000000" w:rsidRDefault="00000000">
      <w:r>
        <w:t>644.</w:t>
      </w:r>
      <w:r>
        <w:tab/>
        <w:t>В ИНЕА ведется работа по гендерной проблематике, связанная с содержанием и учебными материалами для модели образования для жизни и труда.</w:t>
      </w:r>
    </w:p>
    <w:p w:rsidR="00000000" w:rsidRDefault="00000000"/>
    <w:p w:rsidR="00000000" w:rsidRDefault="00000000">
      <w:r>
        <w:br w:type="page"/>
        <w:t>645.</w:t>
      </w:r>
      <w:r>
        <w:tab/>
        <w:t>С 2002 года ИНЕА пересматривает свои модули и учебные материалы в целях обновления информации, сопровождения включения гендерной перспективы там, где она не была отражена, изживания стереотипов, касающихся роли мужчин и женщин, и содействия обдумыванию и анализу той роли, которая традиционно отводится мужчинам и женщинам.</w:t>
      </w:r>
    </w:p>
    <w:p w:rsidR="00000000" w:rsidRDefault="00000000"/>
    <w:p w:rsidR="00000000" w:rsidRDefault="00000000">
      <w:pPr>
        <w:ind w:left="567" w:hanging="567"/>
        <w:rPr>
          <w:b/>
          <w:bCs/>
        </w:rPr>
      </w:pPr>
      <w:r>
        <w:rPr>
          <w:b/>
          <w:bCs/>
        </w:rPr>
        <w:tab/>
        <w:t>Образование призывников, проходящих воинскую службу, в сотрудничестве между МО, МП и ИНЕА</w:t>
      </w:r>
    </w:p>
    <w:p w:rsidR="00000000" w:rsidRDefault="00000000">
      <w:pPr>
        <w:jc w:val="center"/>
        <w:rPr>
          <w:b/>
          <w:bCs/>
        </w:rPr>
      </w:pPr>
    </w:p>
    <w:p w:rsidR="00000000" w:rsidRDefault="00000000">
      <w:r>
        <w:t>646.</w:t>
      </w:r>
      <w:r>
        <w:tab/>
        <w:t>С 1997 года ИНИА осуществляет программу, разработанную совместно с министерством обороны (МО) и министерством просвещения (МП) для юношей, проходящих воинскую службу.  Программа МП-ИНЕА предлагает этим молодым людям возможность получения базового образования и, кроме того, программа "Образование для жизни", которая призвана выйти за ограничения формального образования, чтобы эти молодые люди могли гибко и без привязки к академическим требованиям уяснить различные аспекты своей непосредственной реальности и обмениваться опытом, опираясь на элементы, которые позволяли бы им принимать взвешенные решения в своей личной жизни, воздерживаясь от поведения, чреватого риском для себя лично или общества.</w:t>
      </w:r>
    </w:p>
    <w:p w:rsidR="00000000" w:rsidRDefault="00000000"/>
    <w:p w:rsidR="00000000" w:rsidRDefault="00000000">
      <w:r>
        <w:t>647.</w:t>
      </w:r>
      <w:r>
        <w:tab/>
        <w:t>С помощью этой программы ставится цель вовлечь в образовательный процесс военнослужащих по призыву, которые не начали или не закончили базовое образование, а также тех, которые закончили его, в качестве наставников.</w:t>
      </w:r>
    </w:p>
    <w:p w:rsidR="00000000" w:rsidRDefault="00000000"/>
    <w:p w:rsidR="00000000" w:rsidRDefault="00000000">
      <w:r>
        <w:t>648.</w:t>
      </w:r>
      <w:r>
        <w:tab/>
        <w:t>Эта программа открыта для гражданского населения, по отношению к которому специально подготовленные военнослужащие по призыву выступают в качестве наставников.</w:t>
      </w:r>
    </w:p>
    <w:p w:rsidR="00000000" w:rsidRDefault="00000000"/>
    <w:p w:rsidR="00000000" w:rsidRDefault="00000000">
      <w:r>
        <w:t>649.</w:t>
      </w:r>
      <w:r>
        <w:tab/>
        <w:t>В 2003 году одним из результатов этой программы стало обучение грамоте 587 военнослужащих по призыву;  кроме того, была оказана образовательная помощь по программам обучения грамоте 9 154 подросткам и взрослым из числа гражданского населения.</w:t>
      </w:r>
    </w:p>
    <w:p w:rsidR="00000000" w:rsidRDefault="00000000"/>
    <w:p w:rsidR="00000000" w:rsidRDefault="00000000">
      <w:pPr>
        <w:rPr>
          <w:b/>
          <w:bCs/>
        </w:rPr>
      </w:pPr>
      <w:r>
        <w:tab/>
      </w:r>
      <w:r>
        <w:rPr>
          <w:b/>
          <w:bCs/>
        </w:rPr>
        <w:t>Престарелые</w:t>
      </w:r>
    </w:p>
    <w:p w:rsidR="00000000" w:rsidRDefault="00000000">
      <w:pPr>
        <w:rPr>
          <w:b/>
          <w:bCs/>
        </w:rPr>
      </w:pPr>
    </w:p>
    <w:p w:rsidR="00000000" w:rsidRDefault="00000000">
      <w:r>
        <w:t>650.</w:t>
      </w:r>
      <w:r>
        <w:tab/>
        <w:t>Осуществляя эту программу, правительство ставит цель выработки предложений, направлений действий и стратегий по развитию деятельности в сфере образования, направленных на создание условий и развитие культуры в отношении старения лиц обоего пола, находящихся в разных условиях и относящихся к разным группам.</w:t>
      </w:r>
    </w:p>
    <w:p w:rsidR="00000000" w:rsidRDefault="00000000"/>
    <w:p w:rsidR="00000000" w:rsidRDefault="00000000">
      <w:r>
        <w:t>651.</w:t>
      </w:r>
      <w:r>
        <w:tab/>
        <w:t>В рамках автоматизированной системы, контроля и аккредитации правительство Мексики создало базы данных, которые позволяют получать своевременную и надежную информацию о положении, касающемся деятельности этих служб на всей территории страны, а также получать следующие показатели:  число подростков и взрослых по списку, посещаемость, отсев, выданные свидетельства, опыт и ранее подтвержденные знания, запрошенные модули, подтвержденные модули, сведения о подростках и взрослых, сведения о наставниках, процент аккредитации, результаты учащихся взрослых, результаты наставников, а также другие показатели, определяющие цели контроля и количественные оценки.</w:t>
      </w:r>
    </w:p>
    <w:p w:rsidR="00000000" w:rsidRDefault="00000000"/>
    <w:p w:rsidR="00000000" w:rsidRDefault="00000000">
      <w:pPr>
        <w:rPr>
          <w:b/>
          <w:bCs/>
        </w:rPr>
      </w:pPr>
      <w:r>
        <w:tab/>
      </w:r>
      <w:r>
        <w:rPr>
          <w:b/>
          <w:bCs/>
        </w:rPr>
        <w:t>Распространение и обмен</w:t>
      </w:r>
    </w:p>
    <w:p w:rsidR="00000000" w:rsidRDefault="00000000">
      <w:pPr>
        <w:rPr>
          <w:b/>
          <w:bCs/>
        </w:rPr>
      </w:pPr>
    </w:p>
    <w:p w:rsidR="00000000" w:rsidRDefault="00000000">
      <w:r>
        <w:t>652.</w:t>
      </w:r>
      <w:r>
        <w:tab/>
        <w:t>Следует отметить, что в 2003 году был проведен конкурс "Обучение грамоте как процесс повышения гражданственности", для педагогов, исследователей и заинтересованной общественности Латинской Америки и Карибского бассейна.  Конкурс дал возможность обдумать более широкие перспективы обучения грамоте, включая анализ новых концепций, связанных с письменной культурой, недавний вклад, касающийся изучения математики, возможность создания проекта развития, основанного на использовании информационно-коммуникационной технологии как дидактического инструмента поддержки процесса освоения письменного языка и признания теоретических принципов, связывающих образование для демократии и прав человека с задачами ликвидации неграмотности.</w:t>
      </w:r>
    </w:p>
    <w:p w:rsidR="00000000" w:rsidRDefault="00000000"/>
    <w:p w:rsidR="00000000" w:rsidRDefault="00000000">
      <w:pPr>
        <w:rPr>
          <w:b/>
          <w:bCs/>
        </w:rPr>
      </w:pPr>
      <w:r>
        <w:tab/>
      </w:r>
      <w:r>
        <w:rPr>
          <w:b/>
          <w:bCs/>
        </w:rPr>
        <w:t>Развитие исследований, оценки и новаторства в образовании</w:t>
      </w:r>
    </w:p>
    <w:p w:rsidR="00000000" w:rsidRDefault="00000000"/>
    <w:p w:rsidR="00000000" w:rsidRDefault="00000000">
      <w:r>
        <w:t>653.</w:t>
      </w:r>
      <w:r>
        <w:tab/>
        <w:t>Все эти цели, задачи, стратегии и новые проекты нацелены на достижение равенства возможностей, а также его актуальности и качества при неизменном учете различий среди обслуживаемой группы населения и ее потребностей.  В этой связи оказывается содействие изучению новых технологий на основе установления связей с центрами исследований и известными исследователями в данной области.</w:t>
      </w:r>
    </w:p>
    <w:p w:rsidR="00000000" w:rsidRDefault="00000000"/>
    <w:p w:rsidR="00000000" w:rsidRDefault="00000000">
      <w:r>
        <w:t>654.</w:t>
      </w:r>
      <w:r>
        <w:tab/>
        <w:t>При участии общества и главным образом совместно с учащимися в пяти штатах Республики разрабатывается "Проект отставание - 0" в целях уменьшения отставания молодых людей, не получивших среднего образования.</w:t>
      </w:r>
    </w:p>
    <w:p w:rsidR="00000000" w:rsidRDefault="00000000"/>
    <w:p w:rsidR="00000000" w:rsidRDefault="00000000">
      <w:r>
        <w:t>655.</w:t>
      </w:r>
      <w:r>
        <w:tab/>
        <w:t xml:space="preserve">Исследовательский проект "Факторы и контексты - 2003" ставил своей целью получение качественной и количественной информации о факторах контекста, которые сказываются на непрерывности, последовательности и завершенности базового </w:t>
      </w:r>
    </w:p>
    <w:p w:rsidR="00000000" w:rsidRDefault="00000000">
      <w:r>
        <w:br w:type="page"/>
        <w:t>образования молодых людей и взрослых.  В выводах подчеркивается, что один из трех взрослых, обучающихся по линии ИНЕА, сталкивается с проблемами в учебе главным образом из</w:t>
      </w:r>
      <w:r>
        <w:noBreakHyphen/>
        <w:t>за загруженности на работе.</w:t>
      </w:r>
    </w:p>
    <w:p w:rsidR="00000000" w:rsidRDefault="00000000"/>
    <w:p w:rsidR="00000000" w:rsidRDefault="00000000">
      <w:r>
        <w:t>656.</w:t>
      </w:r>
      <w:r>
        <w:tab/>
        <w:t>Было установлено, что женщины, решившие посвятить себя семье, считают, что нагрузка по дому препятствует продолжению образования.</w:t>
      </w:r>
    </w:p>
    <w:p w:rsidR="00000000" w:rsidRDefault="00000000"/>
    <w:p w:rsidR="00000000" w:rsidRDefault="00000000">
      <w:r>
        <w:t>657.</w:t>
      </w:r>
      <w:r>
        <w:tab/>
        <w:t>Помощь в образовании обычно возрастает на уровне средней школы.  Имеющиеся данные показывают, что в 2003 году учебу на этом уровне проходили 51,6% учащихся, получавших помощь, в то время как по программе обучения грамоте и начального образования показатели составили 25,5% и 22,9%.</w:t>
      </w:r>
    </w:p>
    <w:p w:rsidR="00000000" w:rsidRDefault="00000000"/>
    <w:p w:rsidR="00000000" w:rsidRDefault="00000000">
      <w:r>
        <w:t>658.</w:t>
      </w:r>
      <w:r>
        <w:tab/>
        <w:t>Следует подчеркнуть, что благодаря проекту "Усиление внимания вовлечению и удержанию молодых людей и взрослых" в 2003 году был создан импульс, благодаря которому удалось превзойти показатель в 1 млн. учащихся, достигнув цифры в 1 239 046 человек, при этом по сравнению с годом ранее их число увеличилось больше чем на 150 000 человек.</w:t>
      </w:r>
    </w:p>
    <w:p w:rsidR="00000000" w:rsidRDefault="00000000"/>
    <w:p w:rsidR="00000000" w:rsidRDefault="00000000">
      <w:r>
        <w:t>659.</w:t>
      </w:r>
      <w:r>
        <w:tab/>
        <w:t>Ожидается, что укрепление новых программ образования для охваченной группы населения, а также дальнейшее развертывание стратегий позволят, в частности расширить оказываемую помощь.</w:t>
      </w:r>
    </w:p>
    <w:p w:rsidR="00000000" w:rsidRDefault="00000000"/>
    <w:p w:rsidR="00000000" w:rsidRDefault="00000000">
      <w:r>
        <w:t>660.</w:t>
      </w:r>
      <w:r>
        <w:tab/>
        <w:t>Начиная с 2000 года растет показатель доли учащихся, закончивших курс обучения:  если в 1998 году этот он составил 35%, то в итоге был достигнут уровень 45%.  Следует отметить, что Институт ведет обучение лиц, не имеющих школьного образования, в открытом режиме, и поэтому такие цифры несопоставимы с показателями по обязательному школьному обучению.</w:t>
      </w:r>
    </w:p>
    <w:p w:rsidR="00000000" w:rsidRDefault="00000000"/>
    <w:p w:rsidR="00000000" w:rsidRDefault="00000000">
      <w:pPr>
        <w:jc w:val="center"/>
        <w:rPr>
          <w:b/>
          <w:bCs/>
        </w:rPr>
      </w:pPr>
      <w:r>
        <w:rPr>
          <w:b/>
          <w:bCs/>
        </w:rPr>
        <w:t>Число обучающихся, прошедших полный курс по программе обучения</w:t>
      </w:r>
    </w:p>
    <w:p w:rsidR="00000000" w:rsidRDefault="00000000">
      <w:pPr>
        <w:jc w:val="center"/>
        <w:rPr>
          <w:b/>
          <w:bCs/>
        </w:rPr>
      </w:pPr>
      <w:r>
        <w:rPr>
          <w:b/>
          <w:bCs/>
        </w:rPr>
        <w:t>грамоте и начального и среднего образования в системе ИНЕА</w:t>
      </w:r>
    </w:p>
    <w:p w:rsidR="00000000" w:rsidRDefault="00000000">
      <w:pPr>
        <w:jc w:val="center"/>
        <w:rPr>
          <w:b/>
          <w:bCs/>
        </w:rPr>
      </w:pPr>
    </w:p>
    <w:tbl>
      <w:tblPr>
        <w:tblW w:w="0" w:type="auto"/>
        <w:tblLayout w:type="fixed"/>
        <w:tblCellMar>
          <w:left w:w="28" w:type="dxa"/>
          <w:right w:w="28" w:type="dxa"/>
        </w:tblCellMar>
        <w:tblLook w:val="01E0" w:firstRow="1" w:lastRow="1" w:firstColumn="1" w:lastColumn="1" w:noHBand="0" w:noVBand="0"/>
      </w:tblPr>
      <w:tblGrid>
        <w:gridCol w:w="2085"/>
        <w:gridCol w:w="910"/>
        <w:gridCol w:w="356"/>
        <w:gridCol w:w="856"/>
        <w:gridCol w:w="356"/>
        <w:gridCol w:w="856"/>
        <w:gridCol w:w="356"/>
        <w:gridCol w:w="856"/>
        <w:gridCol w:w="356"/>
        <w:gridCol w:w="856"/>
        <w:gridCol w:w="356"/>
        <w:gridCol w:w="856"/>
        <w:gridCol w:w="356"/>
      </w:tblGrid>
      <w:tr w:rsidR="00000000">
        <w:tblPrEx>
          <w:tblCellMar>
            <w:top w:w="0" w:type="dxa"/>
            <w:bottom w:w="0" w:type="dxa"/>
          </w:tblCellMar>
        </w:tblPrEx>
        <w:trPr>
          <w:cantSplit/>
          <w:trHeight w:val="379"/>
        </w:trPr>
        <w:tc>
          <w:tcPr>
            <w:tcW w:w="2085"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p>
        </w:tc>
        <w:tc>
          <w:tcPr>
            <w:tcW w:w="910"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r>
              <w:rPr>
                <w:bCs/>
                <w:i/>
                <w:sz w:val="18"/>
                <w:szCs w:val="22"/>
              </w:rPr>
              <w:t>1998</w:t>
            </w:r>
          </w:p>
        </w:tc>
        <w:tc>
          <w:tcPr>
            <w:tcW w:w="356"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r>
              <w:rPr>
                <w:bCs/>
                <w:i/>
                <w:sz w:val="18"/>
                <w:szCs w:val="22"/>
              </w:rPr>
              <w:t>%</w:t>
            </w:r>
          </w:p>
        </w:tc>
        <w:tc>
          <w:tcPr>
            <w:tcW w:w="856"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r>
              <w:rPr>
                <w:bCs/>
                <w:i/>
                <w:sz w:val="18"/>
                <w:szCs w:val="22"/>
              </w:rPr>
              <w:t>1999</w:t>
            </w:r>
          </w:p>
        </w:tc>
        <w:tc>
          <w:tcPr>
            <w:tcW w:w="356"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r>
              <w:rPr>
                <w:bCs/>
                <w:i/>
                <w:sz w:val="18"/>
                <w:szCs w:val="22"/>
              </w:rPr>
              <w:t>%</w:t>
            </w:r>
          </w:p>
        </w:tc>
        <w:tc>
          <w:tcPr>
            <w:tcW w:w="856"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r>
              <w:rPr>
                <w:bCs/>
                <w:i/>
                <w:sz w:val="18"/>
                <w:szCs w:val="22"/>
              </w:rPr>
              <w:t>2000</w:t>
            </w:r>
          </w:p>
        </w:tc>
        <w:tc>
          <w:tcPr>
            <w:tcW w:w="356"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r>
              <w:rPr>
                <w:bCs/>
                <w:i/>
                <w:sz w:val="18"/>
                <w:szCs w:val="22"/>
              </w:rPr>
              <w:t>%</w:t>
            </w:r>
          </w:p>
        </w:tc>
        <w:tc>
          <w:tcPr>
            <w:tcW w:w="856"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r>
              <w:rPr>
                <w:bCs/>
                <w:i/>
                <w:sz w:val="18"/>
                <w:szCs w:val="22"/>
              </w:rPr>
              <w:t>2001</w:t>
            </w:r>
          </w:p>
        </w:tc>
        <w:tc>
          <w:tcPr>
            <w:tcW w:w="356"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r>
              <w:rPr>
                <w:bCs/>
                <w:i/>
                <w:sz w:val="18"/>
                <w:szCs w:val="22"/>
              </w:rPr>
              <w:t>%</w:t>
            </w:r>
          </w:p>
        </w:tc>
        <w:tc>
          <w:tcPr>
            <w:tcW w:w="856"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r>
              <w:rPr>
                <w:bCs/>
                <w:i/>
                <w:sz w:val="18"/>
                <w:szCs w:val="22"/>
              </w:rPr>
              <w:t>2002</w:t>
            </w:r>
          </w:p>
        </w:tc>
        <w:tc>
          <w:tcPr>
            <w:tcW w:w="356"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r>
              <w:rPr>
                <w:bCs/>
                <w:i/>
                <w:sz w:val="18"/>
                <w:szCs w:val="22"/>
              </w:rPr>
              <w:t>%</w:t>
            </w:r>
          </w:p>
        </w:tc>
        <w:tc>
          <w:tcPr>
            <w:tcW w:w="856"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r>
              <w:rPr>
                <w:bCs/>
                <w:i/>
                <w:sz w:val="18"/>
                <w:szCs w:val="22"/>
              </w:rPr>
              <w:t>2003</w:t>
            </w:r>
          </w:p>
        </w:tc>
        <w:tc>
          <w:tcPr>
            <w:tcW w:w="356" w:type="dxa"/>
            <w:tcBorders>
              <w:top w:val="single" w:sz="4" w:space="0" w:color="auto"/>
              <w:bottom w:val="single" w:sz="4" w:space="0" w:color="auto"/>
            </w:tcBorders>
            <w:vAlign w:val="center"/>
          </w:tcPr>
          <w:p w:rsidR="00000000" w:rsidRDefault="00000000">
            <w:pPr>
              <w:pStyle w:val="BodyText2"/>
              <w:spacing w:line="288" w:lineRule="auto"/>
              <w:jc w:val="center"/>
              <w:rPr>
                <w:bCs/>
                <w:i/>
                <w:sz w:val="18"/>
                <w:szCs w:val="22"/>
              </w:rPr>
            </w:pPr>
            <w:r>
              <w:rPr>
                <w:bCs/>
                <w:i/>
                <w:sz w:val="18"/>
                <w:szCs w:val="22"/>
              </w:rPr>
              <w:t>%</w:t>
            </w:r>
          </w:p>
        </w:tc>
      </w:tr>
      <w:tr w:rsidR="00000000">
        <w:tblPrEx>
          <w:tblCellMar>
            <w:top w:w="0" w:type="dxa"/>
            <w:bottom w:w="0" w:type="dxa"/>
          </w:tblCellMar>
        </w:tblPrEx>
        <w:trPr>
          <w:cantSplit/>
          <w:trHeight w:val="467"/>
        </w:trPr>
        <w:tc>
          <w:tcPr>
            <w:tcW w:w="2085" w:type="dxa"/>
            <w:tcBorders>
              <w:top w:val="single" w:sz="4" w:space="0" w:color="auto"/>
            </w:tcBorders>
            <w:vAlign w:val="bottom"/>
          </w:tcPr>
          <w:p w:rsidR="00000000" w:rsidRDefault="00000000">
            <w:pPr>
              <w:pStyle w:val="BodyText2"/>
              <w:spacing w:line="288" w:lineRule="auto"/>
              <w:jc w:val="left"/>
              <w:rPr>
                <w:iCs/>
                <w:sz w:val="18"/>
                <w:szCs w:val="22"/>
              </w:rPr>
            </w:pPr>
            <w:r>
              <w:rPr>
                <w:iCs/>
                <w:sz w:val="18"/>
                <w:szCs w:val="22"/>
                <w:lang w:val="ru-RU"/>
              </w:rPr>
              <w:t>Общее число учащихся</w:t>
            </w:r>
          </w:p>
        </w:tc>
        <w:tc>
          <w:tcPr>
            <w:tcW w:w="910" w:type="dxa"/>
            <w:tcBorders>
              <w:top w:val="single" w:sz="4" w:space="0" w:color="auto"/>
            </w:tcBorders>
            <w:vAlign w:val="bottom"/>
          </w:tcPr>
          <w:p w:rsidR="00000000" w:rsidRDefault="00000000">
            <w:pPr>
              <w:pStyle w:val="BodyText2"/>
              <w:spacing w:line="288" w:lineRule="auto"/>
              <w:jc w:val="right"/>
              <w:rPr>
                <w:iCs/>
                <w:sz w:val="18"/>
                <w:szCs w:val="22"/>
              </w:rPr>
            </w:pPr>
            <w:r>
              <w:rPr>
                <w:iCs/>
                <w:sz w:val="18"/>
                <w:szCs w:val="22"/>
              </w:rPr>
              <w:t>1 925 371</w:t>
            </w:r>
          </w:p>
        </w:tc>
        <w:tc>
          <w:tcPr>
            <w:tcW w:w="356" w:type="dxa"/>
            <w:tcBorders>
              <w:top w:val="single" w:sz="4" w:space="0" w:color="auto"/>
            </w:tcBorders>
            <w:vAlign w:val="bottom"/>
          </w:tcPr>
          <w:p w:rsidR="00000000" w:rsidRDefault="00000000">
            <w:pPr>
              <w:pStyle w:val="BodyText2"/>
              <w:spacing w:line="288" w:lineRule="auto"/>
              <w:jc w:val="right"/>
              <w:rPr>
                <w:iCs/>
                <w:sz w:val="18"/>
                <w:szCs w:val="22"/>
              </w:rPr>
            </w:pPr>
            <w:r>
              <w:rPr>
                <w:iCs/>
                <w:sz w:val="18"/>
                <w:szCs w:val="22"/>
              </w:rPr>
              <w:t>100</w:t>
            </w:r>
          </w:p>
        </w:tc>
        <w:tc>
          <w:tcPr>
            <w:tcW w:w="856" w:type="dxa"/>
            <w:tcBorders>
              <w:top w:val="single" w:sz="4" w:space="0" w:color="auto"/>
            </w:tcBorders>
            <w:vAlign w:val="bottom"/>
          </w:tcPr>
          <w:p w:rsidR="00000000" w:rsidRDefault="00000000">
            <w:pPr>
              <w:pStyle w:val="BodyText2"/>
              <w:spacing w:line="288" w:lineRule="auto"/>
              <w:jc w:val="right"/>
              <w:rPr>
                <w:iCs/>
                <w:sz w:val="18"/>
                <w:szCs w:val="22"/>
              </w:rPr>
            </w:pPr>
            <w:r>
              <w:rPr>
                <w:iCs/>
                <w:sz w:val="18"/>
                <w:szCs w:val="22"/>
              </w:rPr>
              <w:t>1 783 970</w:t>
            </w:r>
          </w:p>
        </w:tc>
        <w:tc>
          <w:tcPr>
            <w:tcW w:w="356" w:type="dxa"/>
            <w:tcBorders>
              <w:top w:val="single" w:sz="4" w:space="0" w:color="auto"/>
            </w:tcBorders>
            <w:vAlign w:val="bottom"/>
          </w:tcPr>
          <w:p w:rsidR="00000000" w:rsidRDefault="00000000">
            <w:pPr>
              <w:pStyle w:val="BodyText2"/>
              <w:spacing w:line="288" w:lineRule="auto"/>
              <w:jc w:val="right"/>
              <w:rPr>
                <w:iCs/>
                <w:sz w:val="18"/>
                <w:szCs w:val="22"/>
              </w:rPr>
            </w:pPr>
            <w:r>
              <w:rPr>
                <w:iCs/>
                <w:sz w:val="18"/>
                <w:szCs w:val="22"/>
              </w:rPr>
              <w:t>100</w:t>
            </w:r>
          </w:p>
        </w:tc>
        <w:tc>
          <w:tcPr>
            <w:tcW w:w="856" w:type="dxa"/>
            <w:tcBorders>
              <w:top w:val="single" w:sz="4" w:space="0" w:color="auto"/>
            </w:tcBorders>
            <w:vAlign w:val="bottom"/>
          </w:tcPr>
          <w:p w:rsidR="00000000" w:rsidRDefault="00000000">
            <w:pPr>
              <w:pStyle w:val="BodyText2"/>
              <w:spacing w:line="288" w:lineRule="auto"/>
              <w:jc w:val="right"/>
              <w:rPr>
                <w:iCs/>
                <w:sz w:val="18"/>
                <w:szCs w:val="22"/>
              </w:rPr>
            </w:pPr>
            <w:r>
              <w:rPr>
                <w:iCs/>
                <w:sz w:val="18"/>
                <w:szCs w:val="22"/>
              </w:rPr>
              <w:t>1 102 140</w:t>
            </w:r>
          </w:p>
        </w:tc>
        <w:tc>
          <w:tcPr>
            <w:tcW w:w="356" w:type="dxa"/>
            <w:tcBorders>
              <w:top w:val="single" w:sz="4" w:space="0" w:color="auto"/>
            </w:tcBorders>
            <w:vAlign w:val="bottom"/>
          </w:tcPr>
          <w:p w:rsidR="00000000" w:rsidRDefault="00000000">
            <w:pPr>
              <w:pStyle w:val="BodyText2"/>
              <w:spacing w:line="288" w:lineRule="auto"/>
              <w:jc w:val="right"/>
              <w:rPr>
                <w:iCs/>
                <w:sz w:val="18"/>
                <w:szCs w:val="22"/>
              </w:rPr>
            </w:pPr>
            <w:r>
              <w:rPr>
                <w:iCs/>
                <w:sz w:val="18"/>
                <w:szCs w:val="22"/>
              </w:rPr>
              <w:t>100</w:t>
            </w:r>
          </w:p>
        </w:tc>
        <w:tc>
          <w:tcPr>
            <w:tcW w:w="856" w:type="dxa"/>
            <w:tcBorders>
              <w:top w:val="single" w:sz="4" w:space="0" w:color="auto"/>
            </w:tcBorders>
            <w:vAlign w:val="bottom"/>
          </w:tcPr>
          <w:p w:rsidR="00000000" w:rsidRDefault="00000000">
            <w:pPr>
              <w:pStyle w:val="BodyText2"/>
              <w:spacing w:line="288" w:lineRule="auto"/>
              <w:jc w:val="right"/>
              <w:rPr>
                <w:iCs/>
                <w:sz w:val="18"/>
                <w:szCs w:val="22"/>
              </w:rPr>
            </w:pPr>
            <w:r>
              <w:rPr>
                <w:iCs/>
                <w:sz w:val="18"/>
                <w:szCs w:val="22"/>
              </w:rPr>
              <w:t>1 037 653</w:t>
            </w:r>
          </w:p>
        </w:tc>
        <w:tc>
          <w:tcPr>
            <w:tcW w:w="356" w:type="dxa"/>
            <w:tcBorders>
              <w:top w:val="single" w:sz="4" w:space="0" w:color="auto"/>
            </w:tcBorders>
            <w:vAlign w:val="bottom"/>
          </w:tcPr>
          <w:p w:rsidR="00000000" w:rsidRDefault="00000000">
            <w:pPr>
              <w:pStyle w:val="BodyText2"/>
              <w:spacing w:line="288" w:lineRule="auto"/>
              <w:jc w:val="right"/>
              <w:rPr>
                <w:iCs/>
                <w:sz w:val="18"/>
                <w:szCs w:val="22"/>
              </w:rPr>
            </w:pPr>
            <w:r>
              <w:rPr>
                <w:iCs/>
                <w:sz w:val="18"/>
                <w:szCs w:val="22"/>
              </w:rPr>
              <w:t>100</w:t>
            </w:r>
          </w:p>
        </w:tc>
        <w:tc>
          <w:tcPr>
            <w:tcW w:w="856" w:type="dxa"/>
            <w:tcBorders>
              <w:top w:val="single" w:sz="4" w:space="0" w:color="auto"/>
            </w:tcBorders>
            <w:vAlign w:val="bottom"/>
          </w:tcPr>
          <w:p w:rsidR="00000000" w:rsidRDefault="00000000">
            <w:pPr>
              <w:pStyle w:val="BodyText2"/>
              <w:spacing w:line="288" w:lineRule="auto"/>
              <w:jc w:val="right"/>
              <w:rPr>
                <w:iCs/>
                <w:sz w:val="18"/>
                <w:szCs w:val="22"/>
              </w:rPr>
            </w:pPr>
            <w:r>
              <w:rPr>
                <w:iCs/>
                <w:sz w:val="18"/>
                <w:szCs w:val="22"/>
              </w:rPr>
              <w:t>1 087 549</w:t>
            </w:r>
          </w:p>
        </w:tc>
        <w:tc>
          <w:tcPr>
            <w:tcW w:w="356" w:type="dxa"/>
            <w:tcBorders>
              <w:top w:val="single" w:sz="4" w:space="0" w:color="auto"/>
            </w:tcBorders>
            <w:vAlign w:val="bottom"/>
          </w:tcPr>
          <w:p w:rsidR="00000000" w:rsidRDefault="00000000">
            <w:pPr>
              <w:pStyle w:val="BodyText2"/>
              <w:spacing w:line="288" w:lineRule="auto"/>
              <w:jc w:val="right"/>
              <w:rPr>
                <w:iCs/>
                <w:sz w:val="18"/>
                <w:szCs w:val="22"/>
              </w:rPr>
            </w:pPr>
            <w:r>
              <w:rPr>
                <w:iCs/>
                <w:sz w:val="18"/>
                <w:szCs w:val="22"/>
              </w:rPr>
              <w:t>100</w:t>
            </w:r>
          </w:p>
        </w:tc>
        <w:tc>
          <w:tcPr>
            <w:tcW w:w="856" w:type="dxa"/>
            <w:tcBorders>
              <w:top w:val="single" w:sz="4" w:space="0" w:color="auto"/>
            </w:tcBorders>
            <w:vAlign w:val="bottom"/>
          </w:tcPr>
          <w:p w:rsidR="00000000" w:rsidRDefault="00000000">
            <w:pPr>
              <w:pStyle w:val="BodyText2"/>
              <w:spacing w:line="288" w:lineRule="auto"/>
              <w:jc w:val="right"/>
              <w:rPr>
                <w:iCs/>
                <w:sz w:val="18"/>
                <w:szCs w:val="22"/>
              </w:rPr>
            </w:pPr>
            <w:r>
              <w:rPr>
                <w:iCs/>
                <w:sz w:val="18"/>
                <w:szCs w:val="22"/>
              </w:rPr>
              <w:t>1 239 046</w:t>
            </w:r>
          </w:p>
        </w:tc>
        <w:tc>
          <w:tcPr>
            <w:tcW w:w="356" w:type="dxa"/>
            <w:tcBorders>
              <w:top w:val="single" w:sz="4" w:space="0" w:color="auto"/>
            </w:tcBorders>
            <w:vAlign w:val="bottom"/>
          </w:tcPr>
          <w:p w:rsidR="00000000" w:rsidRDefault="00000000">
            <w:pPr>
              <w:pStyle w:val="BodyText2"/>
              <w:spacing w:line="288" w:lineRule="auto"/>
              <w:jc w:val="right"/>
              <w:rPr>
                <w:iCs/>
                <w:sz w:val="18"/>
                <w:szCs w:val="22"/>
              </w:rPr>
            </w:pPr>
            <w:r>
              <w:rPr>
                <w:iCs/>
                <w:sz w:val="18"/>
                <w:szCs w:val="22"/>
              </w:rPr>
              <w:t>100</w:t>
            </w:r>
          </w:p>
        </w:tc>
      </w:tr>
      <w:tr w:rsidR="00000000">
        <w:tblPrEx>
          <w:tblCellMar>
            <w:top w:w="0" w:type="dxa"/>
            <w:bottom w:w="0" w:type="dxa"/>
          </w:tblCellMar>
        </w:tblPrEx>
        <w:trPr>
          <w:cantSplit/>
        </w:trPr>
        <w:tc>
          <w:tcPr>
            <w:tcW w:w="2085" w:type="dxa"/>
            <w:tcBorders>
              <w:bottom w:val="single" w:sz="4" w:space="0" w:color="auto"/>
            </w:tcBorders>
            <w:vAlign w:val="bottom"/>
          </w:tcPr>
          <w:p w:rsidR="00000000" w:rsidRDefault="00000000">
            <w:pPr>
              <w:pStyle w:val="BodyText2"/>
              <w:spacing w:line="288" w:lineRule="auto"/>
              <w:jc w:val="left"/>
              <w:rPr>
                <w:iCs/>
                <w:sz w:val="18"/>
                <w:szCs w:val="22"/>
              </w:rPr>
            </w:pPr>
            <w:r>
              <w:rPr>
                <w:iCs/>
                <w:sz w:val="18"/>
                <w:szCs w:val="22"/>
                <w:lang w:val="ru-RU"/>
              </w:rPr>
              <w:t>Общее число завершивших обучение</w:t>
            </w:r>
          </w:p>
        </w:tc>
        <w:tc>
          <w:tcPr>
            <w:tcW w:w="910" w:type="dxa"/>
            <w:tcBorders>
              <w:bottom w:val="single" w:sz="4" w:space="0" w:color="auto"/>
            </w:tcBorders>
            <w:vAlign w:val="bottom"/>
          </w:tcPr>
          <w:p w:rsidR="00000000" w:rsidRDefault="00000000">
            <w:pPr>
              <w:pStyle w:val="BodyText2"/>
              <w:spacing w:line="288" w:lineRule="auto"/>
              <w:jc w:val="right"/>
              <w:rPr>
                <w:iCs/>
                <w:sz w:val="18"/>
                <w:szCs w:val="22"/>
              </w:rPr>
            </w:pPr>
            <w:r>
              <w:rPr>
                <w:iCs/>
                <w:sz w:val="18"/>
                <w:szCs w:val="22"/>
              </w:rPr>
              <w:t>678 850</w:t>
            </w:r>
          </w:p>
        </w:tc>
        <w:tc>
          <w:tcPr>
            <w:tcW w:w="356" w:type="dxa"/>
            <w:tcBorders>
              <w:bottom w:val="single" w:sz="4" w:space="0" w:color="auto"/>
            </w:tcBorders>
            <w:vAlign w:val="bottom"/>
          </w:tcPr>
          <w:p w:rsidR="00000000" w:rsidRDefault="00000000">
            <w:pPr>
              <w:pStyle w:val="BodyText2"/>
              <w:spacing w:line="288" w:lineRule="auto"/>
              <w:jc w:val="right"/>
              <w:rPr>
                <w:iCs/>
                <w:sz w:val="18"/>
                <w:szCs w:val="22"/>
              </w:rPr>
            </w:pPr>
            <w:r>
              <w:rPr>
                <w:iCs/>
                <w:sz w:val="18"/>
                <w:szCs w:val="22"/>
              </w:rPr>
              <w:t>35</w:t>
            </w:r>
          </w:p>
        </w:tc>
        <w:tc>
          <w:tcPr>
            <w:tcW w:w="856" w:type="dxa"/>
            <w:tcBorders>
              <w:bottom w:val="single" w:sz="4" w:space="0" w:color="auto"/>
            </w:tcBorders>
            <w:vAlign w:val="bottom"/>
          </w:tcPr>
          <w:p w:rsidR="00000000" w:rsidRDefault="00000000">
            <w:pPr>
              <w:pStyle w:val="BodyText2"/>
              <w:spacing w:line="288" w:lineRule="auto"/>
              <w:jc w:val="right"/>
              <w:rPr>
                <w:iCs/>
                <w:sz w:val="18"/>
                <w:szCs w:val="22"/>
              </w:rPr>
            </w:pPr>
            <w:r>
              <w:rPr>
                <w:iCs/>
                <w:sz w:val="18"/>
                <w:szCs w:val="22"/>
              </w:rPr>
              <w:t>737 573</w:t>
            </w:r>
          </w:p>
        </w:tc>
        <w:tc>
          <w:tcPr>
            <w:tcW w:w="356" w:type="dxa"/>
            <w:tcBorders>
              <w:bottom w:val="single" w:sz="4" w:space="0" w:color="auto"/>
            </w:tcBorders>
            <w:vAlign w:val="bottom"/>
          </w:tcPr>
          <w:p w:rsidR="00000000" w:rsidRDefault="00000000">
            <w:pPr>
              <w:pStyle w:val="BodyText2"/>
              <w:spacing w:line="288" w:lineRule="auto"/>
              <w:jc w:val="right"/>
              <w:rPr>
                <w:iCs/>
                <w:sz w:val="18"/>
                <w:szCs w:val="22"/>
              </w:rPr>
            </w:pPr>
            <w:r>
              <w:rPr>
                <w:iCs/>
                <w:sz w:val="18"/>
                <w:szCs w:val="22"/>
              </w:rPr>
              <w:t>41</w:t>
            </w:r>
          </w:p>
        </w:tc>
        <w:tc>
          <w:tcPr>
            <w:tcW w:w="856" w:type="dxa"/>
            <w:tcBorders>
              <w:bottom w:val="single" w:sz="4" w:space="0" w:color="auto"/>
            </w:tcBorders>
            <w:vAlign w:val="bottom"/>
          </w:tcPr>
          <w:p w:rsidR="00000000" w:rsidRDefault="00000000">
            <w:pPr>
              <w:pStyle w:val="BodyText2"/>
              <w:spacing w:line="288" w:lineRule="auto"/>
              <w:jc w:val="right"/>
              <w:rPr>
                <w:iCs/>
                <w:sz w:val="18"/>
                <w:szCs w:val="22"/>
              </w:rPr>
            </w:pPr>
            <w:r>
              <w:rPr>
                <w:iCs/>
                <w:sz w:val="18"/>
                <w:szCs w:val="22"/>
              </w:rPr>
              <w:t>622 264</w:t>
            </w:r>
          </w:p>
        </w:tc>
        <w:tc>
          <w:tcPr>
            <w:tcW w:w="356" w:type="dxa"/>
            <w:tcBorders>
              <w:bottom w:val="single" w:sz="4" w:space="0" w:color="auto"/>
            </w:tcBorders>
            <w:vAlign w:val="bottom"/>
          </w:tcPr>
          <w:p w:rsidR="00000000" w:rsidRDefault="00000000">
            <w:pPr>
              <w:pStyle w:val="BodyText2"/>
              <w:spacing w:line="288" w:lineRule="auto"/>
              <w:jc w:val="right"/>
              <w:rPr>
                <w:iCs/>
                <w:sz w:val="18"/>
                <w:szCs w:val="22"/>
              </w:rPr>
            </w:pPr>
            <w:r>
              <w:rPr>
                <w:iCs/>
                <w:sz w:val="18"/>
                <w:szCs w:val="22"/>
              </w:rPr>
              <w:t>56</w:t>
            </w:r>
          </w:p>
        </w:tc>
        <w:tc>
          <w:tcPr>
            <w:tcW w:w="856" w:type="dxa"/>
            <w:tcBorders>
              <w:bottom w:val="single" w:sz="4" w:space="0" w:color="auto"/>
            </w:tcBorders>
            <w:vAlign w:val="bottom"/>
          </w:tcPr>
          <w:p w:rsidR="00000000" w:rsidRDefault="00000000">
            <w:pPr>
              <w:pStyle w:val="BodyText2"/>
              <w:spacing w:line="288" w:lineRule="auto"/>
              <w:jc w:val="right"/>
              <w:rPr>
                <w:iCs/>
                <w:sz w:val="18"/>
                <w:szCs w:val="22"/>
              </w:rPr>
            </w:pPr>
            <w:r>
              <w:rPr>
                <w:iCs/>
                <w:sz w:val="18"/>
                <w:szCs w:val="22"/>
              </w:rPr>
              <w:t>585 477</w:t>
            </w:r>
          </w:p>
        </w:tc>
        <w:tc>
          <w:tcPr>
            <w:tcW w:w="356" w:type="dxa"/>
            <w:tcBorders>
              <w:bottom w:val="single" w:sz="4" w:space="0" w:color="auto"/>
            </w:tcBorders>
            <w:vAlign w:val="bottom"/>
          </w:tcPr>
          <w:p w:rsidR="00000000" w:rsidRDefault="00000000">
            <w:pPr>
              <w:pStyle w:val="BodyText2"/>
              <w:spacing w:line="288" w:lineRule="auto"/>
              <w:jc w:val="right"/>
              <w:rPr>
                <w:iCs/>
                <w:sz w:val="18"/>
                <w:szCs w:val="22"/>
              </w:rPr>
            </w:pPr>
            <w:r>
              <w:rPr>
                <w:iCs/>
                <w:sz w:val="18"/>
                <w:szCs w:val="22"/>
              </w:rPr>
              <w:t>56</w:t>
            </w:r>
          </w:p>
        </w:tc>
        <w:tc>
          <w:tcPr>
            <w:tcW w:w="856" w:type="dxa"/>
            <w:tcBorders>
              <w:bottom w:val="single" w:sz="4" w:space="0" w:color="auto"/>
            </w:tcBorders>
            <w:vAlign w:val="bottom"/>
          </w:tcPr>
          <w:p w:rsidR="00000000" w:rsidRDefault="00000000">
            <w:pPr>
              <w:pStyle w:val="BodyText2"/>
              <w:spacing w:line="288" w:lineRule="auto"/>
              <w:jc w:val="right"/>
              <w:rPr>
                <w:iCs/>
                <w:sz w:val="18"/>
                <w:szCs w:val="22"/>
              </w:rPr>
            </w:pPr>
            <w:r>
              <w:rPr>
                <w:iCs/>
                <w:sz w:val="18"/>
                <w:szCs w:val="22"/>
              </w:rPr>
              <w:t>526 055</w:t>
            </w:r>
          </w:p>
        </w:tc>
        <w:tc>
          <w:tcPr>
            <w:tcW w:w="356" w:type="dxa"/>
            <w:tcBorders>
              <w:bottom w:val="single" w:sz="4" w:space="0" w:color="auto"/>
            </w:tcBorders>
            <w:vAlign w:val="bottom"/>
          </w:tcPr>
          <w:p w:rsidR="00000000" w:rsidRDefault="00000000">
            <w:pPr>
              <w:pStyle w:val="BodyText2"/>
              <w:spacing w:line="288" w:lineRule="auto"/>
              <w:jc w:val="right"/>
              <w:rPr>
                <w:iCs/>
                <w:sz w:val="18"/>
                <w:szCs w:val="22"/>
              </w:rPr>
            </w:pPr>
            <w:r>
              <w:rPr>
                <w:iCs/>
                <w:sz w:val="18"/>
                <w:szCs w:val="22"/>
              </w:rPr>
              <w:t>48</w:t>
            </w:r>
          </w:p>
        </w:tc>
        <w:tc>
          <w:tcPr>
            <w:tcW w:w="856" w:type="dxa"/>
            <w:tcBorders>
              <w:bottom w:val="single" w:sz="4" w:space="0" w:color="auto"/>
            </w:tcBorders>
            <w:vAlign w:val="bottom"/>
          </w:tcPr>
          <w:p w:rsidR="00000000" w:rsidRDefault="00000000">
            <w:pPr>
              <w:pStyle w:val="BodyText2"/>
              <w:spacing w:line="288" w:lineRule="auto"/>
              <w:jc w:val="right"/>
              <w:rPr>
                <w:iCs/>
                <w:sz w:val="18"/>
                <w:szCs w:val="22"/>
              </w:rPr>
            </w:pPr>
            <w:r>
              <w:rPr>
                <w:iCs/>
                <w:sz w:val="18"/>
                <w:szCs w:val="22"/>
              </w:rPr>
              <w:t>555 427</w:t>
            </w:r>
          </w:p>
        </w:tc>
        <w:tc>
          <w:tcPr>
            <w:tcW w:w="356" w:type="dxa"/>
            <w:tcBorders>
              <w:bottom w:val="single" w:sz="4" w:space="0" w:color="auto"/>
            </w:tcBorders>
            <w:vAlign w:val="bottom"/>
          </w:tcPr>
          <w:p w:rsidR="00000000" w:rsidRDefault="00000000">
            <w:pPr>
              <w:pStyle w:val="BodyText2"/>
              <w:spacing w:line="288" w:lineRule="auto"/>
              <w:jc w:val="right"/>
              <w:rPr>
                <w:iCs/>
                <w:sz w:val="18"/>
                <w:szCs w:val="22"/>
              </w:rPr>
            </w:pPr>
            <w:r>
              <w:rPr>
                <w:iCs/>
                <w:sz w:val="18"/>
                <w:szCs w:val="22"/>
              </w:rPr>
              <w:t>45</w:t>
            </w:r>
          </w:p>
        </w:tc>
      </w:tr>
    </w:tbl>
    <w:p w:rsidR="00000000" w:rsidRDefault="00000000">
      <w:pPr>
        <w:rPr>
          <w:lang w:val="en-US"/>
        </w:rPr>
      </w:pPr>
    </w:p>
    <w:p w:rsidR="00000000" w:rsidRDefault="00000000">
      <w:r>
        <w:br w:type="page"/>
        <w:t>661.</w:t>
      </w:r>
      <w:r>
        <w:tab/>
        <w:t>В ходе 2003 года курс обучения по своей программе прошли 536 310 человек.  Из них 39% были мужчины и 61% - женщины, число которых в два раза превышает число мужчин.</w:t>
      </w:r>
    </w:p>
    <w:p w:rsidR="00000000" w:rsidRDefault="00000000"/>
    <w:p w:rsidR="00000000" w:rsidRDefault="00000000">
      <w:r>
        <w:t>662.</w:t>
      </w:r>
      <w:r>
        <w:tab/>
        <w:t>Из них наиболее многочисленной была возрастная группа 15-19 лет (123 482 человека), или 23% общего числа, в то время как наименее многочисленной группой была возрастная группа 10-14 лет, 1 899 подростков.  Для двух последних групп характерно то, что учащиеся распределяются по полу примерно одинаково.</w:t>
      </w:r>
    </w:p>
    <w:p w:rsidR="00000000" w:rsidRDefault="00000000"/>
    <w:p w:rsidR="00000000" w:rsidRDefault="00000000">
      <w:pPr>
        <w:rPr>
          <w:b/>
          <w:bCs/>
        </w:rPr>
      </w:pPr>
      <w:r>
        <w:rPr>
          <w:b/>
          <w:bCs/>
        </w:rPr>
        <w:t>Пункт 58</w:t>
      </w:r>
    </w:p>
    <w:p w:rsidR="00000000" w:rsidRDefault="00000000">
      <w:pPr>
        <w:rPr>
          <w:b/>
          <w:bCs/>
        </w:rPr>
      </w:pPr>
    </w:p>
    <w:p w:rsidR="00000000" w:rsidRDefault="00000000">
      <w:r>
        <w:t>663.</w:t>
      </w:r>
      <w:r>
        <w:tab/>
        <w:t>Национальная система образования ведет многогранную работу по удовлетворению потребностей в образовании и начальном профессиональном обучении детей коренного населения школьного возраста.  В ходе 2002/03 учебного года в начальной школе обучалось 837 296 детей из числа коренного населения, на 9,6% больше, чем в 1998/99 учебном году, и таким образом число учащихся этой группы выросло на 73 000 человек, в силу чего эта форма начального образования растет быстрее, чем другие формы начального образования.</w:t>
      </w:r>
    </w:p>
    <w:p w:rsidR="00000000" w:rsidRDefault="00000000"/>
    <w:p w:rsidR="00000000" w:rsidRDefault="00000000">
      <w:pPr>
        <w:jc w:val="center"/>
        <w:rPr>
          <w:b/>
          <w:bCs/>
        </w:rPr>
      </w:pPr>
      <w:r>
        <w:rPr>
          <w:b/>
          <w:bCs/>
        </w:rPr>
        <w:t>Начальное образование среди коренного населения</w:t>
      </w:r>
    </w:p>
    <w:p w:rsidR="00000000" w:rsidRDefault="00000000">
      <w:pPr>
        <w:jc w:val="center"/>
        <w:rPr>
          <w:b/>
          <w:bCs/>
        </w:rPr>
      </w:pPr>
    </w:p>
    <w:tbl>
      <w:tblPr>
        <w:tblW w:w="0" w:type="auto"/>
        <w:tblInd w:w="784" w:type="dxa"/>
        <w:tblLayout w:type="fixed"/>
        <w:tblCellMar>
          <w:left w:w="70" w:type="dxa"/>
          <w:right w:w="70" w:type="dxa"/>
        </w:tblCellMar>
        <w:tblLook w:val="0000" w:firstRow="0" w:lastRow="0" w:firstColumn="0" w:lastColumn="0" w:noHBand="0" w:noVBand="0"/>
      </w:tblPr>
      <w:tblGrid>
        <w:gridCol w:w="2086"/>
        <w:gridCol w:w="1986"/>
        <w:gridCol w:w="2409"/>
        <w:gridCol w:w="1442"/>
      </w:tblGrid>
      <w:tr w:rsidR="00000000">
        <w:tblPrEx>
          <w:tblCellMar>
            <w:top w:w="0" w:type="dxa"/>
            <w:bottom w:w="0" w:type="dxa"/>
          </w:tblCellMar>
        </w:tblPrEx>
        <w:trPr>
          <w:trHeight w:val="305"/>
        </w:trPr>
        <w:tc>
          <w:tcPr>
            <w:tcW w:w="2086" w:type="dxa"/>
            <w:tcBorders>
              <w:top w:val="single" w:sz="4" w:space="0" w:color="auto"/>
              <w:bottom w:val="single" w:sz="4" w:space="0" w:color="auto"/>
            </w:tcBorders>
            <w:vAlign w:val="bottom"/>
          </w:tcPr>
          <w:p w:rsidR="00000000" w:rsidRDefault="00000000">
            <w:pPr>
              <w:spacing w:before="60"/>
              <w:jc w:val="center"/>
              <w:rPr>
                <w:i/>
                <w:iCs/>
                <w:sz w:val="18"/>
                <w:szCs w:val="22"/>
              </w:rPr>
            </w:pPr>
            <w:r>
              <w:rPr>
                <w:i/>
                <w:iCs/>
                <w:sz w:val="18"/>
                <w:szCs w:val="22"/>
              </w:rPr>
              <w:t>Учебный год</w:t>
            </w:r>
          </w:p>
        </w:tc>
        <w:tc>
          <w:tcPr>
            <w:tcW w:w="1986" w:type="dxa"/>
            <w:tcBorders>
              <w:top w:val="single" w:sz="4" w:space="0" w:color="auto"/>
              <w:bottom w:val="single" w:sz="4" w:space="0" w:color="auto"/>
            </w:tcBorders>
            <w:vAlign w:val="bottom"/>
          </w:tcPr>
          <w:p w:rsidR="00000000" w:rsidRDefault="00000000">
            <w:pPr>
              <w:spacing w:before="60"/>
              <w:jc w:val="center"/>
              <w:rPr>
                <w:i/>
                <w:iCs/>
                <w:sz w:val="18"/>
                <w:szCs w:val="22"/>
              </w:rPr>
            </w:pPr>
            <w:r>
              <w:rPr>
                <w:i/>
                <w:iCs/>
                <w:sz w:val="18"/>
                <w:szCs w:val="22"/>
              </w:rPr>
              <w:t>Число учеников</w:t>
            </w:r>
          </w:p>
        </w:tc>
        <w:tc>
          <w:tcPr>
            <w:tcW w:w="2409" w:type="dxa"/>
            <w:tcBorders>
              <w:top w:val="single" w:sz="4" w:space="0" w:color="auto"/>
              <w:bottom w:val="single" w:sz="4" w:space="0" w:color="auto"/>
            </w:tcBorders>
            <w:vAlign w:val="bottom"/>
          </w:tcPr>
          <w:p w:rsidR="00000000" w:rsidRDefault="00000000">
            <w:pPr>
              <w:spacing w:before="60"/>
              <w:jc w:val="center"/>
              <w:rPr>
                <w:i/>
                <w:iCs/>
                <w:sz w:val="18"/>
                <w:szCs w:val="22"/>
              </w:rPr>
            </w:pPr>
            <w:r>
              <w:rPr>
                <w:i/>
                <w:iCs/>
                <w:sz w:val="18"/>
                <w:szCs w:val="22"/>
              </w:rPr>
              <w:t>Число учителей</w:t>
            </w:r>
          </w:p>
        </w:tc>
        <w:tc>
          <w:tcPr>
            <w:tcW w:w="1442" w:type="dxa"/>
            <w:tcBorders>
              <w:top w:val="single" w:sz="4" w:space="0" w:color="auto"/>
              <w:bottom w:val="single" w:sz="4" w:space="0" w:color="auto"/>
            </w:tcBorders>
            <w:vAlign w:val="bottom"/>
          </w:tcPr>
          <w:p w:rsidR="00000000" w:rsidRDefault="00000000">
            <w:pPr>
              <w:spacing w:before="60"/>
              <w:jc w:val="center"/>
              <w:rPr>
                <w:i/>
                <w:iCs/>
                <w:sz w:val="18"/>
                <w:szCs w:val="22"/>
              </w:rPr>
            </w:pPr>
            <w:r>
              <w:rPr>
                <w:i/>
                <w:iCs/>
                <w:sz w:val="18"/>
                <w:szCs w:val="22"/>
              </w:rPr>
              <w:t>Число школ</w:t>
            </w:r>
          </w:p>
        </w:tc>
      </w:tr>
      <w:tr w:rsidR="00000000">
        <w:tblPrEx>
          <w:tblCellMar>
            <w:top w:w="0" w:type="dxa"/>
            <w:bottom w:w="0" w:type="dxa"/>
          </w:tblCellMar>
        </w:tblPrEx>
        <w:trPr>
          <w:trHeight w:val="225"/>
        </w:trPr>
        <w:tc>
          <w:tcPr>
            <w:tcW w:w="2086" w:type="dxa"/>
            <w:tcBorders>
              <w:top w:val="single" w:sz="4" w:space="0" w:color="auto"/>
            </w:tcBorders>
            <w:vAlign w:val="bottom"/>
          </w:tcPr>
          <w:p w:rsidR="00000000" w:rsidRDefault="00000000">
            <w:pPr>
              <w:spacing w:before="60"/>
              <w:jc w:val="center"/>
              <w:rPr>
                <w:sz w:val="18"/>
                <w:szCs w:val="22"/>
              </w:rPr>
            </w:pPr>
            <w:r>
              <w:rPr>
                <w:sz w:val="18"/>
                <w:szCs w:val="22"/>
              </w:rPr>
              <w:t>1998/99</w:t>
            </w:r>
          </w:p>
        </w:tc>
        <w:tc>
          <w:tcPr>
            <w:tcW w:w="1986" w:type="dxa"/>
            <w:tcBorders>
              <w:top w:val="single" w:sz="4" w:space="0" w:color="auto"/>
            </w:tcBorders>
            <w:vAlign w:val="bottom"/>
          </w:tcPr>
          <w:p w:rsidR="00000000" w:rsidRDefault="00000000">
            <w:pPr>
              <w:spacing w:before="60"/>
              <w:jc w:val="center"/>
              <w:rPr>
                <w:sz w:val="18"/>
                <w:szCs w:val="22"/>
              </w:rPr>
            </w:pPr>
            <w:r>
              <w:rPr>
                <w:sz w:val="18"/>
                <w:szCs w:val="22"/>
              </w:rPr>
              <w:t>763 543</w:t>
            </w:r>
          </w:p>
        </w:tc>
        <w:tc>
          <w:tcPr>
            <w:tcW w:w="2409" w:type="dxa"/>
            <w:tcBorders>
              <w:top w:val="single" w:sz="4" w:space="0" w:color="auto"/>
            </w:tcBorders>
            <w:vAlign w:val="bottom"/>
          </w:tcPr>
          <w:p w:rsidR="00000000" w:rsidRDefault="00000000">
            <w:pPr>
              <w:spacing w:before="60"/>
              <w:jc w:val="center"/>
              <w:rPr>
                <w:sz w:val="18"/>
                <w:szCs w:val="22"/>
              </w:rPr>
            </w:pPr>
            <w:r>
              <w:rPr>
                <w:sz w:val="18"/>
                <w:szCs w:val="22"/>
              </w:rPr>
              <w:t>30 738</w:t>
            </w:r>
          </w:p>
        </w:tc>
        <w:tc>
          <w:tcPr>
            <w:tcW w:w="1442" w:type="dxa"/>
            <w:tcBorders>
              <w:top w:val="single" w:sz="4" w:space="0" w:color="auto"/>
            </w:tcBorders>
            <w:vAlign w:val="bottom"/>
          </w:tcPr>
          <w:p w:rsidR="00000000" w:rsidRDefault="00000000">
            <w:pPr>
              <w:spacing w:before="60"/>
              <w:jc w:val="center"/>
              <w:rPr>
                <w:sz w:val="18"/>
                <w:szCs w:val="22"/>
              </w:rPr>
            </w:pPr>
            <w:r>
              <w:rPr>
                <w:sz w:val="18"/>
                <w:szCs w:val="22"/>
              </w:rPr>
              <w:t>8 429</w:t>
            </w:r>
          </w:p>
        </w:tc>
      </w:tr>
      <w:tr w:rsidR="00000000">
        <w:tblPrEx>
          <w:tblCellMar>
            <w:top w:w="0" w:type="dxa"/>
            <w:bottom w:w="0" w:type="dxa"/>
          </w:tblCellMar>
        </w:tblPrEx>
        <w:trPr>
          <w:trHeight w:val="225"/>
        </w:trPr>
        <w:tc>
          <w:tcPr>
            <w:tcW w:w="2086" w:type="dxa"/>
            <w:vAlign w:val="bottom"/>
          </w:tcPr>
          <w:p w:rsidR="00000000" w:rsidRDefault="00000000">
            <w:pPr>
              <w:spacing w:before="60"/>
              <w:jc w:val="center"/>
              <w:rPr>
                <w:sz w:val="18"/>
                <w:szCs w:val="22"/>
              </w:rPr>
            </w:pPr>
            <w:r>
              <w:rPr>
                <w:sz w:val="18"/>
                <w:szCs w:val="22"/>
              </w:rPr>
              <w:t>1999/00</w:t>
            </w:r>
          </w:p>
        </w:tc>
        <w:tc>
          <w:tcPr>
            <w:tcW w:w="1986" w:type="dxa"/>
            <w:vAlign w:val="bottom"/>
          </w:tcPr>
          <w:p w:rsidR="00000000" w:rsidRDefault="00000000">
            <w:pPr>
              <w:spacing w:before="60"/>
              <w:jc w:val="center"/>
              <w:rPr>
                <w:sz w:val="18"/>
                <w:szCs w:val="22"/>
              </w:rPr>
            </w:pPr>
            <w:r>
              <w:rPr>
                <w:sz w:val="18"/>
                <w:szCs w:val="22"/>
              </w:rPr>
              <w:t>778 561</w:t>
            </w:r>
          </w:p>
        </w:tc>
        <w:tc>
          <w:tcPr>
            <w:tcW w:w="2409" w:type="dxa"/>
            <w:vAlign w:val="bottom"/>
          </w:tcPr>
          <w:p w:rsidR="00000000" w:rsidRDefault="00000000">
            <w:pPr>
              <w:spacing w:before="60"/>
              <w:jc w:val="center"/>
              <w:rPr>
                <w:sz w:val="18"/>
                <w:szCs w:val="22"/>
              </w:rPr>
            </w:pPr>
            <w:r>
              <w:rPr>
                <w:sz w:val="18"/>
                <w:szCs w:val="22"/>
              </w:rPr>
              <w:t>31 432</w:t>
            </w:r>
          </w:p>
        </w:tc>
        <w:tc>
          <w:tcPr>
            <w:tcW w:w="1442" w:type="dxa"/>
            <w:vAlign w:val="bottom"/>
          </w:tcPr>
          <w:p w:rsidR="00000000" w:rsidRDefault="00000000">
            <w:pPr>
              <w:spacing w:before="60"/>
              <w:jc w:val="center"/>
              <w:rPr>
                <w:sz w:val="18"/>
                <w:szCs w:val="22"/>
              </w:rPr>
            </w:pPr>
            <w:r>
              <w:rPr>
                <w:sz w:val="18"/>
                <w:szCs w:val="22"/>
              </w:rPr>
              <w:t>8 962</w:t>
            </w:r>
          </w:p>
        </w:tc>
      </w:tr>
      <w:tr w:rsidR="00000000">
        <w:tblPrEx>
          <w:tblCellMar>
            <w:top w:w="0" w:type="dxa"/>
            <w:bottom w:w="0" w:type="dxa"/>
          </w:tblCellMar>
        </w:tblPrEx>
        <w:trPr>
          <w:trHeight w:val="225"/>
        </w:trPr>
        <w:tc>
          <w:tcPr>
            <w:tcW w:w="2086" w:type="dxa"/>
            <w:vAlign w:val="bottom"/>
          </w:tcPr>
          <w:p w:rsidR="00000000" w:rsidRDefault="00000000">
            <w:pPr>
              <w:spacing w:before="60"/>
              <w:jc w:val="center"/>
              <w:rPr>
                <w:sz w:val="18"/>
                <w:szCs w:val="22"/>
              </w:rPr>
            </w:pPr>
            <w:r>
              <w:rPr>
                <w:sz w:val="18"/>
                <w:szCs w:val="22"/>
              </w:rPr>
              <w:t>2000/01</w:t>
            </w:r>
          </w:p>
        </w:tc>
        <w:tc>
          <w:tcPr>
            <w:tcW w:w="1986" w:type="dxa"/>
            <w:vAlign w:val="bottom"/>
          </w:tcPr>
          <w:p w:rsidR="00000000" w:rsidRDefault="00000000">
            <w:pPr>
              <w:spacing w:before="60"/>
              <w:jc w:val="center"/>
              <w:rPr>
                <w:sz w:val="18"/>
                <w:szCs w:val="22"/>
              </w:rPr>
            </w:pPr>
            <w:r>
              <w:rPr>
                <w:sz w:val="18"/>
                <w:szCs w:val="22"/>
              </w:rPr>
              <w:t>792 530</w:t>
            </w:r>
          </w:p>
        </w:tc>
        <w:tc>
          <w:tcPr>
            <w:tcW w:w="2409" w:type="dxa"/>
            <w:vAlign w:val="bottom"/>
          </w:tcPr>
          <w:p w:rsidR="00000000" w:rsidRDefault="00000000">
            <w:pPr>
              <w:spacing w:before="60"/>
              <w:jc w:val="center"/>
              <w:rPr>
                <w:sz w:val="18"/>
                <w:szCs w:val="22"/>
              </w:rPr>
            </w:pPr>
            <w:r>
              <w:rPr>
                <w:sz w:val="18"/>
                <w:szCs w:val="22"/>
              </w:rPr>
              <w:t>32 006</w:t>
            </w:r>
          </w:p>
        </w:tc>
        <w:tc>
          <w:tcPr>
            <w:tcW w:w="1442" w:type="dxa"/>
            <w:vAlign w:val="bottom"/>
          </w:tcPr>
          <w:p w:rsidR="00000000" w:rsidRDefault="00000000">
            <w:pPr>
              <w:spacing w:before="60"/>
              <w:jc w:val="center"/>
              <w:rPr>
                <w:sz w:val="18"/>
                <w:szCs w:val="22"/>
              </w:rPr>
            </w:pPr>
            <w:r>
              <w:rPr>
                <w:sz w:val="18"/>
                <w:szCs w:val="22"/>
              </w:rPr>
              <w:t>9 065</w:t>
            </w:r>
          </w:p>
        </w:tc>
      </w:tr>
      <w:tr w:rsidR="00000000">
        <w:tblPrEx>
          <w:tblCellMar>
            <w:top w:w="0" w:type="dxa"/>
            <w:bottom w:w="0" w:type="dxa"/>
          </w:tblCellMar>
        </w:tblPrEx>
        <w:trPr>
          <w:trHeight w:val="225"/>
        </w:trPr>
        <w:tc>
          <w:tcPr>
            <w:tcW w:w="2086" w:type="dxa"/>
            <w:vAlign w:val="bottom"/>
          </w:tcPr>
          <w:p w:rsidR="00000000" w:rsidRDefault="00000000">
            <w:pPr>
              <w:spacing w:before="60"/>
              <w:jc w:val="center"/>
              <w:rPr>
                <w:sz w:val="18"/>
                <w:szCs w:val="22"/>
              </w:rPr>
            </w:pPr>
            <w:r>
              <w:rPr>
                <w:sz w:val="18"/>
                <w:szCs w:val="22"/>
              </w:rPr>
              <w:t>2001/02</w:t>
            </w:r>
          </w:p>
        </w:tc>
        <w:tc>
          <w:tcPr>
            <w:tcW w:w="1986" w:type="dxa"/>
            <w:vAlign w:val="bottom"/>
          </w:tcPr>
          <w:p w:rsidR="00000000" w:rsidRDefault="00000000">
            <w:pPr>
              <w:spacing w:before="60"/>
              <w:jc w:val="center"/>
              <w:rPr>
                <w:sz w:val="18"/>
                <w:szCs w:val="22"/>
              </w:rPr>
            </w:pPr>
            <w:r>
              <w:rPr>
                <w:sz w:val="18"/>
                <w:szCs w:val="22"/>
              </w:rPr>
              <w:t>818 355</w:t>
            </w:r>
          </w:p>
        </w:tc>
        <w:tc>
          <w:tcPr>
            <w:tcW w:w="2409" w:type="dxa"/>
            <w:vAlign w:val="bottom"/>
          </w:tcPr>
          <w:p w:rsidR="00000000" w:rsidRDefault="00000000">
            <w:pPr>
              <w:spacing w:before="60"/>
              <w:jc w:val="center"/>
              <w:rPr>
                <w:sz w:val="18"/>
                <w:szCs w:val="22"/>
              </w:rPr>
            </w:pPr>
            <w:r>
              <w:rPr>
                <w:sz w:val="18"/>
                <w:szCs w:val="22"/>
              </w:rPr>
              <w:t>33 089</w:t>
            </w:r>
          </w:p>
        </w:tc>
        <w:tc>
          <w:tcPr>
            <w:tcW w:w="1442" w:type="dxa"/>
            <w:vAlign w:val="bottom"/>
          </w:tcPr>
          <w:p w:rsidR="00000000" w:rsidRDefault="00000000">
            <w:pPr>
              <w:spacing w:before="60"/>
              <w:jc w:val="center"/>
              <w:rPr>
                <w:sz w:val="18"/>
                <w:szCs w:val="22"/>
              </w:rPr>
            </w:pPr>
            <w:r>
              <w:rPr>
                <w:sz w:val="18"/>
                <w:szCs w:val="22"/>
              </w:rPr>
              <w:t>9 307</w:t>
            </w:r>
          </w:p>
        </w:tc>
      </w:tr>
      <w:tr w:rsidR="00000000">
        <w:tblPrEx>
          <w:tblCellMar>
            <w:top w:w="0" w:type="dxa"/>
            <w:bottom w:w="0" w:type="dxa"/>
          </w:tblCellMar>
        </w:tblPrEx>
        <w:trPr>
          <w:trHeight w:val="225"/>
        </w:trPr>
        <w:tc>
          <w:tcPr>
            <w:tcW w:w="2086" w:type="dxa"/>
            <w:tcBorders>
              <w:bottom w:val="single" w:sz="4" w:space="0" w:color="auto"/>
            </w:tcBorders>
            <w:vAlign w:val="bottom"/>
          </w:tcPr>
          <w:p w:rsidR="00000000" w:rsidRDefault="00000000">
            <w:pPr>
              <w:spacing w:before="60"/>
              <w:jc w:val="center"/>
              <w:rPr>
                <w:sz w:val="18"/>
                <w:szCs w:val="22"/>
              </w:rPr>
            </w:pPr>
            <w:r>
              <w:rPr>
                <w:sz w:val="18"/>
                <w:szCs w:val="22"/>
              </w:rPr>
              <w:t>2002/03</w:t>
            </w:r>
          </w:p>
        </w:tc>
        <w:tc>
          <w:tcPr>
            <w:tcW w:w="1986" w:type="dxa"/>
            <w:tcBorders>
              <w:bottom w:val="single" w:sz="4" w:space="0" w:color="auto"/>
            </w:tcBorders>
            <w:vAlign w:val="bottom"/>
          </w:tcPr>
          <w:p w:rsidR="00000000" w:rsidRDefault="00000000">
            <w:pPr>
              <w:spacing w:before="60"/>
              <w:jc w:val="center"/>
              <w:rPr>
                <w:sz w:val="18"/>
                <w:szCs w:val="22"/>
              </w:rPr>
            </w:pPr>
            <w:r>
              <w:rPr>
                <w:sz w:val="18"/>
                <w:szCs w:val="22"/>
              </w:rPr>
              <w:t>837 296</w:t>
            </w:r>
          </w:p>
        </w:tc>
        <w:tc>
          <w:tcPr>
            <w:tcW w:w="2409" w:type="dxa"/>
            <w:tcBorders>
              <w:bottom w:val="single" w:sz="4" w:space="0" w:color="auto"/>
            </w:tcBorders>
            <w:vAlign w:val="bottom"/>
          </w:tcPr>
          <w:p w:rsidR="00000000" w:rsidRDefault="00000000">
            <w:pPr>
              <w:spacing w:before="60"/>
              <w:jc w:val="center"/>
              <w:rPr>
                <w:sz w:val="18"/>
                <w:szCs w:val="22"/>
              </w:rPr>
            </w:pPr>
            <w:r>
              <w:rPr>
                <w:sz w:val="18"/>
                <w:szCs w:val="22"/>
              </w:rPr>
              <w:t>34 062</w:t>
            </w:r>
          </w:p>
        </w:tc>
        <w:tc>
          <w:tcPr>
            <w:tcW w:w="1442" w:type="dxa"/>
            <w:tcBorders>
              <w:bottom w:val="single" w:sz="4" w:space="0" w:color="auto"/>
            </w:tcBorders>
            <w:vAlign w:val="bottom"/>
          </w:tcPr>
          <w:p w:rsidR="00000000" w:rsidRDefault="00000000">
            <w:pPr>
              <w:spacing w:before="60"/>
              <w:jc w:val="center"/>
              <w:rPr>
                <w:sz w:val="18"/>
                <w:szCs w:val="22"/>
              </w:rPr>
            </w:pPr>
            <w:r>
              <w:rPr>
                <w:sz w:val="18"/>
                <w:szCs w:val="22"/>
              </w:rPr>
              <w:t>9 470</w:t>
            </w:r>
          </w:p>
        </w:tc>
      </w:tr>
    </w:tbl>
    <w:p w:rsidR="00000000" w:rsidRDefault="00000000"/>
    <w:p w:rsidR="00000000" w:rsidRDefault="00000000">
      <w:pPr>
        <w:rPr>
          <w:sz w:val="18"/>
        </w:rPr>
      </w:pPr>
      <w:r>
        <w:rPr>
          <w:i/>
          <w:iCs/>
          <w:sz w:val="18"/>
        </w:rPr>
        <w:t>Источник</w:t>
      </w:r>
      <w:r>
        <w:rPr>
          <w:sz w:val="18"/>
        </w:rPr>
        <w:t>:  министерство просвещения, отдел международных связей, 2004 год.</w:t>
      </w:r>
    </w:p>
    <w:p w:rsidR="00000000" w:rsidRDefault="00000000"/>
    <w:p w:rsidR="00000000" w:rsidRDefault="00000000">
      <w:r>
        <w:t>664.</w:t>
      </w:r>
      <w:r>
        <w:tab/>
        <w:t>Кроме того, 86,9% начальных школ ведут обучение по шестилетней программе, хотя не все школы имеют учителя для каждого класса:  73,8% школ имеют менее шести учителей, а остальные 26,2% школ имеют учителя для каждого года обучения.</w:t>
      </w:r>
    </w:p>
    <w:p w:rsidR="00000000" w:rsidRDefault="00000000"/>
    <w:p w:rsidR="00000000" w:rsidRDefault="00000000">
      <w:r>
        <w:t>665.</w:t>
      </w:r>
      <w:r>
        <w:tab/>
        <w:t>Благодаря реализации ряда инициатив, нацеленных на повышение равноправия и качества образования, удалось достичь тенденции роста эффективности начального обучения.</w:t>
      </w:r>
    </w:p>
    <w:p w:rsidR="00000000" w:rsidRDefault="00000000"/>
    <w:p w:rsidR="00000000" w:rsidRDefault="00000000">
      <w:pPr>
        <w:jc w:val="center"/>
        <w:rPr>
          <w:b/>
          <w:bCs/>
        </w:rPr>
      </w:pPr>
      <w:r>
        <w:rPr>
          <w:b/>
          <w:bCs/>
        </w:rPr>
        <w:br w:type="page"/>
        <w:t xml:space="preserve">Основные показатели начального образования </w:t>
      </w:r>
    </w:p>
    <w:p w:rsidR="00000000" w:rsidRDefault="00000000">
      <w:pPr>
        <w:spacing w:line="240" w:lineRule="auto"/>
        <w:jc w:val="center"/>
        <w:rPr>
          <w:b/>
          <w:bCs/>
        </w:rPr>
      </w:pPr>
    </w:p>
    <w:tbl>
      <w:tblPr>
        <w:tblW w:w="5000" w:type="pct"/>
        <w:jc w:val="center"/>
        <w:tblCellMar>
          <w:left w:w="70" w:type="dxa"/>
          <w:right w:w="70" w:type="dxa"/>
        </w:tblCellMar>
        <w:tblLook w:val="0000" w:firstRow="0" w:lastRow="0" w:firstColumn="0" w:lastColumn="0" w:noHBand="0" w:noVBand="0"/>
      </w:tblPr>
      <w:tblGrid>
        <w:gridCol w:w="2490"/>
        <w:gridCol w:w="2391"/>
        <w:gridCol w:w="966"/>
        <w:gridCol w:w="1925"/>
        <w:gridCol w:w="1722"/>
      </w:tblGrid>
      <w:tr w:rsidR="00000000">
        <w:tblPrEx>
          <w:tblCellMar>
            <w:top w:w="0" w:type="dxa"/>
            <w:bottom w:w="0" w:type="dxa"/>
          </w:tblCellMar>
        </w:tblPrEx>
        <w:trPr>
          <w:trHeight w:val="225"/>
          <w:jc w:val="center"/>
        </w:trPr>
        <w:tc>
          <w:tcPr>
            <w:tcW w:w="1311" w:type="pct"/>
            <w:tcBorders>
              <w:top w:val="single" w:sz="4" w:space="0" w:color="auto"/>
              <w:bottom w:val="single" w:sz="4" w:space="0" w:color="auto"/>
            </w:tcBorders>
            <w:vAlign w:val="bottom"/>
          </w:tcPr>
          <w:p w:rsidR="00000000" w:rsidRDefault="00000000">
            <w:pPr>
              <w:spacing w:before="60"/>
              <w:jc w:val="center"/>
              <w:rPr>
                <w:i/>
                <w:iCs/>
                <w:sz w:val="18"/>
                <w:szCs w:val="22"/>
              </w:rPr>
            </w:pPr>
            <w:r>
              <w:rPr>
                <w:i/>
                <w:iCs/>
                <w:sz w:val="18"/>
                <w:szCs w:val="22"/>
              </w:rPr>
              <w:t>Учебный год</w:t>
            </w:r>
          </w:p>
        </w:tc>
        <w:tc>
          <w:tcPr>
            <w:tcW w:w="1259" w:type="pct"/>
            <w:tcBorders>
              <w:top w:val="single" w:sz="4" w:space="0" w:color="auto"/>
              <w:bottom w:val="single" w:sz="4" w:space="0" w:color="auto"/>
            </w:tcBorders>
            <w:vAlign w:val="bottom"/>
          </w:tcPr>
          <w:p w:rsidR="00000000" w:rsidRDefault="00000000">
            <w:pPr>
              <w:spacing w:before="60"/>
              <w:jc w:val="center"/>
              <w:rPr>
                <w:i/>
                <w:iCs/>
                <w:sz w:val="18"/>
                <w:szCs w:val="22"/>
              </w:rPr>
            </w:pPr>
            <w:r>
              <w:rPr>
                <w:i/>
                <w:iCs/>
                <w:sz w:val="18"/>
                <w:szCs w:val="22"/>
              </w:rPr>
              <w:t>Конечный показатель эффективности</w:t>
            </w:r>
          </w:p>
        </w:tc>
        <w:tc>
          <w:tcPr>
            <w:tcW w:w="509" w:type="pct"/>
            <w:tcBorders>
              <w:top w:val="single" w:sz="4" w:space="0" w:color="auto"/>
              <w:bottom w:val="single" w:sz="4" w:space="0" w:color="auto"/>
            </w:tcBorders>
            <w:vAlign w:val="bottom"/>
          </w:tcPr>
          <w:p w:rsidR="00000000" w:rsidRDefault="00000000">
            <w:pPr>
              <w:spacing w:before="60"/>
              <w:jc w:val="center"/>
              <w:rPr>
                <w:i/>
                <w:iCs/>
                <w:sz w:val="18"/>
                <w:szCs w:val="22"/>
              </w:rPr>
            </w:pPr>
            <w:r>
              <w:rPr>
                <w:i/>
                <w:iCs/>
                <w:sz w:val="18"/>
                <w:szCs w:val="22"/>
              </w:rPr>
              <w:t>Отсев</w:t>
            </w:r>
          </w:p>
        </w:tc>
        <w:tc>
          <w:tcPr>
            <w:tcW w:w="1014" w:type="pct"/>
            <w:tcBorders>
              <w:top w:val="single" w:sz="4" w:space="0" w:color="auto"/>
              <w:bottom w:val="single" w:sz="4" w:space="0" w:color="auto"/>
            </w:tcBorders>
            <w:vAlign w:val="bottom"/>
          </w:tcPr>
          <w:p w:rsidR="00000000" w:rsidRDefault="00000000">
            <w:pPr>
              <w:spacing w:before="60"/>
              <w:jc w:val="center"/>
              <w:rPr>
                <w:i/>
                <w:iCs/>
                <w:sz w:val="18"/>
                <w:szCs w:val="22"/>
              </w:rPr>
            </w:pPr>
            <w:r>
              <w:rPr>
                <w:i/>
                <w:iCs/>
                <w:sz w:val="18"/>
                <w:szCs w:val="22"/>
              </w:rPr>
              <w:t>Переведено в случающий класс</w:t>
            </w:r>
          </w:p>
        </w:tc>
        <w:tc>
          <w:tcPr>
            <w:tcW w:w="907" w:type="pct"/>
            <w:tcBorders>
              <w:top w:val="single" w:sz="4" w:space="0" w:color="auto"/>
              <w:bottom w:val="single" w:sz="4" w:space="0" w:color="auto"/>
            </w:tcBorders>
            <w:vAlign w:val="bottom"/>
          </w:tcPr>
          <w:p w:rsidR="00000000" w:rsidRDefault="00000000">
            <w:pPr>
              <w:spacing w:before="60"/>
              <w:jc w:val="center"/>
              <w:rPr>
                <w:i/>
                <w:iCs/>
                <w:sz w:val="18"/>
                <w:szCs w:val="22"/>
              </w:rPr>
            </w:pPr>
            <w:r>
              <w:rPr>
                <w:i/>
                <w:iCs/>
                <w:sz w:val="18"/>
                <w:szCs w:val="22"/>
              </w:rPr>
              <w:t>Оставлено на второй год</w:t>
            </w:r>
          </w:p>
        </w:tc>
      </w:tr>
      <w:tr w:rsidR="00000000">
        <w:tblPrEx>
          <w:tblCellMar>
            <w:top w:w="0" w:type="dxa"/>
            <w:bottom w:w="0" w:type="dxa"/>
          </w:tblCellMar>
        </w:tblPrEx>
        <w:trPr>
          <w:trHeight w:val="225"/>
          <w:jc w:val="center"/>
        </w:trPr>
        <w:tc>
          <w:tcPr>
            <w:tcW w:w="1311" w:type="pct"/>
            <w:tcBorders>
              <w:top w:val="single" w:sz="4" w:space="0" w:color="auto"/>
            </w:tcBorders>
            <w:vAlign w:val="bottom"/>
          </w:tcPr>
          <w:p w:rsidR="00000000" w:rsidRDefault="00000000">
            <w:pPr>
              <w:spacing w:before="60"/>
              <w:jc w:val="center"/>
              <w:rPr>
                <w:sz w:val="18"/>
                <w:szCs w:val="22"/>
              </w:rPr>
            </w:pPr>
            <w:r>
              <w:rPr>
                <w:sz w:val="18"/>
                <w:szCs w:val="22"/>
              </w:rPr>
              <w:t>1998/99</w:t>
            </w:r>
          </w:p>
        </w:tc>
        <w:tc>
          <w:tcPr>
            <w:tcW w:w="1259" w:type="pct"/>
            <w:tcBorders>
              <w:top w:val="single" w:sz="4" w:space="0" w:color="auto"/>
            </w:tcBorders>
            <w:vAlign w:val="bottom"/>
          </w:tcPr>
          <w:p w:rsidR="00000000" w:rsidRDefault="00000000">
            <w:pPr>
              <w:spacing w:before="60"/>
              <w:jc w:val="center"/>
              <w:rPr>
                <w:sz w:val="18"/>
                <w:szCs w:val="22"/>
              </w:rPr>
            </w:pPr>
            <w:r>
              <w:rPr>
                <w:sz w:val="18"/>
                <w:szCs w:val="22"/>
              </w:rPr>
              <w:t>65,9</w:t>
            </w:r>
          </w:p>
        </w:tc>
        <w:tc>
          <w:tcPr>
            <w:tcW w:w="509" w:type="pct"/>
            <w:tcBorders>
              <w:top w:val="single" w:sz="4" w:space="0" w:color="auto"/>
            </w:tcBorders>
            <w:vAlign w:val="bottom"/>
          </w:tcPr>
          <w:p w:rsidR="00000000" w:rsidRDefault="00000000">
            <w:pPr>
              <w:spacing w:before="60"/>
              <w:jc w:val="center"/>
              <w:rPr>
                <w:sz w:val="18"/>
                <w:szCs w:val="22"/>
              </w:rPr>
            </w:pPr>
            <w:r>
              <w:rPr>
                <w:sz w:val="18"/>
                <w:szCs w:val="22"/>
              </w:rPr>
              <w:t>4,8</w:t>
            </w:r>
          </w:p>
        </w:tc>
        <w:tc>
          <w:tcPr>
            <w:tcW w:w="1014" w:type="pct"/>
            <w:tcBorders>
              <w:top w:val="single" w:sz="4" w:space="0" w:color="auto"/>
            </w:tcBorders>
            <w:vAlign w:val="bottom"/>
          </w:tcPr>
          <w:p w:rsidR="00000000" w:rsidRDefault="00000000">
            <w:pPr>
              <w:spacing w:before="60"/>
              <w:jc w:val="center"/>
              <w:rPr>
                <w:sz w:val="18"/>
                <w:szCs w:val="22"/>
              </w:rPr>
            </w:pPr>
            <w:r>
              <w:rPr>
                <w:sz w:val="18"/>
                <w:szCs w:val="22"/>
              </w:rPr>
              <w:t>86,4</w:t>
            </w:r>
          </w:p>
        </w:tc>
        <w:tc>
          <w:tcPr>
            <w:tcW w:w="907" w:type="pct"/>
            <w:tcBorders>
              <w:top w:val="single" w:sz="4" w:space="0" w:color="auto"/>
            </w:tcBorders>
            <w:vAlign w:val="bottom"/>
          </w:tcPr>
          <w:p w:rsidR="00000000" w:rsidRDefault="00000000">
            <w:pPr>
              <w:spacing w:before="60"/>
              <w:jc w:val="center"/>
              <w:rPr>
                <w:sz w:val="18"/>
                <w:szCs w:val="22"/>
              </w:rPr>
            </w:pPr>
            <w:r>
              <w:rPr>
                <w:sz w:val="18"/>
                <w:szCs w:val="22"/>
              </w:rPr>
              <w:t>13,6</w:t>
            </w:r>
          </w:p>
        </w:tc>
      </w:tr>
      <w:tr w:rsidR="00000000">
        <w:tblPrEx>
          <w:tblCellMar>
            <w:top w:w="0" w:type="dxa"/>
            <w:bottom w:w="0" w:type="dxa"/>
          </w:tblCellMar>
        </w:tblPrEx>
        <w:trPr>
          <w:trHeight w:val="225"/>
          <w:jc w:val="center"/>
        </w:trPr>
        <w:tc>
          <w:tcPr>
            <w:tcW w:w="1311" w:type="pct"/>
            <w:vAlign w:val="bottom"/>
          </w:tcPr>
          <w:p w:rsidR="00000000" w:rsidRDefault="00000000">
            <w:pPr>
              <w:spacing w:before="60"/>
              <w:jc w:val="center"/>
              <w:rPr>
                <w:sz w:val="18"/>
                <w:szCs w:val="22"/>
              </w:rPr>
            </w:pPr>
            <w:r>
              <w:rPr>
                <w:sz w:val="18"/>
                <w:szCs w:val="22"/>
              </w:rPr>
              <w:t>1999/00</w:t>
            </w:r>
          </w:p>
        </w:tc>
        <w:tc>
          <w:tcPr>
            <w:tcW w:w="1259" w:type="pct"/>
            <w:vAlign w:val="bottom"/>
          </w:tcPr>
          <w:p w:rsidR="00000000" w:rsidRDefault="00000000">
            <w:pPr>
              <w:spacing w:before="60"/>
              <w:jc w:val="center"/>
              <w:rPr>
                <w:sz w:val="18"/>
                <w:szCs w:val="22"/>
              </w:rPr>
            </w:pPr>
            <w:r>
              <w:rPr>
                <w:sz w:val="18"/>
                <w:szCs w:val="22"/>
              </w:rPr>
              <w:t>67,7</w:t>
            </w:r>
          </w:p>
        </w:tc>
        <w:tc>
          <w:tcPr>
            <w:tcW w:w="509" w:type="pct"/>
            <w:vAlign w:val="bottom"/>
          </w:tcPr>
          <w:p w:rsidR="00000000" w:rsidRDefault="00000000">
            <w:pPr>
              <w:spacing w:before="60"/>
              <w:jc w:val="center"/>
              <w:rPr>
                <w:sz w:val="18"/>
                <w:szCs w:val="22"/>
              </w:rPr>
            </w:pPr>
            <w:r>
              <w:rPr>
                <w:sz w:val="18"/>
                <w:szCs w:val="22"/>
              </w:rPr>
              <w:t>4,5</w:t>
            </w:r>
          </w:p>
        </w:tc>
        <w:tc>
          <w:tcPr>
            <w:tcW w:w="1014" w:type="pct"/>
            <w:vAlign w:val="bottom"/>
          </w:tcPr>
          <w:p w:rsidR="00000000" w:rsidRDefault="00000000">
            <w:pPr>
              <w:spacing w:before="60"/>
              <w:jc w:val="center"/>
              <w:rPr>
                <w:sz w:val="18"/>
                <w:szCs w:val="22"/>
              </w:rPr>
            </w:pPr>
            <w:r>
              <w:rPr>
                <w:sz w:val="18"/>
                <w:szCs w:val="22"/>
              </w:rPr>
              <w:t>86,8</w:t>
            </w:r>
          </w:p>
        </w:tc>
        <w:tc>
          <w:tcPr>
            <w:tcW w:w="907" w:type="pct"/>
            <w:vAlign w:val="bottom"/>
          </w:tcPr>
          <w:p w:rsidR="00000000" w:rsidRDefault="00000000">
            <w:pPr>
              <w:spacing w:before="60"/>
              <w:jc w:val="center"/>
              <w:rPr>
                <w:sz w:val="18"/>
                <w:szCs w:val="22"/>
              </w:rPr>
            </w:pPr>
            <w:r>
              <w:rPr>
                <w:sz w:val="18"/>
                <w:szCs w:val="22"/>
              </w:rPr>
              <w:t>13,2</w:t>
            </w:r>
          </w:p>
        </w:tc>
      </w:tr>
      <w:tr w:rsidR="00000000">
        <w:tblPrEx>
          <w:tblCellMar>
            <w:top w:w="0" w:type="dxa"/>
            <w:bottom w:w="0" w:type="dxa"/>
          </w:tblCellMar>
        </w:tblPrEx>
        <w:trPr>
          <w:trHeight w:val="225"/>
          <w:jc w:val="center"/>
        </w:trPr>
        <w:tc>
          <w:tcPr>
            <w:tcW w:w="1311" w:type="pct"/>
            <w:vAlign w:val="bottom"/>
          </w:tcPr>
          <w:p w:rsidR="00000000" w:rsidRDefault="00000000">
            <w:pPr>
              <w:spacing w:before="60"/>
              <w:jc w:val="center"/>
              <w:rPr>
                <w:sz w:val="18"/>
                <w:szCs w:val="22"/>
              </w:rPr>
            </w:pPr>
            <w:r>
              <w:rPr>
                <w:sz w:val="18"/>
                <w:szCs w:val="22"/>
              </w:rPr>
              <w:t>2000/01</w:t>
            </w:r>
          </w:p>
        </w:tc>
        <w:tc>
          <w:tcPr>
            <w:tcW w:w="1259" w:type="pct"/>
            <w:vAlign w:val="bottom"/>
          </w:tcPr>
          <w:p w:rsidR="00000000" w:rsidRDefault="00000000">
            <w:pPr>
              <w:spacing w:before="60"/>
              <w:jc w:val="center"/>
              <w:rPr>
                <w:sz w:val="18"/>
                <w:szCs w:val="22"/>
              </w:rPr>
            </w:pPr>
            <w:r>
              <w:rPr>
                <w:sz w:val="18"/>
                <w:szCs w:val="22"/>
              </w:rPr>
              <w:t>73,5</w:t>
            </w:r>
          </w:p>
        </w:tc>
        <w:tc>
          <w:tcPr>
            <w:tcW w:w="509" w:type="pct"/>
            <w:vAlign w:val="bottom"/>
          </w:tcPr>
          <w:p w:rsidR="00000000" w:rsidRDefault="00000000">
            <w:pPr>
              <w:spacing w:before="60"/>
              <w:jc w:val="center"/>
              <w:rPr>
                <w:sz w:val="18"/>
                <w:szCs w:val="22"/>
              </w:rPr>
            </w:pPr>
            <w:r>
              <w:rPr>
                <w:sz w:val="18"/>
                <w:szCs w:val="22"/>
              </w:rPr>
              <w:t>3,8</w:t>
            </w:r>
          </w:p>
        </w:tc>
        <w:tc>
          <w:tcPr>
            <w:tcW w:w="1014" w:type="pct"/>
            <w:vAlign w:val="bottom"/>
          </w:tcPr>
          <w:p w:rsidR="00000000" w:rsidRDefault="00000000">
            <w:pPr>
              <w:spacing w:before="60"/>
              <w:jc w:val="center"/>
              <w:rPr>
                <w:sz w:val="18"/>
                <w:szCs w:val="22"/>
              </w:rPr>
            </w:pPr>
            <w:r>
              <w:rPr>
                <w:sz w:val="18"/>
                <w:szCs w:val="22"/>
              </w:rPr>
              <w:t>87,5</w:t>
            </w:r>
          </w:p>
        </w:tc>
        <w:tc>
          <w:tcPr>
            <w:tcW w:w="907" w:type="pct"/>
            <w:vAlign w:val="bottom"/>
          </w:tcPr>
          <w:p w:rsidR="00000000" w:rsidRDefault="00000000">
            <w:pPr>
              <w:spacing w:before="60"/>
              <w:jc w:val="center"/>
              <w:rPr>
                <w:sz w:val="18"/>
                <w:szCs w:val="22"/>
              </w:rPr>
            </w:pPr>
            <w:r>
              <w:rPr>
                <w:sz w:val="18"/>
                <w:szCs w:val="22"/>
              </w:rPr>
              <w:t>12,5</w:t>
            </w:r>
          </w:p>
        </w:tc>
      </w:tr>
      <w:tr w:rsidR="00000000">
        <w:tblPrEx>
          <w:tblCellMar>
            <w:top w:w="0" w:type="dxa"/>
            <w:bottom w:w="0" w:type="dxa"/>
          </w:tblCellMar>
        </w:tblPrEx>
        <w:trPr>
          <w:trHeight w:val="225"/>
          <w:jc w:val="center"/>
        </w:trPr>
        <w:tc>
          <w:tcPr>
            <w:tcW w:w="1311" w:type="pct"/>
            <w:vAlign w:val="bottom"/>
          </w:tcPr>
          <w:p w:rsidR="00000000" w:rsidRDefault="00000000">
            <w:pPr>
              <w:spacing w:before="60"/>
              <w:jc w:val="center"/>
              <w:rPr>
                <w:sz w:val="18"/>
                <w:szCs w:val="22"/>
              </w:rPr>
            </w:pPr>
            <w:r>
              <w:rPr>
                <w:sz w:val="18"/>
                <w:szCs w:val="22"/>
              </w:rPr>
              <w:t>2001/02</w:t>
            </w:r>
          </w:p>
        </w:tc>
        <w:tc>
          <w:tcPr>
            <w:tcW w:w="1259" w:type="pct"/>
            <w:vAlign w:val="bottom"/>
          </w:tcPr>
          <w:p w:rsidR="00000000" w:rsidRDefault="00000000">
            <w:pPr>
              <w:spacing w:before="60"/>
              <w:jc w:val="center"/>
              <w:rPr>
                <w:sz w:val="18"/>
                <w:szCs w:val="22"/>
              </w:rPr>
            </w:pPr>
            <w:r>
              <w:rPr>
                <w:sz w:val="18"/>
                <w:szCs w:val="22"/>
              </w:rPr>
              <w:t>75,7</w:t>
            </w:r>
          </w:p>
        </w:tc>
        <w:tc>
          <w:tcPr>
            <w:tcW w:w="509" w:type="pct"/>
            <w:vAlign w:val="bottom"/>
          </w:tcPr>
          <w:p w:rsidR="00000000" w:rsidRDefault="00000000">
            <w:pPr>
              <w:spacing w:before="60"/>
              <w:jc w:val="center"/>
              <w:rPr>
                <w:sz w:val="18"/>
                <w:szCs w:val="22"/>
              </w:rPr>
            </w:pPr>
            <w:r>
              <w:rPr>
                <w:sz w:val="18"/>
                <w:szCs w:val="22"/>
              </w:rPr>
              <w:t>3,0</w:t>
            </w:r>
          </w:p>
        </w:tc>
        <w:tc>
          <w:tcPr>
            <w:tcW w:w="1014" w:type="pct"/>
            <w:vAlign w:val="bottom"/>
          </w:tcPr>
          <w:p w:rsidR="00000000" w:rsidRDefault="00000000">
            <w:pPr>
              <w:spacing w:before="60"/>
              <w:jc w:val="center"/>
              <w:rPr>
                <w:sz w:val="18"/>
                <w:szCs w:val="22"/>
              </w:rPr>
            </w:pPr>
            <w:r>
              <w:rPr>
                <w:sz w:val="18"/>
                <w:szCs w:val="22"/>
              </w:rPr>
              <w:t>88,0</w:t>
            </w:r>
          </w:p>
        </w:tc>
        <w:tc>
          <w:tcPr>
            <w:tcW w:w="907" w:type="pct"/>
            <w:vAlign w:val="bottom"/>
          </w:tcPr>
          <w:p w:rsidR="00000000" w:rsidRDefault="00000000">
            <w:pPr>
              <w:spacing w:before="60"/>
              <w:jc w:val="center"/>
              <w:rPr>
                <w:sz w:val="18"/>
                <w:szCs w:val="22"/>
              </w:rPr>
            </w:pPr>
            <w:r>
              <w:rPr>
                <w:sz w:val="18"/>
                <w:szCs w:val="22"/>
              </w:rPr>
              <w:t>12,0</w:t>
            </w:r>
          </w:p>
        </w:tc>
      </w:tr>
      <w:tr w:rsidR="00000000">
        <w:tblPrEx>
          <w:tblCellMar>
            <w:top w:w="0" w:type="dxa"/>
            <w:bottom w:w="0" w:type="dxa"/>
          </w:tblCellMar>
        </w:tblPrEx>
        <w:trPr>
          <w:trHeight w:val="225"/>
          <w:jc w:val="center"/>
        </w:trPr>
        <w:tc>
          <w:tcPr>
            <w:tcW w:w="1311" w:type="pct"/>
            <w:tcBorders>
              <w:bottom w:val="single" w:sz="4" w:space="0" w:color="auto"/>
            </w:tcBorders>
            <w:vAlign w:val="bottom"/>
          </w:tcPr>
          <w:p w:rsidR="00000000" w:rsidRDefault="00000000">
            <w:pPr>
              <w:spacing w:before="60"/>
              <w:jc w:val="center"/>
              <w:rPr>
                <w:sz w:val="18"/>
                <w:szCs w:val="22"/>
              </w:rPr>
            </w:pPr>
            <w:r>
              <w:rPr>
                <w:sz w:val="18"/>
                <w:szCs w:val="22"/>
              </w:rPr>
              <w:t>2002/03</w:t>
            </w:r>
          </w:p>
        </w:tc>
        <w:tc>
          <w:tcPr>
            <w:tcW w:w="1259" w:type="pct"/>
            <w:tcBorders>
              <w:bottom w:val="single" w:sz="4" w:space="0" w:color="auto"/>
            </w:tcBorders>
            <w:vAlign w:val="bottom"/>
          </w:tcPr>
          <w:p w:rsidR="00000000" w:rsidRDefault="00000000">
            <w:pPr>
              <w:spacing w:before="60"/>
              <w:jc w:val="center"/>
              <w:rPr>
                <w:sz w:val="18"/>
                <w:szCs w:val="22"/>
              </w:rPr>
            </w:pPr>
            <w:r>
              <w:rPr>
                <w:sz w:val="18"/>
                <w:szCs w:val="22"/>
              </w:rPr>
              <w:t>78,9</w:t>
            </w:r>
          </w:p>
        </w:tc>
        <w:tc>
          <w:tcPr>
            <w:tcW w:w="509" w:type="pct"/>
            <w:tcBorders>
              <w:bottom w:val="single" w:sz="4" w:space="0" w:color="auto"/>
            </w:tcBorders>
            <w:vAlign w:val="bottom"/>
          </w:tcPr>
          <w:p w:rsidR="00000000" w:rsidRDefault="00000000">
            <w:pPr>
              <w:spacing w:before="60"/>
              <w:jc w:val="center"/>
              <w:rPr>
                <w:sz w:val="18"/>
                <w:szCs w:val="22"/>
              </w:rPr>
            </w:pPr>
            <w:r>
              <w:rPr>
                <w:sz w:val="18"/>
                <w:szCs w:val="22"/>
              </w:rPr>
              <w:t>3,0</w:t>
            </w:r>
          </w:p>
        </w:tc>
        <w:tc>
          <w:tcPr>
            <w:tcW w:w="1014" w:type="pct"/>
            <w:tcBorders>
              <w:bottom w:val="single" w:sz="4" w:space="0" w:color="auto"/>
            </w:tcBorders>
            <w:vAlign w:val="bottom"/>
          </w:tcPr>
          <w:p w:rsidR="00000000" w:rsidRDefault="00000000">
            <w:pPr>
              <w:spacing w:before="60"/>
              <w:jc w:val="center"/>
              <w:rPr>
                <w:sz w:val="18"/>
                <w:szCs w:val="22"/>
              </w:rPr>
            </w:pPr>
            <w:r>
              <w:rPr>
                <w:sz w:val="18"/>
                <w:szCs w:val="22"/>
              </w:rPr>
              <w:t>88,8</w:t>
            </w:r>
          </w:p>
        </w:tc>
        <w:tc>
          <w:tcPr>
            <w:tcW w:w="907" w:type="pct"/>
            <w:tcBorders>
              <w:bottom w:val="single" w:sz="4" w:space="0" w:color="auto"/>
            </w:tcBorders>
            <w:vAlign w:val="bottom"/>
          </w:tcPr>
          <w:p w:rsidR="00000000" w:rsidRDefault="00000000">
            <w:pPr>
              <w:spacing w:before="60"/>
              <w:jc w:val="center"/>
              <w:rPr>
                <w:sz w:val="18"/>
                <w:szCs w:val="22"/>
              </w:rPr>
            </w:pPr>
            <w:r>
              <w:rPr>
                <w:sz w:val="18"/>
                <w:szCs w:val="22"/>
              </w:rPr>
              <w:t>11,2</w:t>
            </w:r>
          </w:p>
        </w:tc>
      </w:tr>
    </w:tbl>
    <w:p w:rsidR="00000000" w:rsidRDefault="00000000">
      <w:pPr>
        <w:spacing w:line="216" w:lineRule="auto"/>
      </w:pPr>
    </w:p>
    <w:p w:rsidR="00000000" w:rsidRDefault="00000000">
      <w:pPr>
        <w:spacing w:line="216" w:lineRule="auto"/>
        <w:rPr>
          <w:sz w:val="18"/>
        </w:rPr>
      </w:pPr>
      <w:r>
        <w:rPr>
          <w:i/>
          <w:iCs/>
          <w:sz w:val="18"/>
        </w:rPr>
        <w:t>Источник</w:t>
      </w:r>
      <w:r>
        <w:rPr>
          <w:sz w:val="18"/>
        </w:rPr>
        <w:t>:  министерство просвещения, отдел международных связей, 2004 год.</w:t>
      </w:r>
    </w:p>
    <w:p w:rsidR="00000000" w:rsidRDefault="00000000"/>
    <w:p w:rsidR="00000000" w:rsidRDefault="00000000">
      <w:r>
        <w:t>666.</w:t>
      </w:r>
      <w:r>
        <w:tab/>
        <w:t>По имеющимся данным, в конце 2003/04 учебного года число оставленных на второй год снизилось на 0,1 процентного пункта по сравнению с показателем за 2002/03 учебный год, составив 11,9%.  Поставлена цель снижения школьного отсева до 2,0%.</w:t>
      </w:r>
    </w:p>
    <w:p w:rsidR="00000000" w:rsidRDefault="00000000"/>
    <w:p w:rsidR="00000000" w:rsidRDefault="00000000">
      <w:r>
        <w:t>667.</w:t>
      </w:r>
      <w:r>
        <w:tab/>
        <w:t>В свою очередь показатель доли учащихся, закончивших курс, повысился с 65,9% в 1998/99 учебном году до 78,9% в 2002/03 учебном году.</w:t>
      </w:r>
    </w:p>
    <w:p w:rsidR="00000000" w:rsidRDefault="00000000"/>
    <w:p w:rsidR="00000000" w:rsidRDefault="00000000">
      <w:r>
        <w:t>668.</w:t>
      </w:r>
      <w:r>
        <w:tab/>
        <w:t>В соответствии с результатами переписи 2000 года население в возрасте 15 лет и более составляет 62,8 млн. человек, из которых 32,6 млн. мексиканцев, или 52% этой группы населения, находятся в ситуации образовательного отставания, иными словами не начали или не закончили базового обучения.  К этой группе относится 52,5% женщин (17,7 млн. человек) и 45,5% мужчин (14,8 млн. человек);  кроме того, следует отметить, что 16,2 млн. мексиканцев, или примерно 50% этой группы, имеют возраст меньше 40 лет.</w:t>
      </w:r>
    </w:p>
    <w:p w:rsidR="00000000" w:rsidRDefault="00000000"/>
    <w:p w:rsidR="00000000" w:rsidRDefault="00000000">
      <w:pPr>
        <w:jc w:val="center"/>
        <w:rPr>
          <w:b/>
          <w:bCs/>
        </w:rPr>
      </w:pPr>
      <w:r>
        <w:rPr>
          <w:b/>
          <w:bCs/>
        </w:rPr>
        <w:t>Население в возрасте 15 лет и более с отставанием в образовании,</w:t>
      </w:r>
    </w:p>
    <w:p w:rsidR="00000000" w:rsidRDefault="00000000">
      <w:pPr>
        <w:jc w:val="center"/>
      </w:pPr>
      <w:r>
        <w:rPr>
          <w:b/>
          <w:bCs/>
        </w:rPr>
        <w:t>с разбивкой по полу и возрасту, 2000 год</w:t>
      </w:r>
    </w:p>
    <w:p w:rsidR="00000000" w:rsidRDefault="00000000">
      <w:pPr>
        <w:spacing w:line="216" w:lineRule="auto"/>
        <w:jc w:val="center"/>
      </w:pPr>
    </w:p>
    <w:tbl>
      <w:tblPr>
        <w:tblW w:w="9411" w:type="dxa"/>
        <w:tblLayout w:type="fixed"/>
        <w:tblCellMar>
          <w:left w:w="28" w:type="dxa"/>
          <w:right w:w="28" w:type="dxa"/>
        </w:tblCellMar>
        <w:tblLook w:val="0000" w:firstRow="0" w:lastRow="0" w:firstColumn="0" w:lastColumn="0" w:noHBand="0" w:noVBand="0"/>
      </w:tblPr>
      <w:tblGrid>
        <w:gridCol w:w="1750"/>
        <w:gridCol w:w="1918"/>
        <w:gridCol w:w="1160"/>
        <w:gridCol w:w="687"/>
        <w:gridCol w:w="1174"/>
        <w:gridCol w:w="774"/>
        <w:gridCol w:w="1174"/>
        <w:gridCol w:w="774"/>
      </w:tblGrid>
      <w:tr w:rsidR="00000000">
        <w:tblPrEx>
          <w:tblCellMar>
            <w:top w:w="0" w:type="dxa"/>
            <w:bottom w:w="0" w:type="dxa"/>
          </w:tblCellMar>
        </w:tblPrEx>
        <w:trPr>
          <w:cantSplit/>
          <w:trHeight w:val="304"/>
        </w:trPr>
        <w:tc>
          <w:tcPr>
            <w:tcW w:w="1750" w:type="dxa"/>
            <w:tcBorders>
              <w:top w:val="single" w:sz="4" w:space="0" w:color="auto"/>
              <w:bottom w:val="single" w:sz="4" w:space="0" w:color="auto"/>
            </w:tcBorders>
          </w:tcPr>
          <w:p w:rsidR="00000000" w:rsidRDefault="00000000">
            <w:pPr>
              <w:spacing w:line="240" w:lineRule="auto"/>
              <w:jc w:val="center"/>
              <w:rPr>
                <w:rFonts w:eastAsia="Arial Unicode MS"/>
                <w:i/>
                <w:iCs/>
                <w:sz w:val="18"/>
                <w:szCs w:val="22"/>
              </w:rPr>
            </w:pPr>
            <w:r>
              <w:rPr>
                <w:rFonts w:eastAsia="Arial Unicode MS"/>
                <w:i/>
                <w:iCs/>
                <w:sz w:val="18"/>
                <w:szCs w:val="22"/>
              </w:rPr>
              <w:t>Возрастные группы по пять лет</w:t>
            </w:r>
          </w:p>
        </w:tc>
        <w:tc>
          <w:tcPr>
            <w:tcW w:w="1918" w:type="dxa"/>
            <w:tcBorders>
              <w:top w:val="single" w:sz="4" w:space="0" w:color="auto"/>
              <w:bottom w:val="single" w:sz="4" w:space="0" w:color="auto"/>
            </w:tcBorders>
          </w:tcPr>
          <w:p w:rsidR="00000000" w:rsidRDefault="00000000">
            <w:pPr>
              <w:spacing w:line="240" w:lineRule="auto"/>
              <w:jc w:val="center"/>
              <w:rPr>
                <w:rFonts w:eastAsia="Arial Unicode MS"/>
                <w:i/>
                <w:iCs/>
                <w:sz w:val="18"/>
                <w:szCs w:val="22"/>
              </w:rPr>
            </w:pPr>
            <w:r>
              <w:rPr>
                <w:rFonts w:eastAsia="Arial Unicode MS"/>
                <w:i/>
                <w:iCs/>
                <w:sz w:val="18"/>
                <w:szCs w:val="22"/>
              </w:rPr>
              <w:t>Население в возрасте 15 лет и более</w:t>
            </w:r>
          </w:p>
        </w:tc>
        <w:tc>
          <w:tcPr>
            <w:tcW w:w="1847" w:type="dxa"/>
            <w:gridSpan w:val="2"/>
            <w:tcBorders>
              <w:top w:val="single" w:sz="4" w:space="0" w:color="auto"/>
              <w:bottom w:val="single" w:sz="4" w:space="0" w:color="auto"/>
            </w:tcBorders>
          </w:tcPr>
          <w:p w:rsidR="00000000" w:rsidRDefault="00000000">
            <w:pPr>
              <w:spacing w:line="240" w:lineRule="auto"/>
              <w:jc w:val="center"/>
              <w:rPr>
                <w:rFonts w:eastAsia="Arial Unicode MS"/>
                <w:i/>
                <w:iCs/>
                <w:sz w:val="18"/>
                <w:szCs w:val="22"/>
              </w:rPr>
            </w:pPr>
            <w:r>
              <w:rPr>
                <w:rFonts w:eastAsia="Arial Unicode MS"/>
                <w:i/>
                <w:iCs/>
                <w:sz w:val="18"/>
                <w:szCs w:val="22"/>
              </w:rPr>
              <w:t>Отставание в образовании</w:t>
            </w:r>
          </w:p>
        </w:tc>
        <w:tc>
          <w:tcPr>
            <w:tcW w:w="1948" w:type="dxa"/>
            <w:gridSpan w:val="2"/>
            <w:tcBorders>
              <w:top w:val="single" w:sz="4" w:space="0" w:color="auto"/>
              <w:bottom w:val="single" w:sz="4" w:space="0" w:color="auto"/>
            </w:tcBorders>
          </w:tcPr>
          <w:p w:rsidR="00000000" w:rsidRDefault="00000000">
            <w:pPr>
              <w:spacing w:line="240" w:lineRule="auto"/>
              <w:jc w:val="center"/>
              <w:rPr>
                <w:rFonts w:eastAsia="Arial Unicode MS"/>
                <w:i/>
                <w:iCs/>
                <w:sz w:val="18"/>
                <w:szCs w:val="22"/>
              </w:rPr>
            </w:pPr>
            <w:r>
              <w:rPr>
                <w:rFonts w:eastAsia="Arial Unicode MS"/>
                <w:i/>
                <w:iCs/>
                <w:sz w:val="18"/>
                <w:szCs w:val="22"/>
              </w:rPr>
              <w:t>Отставание в образовании:  мужчины</w:t>
            </w:r>
          </w:p>
        </w:tc>
        <w:tc>
          <w:tcPr>
            <w:tcW w:w="1948" w:type="dxa"/>
            <w:gridSpan w:val="2"/>
            <w:tcBorders>
              <w:top w:val="single" w:sz="4" w:space="0" w:color="auto"/>
              <w:bottom w:val="single" w:sz="4" w:space="0" w:color="auto"/>
            </w:tcBorders>
          </w:tcPr>
          <w:p w:rsidR="00000000" w:rsidRDefault="00000000">
            <w:pPr>
              <w:spacing w:line="240" w:lineRule="auto"/>
              <w:jc w:val="center"/>
              <w:rPr>
                <w:rFonts w:eastAsia="Arial Unicode MS"/>
                <w:i/>
                <w:iCs/>
                <w:sz w:val="18"/>
                <w:szCs w:val="22"/>
              </w:rPr>
            </w:pPr>
            <w:r>
              <w:rPr>
                <w:rFonts w:eastAsia="Arial Unicode MS"/>
                <w:i/>
                <w:iCs/>
                <w:sz w:val="18"/>
                <w:szCs w:val="22"/>
              </w:rPr>
              <w:t>Отставание в образовании:  женщины</w:t>
            </w:r>
          </w:p>
        </w:tc>
      </w:tr>
      <w:tr w:rsidR="00000000">
        <w:tblPrEx>
          <w:tblCellMar>
            <w:top w:w="0" w:type="dxa"/>
            <w:bottom w:w="0" w:type="dxa"/>
          </w:tblCellMar>
        </w:tblPrEx>
        <w:trPr>
          <w:cantSplit/>
        </w:trPr>
        <w:tc>
          <w:tcPr>
            <w:tcW w:w="1750" w:type="dxa"/>
            <w:tcBorders>
              <w:top w:val="single" w:sz="4" w:space="0" w:color="auto"/>
            </w:tcBorders>
          </w:tcPr>
          <w:p w:rsidR="00000000" w:rsidRDefault="00000000">
            <w:pPr>
              <w:spacing w:before="40" w:line="240" w:lineRule="auto"/>
              <w:jc w:val="center"/>
              <w:rPr>
                <w:rFonts w:eastAsia="Arial Unicode MS"/>
                <w:b/>
                <w:sz w:val="18"/>
                <w:szCs w:val="22"/>
              </w:rPr>
            </w:pPr>
            <w:r>
              <w:rPr>
                <w:b/>
                <w:sz w:val="18"/>
                <w:szCs w:val="22"/>
              </w:rPr>
              <w:t>Всего</w:t>
            </w:r>
          </w:p>
        </w:tc>
        <w:tc>
          <w:tcPr>
            <w:tcW w:w="1918" w:type="dxa"/>
            <w:tcBorders>
              <w:top w:val="single" w:sz="4" w:space="0" w:color="auto"/>
            </w:tcBorders>
          </w:tcPr>
          <w:p w:rsidR="00000000" w:rsidRDefault="00000000">
            <w:pPr>
              <w:tabs>
                <w:tab w:val="clear" w:pos="567"/>
                <w:tab w:val="clear" w:pos="1134"/>
              </w:tabs>
              <w:spacing w:before="40" w:line="240" w:lineRule="auto"/>
              <w:ind w:right="340"/>
              <w:jc w:val="right"/>
              <w:rPr>
                <w:rFonts w:eastAsia="Arial Unicode MS"/>
                <w:b/>
                <w:sz w:val="18"/>
                <w:szCs w:val="22"/>
                <w:lang w:val="en-US"/>
              </w:rPr>
            </w:pPr>
            <w:r>
              <w:rPr>
                <w:b/>
                <w:sz w:val="18"/>
                <w:szCs w:val="22"/>
                <w:lang w:val="en-US"/>
              </w:rPr>
              <w:t>62 842 638</w:t>
            </w:r>
          </w:p>
        </w:tc>
        <w:tc>
          <w:tcPr>
            <w:tcW w:w="1160" w:type="dxa"/>
            <w:tcBorders>
              <w:top w:val="single" w:sz="4" w:space="0" w:color="auto"/>
            </w:tcBorders>
          </w:tcPr>
          <w:p w:rsidR="00000000" w:rsidRDefault="00000000">
            <w:pPr>
              <w:tabs>
                <w:tab w:val="clear" w:pos="567"/>
                <w:tab w:val="clear" w:pos="1134"/>
              </w:tabs>
              <w:spacing w:before="40" w:line="240" w:lineRule="auto"/>
              <w:ind w:right="227"/>
              <w:jc w:val="right"/>
              <w:rPr>
                <w:b/>
                <w:sz w:val="18"/>
                <w:szCs w:val="22"/>
                <w:lang w:val="en-US"/>
              </w:rPr>
            </w:pPr>
            <w:r>
              <w:rPr>
                <w:b/>
                <w:sz w:val="18"/>
                <w:szCs w:val="22"/>
                <w:lang w:val="en-US"/>
              </w:rPr>
              <w:t>32 557 461</w:t>
            </w:r>
          </w:p>
        </w:tc>
        <w:tc>
          <w:tcPr>
            <w:tcW w:w="687" w:type="dxa"/>
            <w:tcBorders>
              <w:top w:val="single" w:sz="4" w:space="0" w:color="auto"/>
            </w:tcBorders>
          </w:tcPr>
          <w:p w:rsidR="00000000" w:rsidRDefault="00000000">
            <w:pPr>
              <w:spacing w:before="40" w:line="240" w:lineRule="auto"/>
              <w:jc w:val="center"/>
              <w:rPr>
                <w:rFonts w:eastAsia="Arial Unicode MS"/>
                <w:b/>
                <w:sz w:val="18"/>
                <w:szCs w:val="22"/>
                <w:lang w:val="en-US"/>
              </w:rPr>
            </w:pPr>
            <w:r>
              <w:rPr>
                <w:b/>
                <w:sz w:val="18"/>
                <w:szCs w:val="22"/>
                <w:lang w:val="en-US"/>
              </w:rPr>
              <w:t>52%</w:t>
            </w:r>
          </w:p>
        </w:tc>
        <w:tc>
          <w:tcPr>
            <w:tcW w:w="1174" w:type="dxa"/>
            <w:tcBorders>
              <w:top w:val="single" w:sz="4" w:space="0" w:color="auto"/>
            </w:tcBorders>
          </w:tcPr>
          <w:p w:rsidR="00000000" w:rsidRDefault="00000000">
            <w:pPr>
              <w:tabs>
                <w:tab w:val="clear" w:pos="567"/>
                <w:tab w:val="clear" w:pos="1134"/>
              </w:tabs>
              <w:spacing w:before="40" w:line="240" w:lineRule="auto"/>
              <w:ind w:right="227"/>
              <w:jc w:val="right"/>
              <w:rPr>
                <w:b/>
                <w:sz w:val="18"/>
                <w:szCs w:val="22"/>
                <w:lang w:val="en-US"/>
              </w:rPr>
            </w:pPr>
            <w:r>
              <w:rPr>
                <w:b/>
                <w:sz w:val="18"/>
                <w:szCs w:val="22"/>
                <w:lang w:val="en-US"/>
              </w:rPr>
              <w:t>14 825 157</w:t>
            </w:r>
          </w:p>
        </w:tc>
        <w:tc>
          <w:tcPr>
            <w:tcW w:w="774" w:type="dxa"/>
            <w:tcBorders>
              <w:top w:val="single" w:sz="4" w:space="0" w:color="auto"/>
            </w:tcBorders>
          </w:tcPr>
          <w:p w:rsidR="00000000" w:rsidRDefault="00000000">
            <w:pPr>
              <w:spacing w:before="40" w:line="240" w:lineRule="auto"/>
              <w:jc w:val="center"/>
              <w:rPr>
                <w:rFonts w:eastAsia="Arial Unicode MS"/>
                <w:b/>
                <w:sz w:val="18"/>
                <w:szCs w:val="22"/>
                <w:lang w:val="en-US"/>
              </w:rPr>
            </w:pPr>
            <w:r>
              <w:rPr>
                <w:b/>
                <w:sz w:val="18"/>
                <w:szCs w:val="22"/>
                <w:lang w:val="en-US"/>
              </w:rPr>
              <w:t>45</w:t>
            </w:r>
            <w:r>
              <w:rPr>
                <w:b/>
                <w:sz w:val="18"/>
                <w:szCs w:val="22"/>
              </w:rPr>
              <w:t>,</w:t>
            </w:r>
            <w:r>
              <w:rPr>
                <w:b/>
                <w:sz w:val="18"/>
                <w:szCs w:val="22"/>
                <w:lang w:val="en-US"/>
              </w:rPr>
              <w:t>5%</w:t>
            </w:r>
          </w:p>
        </w:tc>
        <w:tc>
          <w:tcPr>
            <w:tcW w:w="1174" w:type="dxa"/>
            <w:tcBorders>
              <w:top w:val="single" w:sz="4" w:space="0" w:color="auto"/>
            </w:tcBorders>
          </w:tcPr>
          <w:p w:rsidR="00000000" w:rsidRDefault="00000000">
            <w:pPr>
              <w:tabs>
                <w:tab w:val="clear" w:pos="567"/>
                <w:tab w:val="clear" w:pos="1134"/>
              </w:tabs>
              <w:spacing w:before="40" w:line="240" w:lineRule="auto"/>
              <w:ind w:right="227"/>
              <w:jc w:val="right"/>
              <w:rPr>
                <w:rFonts w:eastAsia="Arial Unicode MS"/>
                <w:b/>
                <w:sz w:val="18"/>
                <w:szCs w:val="22"/>
                <w:lang w:val="en-US"/>
              </w:rPr>
            </w:pPr>
            <w:r>
              <w:rPr>
                <w:b/>
                <w:sz w:val="18"/>
                <w:szCs w:val="22"/>
                <w:lang w:val="en-US"/>
              </w:rPr>
              <w:t>17 732 304</w:t>
            </w:r>
          </w:p>
        </w:tc>
        <w:tc>
          <w:tcPr>
            <w:tcW w:w="774" w:type="dxa"/>
            <w:tcBorders>
              <w:top w:val="single" w:sz="4" w:space="0" w:color="auto"/>
            </w:tcBorders>
          </w:tcPr>
          <w:p w:rsidR="00000000" w:rsidRDefault="00000000">
            <w:pPr>
              <w:spacing w:before="40" w:line="240" w:lineRule="auto"/>
              <w:jc w:val="center"/>
              <w:rPr>
                <w:rFonts w:eastAsia="Arial Unicode MS"/>
                <w:b/>
                <w:sz w:val="18"/>
                <w:szCs w:val="22"/>
                <w:lang w:val="en-US"/>
              </w:rPr>
            </w:pPr>
            <w:r>
              <w:rPr>
                <w:b/>
                <w:sz w:val="18"/>
                <w:szCs w:val="22"/>
                <w:lang w:val="en-US"/>
              </w:rPr>
              <w:t>54</w:t>
            </w:r>
            <w:r>
              <w:rPr>
                <w:b/>
                <w:sz w:val="18"/>
                <w:szCs w:val="22"/>
              </w:rPr>
              <w:t>,</w:t>
            </w:r>
            <w:r>
              <w:rPr>
                <w:b/>
                <w:sz w:val="18"/>
                <w:szCs w:val="22"/>
                <w:lang w:val="en-US"/>
              </w:rPr>
              <w:t>5%</w:t>
            </w:r>
          </w:p>
        </w:tc>
      </w:tr>
      <w:tr w:rsidR="00000000">
        <w:tblPrEx>
          <w:tblCellMar>
            <w:top w:w="0" w:type="dxa"/>
            <w:bottom w:w="0" w:type="dxa"/>
          </w:tblCellMar>
        </w:tblPrEx>
        <w:trPr>
          <w:cantSplit/>
        </w:trPr>
        <w:tc>
          <w:tcPr>
            <w:tcW w:w="1750" w:type="dxa"/>
          </w:tcPr>
          <w:p w:rsidR="00000000" w:rsidRDefault="00000000">
            <w:pPr>
              <w:spacing w:before="40" w:line="240" w:lineRule="auto"/>
              <w:ind w:firstLine="160"/>
              <w:rPr>
                <w:rFonts w:eastAsia="Arial Unicode MS"/>
                <w:sz w:val="18"/>
                <w:szCs w:val="22"/>
              </w:rPr>
            </w:pPr>
            <w:r>
              <w:rPr>
                <w:rFonts w:eastAsia="Arial Unicode MS"/>
                <w:sz w:val="18"/>
                <w:szCs w:val="22"/>
              </w:rPr>
              <w:t>15-19 лет</w:t>
            </w:r>
          </w:p>
        </w:tc>
        <w:tc>
          <w:tcPr>
            <w:tcW w:w="1918" w:type="dxa"/>
          </w:tcPr>
          <w:p w:rsidR="00000000" w:rsidRDefault="00000000">
            <w:pPr>
              <w:tabs>
                <w:tab w:val="clear" w:pos="567"/>
                <w:tab w:val="clear" w:pos="1134"/>
              </w:tabs>
              <w:spacing w:before="40" w:line="240" w:lineRule="auto"/>
              <w:ind w:right="340"/>
              <w:jc w:val="right"/>
              <w:rPr>
                <w:rFonts w:eastAsia="Arial Unicode MS"/>
                <w:sz w:val="18"/>
                <w:szCs w:val="22"/>
                <w:lang w:val="en-US"/>
              </w:rPr>
            </w:pPr>
            <w:r>
              <w:rPr>
                <w:sz w:val="18"/>
                <w:szCs w:val="22"/>
                <w:lang w:val="en-US"/>
              </w:rPr>
              <w:t>9 992 135</w:t>
            </w:r>
          </w:p>
        </w:tc>
        <w:tc>
          <w:tcPr>
            <w:tcW w:w="1160"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3 360 089</w:t>
            </w:r>
          </w:p>
        </w:tc>
        <w:tc>
          <w:tcPr>
            <w:tcW w:w="687" w:type="dxa"/>
          </w:tcPr>
          <w:p w:rsidR="00000000" w:rsidRDefault="00000000">
            <w:pPr>
              <w:spacing w:before="40" w:line="240" w:lineRule="auto"/>
              <w:jc w:val="center"/>
              <w:rPr>
                <w:rFonts w:eastAsia="Arial Unicode MS"/>
                <w:sz w:val="18"/>
                <w:szCs w:val="22"/>
                <w:lang w:val="en-US"/>
              </w:rPr>
            </w:pPr>
            <w:r>
              <w:rPr>
                <w:sz w:val="18"/>
                <w:szCs w:val="22"/>
                <w:lang w:val="en-US"/>
              </w:rPr>
              <w:t>34%</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1 633 665</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33%</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1 726 424</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34%</w:t>
            </w:r>
          </w:p>
        </w:tc>
      </w:tr>
      <w:tr w:rsidR="00000000">
        <w:tblPrEx>
          <w:tblCellMar>
            <w:top w:w="0" w:type="dxa"/>
            <w:bottom w:w="0" w:type="dxa"/>
          </w:tblCellMar>
        </w:tblPrEx>
        <w:trPr>
          <w:cantSplit/>
        </w:trPr>
        <w:tc>
          <w:tcPr>
            <w:tcW w:w="1750" w:type="dxa"/>
          </w:tcPr>
          <w:p w:rsidR="00000000" w:rsidRDefault="00000000">
            <w:pPr>
              <w:spacing w:before="40" w:line="240" w:lineRule="auto"/>
              <w:ind w:firstLine="160"/>
              <w:rPr>
                <w:rFonts w:eastAsia="Arial Unicode MS"/>
                <w:sz w:val="18"/>
                <w:szCs w:val="22"/>
              </w:rPr>
            </w:pPr>
            <w:r>
              <w:rPr>
                <w:rFonts w:eastAsia="Arial Unicode MS"/>
                <w:sz w:val="18"/>
                <w:szCs w:val="22"/>
              </w:rPr>
              <w:t>20-24 года</w:t>
            </w:r>
          </w:p>
        </w:tc>
        <w:tc>
          <w:tcPr>
            <w:tcW w:w="1918" w:type="dxa"/>
          </w:tcPr>
          <w:p w:rsidR="00000000" w:rsidRDefault="00000000">
            <w:pPr>
              <w:tabs>
                <w:tab w:val="clear" w:pos="567"/>
                <w:tab w:val="clear" w:pos="1134"/>
              </w:tabs>
              <w:spacing w:before="40" w:line="240" w:lineRule="auto"/>
              <w:ind w:right="340"/>
              <w:jc w:val="right"/>
              <w:rPr>
                <w:rFonts w:eastAsia="Arial Unicode MS"/>
                <w:sz w:val="18"/>
                <w:szCs w:val="22"/>
                <w:lang w:val="en-US"/>
              </w:rPr>
            </w:pPr>
            <w:r>
              <w:rPr>
                <w:sz w:val="18"/>
                <w:szCs w:val="22"/>
                <w:lang w:val="en-US"/>
              </w:rPr>
              <w:t>9 071 134</w:t>
            </w:r>
          </w:p>
        </w:tc>
        <w:tc>
          <w:tcPr>
            <w:tcW w:w="1160"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3 371 929</w:t>
            </w:r>
          </w:p>
        </w:tc>
        <w:tc>
          <w:tcPr>
            <w:tcW w:w="687" w:type="dxa"/>
          </w:tcPr>
          <w:p w:rsidR="00000000" w:rsidRDefault="00000000">
            <w:pPr>
              <w:spacing w:before="40" w:line="240" w:lineRule="auto"/>
              <w:jc w:val="center"/>
              <w:rPr>
                <w:rFonts w:eastAsia="Arial Unicode MS"/>
                <w:sz w:val="18"/>
                <w:szCs w:val="22"/>
                <w:lang w:val="en-US"/>
              </w:rPr>
            </w:pPr>
            <w:r>
              <w:rPr>
                <w:sz w:val="18"/>
                <w:szCs w:val="22"/>
                <w:lang w:val="en-US"/>
              </w:rPr>
              <w:t>37%</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1 566 300</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36%</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1 805 629</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38%</w:t>
            </w:r>
          </w:p>
        </w:tc>
      </w:tr>
      <w:tr w:rsidR="00000000">
        <w:tblPrEx>
          <w:tblCellMar>
            <w:top w:w="0" w:type="dxa"/>
            <w:bottom w:w="0" w:type="dxa"/>
          </w:tblCellMar>
        </w:tblPrEx>
        <w:trPr>
          <w:cantSplit/>
        </w:trPr>
        <w:tc>
          <w:tcPr>
            <w:tcW w:w="1750" w:type="dxa"/>
          </w:tcPr>
          <w:p w:rsidR="00000000" w:rsidRDefault="00000000">
            <w:pPr>
              <w:spacing w:before="40" w:line="240" w:lineRule="auto"/>
              <w:ind w:firstLine="160"/>
              <w:rPr>
                <w:rFonts w:eastAsia="Arial Unicode MS"/>
                <w:sz w:val="18"/>
                <w:szCs w:val="22"/>
              </w:rPr>
            </w:pPr>
            <w:r>
              <w:rPr>
                <w:sz w:val="18"/>
                <w:szCs w:val="22"/>
                <w:lang w:val="en-US"/>
              </w:rPr>
              <w:t>25-29 лет</w:t>
            </w:r>
          </w:p>
        </w:tc>
        <w:tc>
          <w:tcPr>
            <w:tcW w:w="1918" w:type="dxa"/>
          </w:tcPr>
          <w:p w:rsidR="00000000" w:rsidRDefault="00000000">
            <w:pPr>
              <w:tabs>
                <w:tab w:val="clear" w:pos="567"/>
                <w:tab w:val="clear" w:pos="1134"/>
              </w:tabs>
              <w:spacing w:before="40" w:line="240" w:lineRule="auto"/>
              <w:ind w:right="340"/>
              <w:jc w:val="right"/>
              <w:rPr>
                <w:rFonts w:eastAsia="Arial Unicode MS"/>
                <w:sz w:val="18"/>
                <w:szCs w:val="22"/>
                <w:lang w:val="en-US"/>
              </w:rPr>
            </w:pPr>
            <w:r>
              <w:rPr>
                <w:sz w:val="18"/>
                <w:szCs w:val="22"/>
                <w:lang w:val="en-US"/>
              </w:rPr>
              <w:t>8 157 743</w:t>
            </w:r>
          </w:p>
        </w:tc>
        <w:tc>
          <w:tcPr>
            <w:tcW w:w="1160"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3 171 431</w:t>
            </w:r>
          </w:p>
        </w:tc>
        <w:tc>
          <w:tcPr>
            <w:tcW w:w="687" w:type="dxa"/>
          </w:tcPr>
          <w:p w:rsidR="00000000" w:rsidRDefault="00000000">
            <w:pPr>
              <w:spacing w:before="40" w:line="240" w:lineRule="auto"/>
              <w:jc w:val="center"/>
              <w:rPr>
                <w:rFonts w:eastAsia="Arial Unicode MS"/>
                <w:sz w:val="18"/>
                <w:szCs w:val="22"/>
                <w:lang w:val="en-US"/>
              </w:rPr>
            </w:pPr>
            <w:r>
              <w:rPr>
                <w:sz w:val="18"/>
                <w:szCs w:val="22"/>
                <w:lang w:val="en-US"/>
              </w:rPr>
              <w:t>39%</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1 455 584</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38%</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1 715 847</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40%</w:t>
            </w:r>
          </w:p>
        </w:tc>
      </w:tr>
      <w:tr w:rsidR="00000000">
        <w:tblPrEx>
          <w:tblCellMar>
            <w:top w:w="0" w:type="dxa"/>
            <w:bottom w:w="0" w:type="dxa"/>
          </w:tblCellMar>
        </w:tblPrEx>
        <w:trPr>
          <w:cantSplit/>
        </w:trPr>
        <w:tc>
          <w:tcPr>
            <w:tcW w:w="1750" w:type="dxa"/>
          </w:tcPr>
          <w:p w:rsidR="00000000" w:rsidRDefault="00000000">
            <w:pPr>
              <w:spacing w:before="40" w:line="240" w:lineRule="auto"/>
              <w:ind w:firstLine="160"/>
              <w:rPr>
                <w:rFonts w:eastAsia="Arial Unicode MS"/>
                <w:sz w:val="18"/>
                <w:szCs w:val="22"/>
              </w:rPr>
            </w:pPr>
            <w:r>
              <w:rPr>
                <w:sz w:val="18"/>
                <w:szCs w:val="22"/>
                <w:lang w:val="en-US"/>
              </w:rPr>
              <w:t>30-34 года</w:t>
            </w:r>
          </w:p>
        </w:tc>
        <w:tc>
          <w:tcPr>
            <w:tcW w:w="1918" w:type="dxa"/>
          </w:tcPr>
          <w:p w:rsidR="00000000" w:rsidRDefault="00000000">
            <w:pPr>
              <w:tabs>
                <w:tab w:val="clear" w:pos="567"/>
                <w:tab w:val="clear" w:pos="1134"/>
              </w:tabs>
              <w:spacing w:before="40" w:line="240" w:lineRule="auto"/>
              <w:ind w:right="340"/>
              <w:jc w:val="right"/>
              <w:rPr>
                <w:rFonts w:eastAsia="Arial Unicode MS"/>
                <w:sz w:val="18"/>
                <w:szCs w:val="22"/>
                <w:lang w:val="en-US"/>
              </w:rPr>
            </w:pPr>
            <w:r>
              <w:rPr>
                <w:sz w:val="18"/>
                <w:szCs w:val="22"/>
                <w:lang w:val="en-US"/>
              </w:rPr>
              <w:t>7 136 523</w:t>
            </w:r>
          </w:p>
        </w:tc>
        <w:tc>
          <w:tcPr>
            <w:tcW w:w="1160"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3 043 908</w:t>
            </w:r>
          </w:p>
        </w:tc>
        <w:tc>
          <w:tcPr>
            <w:tcW w:w="687" w:type="dxa"/>
          </w:tcPr>
          <w:p w:rsidR="00000000" w:rsidRDefault="00000000">
            <w:pPr>
              <w:spacing w:before="40" w:line="240" w:lineRule="auto"/>
              <w:jc w:val="center"/>
              <w:rPr>
                <w:rFonts w:eastAsia="Arial Unicode MS"/>
                <w:sz w:val="18"/>
                <w:szCs w:val="22"/>
                <w:lang w:val="en-US"/>
              </w:rPr>
            </w:pPr>
            <w:r>
              <w:rPr>
                <w:sz w:val="18"/>
                <w:szCs w:val="22"/>
                <w:lang w:val="en-US"/>
              </w:rPr>
              <w:t>43%</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1 353 600</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40%</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1 690 308</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45%</w:t>
            </w:r>
          </w:p>
        </w:tc>
      </w:tr>
      <w:tr w:rsidR="00000000">
        <w:tblPrEx>
          <w:tblCellMar>
            <w:top w:w="0" w:type="dxa"/>
            <w:bottom w:w="0" w:type="dxa"/>
          </w:tblCellMar>
        </w:tblPrEx>
        <w:trPr>
          <w:cantSplit/>
        </w:trPr>
        <w:tc>
          <w:tcPr>
            <w:tcW w:w="1750" w:type="dxa"/>
          </w:tcPr>
          <w:p w:rsidR="00000000" w:rsidRDefault="00000000">
            <w:pPr>
              <w:spacing w:before="40" w:line="240" w:lineRule="auto"/>
              <w:ind w:firstLine="160"/>
              <w:rPr>
                <w:rFonts w:eastAsia="Arial Unicode MS"/>
                <w:sz w:val="18"/>
                <w:szCs w:val="22"/>
              </w:rPr>
            </w:pPr>
            <w:r>
              <w:rPr>
                <w:sz w:val="18"/>
                <w:szCs w:val="22"/>
                <w:lang w:val="en-US"/>
              </w:rPr>
              <w:t>35-39 лет</w:t>
            </w:r>
          </w:p>
        </w:tc>
        <w:tc>
          <w:tcPr>
            <w:tcW w:w="1918" w:type="dxa"/>
          </w:tcPr>
          <w:p w:rsidR="00000000" w:rsidRDefault="00000000">
            <w:pPr>
              <w:tabs>
                <w:tab w:val="clear" w:pos="567"/>
                <w:tab w:val="clear" w:pos="1134"/>
              </w:tabs>
              <w:spacing w:before="40" w:line="240" w:lineRule="auto"/>
              <w:ind w:right="340"/>
              <w:jc w:val="right"/>
              <w:rPr>
                <w:rFonts w:eastAsia="Arial Unicode MS"/>
                <w:sz w:val="18"/>
                <w:szCs w:val="22"/>
                <w:lang w:val="en-US"/>
              </w:rPr>
            </w:pPr>
            <w:r>
              <w:rPr>
                <w:sz w:val="18"/>
                <w:szCs w:val="22"/>
                <w:lang w:val="en-US"/>
              </w:rPr>
              <w:t>6 352 538</w:t>
            </w:r>
          </w:p>
        </w:tc>
        <w:tc>
          <w:tcPr>
            <w:tcW w:w="1160"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3 217 912</w:t>
            </w:r>
          </w:p>
        </w:tc>
        <w:tc>
          <w:tcPr>
            <w:tcW w:w="687" w:type="dxa"/>
          </w:tcPr>
          <w:p w:rsidR="00000000" w:rsidRDefault="00000000">
            <w:pPr>
              <w:spacing w:before="40" w:line="240" w:lineRule="auto"/>
              <w:jc w:val="center"/>
              <w:rPr>
                <w:rFonts w:eastAsia="Arial Unicode MS"/>
                <w:sz w:val="18"/>
                <w:szCs w:val="22"/>
                <w:lang w:val="en-US"/>
              </w:rPr>
            </w:pPr>
            <w:r>
              <w:rPr>
                <w:sz w:val="18"/>
                <w:szCs w:val="22"/>
                <w:lang w:val="en-US"/>
              </w:rPr>
              <w:t>51%</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1 403 300</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46%</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1 814 612</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55%</w:t>
            </w:r>
          </w:p>
        </w:tc>
      </w:tr>
      <w:tr w:rsidR="00000000">
        <w:tblPrEx>
          <w:tblCellMar>
            <w:top w:w="0" w:type="dxa"/>
            <w:bottom w:w="0" w:type="dxa"/>
          </w:tblCellMar>
        </w:tblPrEx>
        <w:trPr>
          <w:cantSplit/>
        </w:trPr>
        <w:tc>
          <w:tcPr>
            <w:tcW w:w="1750" w:type="dxa"/>
          </w:tcPr>
          <w:p w:rsidR="00000000" w:rsidRDefault="00000000">
            <w:pPr>
              <w:spacing w:before="40" w:line="240" w:lineRule="auto"/>
              <w:ind w:firstLine="160"/>
              <w:rPr>
                <w:rFonts w:eastAsia="Arial Unicode MS"/>
                <w:sz w:val="18"/>
                <w:szCs w:val="22"/>
              </w:rPr>
            </w:pPr>
            <w:r>
              <w:rPr>
                <w:sz w:val="18"/>
                <w:szCs w:val="22"/>
                <w:lang w:val="en-US"/>
              </w:rPr>
              <w:t>40-44 года</w:t>
            </w:r>
          </w:p>
        </w:tc>
        <w:tc>
          <w:tcPr>
            <w:tcW w:w="1918" w:type="dxa"/>
          </w:tcPr>
          <w:p w:rsidR="00000000" w:rsidRDefault="00000000">
            <w:pPr>
              <w:tabs>
                <w:tab w:val="clear" w:pos="567"/>
                <w:tab w:val="clear" w:pos="1134"/>
              </w:tabs>
              <w:spacing w:before="40" w:line="240" w:lineRule="auto"/>
              <w:ind w:right="340"/>
              <w:jc w:val="right"/>
              <w:rPr>
                <w:rFonts w:eastAsia="Arial Unicode MS"/>
                <w:sz w:val="18"/>
                <w:szCs w:val="22"/>
                <w:lang w:val="en-US"/>
              </w:rPr>
            </w:pPr>
            <w:r>
              <w:rPr>
                <w:sz w:val="18"/>
                <w:szCs w:val="22"/>
                <w:lang w:val="en-US"/>
              </w:rPr>
              <w:t>5 194 833</w:t>
            </w:r>
          </w:p>
        </w:tc>
        <w:tc>
          <w:tcPr>
            <w:tcW w:w="1160"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3 075 386</w:t>
            </w:r>
          </w:p>
        </w:tc>
        <w:tc>
          <w:tcPr>
            <w:tcW w:w="687" w:type="dxa"/>
          </w:tcPr>
          <w:p w:rsidR="00000000" w:rsidRDefault="00000000">
            <w:pPr>
              <w:spacing w:before="40" w:line="240" w:lineRule="auto"/>
              <w:jc w:val="center"/>
              <w:rPr>
                <w:rFonts w:eastAsia="Arial Unicode MS"/>
                <w:sz w:val="18"/>
                <w:szCs w:val="22"/>
                <w:lang w:val="en-US"/>
              </w:rPr>
            </w:pPr>
            <w:r>
              <w:rPr>
                <w:sz w:val="18"/>
                <w:szCs w:val="22"/>
                <w:lang w:val="en-US"/>
              </w:rPr>
              <w:t>59%</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1 348 003</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54%</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1 727 383</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64%</w:t>
            </w:r>
          </w:p>
        </w:tc>
      </w:tr>
      <w:tr w:rsidR="00000000">
        <w:tblPrEx>
          <w:tblCellMar>
            <w:top w:w="0" w:type="dxa"/>
            <w:bottom w:w="0" w:type="dxa"/>
          </w:tblCellMar>
        </w:tblPrEx>
        <w:trPr>
          <w:cantSplit/>
        </w:trPr>
        <w:tc>
          <w:tcPr>
            <w:tcW w:w="1750" w:type="dxa"/>
          </w:tcPr>
          <w:p w:rsidR="00000000" w:rsidRDefault="00000000">
            <w:pPr>
              <w:spacing w:before="40" w:line="240" w:lineRule="auto"/>
              <w:ind w:firstLine="160"/>
              <w:rPr>
                <w:rFonts w:eastAsia="Arial Unicode MS"/>
                <w:sz w:val="18"/>
                <w:szCs w:val="22"/>
              </w:rPr>
            </w:pPr>
            <w:r>
              <w:rPr>
                <w:sz w:val="18"/>
                <w:szCs w:val="22"/>
                <w:lang w:val="en-US"/>
              </w:rPr>
              <w:t>45-49 лет</w:t>
            </w:r>
          </w:p>
        </w:tc>
        <w:tc>
          <w:tcPr>
            <w:tcW w:w="1918" w:type="dxa"/>
          </w:tcPr>
          <w:p w:rsidR="00000000" w:rsidRDefault="00000000">
            <w:pPr>
              <w:tabs>
                <w:tab w:val="clear" w:pos="567"/>
                <w:tab w:val="clear" w:pos="1134"/>
              </w:tabs>
              <w:spacing w:before="40" w:line="240" w:lineRule="auto"/>
              <w:ind w:right="340"/>
              <w:jc w:val="right"/>
              <w:rPr>
                <w:rFonts w:eastAsia="Arial Unicode MS"/>
                <w:sz w:val="18"/>
                <w:szCs w:val="22"/>
                <w:lang w:val="en-US"/>
              </w:rPr>
            </w:pPr>
            <w:r>
              <w:rPr>
                <w:sz w:val="18"/>
                <w:szCs w:val="22"/>
                <w:lang w:val="en-US"/>
              </w:rPr>
              <w:t>4 072 091</w:t>
            </w:r>
          </w:p>
        </w:tc>
        <w:tc>
          <w:tcPr>
            <w:tcW w:w="1160"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2 733 831</w:t>
            </w:r>
          </w:p>
        </w:tc>
        <w:tc>
          <w:tcPr>
            <w:tcW w:w="687" w:type="dxa"/>
          </w:tcPr>
          <w:p w:rsidR="00000000" w:rsidRDefault="00000000">
            <w:pPr>
              <w:spacing w:before="40" w:line="240" w:lineRule="auto"/>
              <w:jc w:val="center"/>
              <w:rPr>
                <w:rFonts w:eastAsia="Arial Unicode MS"/>
                <w:sz w:val="18"/>
                <w:szCs w:val="22"/>
                <w:lang w:val="en-US"/>
              </w:rPr>
            </w:pPr>
            <w:r>
              <w:rPr>
                <w:sz w:val="18"/>
                <w:szCs w:val="22"/>
                <w:lang w:val="en-US"/>
              </w:rPr>
              <w:t>67%</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1 215 056</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62%</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1 518 775</w:t>
            </w:r>
          </w:p>
        </w:tc>
        <w:tc>
          <w:tcPr>
            <w:tcW w:w="774" w:type="dxa"/>
          </w:tcPr>
          <w:p w:rsidR="00000000" w:rsidRDefault="00000000">
            <w:pPr>
              <w:spacing w:before="40" w:line="240" w:lineRule="auto"/>
              <w:jc w:val="center"/>
              <w:rPr>
                <w:rFonts w:eastAsia="Arial Unicode MS"/>
                <w:sz w:val="18"/>
                <w:szCs w:val="22"/>
                <w:lang w:val="en-US"/>
              </w:rPr>
            </w:pPr>
            <w:r>
              <w:rPr>
                <w:sz w:val="18"/>
                <w:szCs w:val="22"/>
                <w:lang w:val="en-US"/>
              </w:rPr>
              <w:t>72%</w:t>
            </w:r>
          </w:p>
        </w:tc>
      </w:tr>
      <w:tr w:rsidR="00000000">
        <w:tblPrEx>
          <w:tblCellMar>
            <w:top w:w="0" w:type="dxa"/>
            <w:bottom w:w="0" w:type="dxa"/>
          </w:tblCellMar>
        </w:tblPrEx>
        <w:trPr>
          <w:cantSplit/>
        </w:trPr>
        <w:tc>
          <w:tcPr>
            <w:tcW w:w="1750" w:type="dxa"/>
          </w:tcPr>
          <w:p w:rsidR="00000000" w:rsidRDefault="00000000">
            <w:pPr>
              <w:spacing w:before="40" w:line="240" w:lineRule="auto"/>
              <w:ind w:firstLine="160"/>
              <w:rPr>
                <w:sz w:val="18"/>
                <w:szCs w:val="22"/>
                <w:lang w:val="en-US"/>
              </w:rPr>
            </w:pPr>
            <w:r>
              <w:rPr>
                <w:sz w:val="18"/>
                <w:szCs w:val="22"/>
                <w:lang w:val="en-US"/>
              </w:rPr>
              <w:t>50-54 года</w:t>
            </w:r>
          </w:p>
        </w:tc>
        <w:tc>
          <w:tcPr>
            <w:tcW w:w="1918" w:type="dxa"/>
          </w:tcPr>
          <w:p w:rsidR="00000000" w:rsidRDefault="00000000">
            <w:pPr>
              <w:tabs>
                <w:tab w:val="clear" w:pos="567"/>
                <w:tab w:val="clear" w:pos="1134"/>
              </w:tabs>
              <w:spacing w:before="40" w:line="240" w:lineRule="auto"/>
              <w:ind w:right="340" w:firstLine="160"/>
              <w:jc w:val="right"/>
              <w:rPr>
                <w:sz w:val="18"/>
                <w:szCs w:val="22"/>
                <w:lang w:val="en-US"/>
              </w:rPr>
            </w:pPr>
            <w:r>
              <w:rPr>
                <w:sz w:val="18"/>
                <w:szCs w:val="22"/>
                <w:lang w:val="en-US"/>
              </w:rPr>
              <w:t>3 357 953</w:t>
            </w:r>
          </w:p>
        </w:tc>
        <w:tc>
          <w:tcPr>
            <w:tcW w:w="1160"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2 465 517</w:t>
            </w:r>
          </w:p>
        </w:tc>
        <w:tc>
          <w:tcPr>
            <w:tcW w:w="687" w:type="dxa"/>
          </w:tcPr>
          <w:p w:rsidR="00000000" w:rsidRDefault="00000000">
            <w:pPr>
              <w:spacing w:before="40" w:line="240" w:lineRule="auto"/>
              <w:ind w:firstLine="160"/>
              <w:rPr>
                <w:sz w:val="18"/>
                <w:szCs w:val="22"/>
                <w:lang w:val="en-US"/>
              </w:rPr>
            </w:pPr>
            <w:r>
              <w:rPr>
                <w:sz w:val="18"/>
                <w:szCs w:val="22"/>
                <w:lang w:val="en-US"/>
              </w:rPr>
              <w:t>73%</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1 121 358</w:t>
            </w:r>
          </w:p>
        </w:tc>
        <w:tc>
          <w:tcPr>
            <w:tcW w:w="774" w:type="dxa"/>
          </w:tcPr>
          <w:p w:rsidR="00000000" w:rsidRDefault="00000000">
            <w:pPr>
              <w:spacing w:before="40" w:line="240" w:lineRule="auto"/>
              <w:ind w:firstLine="160"/>
              <w:rPr>
                <w:sz w:val="18"/>
                <w:szCs w:val="22"/>
                <w:lang w:val="en-US"/>
              </w:rPr>
            </w:pPr>
            <w:r>
              <w:rPr>
                <w:sz w:val="18"/>
                <w:szCs w:val="22"/>
                <w:lang w:val="en-US"/>
              </w:rPr>
              <w:t>69%</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1 344 159</w:t>
            </w:r>
          </w:p>
        </w:tc>
        <w:tc>
          <w:tcPr>
            <w:tcW w:w="774" w:type="dxa"/>
          </w:tcPr>
          <w:p w:rsidR="00000000" w:rsidRDefault="00000000">
            <w:pPr>
              <w:spacing w:before="40" w:line="240" w:lineRule="auto"/>
              <w:ind w:firstLine="160"/>
              <w:rPr>
                <w:sz w:val="18"/>
                <w:szCs w:val="22"/>
                <w:lang w:val="en-US"/>
              </w:rPr>
            </w:pPr>
            <w:r>
              <w:rPr>
                <w:sz w:val="18"/>
                <w:szCs w:val="22"/>
                <w:lang w:val="en-US"/>
              </w:rPr>
              <w:t>78%</w:t>
            </w:r>
          </w:p>
        </w:tc>
      </w:tr>
      <w:tr w:rsidR="00000000">
        <w:tblPrEx>
          <w:tblCellMar>
            <w:top w:w="0" w:type="dxa"/>
            <w:bottom w:w="0" w:type="dxa"/>
          </w:tblCellMar>
        </w:tblPrEx>
        <w:trPr>
          <w:cantSplit/>
        </w:trPr>
        <w:tc>
          <w:tcPr>
            <w:tcW w:w="1750" w:type="dxa"/>
          </w:tcPr>
          <w:p w:rsidR="00000000" w:rsidRDefault="00000000">
            <w:pPr>
              <w:spacing w:before="40" w:line="240" w:lineRule="auto"/>
              <w:ind w:firstLine="160"/>
              <w:rPr>
                <w:sz w:val="18"/>
                <w:szCs w:val="22"/>
                <w:lang w:val="en-US"/>
              </w:rPr>
            </w:pPr>
            <w:r>
              <w:rPr>
                <w:sz w:val="18"/>
                <w:szCs w:val="22"/>
                <w:lang w:val="en-US"/>
              </w:rPr>
              <w:t>55-59 лет</w:t>
            </w:r>
          </w:p>
        </w:tc>
        <w:tc>
          <w:tcPr>
            <w:tcW w:w="1918" w:type="dxa"/>
          </w:tcPr>
          <w:p w:rsidR="00000000" w:rsidRDefault="00000000">
            <w:pPr>
              <w:tabs>
                <w:tab w:val="clear" w:pos="567"/>
                <w:tab w:val="clear" w:pos="1134"/>
              </w:tabs>
              <w:spacing w:before="40" w:line="240" w:lineRule="auto"/>
              <w:ind w:right="340" w:firstLine="160"/>
              <w:jc w:val="right"/>
              <w:rPr>
                <w:sz w:val="18"/>
                <w:szCs w:val="22"/>
                <w:lang w:val="en-US"/>
              </w:rPr>
            </w:pPr>
            <w:r>
              <w:rPr>
                <w:sz w:val="18"/>
                <w:szCs w:val="22"/>
                <w:lang w:val="en-US"/>
              </w:rPr>
              <w:t>2 559 231</w:t>
            </w:r>
          </w:p>
        </w:tc>
        <w:tc>
          <w:tcPr>
            <w:tcW w:w="1160"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2 049 346</w:t>
            </w:r>
          </w:p>
        </w:tc>
        <w:tc>
          <w:tcPr>
            <w:tcW w:w="687" w:type="dxa"/>
          </w:tcPr>
          <w:p w:rsidR="00000000" w:rsidRDefault="00000000">
            <w:pPr>
              <w:spacing w:before="40" w:line="240" w:lineRule="auto"/>
              <w:ind w:firstLine="160"/>
              <w:rPr>
                <w:sz w:val="18"/>
                <w:szCs w:val="22"/>
                <w:lang w:val="en-US"/>
              </w:rPr>
            </w:pPr>
            <w:r>
              <w:rPr>
                <w:sz w:val="18"/>
                <w:szCs w:val="22"/>
                <w:lang w:val="en-US"/>
              </w:rPr>
              <w:t>80%</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944 644</w:t>
            </w:r>
          </w:p>
        </w:tc>
        <w:tc>
          <w:tcPr>
            <w:tcW w:w="774" w:type="dxa"/>
          </w:tcPr>
          <w:p w:rsidR="00000000" w:rsidRDefault="00000000">
            <w:pPr>
              <w:spacing w:before="40" w:line="240" w:lineRule="auto"/>
              <w:ind w:firstLine="160"/>
              <w:rPr>
                <w:sz w:val="18"/>
                <w:szCs w:val="22"/>
                <w:lang w:val="en-US"/>
              </w:rPr>
            </w:pPr>
            <w:r>
              <w:rPr>
                <w:sz w:val="18"/>
                <w:szCs w:val="22"/>
                <w:lang w:val="en-US"/>
              </w:rPr>
              <w:t>77%</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1 104 702</w:t>
            </w:r>
          </w:p>
        </w:tc>
        <w:tc>
          <w:tcPr>
            <w:tcW w:w="774" w:type="dxa"/>
          </w:tcPr>
          <w:p w:rsidR="00000000" w:rsidRDefault="00000000">
            <w:pPr>
              <w:spacing w:before="40" w:line="240" w:lineRule="auto"/>
              <w:ind w:firstLine="160"/>
              <w:rPr>
                <w:sz w:val="18"/>
                <w:szCs w:val="22"/>
                <w:lang w:val="en-US"/>
              </w:rPr>
            </w:pPr>
            <w:r>
              <w:rPr>
                <w:sz w:val="18"/>
                <w:szCs w:val="22"/>
                <w:lang w:val="en-US"/>
              </w:rPr>
              <w:t>83%</w:t>
            </w:r>
          </w:p>
        </w:tc>
      </w:tr>
      <w:tr w:rsidR="00000000">
        <w:tblPrEx>
          <w:tblCellMar>
            <w:top w:w="0" w:type="dxa"/>
            <w:bottom w:w="0" w:type="dxa"/>
          </w:tblCellMar>
        </w:tblPrEx>
        <w:trPr>
          <w:cantSplit/>
        </w:trPr>
        <w:tc>
          <w:tcPr>
            <w:tcW w:w="1750" w:type="dxa"/>
          </w:tcPr>
          <w:p w:rsidR="00000000" w:rsidRDefault="00000000">
            <w:pPr>
              <w:spacing w:before="40" w:line="240" w:lineRule="auto"/>
              <w:ind w:firstLine="160"/>
              <w:rPr>
                <w:sz w:val="18"/>
                <w:szCs w:val="22"/>
                <w:lang w:val="en-US"/>
              </w:rPr>
            </w:pPr>
            <w:r>
              <w:rPr>
                <w:sz w:val="18"/>
                <w:szCs w:val="22"/>
                <w:lang w:val="en-US"/>
              </w:rPr>
              <w:t>60-64 года</w:t>
            </w:r>
          </w:p>
        </w:tc>
        <w:tc>
          <w:tcPr>
            <w:tcW w:w="1918" w:type="dxa"/>
          </w:tcPr>
          <w:p w:rsidR="00000000" w:rsidRDefault="00000000">
            <w:pPr>
              <w:tabs>
                <w:tab w:val="clear" w:pos="567"/>
                <w:tab w:val="clear" w:pos="1134"/>
              </w:tabs>
              <w:spacing w:before="40" w:line="240" w:lineRule="auto"/>
              <w:ind w:right="340" w:firstLine="160"/>
              <w:jc w:val="right"/>
              <w:rPr>
                <w:sz w:val="18"/>
                <w:szCs w:val="22"/>
                <w:lang w:val="en-US"/>
              </w:rPr>
            </w:pPr>
            <w:r>
              <w:rPr>
                <w:sz w:val="18"/>
                <w:szCs w:val="22"/>
                <w:lang w:val="en-US"/>
              </w:rPr>
              <w:t>2 198 146</w:t>
            </w:r>
          </w:p>
        </w:tc>
        <w:tc>
          <w:tcPr>
            <w:tcW w:w="1160"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1 857 272</w:t>
            </w:r>
          </w:p>
        </w:tc>
        <w:tc>
          <w:tcPr>
            <w:tcW w:w="687" w:type="dxa"/>
          </w:tcPr>
          <w:p w:rsidR="00000000" w:rsidRDefault="00000000">
            <w:pPr>
              <w:spacing w:before="40" w:line="240" w:lineRule="auto"/>
              <w:ind w:firstLine="160"/>
              <w:rPr>
                <w:sz w:val="18"/>
                <w:szCs w:val="22"/>
                <w:lang w:val="en-US"/>
              </w:rPr>
            </w:pPr>
            <w:r>
              <w:rPr>
                <w:sz w:val="18"/>
                <w:szCs w:val="22"/>
                <w:lang w:val="en-US"/>
              </w:rPr>
              <w:t>84%</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858 208</w:t>
            </w:r>
          </w:p>
        </w:tc>
        <w:tc>
          <w:tcPr>
            <w:tcW w:w="774" w:type="dxa"/>
          </w:tcPr>
          <w:p w:rsidR="00000000" w:rsidRDefault="00000000">
            <w:pPr>
              <w:spacing w:before="40" w:line="240" w:lineRule="auto"/>
              <w:ind w:firstLine="160"/>
              <w:rPr>
                <w:sz w:val="18"/>
                <w:szCs w:val="22"/>
                <w:lang w:val="en-US"/>
              </w:rPr>
            </w:pPr>
            <w:r>
              <w:rPr>
                <w:sz w:val="18"/>
                <w:szCs w:val="22"/>
                <w:lang w:val="en-US"/>
              </w:rPr>
              <w:t>82%</w:t>
            </w:r>
          </w:p>
        </w:tc>
        <w:tc>
          <w:tcPr>
            <w:tcW w:w="1174" w:type="dxa"/>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999 064</w:t>
            </w:r>
          </w:p>
        </w:tc>
        <w:tc>
          <w:tcPr>
            <w:tcW w:w="774" w:type="dxa"/>
          </w:tcPr>
          <w:p w:rsidR="00000000" w:rsidRDefault="00000000">
            <w:pPr>
              <w:spacing w:before="40" w:line="240" w:lineRule="auto"/>
              <w:ind w:firstLine="160"/>
              <w:rPr>
                <w:sz w:val="18"/>
                <w:szCs w:val="22"/>
                <w:lang w:val="en-US"/>
              </w:rPr>
            </w:pPr>
            <w:r>
              <w:rPr>
                <w:sz w:val="18"/>
                <w:szCs w:val="22"/>
                <w:lang w:val="en-US"/>
              </w:rPr>
              <w:t>87%</w:t>
            </w:r>
          </w:p>
        </w:tc>
      </w:tr>
      <w:tr w:rsidR="00000000">
        <w:tblPrEx>
          <w:tblCellMar>
            <w:top w:w="0" w:type="dxa"/>
            <w:bottom w:w="0" w:type="dxa"/>
          </w:tblCellMar>
        </w:tblPrEx>
        <w:trPr>
          <w:cantSplit/>
        </w:trPr>
        <w:tc>
          <w:tcPr>
            <w:tcW w:w="1750" w:type="dxa"/>
            <w:tcBorders>
              <w:bottom w:val="single" w:sz="4" w:space="0" w:color="auto"/>
            </w:tcBorders>
          </w:tcPr>
          <w:p w:rsidR="00000000" w:rsidRDefault="00000000">
            <w:pPr>
              <w:spacing w:before="40" w:line="240" w:lineRule="auto"/>
              <w:ind w:firstLine="160"/>
              <w:rPr>
                <w:sz w:val="18"/>
                <w:szCs w:val="22"/>
                <w:lang w:val="en-US"/>
              </w:rPr>
            </w:pPr>
            <w:r>
              <w:rPr>
                <w:sz w:val="18"/>
                <w:szCs w:val="22"/>
                <w:lang w:val="en-US"/>
              </w:rPr>
              <w:t>65 лет и более</w:t>
            </w:r>
          </w:p>
        </w:tc>
        <w:tc>
          <w:tcPr>
            <w:tcW w:w="1918" w:type="dxa"/>
            <w:tcBorders>
              <w:bottom w:val="single" w:sz="4" w:space="0" w:color="auto"/>
            </w:tcBorders>
          </w:tcPr>
          <w:p w:rsidR="00000000" w:rsidRDefault="00000000">
            <w:pPr>
              <w:tabs>
                <w:tab w:val="clear" w:pos="567"/>
                <w:tab w:val="clear" w:pos="1134"/>
              </w:tabs>
              <w:spacing w:before="40" w:line="240" w:lineRule="auto"/>
              <w:ind w:right="340" w:firstLine="160"/>
              <w:jc w:val="right"/>
              <w:rPr>
                <w:sz w:val="18"/>
                <w:szCs w:val="22"/>
                <w:lang w:val="en-US"/>
              </w:rPr>
            </w:pPr>
            <w:r>
              <w:rPr>
                <w:sz w:val="18"/>
                <w:szCs w:val="22"/>
                <w:lang w:val="en-US"/>
              </w:rPr>
              <w:t>4 750 311</w:t>
            </w:r>
          </w:p>
        </w:tc>
        <w:tc>
          <w:tcPr>
            <w:tcW w:w="1160" w:type="dxa"/>
            <w:tcBorders>
              <w:bottom w:val="single" w:sz="4" w:space="0" w:color="auto"/>
            </w:tcBorders>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4 210 840</w:t>
            </w:r>
          </w:p>
        </w:tc>
        <w:tc>
          <w:tcPr>
            <w:tcW w:w="687" w:type="dxa"/>
            <w:tcBorders>
              <w:bottom w:val="single" w:sz="4" w:space="0" w:color="auto"/>
            </w:tcBorders>
          </w:tcPr>
          <w:p w:rsidR="00000000" w:rsidRDefault="00000000">
            <w:pPr>
              <w:spacing w:before="40" w:line="240" w:lineRule="auto"/>
              <w:ind w:firstLine="160"/>
              <w:rPr>
                <w:sz w:val="18"/>
                <w:szCs w:val="22"/>
                <w:lang w:val="en-US"/>
              </w:rPr>
            </w:pPr>
            <w:r>
              <w:rPr>
                <w:sz w:val="18"/>
                <w:szCs w:val="22"/>
                <w:lang w:val="en-US"/>
              </w:rPr>
              <w:t>89%</w:t>
            </w:r>
          </w:p>
        </w:tc>
        <w:tc>
          <w:tcPr>
            <w:tcW w:w="1174" w:type="dxa"/>
            <w:tcBorders>
              <w:bottom w:val="single" w:sz="4" w:space="0" w:color="auto"/>
            </w:tcBorders>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1 925 439</w:t>
            </w:r>
          </w:p>
        </w:tc>
        <w:tc>
          <w:tcPr>
            <w:tcW w:w="774" w:type="dxa"/>
            <w:tcBorders>
              <w:bottom w:val="single" w:sz="4" w:space="0" w:color="auto"/>
            </w:tcBorders>
          </w:tcPr>
          <w:p w:rsidR="00000000" w:rsidRDefault="00000000">
            <w:pPr>
              <w:spacing w:before="40" w:line="240" w:lineRule="auto"/>
              <w:ind w:firstLine="160"/>
              <w:rPr>
                <w:sz w:val="18"/>
                <w:szCs w:val="22"/>
                <w:lang w:val="en-US"/>
              </w:rPr>
            </w:pPr>
            <w:r>
              <w:rPr>
                <w:sz w:val="18"/>
                <w:szCs w:val="22"/>
                <w:lang w:val="en-US"/>
              </w:rPr>
              <w:t>87%</w:t>
            </w:r>
          </w:p>
        </w:tc>
        <w:tc>
          <w:tcPr>
            <w:tcW w:w="1174" w:type="dxa"/>
            <w:tcBorders>
              <w:bottom w:val="single" w:sz="4" w:space="0" w:color="auto"/>
            </w:tcBorders>
          </w:tcPr>
          <w:p w:rsidR="00000000" w:rsidRDefault="00000000">
            <w:pPr>
              <w:tabs>
                <w:tab w:val="clear" w:pos="567"/>
                <w:tab w:val="clear" w:pos="1134"/>
              </w:tabs>
              <w:spacing w:before="40" w:line="240" w:lineRule="auto"/>
              <w:ind w:right="227"/>
              <w:jc w:val="right"/>
              <w:rPr>
                <w:sz w:val="18"/>
                <w:szCs w:val="22"/>
                <w:lang w:val="en-US"/>
              </w:rPr>
            </w:pPr>
            <w:r>
              <w:rPr>
                <w:sz w:val="18"/>
                <w:szCs w:val="22"/>
                <w:lang w:val="en-US"/>
              </w:rPr>
              <w:t>2 285 401</w:t>
            </w:r>
          </w:p>
        </w:tc>
        <w:tc>
          <w:tcPr>
            <w:tcW w:w="774" w:type="dxa"/>
            <w:tcBorders>
              <w:bottom w:val="single" w:sz="4" w:space="0" w:color="auto"/>
            </w:tcBorders>
          </w:tcPr>
          <w:p w:rsidR="00000000" w:rsidRDefault="00000000">
            <w:pPr>
              <w:spacing w:before="40" w:line="240" w:lineRule="auto"/>
              <w:ind w:firstLine="160"/>
              <w:rPr>
                <w:sz w:val="18"/>
                <w:szCs w:val="22"/>
                <w:lang w:val="en-US"/>
              </w:rPr>
            </w:pPr>
            <w:r>
              <w:rPr>
                <w:sz w:val="18"/>
                <w:szCs w:val="22"/>
                <w:lang w:val="en-US"/>
              </w:rPr>
              <w:t>90%</w:t>
            </w:r>
          </w:p>
        </w:tc>
      </w:tr>
    </w:tbl>
    <w:p w:rsidR="00000000" w:rsidRDefault="00000000">
      <w:pPr>
        <w:spacing w:line="216" w:lineRule="auto"/>
        <w:rPr>
          <w:i/>
          <w:iCs/>
          <w:sz w:val="18"/>
        </w:rPr>
      </w:pPr>
    </w:p>
    <w:p w:rsidR="00000000" w:rsidRDefault="00000000">
      <w:pPr>
        <w:spacing w:line="216" w:lineRule="auto"/>
        <w:rPr>
          <w:sz w:val="18"/>
        </w:rPr>
      </w:pPr>
      <w:r>
        <w:rPr>
          <w:i/>
          <w:iCs/>
          <w:sz w:val="18"/>
        </w:rPr>
        <w:t>Источник:</w:t>
      </w:r>
      <w:r>
        <w:rPr>
          <w:sz w:val="18"/>
        </w:rPr>
        <w:t xml:space="preserve">  </w:t>
      </w:r>
      <w:r>
        <w:rPr>
          <w:sz w:val="18"/>
          <w:lang w:val="en-US"/>
        </w:rPr>
        <w:t>XII</w:t>
      </w:r>
      <w:r>
        <w:rPr>
          <w:sz w:val="18"/>
        </w:rPr>
        <w:t xml:space="preserve"> Всеобщая перепись населения и жилого фонда 2000 года.  НИСГИ.</w:t>
      </w:r>
    </w:p>
    <w:p w:rsidR="00000000" w:rsidRDefault="00000000">
      <w:r>
        <w:t>669.</w:t>
      </w:r>
      <w:r>
        <w:tab/>
        <w:t>Приблизительно две трети людей с отставанием в образовании (65%) живут в городских районах, а 35% - в сельских районах.  Кроме того, для группы с отставанием в образовании характерны следующие особенности, касающиеся уровня образования и разбивки по полу:</w:t>
      </w:r>
    </w:p>
    <w:p w:rsidR="00000000" w:rsidRDefault="00000000"/>
    <w:p w:rsidR="00000000" w:rsidRDefault="00000000">
      <w:pPr>
        <w:numPr>
          <w:ilvl w:val="0"/>
          <w:numId w:val="405"/>
        </w:numPr>
      </w:pPr>
      <w:r>
        <w:t>Уровень образования женщин меньше, чем уровень образования мужчин.</w:t>
      </w:r>
    </w:p>
    <w:p w:rsidR="00000000" w:rsidRDefault="00000000">
      <w:pPr>
        <w:tabs>
          <w:tab w:val="clear" w:pos="1134"/>
        </w:tabs>
        <w:ind w:left="567"/>
      </w:pPr>
    </w:p>
    <w:p w:rsidR="00000000" w:rsidRDefault="00000000">
      <w:pPr>
        <w:numPr>
          <w:ilvl w:val="0"/>
          <w:numId w:val="405"/>
        </w:numPr>
      </w:pPr>
      <w:r>
        <w:t>62% взрослых, не умеющих читать и писать, - женщины, в то время, как по мужчинам этот показатель составляет 47%.</w:t>
      </w:r>
    </w:p>
    <w:p w:rsidR="00000000" w:rsidRDefault="00000000">
      <w:pPr>
        <w:tabs>
          <w:tab w:val="clear" w:pos="1134"/>
        </w:tabs>
        <w:ind w:left="567"/>
      </w:pPr>
    </w:p>
    <w:p w:rsidR="00000000" w:rsidRDefault="00000000">
      <w:pPr>
        <w:numPr>
          <w:ilvl w:val="0"/>
          <w:numId w:val="405"/>
        </w:numPr>
      </w:pPr>
      <w:r>
        <w:t>30% лиц с отставаниями в образовании имеют возраст менее 30 лет, а 50% - менее 40 лет, группы более старшего возраста демонстрируют более значительное отставание, достигающее 81% в группе 55-59 лет и 88% в группе 60-64 года;  наоборот, в группах моложе 25 лет отставание составляет порядка 35,3%.</w:t>
      </w:r>
    </w:p>
    <w:p w:rsidR="00000000" w:rsidRDefault="00000000">
      <w:pPr>
        <w:tabs>
          <w:tab w:val="clear" w:pos="1134"/>
        </w:tabs>
        <w:ind w:left="567"/>
      </w:pPr>
    </w:p>
    <w:p w:rsidR="00000000" w:rsidRDefault="00000000">
      <w:pPr>
        <w:numPr>
          <w:ilvl w:val="0"/>
          <w:numId w:val="405"/>
        </w:numPr>
      </w:pPr>
      <w:r>
        <w:t>Кроме того, отмечается, что примерно две трети неграмотных старше 40 лет, в то время как 65% взрослых, не закончивших средние школы, младше 40 лет.</w:t>
      </w:r>
    </w:p>
    <w:p w:rsidR="00000000" w:rsidRDefault="00000000">
      <w:pPr>
        <w:ind w:left="1134" w:hanging="1134"/>
      </w:pPr>
    </w:p>
    <w:p w:rsidR="00000000" w:rsidRDefault="00000000">
      <w:pPr>
        <w:jc w:val="center"/>
        <w:rPr>
          <w:b/>
          <w:bCs/>
        </w:rPr>
      </w:pPr>
      <w:r>
        <w:rPr>
          <w:b/>
          <w:bCs/>
        </w:rPr>
        <w:t>Население с отставанием в образовании с разбивкой</w:t>
      </w:r>
    </w:p>
    <w:p w:rsidR="00000000" w:rsidRDefault="00000000">
      <w:pPr>
        <w:jc w:val="center"/>
        <w:rPr>
          <w:b/>
          <w:bCs/>
        </w:rPr>
      </w:pPr>
      <w:r>
        <w:rPr>
          <w:b/>
          <w:bCs/>
        </w:rPr>
        <w:t>по городским и сельским районам и уровню обучения</w:t>
      </w:r>
    </w:p>
    <w:p w:rsidR="00000000" w:rsidRDefault="00000000">
      <w:pPr>
        <w:pStyle w:val="FootnoteText"/>
        <w:spacing w:line="288" w:lineRule="auto"/>
        <w:rPr>
          <w:rFonts w:cs="Arial"/>
          <w:sz w:val="22"/>
          <w:szCs w:val="22"/>
        </w:rPr>
      </w:pPr>
    </w:p>
    <w:tbl>
      <w:tblPr>
        <w:tblW w:w="0" w:type="auto"/>
        <w:tblInd w:w="70" w:type="dxa"/>
        <w:tblLayout w:type="fixed"/>
        <w:tblCellMar>
          <w:left w:w="70" w:type="dxa"/>
          <w:right w:w="70" w:type="dxa"/>
        </w:tblCellMar>
        <w:tblLook w:val="01E0" w:firstRow="1" w:lastRow="1" w:firstColumn="1" w:lastColumn="1" w:noHBand="0" w:noVBand="0"/>
      </w:tblPr>
      <w:tblGrid>
        <w:gridCol w:w="3010"/>
        <w:gridCol w:w="896"/>
        <w:gridCol w:w="560"/>
        <w:gridCol w:w="1036"/>
        <w:gridCol w:w="573"/>
        <w:gridCol w:w="1064"/>
        <w:gridCol w:w="574"/>
        <w:gridCol w:w="1040"/>
        <w:gridCol w:w="620"/>
      </w:tblGrid>
      <w:tr w:rsidR="00000000">
        <w:tblPrEx>
          <w:tblCellMar>
            <w:top w:w="0" w:type="dxa"/>
            <w:bottom w:w="0" w:type="dxa"/>
          </w:tblCellMar>
        </w:tblPrEx>
        <w:trPr>
          <w:cantSplit/>
          <w:trHeight w:val="157"/>
        </w:trPr>
        <w:tc>
          <w:tcPr>
            <w:tcW w:w="3010" w:type="dxa"/>
            <w:tcBorders>
              <w:top w:val="single" w:sz="4" w:space="0" w:color="auto"/>
              <w:bottom w:val="single" w:sz="4" w:space="0" w:color="auto"/>
            </w:tcBorders>
            <w:vAlign w:val="center"/>
          </w:tcPr>
          <w:p w:rsidR="00000000" w:rsidRDefault="00000000">
            <w:pPr>
              <w:spacing w:after="60" w:line="240" w:lineRule="auto"/>
              <w:jc w:val="center"/>
              <w:rPr>
                <w:i/>
                <w:iCs/>
                <w:sz w:val="18"/>
              </w:rPr>
            </w:pPr>
          </w:p>
        </w:tc>
        <w:tc>
          <w:tcPr>
            <w:tcW w:w="1456" w:type="dxa"/>
            <w:gridSpan w:val="2"/>
            <w:tcBorders>
              <w:top w:val="single" w:sz="4" w:space="0" w:color="auto"/>
              <w:bottom w:val="single" w:sz="4" w:space="0" w:color="auto"/>
            </w:tcBorders>
            <w:vAlign w:val="center"/>
          </w:tcPr>
          <w:p w:rsidR="00000000" w:rsidRDefault="00000000">
            <w:pPr>
              <w:spacing w:after="60" w:line="240" w:lineRule="auto"/>
              <w:jc w:val="center"/>
              <w:rPr>
                <w:i/>
                <w:iCs/>
                <w:sz w:val="18"/>
              </w:rPr>
            </w:pPr>
            <w:r>
              <w:rPr>
                <w:i/>
                <w:iCs/>
                <w:sz w:val="18"/>
              </w:rPr>
              <w:t>Грамотные</w:t>
            </w:r>
          </w:p>
        </w:tc>
        <w:tc>
          <w:tcPr>
            <w:tcW w:w="1609" w:type="dxa"/>
            <w:gridSpan w:val="2"/>
            <w:tcBorders>
              <w:top w:val="single" w:sz="4" w:space="0" w:color="auto"/>
              <w:bottom w:val="single" w:sz="4" w:space="0" w:color="auto"/>
            </w:tcBorders>
            <w:vAlign w:val="center"/>
          </w:tcPr>
          <w:p w:rsidR="00000000" w:rsidRDefault="00000000">
            <w:pPr>
              <w:spacing w:after="60" w:line="240" w:lineRule="auto"/>
              <w:jc w:val="center"/>
              <w:rPr>
                <w:i/>
                <w:iCs/>
                <w:sz w:val="18"/>
              </w:rPr>
            </w:pPr>
            <w:r>
              <w:rPr>
                <w:i/>
                <w:iCs/>
                <w:sz w:val="18"/>
              </w:rPr>
              <w:t>Не закончившие начальных школ</w:t>
            </w:r>
          </w:p>
        </w:tc>
        <w:tc>
          <w:tcPr>
            <w:tcW w:w="1638" w:type="dxa"/>
            <w:gridSpan w:val="2"/>
            <w:tcBorders>
              <w:top w:val="single" w:sz="4" w:space="0" w:color="auto"/>
              <w:bottom w:val="single" w:sz="4" w:space="0" w:color="auto"/>
            </w:tcBorders>
            <w:vAlign w:val="center"/>
          </w:tcPr>
          <w:p w:rsidR="00000000" w:rsidRDefault="00000000">
            <w:pPr>
              <w:spacing w:after="60" w:line="240" w:lineRule="auto"/>
              <w:jc w:val="center"/>
              <w:rPr>
                <w:i/>
                <w:iCs/>
                <w:sz w:val="18"/>
              </w:rPr>
            </w:pPr>
            <w:r>
              <w:rPr>
                <w:i/>
                <w:iCs/>
                <w:sz w:val="18"/>
              </w:rPr>
              <w:t>Не закончившие средних школ</w:t>
            </w:r>
          </w:p>
        </w:tc>
        <w:tc>
          <w:tcPr>
            <w:tcW w:w="1660" w:type="dxa"/>
            <w:gridSpan w:val="2"/>
            <w:tcBorders>
              <w:top w:val="single" w:sz="4" w:space="0" w:color="auto"/>
              <w:bottom w:val="single" w:sz="4" w:space="0" w:color="auto"/>
            </w:tcBorders>
            <w:vAlign w:val="center"/>
          </w:tcPr>
          <w:p w:rsidR="00000000" w:rsidRDefault="00000000">
            <w:pPr>
              <w:spacing w:after="60" w:line="240" w:lineRule="auto"/>
              <w:jc w:val="center"/>
              <w:rPr>
                <w:i/>
                <w:iCs/>
                <w:sz w:val="18"/>
              </w:rPr>
            </w:pPr>
            <w:r>
              <w:rPr>
                <w:i/>
                <w:iCs/>
                <w:sz w:val="18"/>
              </w:rPr>
              <w:t>Имеющие отставание в образовании</w:t>
            </w:r>
          </w:p>
        </w:tc>
      </w:tr>
      <w:tr w:rsidR="00000000">
        <w:tblPrEx>
          <w:tblCellMar>
            <w:top w:w="0" w:type="dxa"/>
            <w:bottom w:w="0" w:type="dxa"/>
          </w:tblCellMar>
        </w:tblPrEx>
        <w:trPr>
          <w:trHeight w:val="394"/>
        </w:trPr>
        <w:tc>
          <w:tcPr>
            <w:tcW w:w="3010" w:type="dxa"/>
            <w:tcBorders>
              <w:top w:val="single" w:sz="4" w:space="0" w:color="auto"/>
            </w:tcBorders>
          </w:tcPr>
          <w:p w:rsidR="00000000" w:rsidRDefault="00000000">
            <w:pPr>
              <w:spacing w:after="60" w:line="240" w:lineRule="auto"/>
              <w:rPr>
                <w:sz w:val="18"/>
              </w:rPr>
            </w:pPr>
            <w:r>
              <w:rPr>
                <w:sz w:val="18"/>
              </w:rPr>
              <w:t>Мексиканские Соединенные Штаты</w:t>
            </w:r>
          </w:p>
        </w:tc>
        <w:tc>
          <w:tcPr>
            <w:tcW w:w="896" w:type="dxa"/>
            <w:tcBorders>
              <w:top w:val="single" w:sz="4" w:space="0" w:color="auto"/>
            </w:tcBorders>
          </w:tcPr>
          <w:p w:rsidR="00000000" w:rsidRDefault="00000000">
            <w:pPr>
              <w:spacing w:after="60" w:line="240" w:lineRule="auto"/>
              <w:jc w:val="right"/>
              <w:rPr>
                <w:sz w:val="18"/>
                <w:lang w:val="en-US"/>
              </w:rPr>
            </w:pPr>
            <w:r>
              <w:rPr>
                <w:sz w:val="18"/>
                <w:lang w:val="en-US"/>
              </w:rPr>
              <w:t>5 942 091</w:t>
            </w:r>
          </w:p>
        </w:tc>
        <w:tc>
          <w:tcPr>
            <w:tcW w:w="560" w:type="dxa"/>
            <w:tcBorders>
              <w:top w:val="single" w:sz="4" w:space="0" w:color="auto"/>
            </w:tcBorders>
          </w:tcPr>
          <w:p w:rsidR="00000000" w:rsidRDefault="00000000">
            <w:pPr>
              <w:spacing w:after="60" w:line="240" w:lineRule="auto"/>
              <w:jc w:val="right"/>
              <w:rPr>
                <w:sz w:val="18"/>
              </w:rPr>
            </w:pPr>
            <w:r>
              <w:rPr>
                <w:sz w:val="18"/>
              </w:rPr>
              <w:t>100%</w:t>
            </w:r>
          </w:p>
        </w:tc>
        <w:tc>
          <w:tcPr>
            <w:tcW w:w="1036" w:type="dxa"/>
            <w:tcBorders>
              <w:top w:val="single" w:sz="4" w:space="0" w:color="auto"/>
            </w:tcBorders>
          </w:tcPr>
          <w:p w:rsidR="00000000" w:rsidRDefault="00000000">
            <w:pPr>
              <w:spacing w:after="60" w:line="240" w:lineRule="auto"/>
              <w:jc w:val="right"/>
              <w:rPr>
                <w:sz w:val="18"/>
              </w:rPr>
            </w:pPr>
            <w:r>
              <w:rPr>
                <w:sz w:val="18"/>
              </w:rPr>
              <w:t>11 716 715</w:t>
            </w:r>
          </w:p>
        </w:tc>
        <w:tc>
          <w:tcPr>
            <w:tcW w:w="573" w:type="dxa"/>
            <w:tcBorders>
              <w:top w:val="single" w:sz="4" w:space="0" w:color="auto"/>
            </w:tcBorders>
          </w:tcPr>
          <w:p w:rsidR="00000000" w:rsidRDefault="00000000">
            <w:pPr>
              <w:spacing w:after="60" w:line="240" w:lineRule="auto"/>
              <w:jc w:val="right"/>
              <w:rPr>
                <w:sz w:val="18"/>
              </w:rPr>
            </w:pPr>
            <w:r>
              <w:rPr>
                <w:sz w:val="18"/>
              </w:rPr>
              <w:t>100%</w:t>
            </w:r>
          </w:p>
        </w:tc>
        <w:tc>
          <w:tcPr>
            <w:tcW w:w="1064" w:type="dxa"/>
            <w:tcBorders>
              <w:top w:val="single" w:sz="4" w:space="0" w:color="auto"/>
            </w:tcBorders>
          </w:tcPr>
          <w:p w:rsidR="00000000" w:rsidRDefault="00000000">
            <w:pPr>
              <w:spacing w:after="60" w:line="240" w:lineRule="auto"/>
              <w:jc w:val="right"/>
              <w:rPr>
                <w:sz w:val="18"/>
              </w:rPr>
            </w:pPr>
            <w:r>
              <w:rPr>
                <w:sz w:val="18"/>
              </w:rPr>
              <w:t>14 898 655</w:t>
            </w:r>
          </w:p>
        </w:tc>
        <w:tc>
          <w:tcPr>
            <w:tcW w:w="574" w:type="dxa"/>
            <w:tcBorders>
              <w:top w:val="single" w:sz="4" w:space="0" w:color="auto"/>
            </w:tcBorders>
          </w:tcPr>
          <w:p w:rsidR="00000000" w:rsidRDefault="00000000">
            <w:pPr>
              <w:spacing w:after="60" w:line="240" w:lineRule="auto"/>
              <w:jc w:val="right"/>
              <w:rPr>
                <w:sz w:val="18"/>
              </w:rPr>
            </w:pPr>
            <w:r>
              <w:rPr>
                <w:sz w:val="18"/>
              </w:rPr>
              <w:t>10%</w:t>
            </w:r>
          </w:p>
        </w:tc>
        <w:tc>
          <w:tcPr>
            <w:tcW w:w="1040" w:type="dxa"/>
            <w:tcBorders>
              <w:top w:val="single" w:sz="4" w:space="0" w:color="auto"/>
            </w:tcBorders>
          </w:tcPr>
          <w:p w:rsidR="00000000" w:rsidRDefault="00000000">
            <w:pPr>
              <w:spacing w:after="60" w:line="240" w:lineRule="auto"/>
              <w:jc w:val="right"/>
              <w:rPr>
                <w:sz w:val="18"/>
              </w:rPr>
            </w:pPr>
            <w:r>
              <w:rPr>
                <w:sz w:val="18"/>
              </w:rPr>
              <w:t>32 557 461</w:t>
            </w:r>
          </w:p>
        </w:tc>
        <w:tc>
          <w:tcPr>
            <w:tcW w:w="620" w:type="dxa"/>
            <w:tcBorders>
              <w:top w:val="single" w:sz="4" w:space="0" w:color="auto"/>
            </w:tcBorders>
          </w:tcPr>
          <w:p w:rsidR="00000000" w:rsidRDefault="00000000">
            <w:pPr>
              <w:spacing w:after="60" w:line="240" w:lineRule="auto"/>
              <w:jc w:val="right"/>
              <w:rPr>
                <w:sz w:val="18"/>
              </w:rPr>
            </w:pPr>
            <w:r>
              <w:rPr>
                <w:sz w:val="18"/>
              </w:rPr>
              <w:t>100%</w:t>
            </w:r>
          </w:p>
        </w:tc>
      </w:tr>
      <w:tr w:rsidR="00000000">
        <w:tblPrEx>
          <w:tblCellMar>
            <w:top w:w="0" w:type="dxa"/>
            <w:bottom w:w="0" w:type="dxa"/>
          </w:tblCellMar>
        </w:tblPrEx>
        <w:trPr>
          <w:trHeight w:val="369"/>
        </w:trPr>
        <w:tc>
          <w:tcPr>
            <w:tcW w:w="3010" w:type="dxa"/>
          </w:tcPr>
          <w:p w:rsidR="00000000" w:rsidRDefault="00000000">
            <w:pPr>
              <w:tabs>
                <w:tab w:val="clear" w:pos="567"/>
                <w:tab w:val="left" w:pos="412"/>
              </w:tabs>
              <w:spacing w:after="60" w:line="240" w:lineRule="auto"/>
              <w:rPr>
                <w:sz w:val="18"/>
              </w:rPr>
            </w:pPr>
            <w:r>
              <w:rPr>
                <w:sz w:val="18"/>
              </w:rPr>
              <w:tab/>
              <w:t>Сельские районы</w:t>
            </w:r>
          </w:p>
        </w:tc>
        <w:tc>
          <w:tcPr>
            <w:tcW w:w="896" w:type="dxa"/>
          </w:tcPr>
          <w:p w:rsidR="00000000" w:rsidRDefault="00000000">
            <w:pPr>
              <w:spacing w:after="60" w:line="240" w:lineRule="auto"/>
              <w:jc w:val="right"/>
              <w:rPr>
                <w:sz w:val="18"/>
              </w:rPr>
            </w:pPr>
            <w:r>
              <w:rPr>
                <w:sz w:val="18"/>
              </w:rPr>
              <w:t>3 023 567</w:t>
            </w:r>
          </w:p>
        </w:tc>
        <w:tc>
          <w:tcPr>
            <w:tcW w:w="560" w:type="dxa"/>
          </w:tcPr>
          <w:p w:rsidR="00000000" w:rsidRDefault="00000000">
            <w:pPr>
              <w:spacing w:after="60" w:line="240" w:lineRule="auto"/>
              <w:jc w:val="right"/>
              <w:rPr>
                <w:sz w:val="18"/>
              </w:rPr>
            </w:pPr>
            <w:r>
              <w:rPr>
                <w:sz w:val="18"/>
              </w:rPr>
              <w:t>51%</w:t>
            </w:r>
          </w:p>
        </w:tc>
        <w:tc>
          <w:tcPr>
            <w:tcW w:w="1036" w:type="dxa"/>
          </w:tcPr>
          <w:p w:rsidR="00000000" w:rsidRDefault="00000000">
            <w:pPr>
              <w:spacing w:after="60" w:line="240" w:lineRule="auto"/>
              <w:jc w:val="right"/>
              <w:rPr>
                <w:sz w:val="18"/>
              </w:rPr>
            </w:pPr>
            <w:r>
              <w:rPr>
                <w:sz w:val="18"/>
              </w:rPr>
              <w:t>4 535 621</w:t>
            </w:r>
          </w:p>
        </w:tc>
        <w:tc>
          <w:tcPr>
            <w:tcW w:w="573" w:type="dxa"/>
          </w:tcPr>
          <w:p w:rsidR="00000000" w:rsidRDefault="00000000">
            <w:pPr>
              <w:spacing w:after="60" w:line="240" w:lineRule="auto"/>
              <w:jc w:val="right"/>
              <w:rPr>
                <w:sz w:val="18"/>
              </w:rPr>
            </w:pPr>
            <w:r>
              <w:rPr>
                <w:sz w:val="18"/>
              </w:rPr>
              <w:t>39%</w:t>
            </w:r>
          </w:p>
        </w:tc>
        <w:tc>
          <w:tcPr>
            <w:tcW w:w="1064" w:type="dxa"/>
          </w:tcPr>
          <w:p w:rsidR="00000000" w:rsidRDefault="00000000">
            <w:pPr>
              <w:spacing w:after="60" w:line="240" w:lineRule="auto"/>
              <w:jc w:val="right"/>
              <w:rPr>
                <w:sz w:val="18"/>
              </w:rPr>
            </w:pPr>
            <w:r>
              <w:rPr>
                <w:sz w:val="18"/>
              </w:rPr>
              <w:t>3 717 536</w:t>
            </w:r>
          </w:p>
        </w:tc>
        <w:tc>
          <w:tcPr>
            <w:tcW w:w="574" w:type="dxa"/>
          </w:tcPr>
          <w:p w:rsidR="00000000" w:rsidRDefault="00000000">
            <w:pPr>
              <w:spacing w:after="60" w:line="240" w:lineRule="auto"/>
              <w:jc w:val="right"/>
              <w:rPr>
                <w:sz w:val="18"/>
              </w:rPr>
            </w:pPr>
            <w:r>
              <w:rPr>
                <w:sz w:val="18"/>
              </w:rPr>
              <w:t xml:space="preserve">  25%</w:t>
            </w:r>
          </w:p>
        </w:tc>
        <w:tc>
          <w:tcPr>
            <w:tcW w:w="1040" w:type="dxa"/>
          </w:tcPr>
          <w:p w:rsidR="00000000" w:rsidRDefault="00000000">
            <w:pPr>
              <w:spacing w:after="60" w:line="240" w:lineRule="auto"/>
              <w:jc w:val="right"/>
              <w:rPr>
                <w:sz w:val="18"/>
              </w:rPr>
            </w:pPr>
            <w:r>
              <w:rPr>
                <w:sz w:val="18"/>
              </w:rPr>
              <w:t>11 276 724</w:t>
            </w:r>
          </w:p>
        </w:tc>
        <w:tc>
          <w:tcPr>
            <w:tcW w:w="620" w:type="dxa"/>
          </w:tcPr>
          <w:p w:rsidR="00000000" w:rsidRDefault="00000000">
            <w:pPr>
              <w:spacing w:after="60" w:line="240" w:lineRule="auto"/>
              <w:jc w:val="right"/>
              <w:rPr>
                <w:sz w:val="18"/>
              </w:rPr>
            </w:pPr>
            <w:r>
              <w:rPr>
                <w:sz w:val="18"/>
              </w:rPr>
              <w:t>35%</w:t>
            </w:r>
          </w:p>
        </w:tc>
      </w:tr>
      <w:tr w:rsidR="00000000">
        <w:tblPrEx>
          <w:tblCellMar>
            <w:top w:w="0" w:type="dxa"/>
            <w:bottom w:w="0" w:type="dxa"/>
          </w:tblCellMar>
        </w:tblPrEx>
        <w:trPr>
          <w:trHeight w:val="357"/>
        </w:trPr>
        <w:tc>
          <w:tcPr>
            <w:tcW w:w="3010" w:type="dxa"/>
            <w:tcBorders>
              <w:bottom w:val="single" w:sz="4" w:space="0" w:color="auto"/>
            </w:tcBorders>
          </w:tcPr>
          <w:p w:rsidR="00000000" w:rsidRDefault="00000000">
            <w:pPr>
              <w:tabs>
                <w:tab w:val="clear" w:pos="567"/>
                <w:tab w:val="left" w:pos="412"/>
              </w:tabs>
              <w:spacing w:after="60" w:line="240" w:lineRule="auto"/>
              <w:rPr>
                <w:sz w:val="18"/>
              </w:rPr>
            </w:pPr>
            <w:r>
              <w:rPr>
                <w:sz w:val="18"/>
              </w:rPr>
              <w:tab/>
              <w:t>Городские районы</w:t>
            </w:r>
          </w:p>
        </w:tc>
        <w:tc>
          <w:tcPr>
            <w:tcW w:w="896" w:type="dxa"/>
            <w:tcBorders>
              <w:bottom w:val="single" w:sz="4" w:space="0" w:color="auto"/>
            </w:tcBorders>
          </w:tcPr>
          <w:p w:rsidR="00000000" w:rsidRDefault="00000000">
            <w:pPr>
              <w:spacing w:after="60" w:line="240" w:lineRule="auto"/>
              <w:jc w:val="right"/>
              <w:rPr>
                <w:sz w:val="18"/>
              </w:rPr>
            </w:pPr>
            <w:r>
              <w:rPr>
                <w:sz w:val="18"/>
              </w:rPr>
              <w:t>2 918 524</w:t>
            </w:r>
          </w:p>
        </w:tc>
        <w:tc>
          <w:tcPr>
            <w:tcW w:w="560" w:type="dxa"/>
            <w:tcBorders>
              <w:bottom w:val="single" w:sz="4" w:space="0" w:color="auto"/>
            </w:tcBorders>
          </w:tcPr>
          <w:p w:rsidR="00000000" w:rsidRDefault="00000000">
            <w:pPr>
              <w:spacing w:after="60" w:line="240" w:lineRule="auto"/>
              <w:jc w:val="right"/>
              <w:rPr>
                <w:sz w:val="18"/>
              </w:rPr>
            </w:pPr>
            <w:r>
              <w:rPr>
                <w:sz w:val="18"/>
              </w:rPr>
              <w:t>49%</w:t>
            </w:r>
          </w:p>
        </w:tc>
        <w:tc>
          <w:tcPr>
            <w:tcW w:w="1036" w:type="dxa"/>
            <w:tcBorders>
              <w:bottom w:val="single" w:sz="4" w:space="0" w:color="auto"/>
            </w:tcBorders>
          </w:tcPr>
          <w:p w:rsidR="00000000" w:rsidRDefault="00000000">
            <w:pPr>
              <w:spacing w:after="60" w:line="240" w:lineRule="auto"/>
              <w:jc w:val="right"/>
              <w:rPr>
                <w:sz w:val="18"/>
              </w:rPr>
            </w:pPr>
            <w:r>
              <w:rPr>
                <w:sz w:val="18"/>
              </w:rPr>
              <w:t>7 181 094</w:t>
            </w:r>
          </w:p>
        </w:tc>
        <w:tc>
          <w:tcPr>
            <w:tcW w:w="573" w:type="dxa"/>
            <w:tcBorders>
              <w:bottom w:val="single" w:sz="4" w:space="0" w:color="auto"/>
            </w:tcBorders>
          </w:tcPr>
          <w:p w:rsidR="00000000" w:rsidRDefault="00000000">
            <w:pPr>
              <w:spacing w:after="60" w:line="240" w:lineRule="auto"/>
              <w:jc w:val="right"/>
              <w:rPr>
                <w:sz w:val="18"/>
              </w:rPr>
            </w:pPr>
            <w:r>
              <w:rPr>
                <w:sz w:val="18"/>
              </w:rPr>
              <w:t>61%</w:t>
            </w:r>
          </w:p>
        </w:tc>
        <w:tc>
          <w:tcPr>
            <w:tcW w:w="1064" w:type="dxa"/>
            <w:tcBorders>
              <w:bottom w:val="single" w:sz="4" w:space="0" w:color="auto"/>
            </w:tcBorders>
          </w:tcPr>
          <w:p w:rsidR="00000000" w:rsidRDefault="00000000">
            <w:pPr>
              <w:spacing w:after="60" w:line="240" w:lineRule="auto"/>
              <w:jc w:val="right"/>
              <w:rPr>
                <w:sz w:val="18"/>
              </w:rPr>
            </w:pPr>
            <w:r>
              <w:rPr>
                <w:sz w:val="18"/>
              </w:rPr>
              <w:t>11 181 119</w:t>
            </w:r>
          </w:p>
        </w:tc>
        <w:tc>
          <w:tcPr>
            <w:tcW w:w="574" w:type="dxa"/>
            <w:tcBorders>
              <w:bottom w:val="single" w:sz="4" w:space="0" w:color="auto"/>
            </w:tcBorders>
          </w:tcPr>
          <w:p w:rsidR="00000000" w:rsidRDefault="00000000">
            <w:pPr>
              <w:spacing w:after="60" w:line="240" w:lineRule="auto"/>
              <w:jc w:val="right"/>
              <w:rPr>
                <w:sz w:val="18"/>
              </w:rPr>
            </w:pPr>
            <w:r>
              <w:rPr>
                <w:sz w:val="18"/>
              </w:rPr>
              <w:t xml:space="preserve">  75%          </w:t>
            </w:r>
          </w:p>
        </w:tc>
        <w:tc>
          <w:tcPr>
            <w:tcW w:w="1040" w:type="dxa"/>
            <w:tcBorders>
              <w:bottom w:val="single" w:sz="4" w:space="0" w:color="auto"/>
            </w:tcBorders>
          </w:tcPr>
          <w:p w:rsidR="00000000" w:rsidRDefault="00000000">
            <w:pPr>
              <w:spacing w:after="60" w:line="240" w:lineRule="auto"/>
              <w:jc w:val="right"/>
              <w:rPr>
                <w:sz w:val="18"/>
              </w:rPr>
            </w:pPr>
            <w:r>
              <w:rPr>
                <w:sz w:val="18"/>
              </w:rPr>
              <w:t>21 280 737</w:t>
            </w:r>
          </w:p>
        </w:tc>
        <w:tc>
          <w:tcPr>
            <w:tcW w:w="620" w:type="dxa"/>
            <w:tcBorders>
              <w:bottom w:val="single" w:sz="4" w:space="0" w:color="auto"/>
            </w:tcBorders>
          </w:tcPr>
          <w:p w:rsidR="00000000" w:rsidRDefault="00000000">
            <w:pPr>
              <w:spacing w:after="60" w:line="240" w:lineRule="auto"/>
              <w:jc w:val="right"/>
              <w:rPr>
                <w:sz w:val="18"/>
              </w:rPr>
            </w:pPr>
            <w:r>
              <w:rPr>
                <w:sz w:val="18"/>
              </w:rPr>
              <w:t>65%</w:t>
            </w:r>
          </w:p>
        </w:tc>
      </w:tr>
    </w:tbl>
    <w:p w:rsidR="00000000" w:rsidRDefault="00000000">
      <w:pPr>
        <w:spacing w:after="60"/>
      </w:pPr>
    </w:p>
    <w:p w:rsidR="00000000" w:rsidRDefault="00000000">
      <w:pPr>
        <w:spacing w:after="60" w:line="240" w:lineRule="auto"/>
        <w:rPr>
          <w:sz w:val="18"/>
        </w:rPr>
      </w:pPr>
      <w:r>
        <w:rPr>
          <w:i/>
          <w:iCs/>
          <w:sz w:val="18"/>
        </w:rPr>
        <w:t>Источник</w:t>
      </w:r>
      <w:r>
        <w:rPr>
          <w:sz w:val="18"/>
        </w:rPr>
        <w:t>:  12 всеобщая перепись населения и жилого фонда 2000 года, НИСГИ.</w:t>
      </w:r>
    </w:p>
    <w:p w:rsidR="00000000" w:rsidRDefault="00000000"/>
    <w:p w:rsidR="00000000" w:rsidRDefault="00000000">
      <w:pPr>
        <w:rPr>
          <w:b/>
          <w:bCs/>
        </w:rPr>
      </w:pPr>
      <w:r>
        <w:rPr>
          <w:b/>
          <w:bCs/>
        </w:rPr>
        <w:t>Пункт 59</w:t>
      </w:r>
    </w:p>
    <w:p w:rsidR="00000000" w:rsidRDefault="00000000">
      <w:pPr>
        <w:rPr>
          <w:b/>
          <w:bCs/>
        </w:rPr>
      </w:pPr>
    </w:p>
    <w:p w:rsidR="00000000" w:rsidRDefault="00000000">
      <w:r>
        <w:tab/>
      </w:r>
      <w:r>
        <w:rPr>
          <w:b/>
          <w:bCs/>
        </w:rPr>
        <w:t>Доля бюджетных расходов на цели образования</w:t>
      </w:r>
    </w:p>
    <w:p w:rsidR="00000000" w:rsidRDefault="00000000"/>
    <w:p w:rsidR="00000000" w:rsidRDefault="00000000">
      <w:r>
        <w:t>670.</w:t>
      </w:r>
      <w:r>
        <w:tab/>
        <w:t>В 2003 году на цели образования расходовалось 25,4% средств федерального бюджета.</w:t>
      </w:r>
    </w:p>
    <w:p w:rsidR="00000000" w:rsidRDefault="00000000"/>
    <w:p w:rsidR="00000000" w:rsidRDefault="00000000">
      <w:pPr>
        <w:rPr>
          <w:b/>
          <w:bCs/>
        </w:rPr>
      </w:pPr>
      <w:r>
        <w:br w:type="page"/>
      </w:r>
      <w:r>
        <w:tab/>
      </w:r>
      <w:r>
        <w:rPr>
          <w:b/>
          <w:bCs/>
        </w:rPr>
        <w:t>Характеристика школьной системы</w:t>
      </w:r>
    </w:p>
    <w:p w:rsidR="00000000" w:rsidRDefault="00000000">
      <w:pPr>
        <w:rPr>
          <w:b/>
          <w:bCs/>
        </w:rPr>
      </w:pPr>
    </w:p>
    <w:p w:rsidR="00000000" w:rsidRDefault="00000000">
      <w:pPr>
        <w:rPr>
          <w:b/>
          <w:bCs/>
          <w:i/>
          <w:iCs/>
        </w:rPr>
      </w:pPr>
      <w:r>
        <w:rPr>
          <w:b/>
          <w:bCs/>
        </w:rPr>
        <w:tab/>
      </w:r>
      <w:r>
        <w:rPr>
          <w:b/>
          <w:bCs/>
        </w:rPr>
        <w:tab/>
      </w:r>
      <w:r>
        <w:rPr>
          <w:b/>
          <w:bCs/>
          <w:i/>
          <w:iCs/>
        </w:rPr>
        <w:t>Организация</w:t>
      </w:r>
    </w:p>
    <w:p w:rsidR="00000000" w:rsidRDefault="00000000">
      <w:pPr>
        <w:rPr>
          <w:b/>
          <w:bCs/>
        </w:rPr>
      </w:pPr>
    </w:p>
    <w:p w:rsidR="00000000" w:rsidRDefault="00000000">
      <w:r>
        <w:t>671.</w:t>
      </w:r>
      <w:r>
        <w:tab/>
        <w:t xml:space="preserve">Как предусматривается в общем законе об образовании, имеется </w:t>
      </w:r>
      <w:r>
        <w:rPr>
          <w:i/>
          <w:iCs/>
        </w:rPr>
        <w:t>три типа</w:t>
      </w:r>
      <w:r>
        <w:t xml:space="preserve"> образования:  базовое, среднее и высшее:</w:t>
      </w:r>
    </w:p>
    <w:p w:rsidR="00000000" w:rsidRDefault="00000000"/>
    <w:p w:rsidR="00000000" w:rsidRDefault="00000000">
      <w:pPr>
        <w:ind w:left="1134" w:hanging="1134"/>
      </w:pPr>
      <w:r>
        <w:tab/>
      </w:r>
      <w:r>
        <w:sym w:font="Symbol" w:char="F0B7"/>
      </w:r>
      <w:r>
        <w:tab/>
      </w:r>
      <w:r>
        <w:rPr>
          <w:i/>
          <w:iCs/>
        </w:rPr>
        <w:t>Базовое образование</w:t>
      </w:r>
      <w:r>
        <w:t xml:space="preserve"> охватывает три уровня:  до</w:t>
      </w:r>
      <w:r>
        <w:rPr>
          <w:i/>
          <w:iCs/>
        </w:rPr>
        <w:t>школьное, начальное и среднее</w:t>
      </w:r>
      <w:r>
        <w:t>.  В настоящее время дошкольное образование не является обязательным условием зачисления в начальную школу;  на этом уровне имеется три класса, первый - для детей в возрасте трех лет, второй - для детей в возрасте четырех лет и третий - для детей в возрасте пяти лет.  Начальное образование состоит из шести классов для детей и подростков от шести до 15 лет, и его завершение, подтверждаемое официальным свидетельством, необходимо для зачисления в среднюю школу.  Среднее образование включает три класса, и его завершение, подтверждаемое официальным свидетельством, необходимо для поступления в высшие учебные заведения первой ступени.  Обучение на этих трех уровнях строится с учетом языковых и культурных особенностей групп коренного населения страны, рассредоточенного сельского населения и групп мигрантов.</w:t>
      </w:r>
    </w:p>
    <w:p w:rsidR="00000000" w:rsidRDefault="00000000">
      <w:pPr>
        <w:ind w:left="1134" w:hanging="1134"/>
      </w:pPr>
    </w:p>
    <w:p w:rsidR="00000000" w:rsidRDefault="00000000">
      <w:pPr>
        <w:ind w:left="1134" w:hanging="1134"/>
      </w:pPr>
      <w:r>
        <w:tab/>
      </w:r>
      <w:r>
        <w:sym w:font="Symbol" w:char="F0B7"/>
      </w:r>
      <w:r>
        <w:tab/>
      </w:r>
      <w:r>
        <w:rPr>
          <w:i/>
          <w:iCs/>
        </w:rPr>
        <w:t>Высшее образование первой ступени</w:t>
      </w:r>
      <w:r>
        <w:t xml:space="preserve"> охватывает </w:t>
      </w:r>
      <w:r>
        <w:rPr>
          <w:i/>
          <w:iCs/>
        </w:rPr>
        <w:t>обучение по программе бакалавра</w:t>
      </w:r>
      <w:r>
        <w:t xml:space="preserve"> и </w:t>
      </w:r>
      <w:r>
        <w:rPr>
          <w:i/>
          <w:iCs/>
        </w:rPr>
        <w:t>профессионально-техническое обучение</w:t>
      </w:r>
      <w:r>
        <w:t xml:space="preserve">.  Продолжительность обучения на степень бакалавра составляет обычно три года, хотя имеются отдельные случаи, когда продолжительность обучения составляет два или четыре года.  Диплом бакалавра необходим для получения высшего образования второй ступени.  Продолжительность профессионально-технического образования составляет три года, хотя в отдельных случаях оно составляет два года или до пяти лет;  его главная цель - обучение техническим специальностям, поэтому такое обучение рассчитано на полный курс, хотя учебные программы некоторых вузов предусматривают возможность получения студентами степени бакалавра в результате зачета дополнительных дисциплин.  </w:t>
      </w:r>
    </w:p>
    <w:p w:rsidR="00000000" w:rsidRDefault="00000000">
      <w:pPr>
        <w:ind w:left="1134" w:hanging="1134"/>
      </w:pPr>
    </w:p>
    <w:p w:rsidR="00000000" w:rsidRDefault="00000000">
      <w:pPr>
        <w:ind w:left="1134" w:hanging="1134"/>
      </w:pPr>
      <w:r>
        <w:tab/>
      </w:r>
      <w:r>
        <w:sym w:font="Symbol" w:char="F0B7"/>
      </w:r>
      <w:r>
        <w:tab/>
        <w:t xml:space="preserve">Собственно </w:t>
      </w:r>
      <w:r>
        <w:rPr>
          <w:i/>
          <w:iCs/>
        </w:rPr>
        <w:t>высшее образование</w:t>
      </w:r>
      <w:r>
        <w:t xml:space="preserve"> охватывает обучение после степени бакалавра.  Оно состоит из трех уровней:  </w:t>
      </w:r>
      <w:r>
        <w:rPr>
          <w:i/>
          <w:iCs/>
        </w:rPr>
        <w:t>высшее техническое образование</w:t>
      </w:r>
      <w:r>
        <w:t xml:space="preserve">, или высшее профессиональное образование, </w:t>
      </w:r>
      <w:r>
        <w:rPr>
          <w:i/>
          <w:iCs/>
        </w:rPr>
        <w:t>программа обучения на степень лиценциата</w:t>
      </w:r>
      <w:r>
        <w:t xml:space="preserve"> и </w:t>
      </w:r>
      <w:r>
        <w:rPr>
          <w:i/>
          <w:iCs/>
        </w:rPr>
        <w:t xml:space="preserve"> аспирантура</w:t>
      </w:r>
      <w:r>
        <w:t>.  Высшее техническое образование по полному курсу получают специалисты, имеющие техническую подготовку определенного профиля по двухлетней программе, но не получившие степени лиценциата.  Обучение по программе лиценциатуры ведется в технологических институтах, университетах и педагогических институтах;  после выпуска студенты, обучавшиеся по этой программе продолжительностью четыре года или более, получают специальность в различных областях.  Для поступления в аспирантуру необходимо иметь степень лиценциата;  аспирантура делится на учебу по специальности, магистратуру и докторат;  по этой программе готовятся специалисты высокого уровня, получающие ученую степень или специальный диплом.</w:t>
      </w:r>
    </w:p>
    <w:p w:rsidR="00000000" w:rsidRDefault="00000000">
      <w:pPr>
        <w:ind w:left="1134" w:hanging="1134"/>
      </w:pPr>
    </w:p>
    <w:p w:rsidR="00000000" w:rsidRDefault="00000000">
      <w:r>
        <w:t>672.</w:t>
      </w:r>
      <w:r>
        <w:tab/>
        <w:t xml:space="preserve">Кроме этих трех типов обучения система образования охватывает первоначальное образование, специальное образование и образование для взрослых.  Первоначальное образование предназначено для детей в возрасте от 45 дней и трех лет и преследует цель содействовать познавательному, эмоциональному и социальному развитию, включая ориентирование родителей, опекунов или попечителей в вопросах образования их детей или учеников.  Специальное образование предназначено для людей с временной или постоянной нетрудоспособностью или для людей с исключительными способностями и включает ориентацию родителей и попечителей.  Образование для взрослых предназначено для людей в возрасте от 15 лет, которые не получили полного базового образования, и охватывает обучение грамоте, начальное и среднее образование и профессиональную подготовку.  </w:t>
      </w:r>
    </w:p>
    <w:p w:rsidR="00000000" w:rsidRDefault="00000000"/>
    <w:p w:rsidR="00000000" w:rsidRDefault="00000000">
      <w:r>
        <w:t>673.</w:t>
      </w:r>
      <w:r>
        <w:tab/>
        <w:t xml:space="preserve">В соответствии с методом обучения система образования подразделяется на </w:t>
      </w:r>
      <w:r>
        <w:rPr>
          <w:i/>
          <w:iCs/>
        </w:rPr>
        <w:t>две формы</w:t>
      </w:r>
      <w:r>
        <w:t xml:space="preserve">:  </w:t>
      </w:r>
      <w:r>
        <w:rPr>
          <w:i/>
          <w:iCs/>
        </w:rPr>
        <w:t>школьное обучение</w:t>
      </w:r>
      <w:r>
        <w:t xml:space="preserve"> и </w:t>
      </w:r>
      <w:r>
        <w:rPr>
          <w:i/>
          <w:iCs/>
        </w:rPr>
        <w:t>внешкольное обучение</w:t>
      </w:r>
      <w:r>
        <w:t>.  Первое имеет больший охват, имеет очный характер, поскольку учащийся посещает классные занятия по программе в соответствии с ранее утвержденным учебным планом.</w:t>
      </w:r>
    </w:p>
    <w:p w:rsidR="00000000" w:rsidRDefault="00000000"/>
    <w:p w:rsidR="00000000" w:rsidRDefault="00000000">
      <w:r>
        <w:t>674.</w:t>
      </w:r>
      <w:r>
        <w:tab/>
      </w:r>
      <w:r>
        <w:rPr>
          <w:i/>
          <w:iCs/>
        </w:rPr>
        <w:t>Внешкольная</w:t>
      </w:r>
      <w:r>
        <w:t xml:space="preserve"> форма обучения - открытое или дистанционное обучение - имеет заочный или частично очный характер и учитывает ситуацию обучающихся, оказывая помощь в виде консультаций.</w:t>
      </w:r>
    </w:p>
    <w:p w:rsidR="00000000" w:rsidRDefault="00000000"/>
    <w:p w:rsidR="00000000" w:rsidRDefault="00000000">
      <w:pPr>
        <w:rPr>
          <w:b/>
          <w:bCs/>
          <w:i/>
          <w:iCs/>
        </w:rPr>
      </w:pPr>
      <w:r>
        <w:tab/>
      </w:r>
      <w:r>
        <w:rPr>
          <w:b/>
          <w:bCs/>
          <w:i/>
          <w:iCs/>
        </w:rPr>
        <w:t>Управление</w:t>
      </w:r>
    </w:p>
    <w:p w:rsidR="00000000" w:rsidRDefault="00000000">
      <w:pPr>
        <w:rPr>
          <w:b/>
          <w:bCs/>
        </w:rPr>
      </w:pPr>
    </w:p>
    <w:p w:rsidR="00000000" w:rsidRDefault="00000000">
      <w:r>
        <w:t>675.</w:t>
      </w:r>
      <w:r>
        <w:tab/>
        <w:t>Руководство и регулирование деятельности системы народного образования осуществляется министерством просвещения на уровне Федерации и органами, отвечающими за образование в каждом субъекте Федерации на уровне штатов.</w:t>
      </w:r>
    </w:p>
    <w:p w:rsidR="00000000" w:rsidRDefault="00000000"/>
    <w:p w:rsidR="00000000" w:rsidRDefault="00000000">
      <w:r>
        <w:t>676.</w:t>
      </w:r>
      <w:r>
        <w:tab/>
        <w:t>В соответствии с общим законом об образовании Федерации принадлежит функция принятия нормативных актов, касающихся базового и обычного образования, определение основных положений, планов и программ совместно с местными органами образования, составление учебного плана и подготовка и издание бесплатных учебников, а также планирование и оценка в масштабах страны.  В функции местных органов образования входит оказание услуг по начальному, базовому, специальному и обычному образованию, а также профессиональная подготовка, повышение квалификации и совершенствование учителей в системе базового образования.  Муниципии могут развивать и оказывать учебные услуги любого рода и в любой форме.  Базовое и обычное образование находится в ведении министерства просвещения.</w:t>
      </w:r>
    </w:p>
    <w:p w:rsidR="00000000" w:rsidRDefault="00000000"/>
    <w:p w:rsidR="00000000" w:rsidRDefault="00000000">
      <w:r>
        <w:t>677.</w:t>
      </w:r>
      <w:r>
        <w:tab/>
        <w:t>Таким образом, сфера образования находится в ведении Федерации (министерства просвещения и других центральных министерств), органов власти штатов и муниципий, самостоятельных учреждений и частных граждан.</w:t>
      </w:r>
    </w:p>
    <w:p w:rsidR="00000000" w:rsidRDefault="00000000"/>
    <w:p w:rsidR="00000000" w:rsidRDefault="00000000">
      <w:r>
        <w:t>678.</w:t>
      </w:r>
      <w:r>
        <w:tab/>
        <w:t>Помимо федерализации базового образования, министерство просвещения передало в ведение местных властей и другие услуги, такие, как профессионально-техническое обучение (среднее специальное обучение) по линии Национального колледжа профессионально-технического обучения (КОНАЛЕП) и программа обучения на степень бакалавра в системе Колледжа бакалавров, децентрализованных органов министерства просвещения.  Они были переданы в ведение вновь созданных органов </w:t>
      </w:r>
      <w:r>
        <w:noBreakHyphen/>
        <w:t xml:space="preserve"> децентрализованных органов правительств штатов (ДОПШ), которые действуют, получая финансирование со стороны федерации и штатов.  При участии этих же органов проводится перестройка системы профессионально-технического образования и высшего образования.  </w:t>
      </w:r>
    </w:p>
    <w:p w:rsidR="00000000" w:rsidRDefault="00000000"/>
    <w:p w:rsidR="00000000" w:rsidRDefault="00000000">
      <w:r>
        <w:t>679.</w:t>
      </w:r>
      <w:r>
        <w:tab/>
        <w:t>Эти системы образования расширяются в соответствии со схемой координации между местными и федеральными органами.</w:t>
      </w:r>
    </w:p>
    <w:p w:rsidR="00000000" w:rsidRDefault="00000000"/>
    <w:p w:rsidR="00000000" w:rsidRDefault="00000000">
      <w:r>
        <w:t>680.</w:t>
      </w:r>
      <w:r>
        <w:tab/>
        <w:t>Как учреждения, занимающиеся базовым образованием, так и средние специальные и высшие учебные заведения и учебные заведения профессионально-технического образования, входящие в систему федеральных учебных заведений, дополняют учебные заведения этих уровней, уже созданные в штатах.  Тем самым ставится цель укрепления систем образования штатов и руководящей роли министерства просвещения при одновременном сохранении ведущей роли в области нормотворчества, а также функции перераспределения ресурсов, которая делает возможным усиление равноправия в системе образования страны, важность которой обусловлена разнообразием и контрастами в развитии системы образования между 32 регионами, входящими в состав федерации.</w:t>
      </w:r>
    </w:p>
    <w:p w:rsidR="00000000" w:rsidRDefault="00000000"/>
    <w:p w:rsidR="00000000" w:rsidRDefault="00000000">
      <w:pPr>
        <w:tabs>
          <w:tab w:val="clear" w:pos="1134"/>
        </w:tabs>
        <w:ind w:left="567"/>
      </w:pPr>
      <w:r>
        <w:rPr>
          <w:b/>
          <w:bCs/>
        </w:rPr>
        <w:br w:type="page"/>
        <w:t>Строительство новых школ.  Близкое расположение школ, прежде всего в сельских районах</w:t>
      </w:r>
    </w:p>
    <w:p w:rsidR="00000000" w:rsidRDefault="00000000">
      <w:pPr>
        <w:tabs>
          <w:tab w:val="clear" w:pos="1134"/>
        </w:tabs>
        <w:ind w:left="567"/>
      </w:pPr>
    </w:p>
    <w:p w:rsidR="00000000" w:rsidRDefault="00000000">
      <w:r>
        <w:t>681.</w:t>
      </w:r>
      <w:r>
        <w:tab/>
        <w:t>Для строительства новых школ имеются средства планирования, которые позволяют анализировать положение микрорайонов в целях определения месторасположения новых школ, чтобы удовлетворить спрос в районе строительства школы.  В сельских населенных пунктах с числом жителей менее 500 человек имеются службы общинного образования.</w:t>
      </w:r>
    </w:p>
    <w:p w:rsidR="00000000" w:rsidRDefault="00000000"/>
    <w:p w:rsidR="00000000" w:rsidRDefault="00000000">
      <w:r>
        <w:t>682.</w:t>
      </w:r>
      <w:r>
        <w:tab/>
        <w:t>Строительство школ финансируется по линии базового образования за счет ресурсов федерации и штатов.  В</w:t>
      </w:r>
      <w:r>
        <w:rPr>
          <w:lang w:val="en-US"/>
        </w:rPr>
        <w:t> </w:t>
      </w:r>
      <w:r>
        <w:t>сфере среднего специального и высшего образования и профессионально-технического обучения финансирование строительства новых учебных заведений ведется в равных долях правительством федерации и штата в рамках системы "песо к песо", которая позволяет увеличить вклад штатов и тем самым удвоить объем ресурсов.</w:t>
      </w:r>
    </w:p>
    <w:p w:rsidR="00000000" w:rsidRDefault="00000000"/>
    <w:p w:rsidR="00000000" w:rsidRDefault="00000000">
      <w:pPr>
        <w:tabs>
          <w:tab w:val="clear" w:pos="1134"/>
        </w:tabs>
        <w:ind w:left="567"/>
      </w:pPr>
      <w:r>
        <w:rPr>
          <w:b/>
          <w:bCs/>
        </w:rPr>
        <w:t>Школьные списки</w:t>
      </w:r>
    </w:p>
    <w:p w:rsidR="00000000" w:rsidRDefault="00000000">
      <w:pPr>
        <w:tabs>
          <w:tab w:val="clear" w:pos="1134"/>
        </w:tabs>
        <w:ind w:left="567"/>
      </w:pPr>
    </w:p>
    <w:p w:rsidR="00000000" w:rsidRDefault="00000000">
      <w:r>
        <w:t>683.</w:t>
      </w:r>
      <w:r>
        <w:tab/>
        <w:t>В начале каждого учебного года издаются списки материалов и школьно-письменных принадлежностей, которые используются школьниками в системе базового образования в государственных школах.  Материалы и школьно-письменные принадлежности, которые фигурируют в этих списках для каждого уровня образования, необходимы для проведения учебных занятий в ходе учебного года, тем не менее в соответствии с разработанными учебными планами преподаватель может назначить и другие учебные материалы.</w:t>
      </w:r>
    </w:p>
    <w:p w:rsidR="00000000" w:rsidRDefault="00000000"/>
    <w:p w:rsidR="00000000" w:rsidRDefault="00000000">
      <w:pPr>
        <w:rPr>
          <w:b/>
          <w:bCs/>
        </w:rPr>
      </w:pPr>
      <w:r>
        <w:rPr>
          <w:b/>
          <w:bCs/>
        </w:rPr>
        <w:t>Пункт 60 а)</w:t>
      </w:r>
    </w:p>
    <w:p w:rsidR="00000000" w:rsidRDefault="00000000">
      <w:pPr>
        <w:rPr>
          <w:b/>
          <w:bCs/>
        </w:rPr>
      </w:pPr>
    </w:p>
    <w:p w:rsidR="00000000" w:rsidRDefault="00000000">
      <w:r>
        <w:t>684.</w:t>
      </w:r>
      <w:r>
        <w:tab/>
        <w:t>Что касается охвата по полу, то не имеется каких-либо диспропорций в плане доступа мужчин и женщин к образованию различного вида.  В ходе 2003/04 учебного года разница между показателями охвата в системе базового образования и высшего образования была практически нулевой.  В системе же среднего специального образования с середины 90-х годов среди учащихся уже больше женщин - на 3,5 процентного пункта.</w:t>
      </w:r>
    </w:p>
    <w:p w:rsidR="00000000" w:rsidRDefault="00000000"/>
    <w:p w:rsidR="00000000" w:rsidRDefault="00000000">
      <w:pPr>
        <w:rPr>
          <w:b/>
          <w:bCs/>
        </w:rPr>
      </w:pPr>
      <w:r>
        <w:rPr>
          <w:b/>
          <w:bCs/>
        </w:rPr>
        <w:t>Пункт 60 </w:t>
      </w:r>
      <w:r>
        <w:rPr>
          <w:b/>
          <w:bCs/>
          <w:lang w:val="en-US"/>
        </w:rPr>
        <w:t>b</w:t>
      </w:r>
      <w:r>
        <w:rPr>
          <w:b/>
          <w:bCs/>
        </w:rPr>
        <w:t>)</w:t>
      </w:r>
    </w:p>
    <w:p w:rsidR="00000000" w:rsidRDefault="00000000">
      <w:pPr>
        <w:rPr>
          <w:b/>
          <w:bCs/>
        </w:rPr>
      </w:pPr>
    </w:p>
    <w:p w:rsidR="00000000" w:rsidRDefault="00000000">
      <w:r>
        <w:t>685.</w:t>
      </w:r>
      <w:r>
        <w:tab/>
        <w:t xml:space="preserve">Министерство просвещения принимает меры по развитию межкультурной системы образования, которая, обеспечивая равенство и высокое качество обучения, была бы способна удовлетворять потребности в образовании и базовые потребности в обучении детей и подростков из числа коренного населения и вносила бы вклад в созидание общества, в котором возможности раскрытия потенциала личности и социального развития были бы общим делом.  </w:t>
      </w:r>
    </w:p>
    <w:p w:rsidR="00000000" w:rsidRDefault="00000000"/>
    <w:p w:rsidR="00000000" w:rsidRDefault="00000000">
      <w:pPr>
        <w:tabs>
          <w:tab w:val="clear" w:pos="1134"/>
        </w:tabs>
      </w:pPr>
      <w:r>
        <w:rPr>
          <w:b/>
          <w:bCs/>
        </w:rPr>
        <w:tab/>
        <w:t>Проект школ с несколькими классами</w:t>
      </w:r>
    </w:p>
    <w:p w:rsidR="00000000" w:rsidRDefault="00000000">
      <w:pPr>
        <w:tabs>
          <w:tab w:val="clear" w:pos="1134"/>
        </w:tabs>
      </w:pPr>
    </w:p>
    <w:p w:rsidR="00000000" w:rsidRDefault="00000000">
      <w:r>
        <w:t>686.</w:t>
      </w:r>
      <w:r>
        <w:tab/>
        <w:t>Сельское население мелких населенных пунктов сталкивается с трудностями, препятствующими получению образования должного уровня, которое бы отвечало их потребностям и помогало повышению образовательных результатов.</w:t>
      </w:r>
    </w:p>
    <w:p w:rsidR="00000000" w:rsidRDefault="00000000"/>
    <w:p w:rsidR="00000000" w:rsidRDefault="00000000">
      <w:r>
        <w:t>687.</w:t>
      </w:r>
      <w:r>
        <w:tab/>
        <w:t>Одна из главных проблем - достижение первоначальной грамотности и закрепление этих навыков, после чего обучающиеся могли бы продолжить учебу самостоятельно.</w:t>
      </w:r>
    </w:p>
    <w:p w:rsidR="00000000" w:rsidRDefault="00000000"/>
    <w:p w:rsidR="00000000" w:rsidRDefault="00000000">
      <w:r>
        <w:t>688.</w:t>
      </w:r>
      <w:r>
        <w:tab/>
        <w:t>В этой связи проект школ с несколькими классами ставит задачу разработки возможности обучения и адаптации учебных программ при уделении основного внимания развитию способностей и навыков в интересах постоянного обучения сотрудничества и взаимопомощи, игры как образовательного ресурса и подготовки ведущих занятий из числа учеников.</w:t>
      </w:r>
    </w:p>
    <w:p w:rsidR="00000000" w:rsidRDefault="00000000"/>
    <w:p w:rsidR="00000000" w:rsidRDefault="00000000">
      <w:r>
        <w:t>689.</w:t>
      </w:r>
      <w:r>
        <w:tab/>
        <w:t>Такие образовательные возможности на пробной основе применяются в небольшом числе школ 14 регионов (февраль-июнь).  В ходе 2004/05 учебного года они будут использоваться примерно в 20% этих регионов.  В ходе 2005/06 учебного года такие возможности будут предлагаться более широко в школах страны, где преподавание ведется по программам нескольких классов, число которых представлено ниже:</w:t>
      </w:r>
    </w:p>
    <w:p w:rsidR="00000000" w:rsidRDefault="00000000"/>
    <w:p w:rsidR="00000000" w:rsidRDefault="00000000">
      <w:pPr>
        <w:tabs>
          <w:tab w:val="clear" w:pos="567"/>
          <w:tab w:val="clear" w:pos="1701"/>
          <w:tab w:val="clear" w:pos="2268"/>
          <w:tab w:val="clear" w:pos="6237"/>
          <w:tab w:val="right" w:pos="8505"/>
          <w:tab w:val="left" w:pos="9084"/>
        </w:tabs>
        <w:ind w:left="567"/>
      </w:pPr>
      <w:r>
        <w:sym w:font="Symbol" w:char="F0B7"/>
      </w:r>
      <w:r>
        <w:tab/>
        <w:t xml:space="preserve">Школы с несколькими классами обучения </w:t>
      </w:r>
    </w:p>
    <w:p w:rsidR="00000000" w:rsidRDefault="00000000">
      <w:pPr>
        <w:tabs>
          <w:tab w:val="clear" w:pos="567"/>
          <w:tab w:val="clear" w:pos="1701"/>
          <w:tab w:val="clear" w:pos="2268"/>
          <w:tab w:val="clear" w:pos="6237"/>
          <w:tab w:val="right" w:pos="8505"/>
          <w:tab w:val="left" w:pos="9084"/>
        </w:tabs>
        <w:ind w:left="567"/>
      </w:pPr>
      <w:r>
        <w:tab/>
        <w:t>(исключая общинные курсы)</w:t>
      </w:r>
      <w:r>
        <w:tab/>
        <w:t>38</w:t>
      </w:r>
      <w:r>
        <w:rPr>
          <w:lang w:val="en-US"/>
        </w:rPr>
        <w:t> </w:t>
      </w:r>
      <w:r>
        <w:t>951</w:t>
      </w:r>
    </w:p>
    <w:p w:rsidR="00000000" w:rsidRDefault="00000000">
      <w:pPr>
        <w:tabs>
          <w:tab w:val="clear" w:pos="567"/>
          <w:tab w:val="clear" w:pos="1701"/>
          <w:tab w:val="clear" w:pos="2268"/>
          <w:tab w:val="clear" w:pos="6237"/>
          <w:tab w:val="left" w:pos="7588"/>
          <w:tab w:val="left" w:pos="9084"/>
        </w:tabs>
        <w:ind w:left="567"/>
      </w:pPr>
    </w:p>
    <w:p w:rsidR="00000000" w:rsidRDefault="00000000">
      <w:pPr>
        <w:tabs>
          <w:tab w:val="clear" w:pos="567"/>
          <w:tab w:val="clear" w:pos="1701"/>
          <w:tab w:val="clear" w:pos="2268"/>
          <w:tab w:val="clear" w:pos="6237"/>
          <w:tab w:val="right" w:pos="8505"/>
          <w:tab w:val="left" w:pos="9084"/>
        </w:tabs>
        <w:ind w:left="567"/>
      </w:pPr>
      <w:r>
        <w:sym w:font="Symbol" w:char="F0B7"/>
      </w:r>
      <w:r>
        <w:tab/>
        <w:t>Школа с одним классом</w:t>
      </w:r>
      <w:r>
        <w:tab/>
      </w:r>
      <w:r>
        <w:rPr>
          <w:lang w:val="en-US"/>
        </w:rPr>
        <w:t>10 982</w:t>
      </w:r>
    </w:p>
    <w:p w:rsidR="00000000" w:rsidRDefault="00000000">
      <w:pPr>
        <w:tabs>
          <w:tab w:val="clear" w:pos="567"/>
          <w:tab w:val="clear" w:pos="1701"/>
          <w:tab w:val="clear" w:pos="2268"/>
          <w:tab w:val="clear" w:pos="6237"/>
          <w:tab w:val="right" w:pos="8505"/>
          <w:tab w:val="left" w:pos="9084"/>
        </w:tabs>
        <w:ind w:left="567"/>
      </w:pPr>
    </w:p>
    <w:p w:rsidR="00000000" w:rsidRDefault="00000000">
      <w:pPr>
        <w:tabs>
          <w:tab w:val="clear" w:pos="567"/>
          <w:tab w:val="clear" w:pos="1701"/>
          <w:tab w:val="clear" w:pos="2268"/>
          <w:tab w:val="clear" w:pos="6237"/>
          <w:tab w:val="right" w:pos="8505"/>
          <w:tab w:val="left" w:pos="9084"/>
        </w:tabs>
        <w:ind w:left="567"/>
      </w:pPr>
      <w:r>
        <w:sym w:font="Symbol" w:char="F0B7"/>
      </w:r>
      <w:r>
        <w:tab/>
        <w:t>Школа с двумя классами</w:t>
      </w:r>
      <w:r>
        <w:tab/>
        <w:t>12 645</w:t>
      </w:r>
    </w:p>
    <w:p w:rsidR="00000000" w:rsidRDefault="00000000">
      <w:pPr>
        <w:tabs>
          <w:tab w:val="clear" w:pos="567"/>
          <w:tab w:val="clear" w:pos="1701"/>
          <w:tab w:val="clear" w:pos="2268"/>
          <w:tab w:val="clear" w:pos="6237"/>
          <w:tab w:val="left" w:pos="7588"/>
          <w:tab w:val="left" w:pos="9084"/>
        </w:tabs>
        <w:ind w:left="567"/>
      </w:pPr>
    </w:p>
    <w:p w:rsidR="00000000" w:rsidRDefault="00000000">
      <w:pPr>
        <w:tabs>
          <w:tab w:val="clear" w:pos="567"/>
          <w:tab w:val="clear" w:pos="1701"/>
          <w:tab w:val="clear" w:pos="2268"/>
          <w:tab w:val="clear" w:pos="6237"/>
          <w:tab w:val="right" w:pos="8505"/>
          <w:tab w:val="left" w:pos="9084"/>
        </w:tabs>
        <w:ind w:left="567"/>
      </w:pPr>
      <w:r>
        <w:sym w:font="Symbol" w:char="F0B7"/>
      </w:r>
      <w:r>
        <w:tab/>
        <w:t>Школа с тремя классами</w:t>
      </w:r>
      <w:r>
        <w:tab/>
        <w:t>8 454</w:t>
      </w:r>
    </w:p>
    <w:p w:rsidR="00000000" w:rsidRDefault="00000000">
      <w:pPr>
        <w:tabs>
          <w:tab w:val="clear" w:pos="567"/>
          <w:tab w:val="clear" w:pos="1701"/>
          <w:tab w:val="clear" w:pos="2268"/>
          <w:tab w:val="clear" w:pos="6237"/>
          <w:tab w:val="left" w:pos="7588"/>
          <w:tab w:val="left" w:pos="9084"/>
        </w:tabs>
        <w:ind w:left="567"/>
      </w:pPr>
    </w:p>
    <w:p w:rsidR="00000000" w:rsidRDefault="00000000">
      <w:pPr>
        <w:tabs>
          <w:tab w:val="clear" w:pos="567"/>
          <w:tab w:val="clear" w:pos="1701"/>
          <w:tab w:val="clear" w:pos="2268"/>
          <w:tab w:val="clear" w:pos="6237"/>
          <w:tab w:val="right" w:pos="8505"/>
          <w:tab w:val="left" w:pos="9084"/>
        </w:tabs>
        <w:ind w:left="567"/>
      </w:pPr>
      <w:r>
        <w:sym w:font="Symbol" w:char="F0B7"/>
      </w:r>
      <w:r>
        <w:tab/>
        <w:t>Школа с четырьмя классами</w:t>
      </w:r>
      <w:r>
        <w:tab/>
        <w:t>3 932</w:t>
      </w:r>
    </w:p>
    <w:p w:rsidR="00000000" w:rsidRDefault="00000000">
      <w:pPr>
        <w:tabs>
          <w:tab w:val="clear" w:pos="567"/>
          <w:tab w:val="clear" w:pos="1701"/>
          <w:tab w:val="clear" w:pos="2268"/>
          <w:tab w:val="clear" w:pos="6237"/>
          <w:tab w:val="left" w:pos="7588"/>
          <w:tab w:val="left" w:pos="9084"/>
        </w:tabs>
        <w:ind w:left="567"/>
      </w:pPr>
    </w:p>
    <w:p w:rsidR="00000000" w:rsidRDefault="00000000">
      <w:pPr>
        <w:tabs>
          <w:tab w:val="clear" w:pos="567"/>
          <w:tab w:val="clear" w:pos="1701"/>
          <w:tab w:val="clear" w:pos="2268"/>
          <w:tab w:val="clear" w:pos="6237"/>
          <w:tab w:val="right" w:pos="8505"/>
          <w:tab w:val="left" w:pos="9084"/>
        </w:tabs>
        <w:ind w:left="567"/>
        <w:rPr>
          <w:lang w:val="en-US"/>
        </w:rPr>
      </w:pPr>
      <w:r>
        <w:sym w:font="Symbol" w:char="F0B7"/>
      </w:r>
      <w:r>
        <w:tab/>
        <w:t>Школа с пятью классами</w:t>
      </w:r>
      <w:r>
        <w:tab/>
      </w:r>
      <w:r>
        <w:rPr>
          <w:lang w:val="en-US"/>
        </w:rPr>
        <w:t>2 938</w:t>
      </w:r>
    </w:p>
    <w:p w:rsidR="00000000" w:rsidRDefault="00000000">
      <w:pPr>
        <w:rPr>
          <w:sz w:val="18"/>
          <w:lang w:val="en-US"/>
        </w:rPr>
      </w:pPr>
    </w:p>
    <w:p w:rsidR="00000000" w:rsidRDefault="00000000">
      <w:pPr>
        <w:tabs>
          <w:tab w:val="clear" w:pos="1134"/>
        </w:tabs>
      </w:pPr>
      <w:r>
        <w:rPr>
          <w:b/>
          <w:bCs/>
        </w:rPr>
        <w:br w:type="page"/>
      </w:r>
      <w:r>
        <w:rPr>
          <w:b/>
          <w:bCs/>
        </w:rPr>
        <w:tab/>
        <w:t>Программа начального образования для детей мигрантов</w:t>
      </w:r>
    </w:p>
    <w:p w:rsidR="00000000" w:rsidRDefault="00000000">
      <w:pPr>
        <w:tabs>
          <w:tab w:val="clear" w:pos="1134"/>
        </w:tabs>
      </w:pPr>
    </w:p>
    <w:p w:rsidR="00000000" w:rsidRDefault="00000000">
      <w:r>
        <w:t>690.</w:t>
      </w:r>
      <w:r>
        <w:tab/>
        <w:t>Программы начального обучения для детей мигрантов предназначены для детского населения из числа мигрантов, которые в течение короткого времени (от трех до шести месяцев) живут во временных поселках, а также могут обучаться ограниченное время в течение дня.  Кроме того, могут быть стесненными материальные условия, в которых дети оказываются вынуждены работать.</w:t>
      </w:r>
    </w:p>
    <w:p w:rsidR="00000000" w:rsidRDefault="00000000"/>
    <w:p w:rsidR="00000000" w:rsidRDefault="00000000">
      <w:r>
        <w:t>691.</w:t>
      </w:r>
      <w:r>
        <w:tab/>
        <w:t>В этих условиях требуется педагогическая альтернатива, которая прививала бы учащимся способности и навыки, элементарно необходимые для обучения.  Для этого программа начального образования для детей мигрантов намечает учебную программу, учитывающую условия этой группы.  Одна из ее главных целей - обучение учеников навыкам самостоятельной работы, благодаря которым они могли бы продолжить учебу самостоятельно.</w:t>
      </w:r>
    </w:p>
    <w:p w:rsidR="00000000" w:rsidRDefault="00000000"/>
    <w:p w:rsidR="00000000" w:rsidRDefault="00000000">
      <w:r>
        <w:t>692.</w:t>
      </w:r>
      <w:r>
        <w:tab/>
        <w:t>Одна из главных задач - расширение охвата, поскольку из примерно 300 000 детей, для которых нужно организовать такое обучение, услугами министерства просвещения и КОНАФЕ охвачено только приблизительно 10% из них.</w:t>
      </w:r>
    </w:p>
    <w:p w:rsidR="00000000" w:rsidRDefault="00000000"/>
    <w:p w:rsidR="00000000" w:rsidRDefault="00000000">
      <w:r>
        <w:t>693.</w:t>
      </w:r>
      <w:r>
        <w:tab/>
        <w:t>В этой связи необходимо выделить дополнительные ресурсы, которые позволили бы расширить образовательное обслуживание этой группы.</w:t>
      </w:r>
    </w:p>
    <w:p w:rsidR="00000000" w:rsidRDefault="00000000"/>
    <w:p w:rsidR="00000000" w:rsidRDefault="00000000">
      <w:pPr>
        <w:ind w:left="570"/>
      </w:pPr>
      <w:r>
        <w:rPr>
          <w:b/>
          <w:bCs/>
        </w:rPr>
        <w:t>Национальные программы укрепления специального образования и образовательной интеграции</w:t>
      </w:r>
    </w:p>
    <w:p w:rsidR="00000000" w:rsidRDefault="00000000">
      <w:pPr>
        <w:ind w:left="1701" w:hanging="1701"/>
      </w:pPr>
    </w:p>
    <w:p w:rsidR="00000000" w:rsidRDefault="00000000">
      <w:r>
        <w:t>694.</w:t>
      </w:r>
      <w:r>
        <w:tab/>
        <w:t>Национальная программа укрепления специального образования и образовательной интеграции, разработанная Главным управлением базового образования и обычного образования министерства просвещения, разработана федеральным правительством в ответ на просьбы и предложения граждан в образовательной сфере;  она намечает курс, следуя которому общество достигнет образовательной, социальной и трудовой интеграции лиц с особыми образовательными потребностями, связанными или не связанными с какой-либо инвалидностью.</w:t>
      </w:r>
    </w:p>
    <w:p w:rsidR="00000000" w:rsidRDefault="00000000"/>
    <w:p w:rsidR="00000000" w:rsidRDefault="00000000">
      <w:r>
        <w:t>695.</w:t>
      </w:r>
      <w:r>
        <w:tab/>
        <w:t>В рамках этой программы признается разнообразие и ставится цель развития в обществе культуры открытости для всех, которая бы учитывала и ценила такое разнообразие, предлагая возможности для того, чтобы все и каждый из людей, которые входят в общество, могли бы пользоваться теми же возможностями достойной жизни.  Такая задача стоит перед руководством страны, родителями, организациями гражданского общества и обществом в целом.</w:t>
      </w:r>
    </w:p>
    <w:p w:rsidR="00000000" w:rsidRDefault="00000000">
      <w:r>
        <w:t>696.</w:t>
      </w:r>
      <w:r>
        <w:tab/>
        <w:t>Что касается нынешней ситуации услуг специального образования и процесса образовательной интеграции, то органы, занимающиеся специальным образованием на уровне штатов, представили следующую информацию, относящуюся к началу 2001/02 учебного года.</w:t>
      </w:r>
    </w:p>
    <w:p w:rsidR="00000000" w:rsidRDefault="00000000"/>
    <w:p w:rsidR="00000000" w:rsidRDefault="00000000">
      <w:r>
        <w:t>697.</w:t>
      </w:r>
      <w:r>
        <w:tab/>
        <w:t>В настоящее время по всей стране имеется 4 097 специальных учебных заведений.  В 2001/02 учебном году в них обучалось 525 232 учащихся с особыми образовательными потребностями, занимавшихся по программе первоначального и базового обучения в его различных формах.</w:t>
      </w:r>
    </w:p>
    <w:p w:rsidR="00000000" w:rsidRDefault="00000000"/>
    <w:p w:rsidR="00000000" w:rsidRDefault="00000000">
      <w:r>
        <w:t>698.</w:t>
      </w:r>
      <w:r>
        <w:tab/>
        <w:t>Ниже представлена таблица, в которой показано число учащихся в различных системах специального образования.</w:t>
      </w:r>
    </w:p>
    <w:p w:rsidR="00000000" w:rsidRDefault="00000000"/>
    <w:p w:rsidR="00000000" w:rsidRDefault="00000000">
      <w:pPr>
        <w:jc w:val="center"/>
        <w:rPr>
          <w:b/>
          <w:bCs/>
        </w:rPr>
      </w:pPr>
      <w:r>
        <w:rPr>
          <w:b/>
          <w:bCs/>
        </w:rPr>
        <w:t>Примерные данные о числе учащихся в различных системах</w:t>
      </w:r>
    </w:p>
    <w:p w:rsidR="00000000" w:rsidRDefault="00000000">
      <w:pPr>
        <w:jc w:val="center"/>
      </w:pPr>
      <w:r>
        <w:rPr>
          <w:b/>
          <w:bCs/>
        </w:rPr>
        <w:t>специального образования</w:t>
      </w:r>
    </w:p>
    <w:p w:rsidR="00000000" w:rsidRDefault="00000000"/>
    <w:tbl>
      <w:tblPr>
        <w:tblW w:w="5000" w:type="pct"/>
        <w:tblCellMar>
          <w:left w:w="0" w:type="dxa"/>
          <w:right w:w="0" w:type="dxa"/>
        </w:tblCellMar>
        <w:tblLook w:val="01E0" w:firstRow="1" w:lastRow="1" w:firstColumn="1" w:lastColumn="1" w:noHBand="0" w:noVBand="0"/>
      </w:tblPr>
      <w:tblGrid>
        <w:gridCol w:w="972"/>
        <w:gridCol w:w="644"/>
        <w:gridCol w:w="1385"/>
        <w:gridCol w:w="1381"/>
        <w:gridCol w:w="1123"/>
        <w:gridCol w:w="1123"/>
        <w:gridCol w:w="1046"/>
        <w:gridCol w:w="1104"/>
        <w:gridCol w:w="592"/>
      </w:tblGrid>
      <w:tr w:rsidR="00000000">
        <w:tblPrEx>
          <w:tblCellMar>
            <w:top w:w="0" w:type="dxa"/>
            <w:bottom w:w="0" w:type="dxa"/>
          </w:tblCellMar>
        </w:tblPrEx>
        <w:trPr>
          <w:cantSplit/>
        </w:trPr>
        <w:tc>
          <w:tcPr>
            <w:tcW w:w="519" w:type="pct"/>
            <w:vMerge w:val="restart"/>
            <w:tcBorders>
              <w:top w:val="single" w:sz="4" w:space="0" w:color="auto"/>
            </w:tcBorders>
          </w:tcPr>
          <w:p w:rsidR="00000000" w:rsidRDefault="00000000">
            <w:pPr>
              <w:spacing w:before="60"/>
              <w:jc w:val="center"/>
              <w:rPr>
                <w:sz w:val="16"/>
              </w:rPr>
            </w:pPr>
            <w:r>
              <w:rPr>
                <w:i/>
                <w:iCs/>
                <w:sz w:val="16"/>
              </w:rPr>
              <w:t>Система образования</w:t>
            </w:r>
          </w:p>
        </w:tc>
        <w:tc>
          <w:tcPr>
            <w:tcW w:w="344" w:type="pct"/>
            <w:vMerge w:val="restart"/>
            <w:tcBorders>
              <w:top w:val="single" w:sz="4" w:space="0" w:color="auto"/>
            </w:tcBorders>
          </w:tcPr>
          <w:p w:rsidR="00000000" w:rsidRDefault="00000000">
            <w:pPr>
              <w:spacing w:before="60"/>
              <w:jc w:val="center"/>
              <w:rPr>
                <w:sz w:val="16"/>
              </w:rPr>
            </w:pPr>
            <w:r>
              <w:rPr>
                <w:i/>
                <w:iCs/>
                <w:sz w:val="16"/>
              </w:rPr>
              <w:t>Всего</w:t>
            </w:r>
          </w:p>
        </w:tc>
        <w:tc>
          <w:tcPr>
            <w:tcW w:w="739" w:type="pct"/>
            <w:vMerge w:val="restart"/>
            <w:tcBorders>
              <w:top w:val="single" w:sz="4" w:space="0" w:color="auto"/>
            </w:tcBorders>
          </w:tcPr>
          <w:p w:rsidR="00000000" w:rsidRDefault="00000000">
            <w:pPr>
              <w:spacing w:before="60"/>
              <w:jc w:val="center"/>
              <w:rPr>
                <w:sz w:val="16"/>
              </w:rPr>
            </w:pPr>
            <w:r>
              <w:rPr>
                <w:i/>
                <w:iCs/>
                <w:sz w:val="16"/>
              </w:rPr>
              <w:t>Учащиеся с особыми образовательными потребностями</w:t>
            </w:r>
          </w:p>
        </w:tc>
        <w:tc>
          <w:tcPr>
            <w:tcW w:w="737" w:type="pct"/>
            <w:vMerge w:val="restart"/>
            <w:tcBorders>
              <w:top w:val="single" w:sz="4" w:space="0" w:color="auto"/>
            </w:tcBorders>
          </w:tcPr>
          <w:p w:rsidR="00000000" w:rsidRDefault="00000000">
            <w:pPr>
              <w:spacing w:before="60"/>
              <w:jc w:val="center"/>
              <w:rPr>
                <w:sz w:val="16"/>
              </w:rPr>
            </w:pPr>
            <w:r>
              <w:rPr>
                <w:i/>
                <w:iCs/>
                <w:sz w:val="16"/>
              </w:rPr>
              <w:t>Учащиеся с особыми образовательными потребностями</w:t>
            </w:r>
          </w:p>
        </w:tc>
        <w:tc>
          <w:tcPr>
            <w:tcW w:w="2661" w:type="pct"/>
            <w:gridSpan w:val="5"/>
            <w:tcBorders>
              <w:top w:val="single" w:sz="4" w:space="0" w:color="auto"/>
              <w:bottom w:val="single" w:sz="4" w:space="0" w:color="auto"/>
            </w:tcBorders>
          </w:tcPr>
          <w:p w:rsidR="00000000" w:rsidRDefault="00000000">
            <w:pPr>
              <w:spacing w:before="60" w:line="240" w:lineRule="auto"/>
              <w:jc w:val="center"/>
              <w:rPr>
                <w:i/>
                <w:iCs/>
                <w:sz w:val="16"/>
              </w:rPr>
            </w:pPr>
            <w:r>
              <w:rPr>
                <w:i/>
                <w:iCs/>
                <w:sz w:val="16"/>
              </w:rPr>
              <w:t>Инвалидности, доля в %</w:t>
            </w:r>
          </w:p>
        </w:tc>
      </w:tr>
      <w:tr w:rsidR="00000000">
        <w:tblPrEx>
          <w:tblCellMar>
            <w:top w:w="0" w:type="dxa"/>
            <w:bottom w:w="0" w:type="dxa"/>
          </w:tblCellMar>
        </w:tblPrEx>
        <w:trPr>
          <w:cantSplit/>
        </w:trPr>
        <w:tc>
          <w:tcPr>
            <w:tcW w:w="519" w:type="pct"/>
            <w:vMerge/>
            <w:tcBorders>
              <w:bottom w:val="single" w:sz="4" w:space="0" w:color="auto"/>
            </w:tcBorders>
          </w:tcPr>
          <w:p w:rsidR="00000000" w:rsidRDefault="00000000">
            <w:pPr>
              <w:spacing w:before="60" w:line="240" w:lineRule="auto"/>
              <w:jc w:val="center"/>
              <w:rPr>
                <w:i/>
                <w:iCs/>
                <w:sz w:val="16"/>
              </w:rPr>
            </w:pPr>
          </w:p>
        </w:tc>
        <w:tc>
          <w:tcPr>
            <w:tcW w:w="344" w:type="pct"/>
            <w:vMerge/>
            <w:tcBorders>
              <w:bottom w:val="single" w:sz="4" w:space="0" w:color="auto"/>
            </w:tcBorders>
          </w:tcPr>
          <w:p w:rsidR="00000000" w:rsidRDefault="00000000">
            <w:pPr>
              <w:spacing w:before="60" w:line="240" w:lineRule="auto"/>
              <w:jc w:val="center"/>
              <w:rPr>
                <w:i/>
                <w:iCs/>
                <w:sz w:val="16"/>
              </w:rPr>
            </w:pPr>
          </w:p>
        </w:tc>
        <w:tc>
          <w:tcPr>
            <w:tcW w:w="739" w:type="pct"/>
            <w:vMerge/>
            <w:tcBorders>
              <w:bottom w:val="single" w:sz="4" w:space="0" w:color="auto"/>
            </w:tcBorders>
          </w:tcPr>
          <w:p w:rsidR="00000000" w:rsidRDefault="00000000">
            <w:pPr>
              <w:spacing w:before="60" w:line="240" w:lineRule="auto"/>
              <w:jc w:val="center"/>
              <w:rPr>
                <w:i/>
                <w:iCs/>
                <w:sz w:val="16"/>
              </w:rPr>
            </w:pPr>
          </w:p>
        </w:tc>
        <w:tc>
          <w:tcPr>
            <w:tcW w:w="737" w:type="pct"/>
            <w:vMerge/>
            <w:tcBorders>
              <w:bottom w:val="single" w:sz="4" w:space="0" w:color="auto"/>
            </w:tcBorders>
          </w:tcPr>
          <w:p w:rsidR="00000000" w:rsidRDefault="00000000">
            <w:pPr>
              <w:spacing w:before="60" w:line="240" w:lineRule="auto"/>
              <w:jc w:val="center"/>
              <w:rPr>
                <w:i/>
                <w:iCs/>
                <w:sz w:val="16"/>
              </w:rPr>
            </w:pPr>
          </w:p>
        </w:tc>
        <w:tc>
          <w:tcPr>
            <w:tcW w:w="599" w:type="pct"/>
            <w:tcBorders>
              <w:top w:val="single" w:sz="4" w:space="0" w:color="auto"/>
              <w:bottom w:val="single" w:sz="4" w:space="0" w:color="auto"/>
            </w:tcBorders>
          </w:tcPr>
          <w:p w:rsidR="00000000" w:rsidRDefault="00000000">
            <w:pPr>
              <w:spacing w:before="60" w:line="240" w:lineRule="auto"/>
              <w:jc w:val="center"/>
              <w:rPr>
                <w:i/>
                <w:iCs/>
                <w:sz w:val="16"/>
              </w:rPr>
            </w:pPr>
            <w:r>
              <w:rPr>
                <w:i/>
                <w:iCs/>
                <w:sz w:val="16"/>
              </w:rPr>
              <w:t>Расстройства слуха</w:t>
            </w:r>
          </w:p>
        </w:tc>
        <w:tc>
          <w:tcPr>
            <w:tcW w:w="599" w:type="pct"/>
            <w:tcBorders>
              <w:top w:val="single" w:sz="4" w:space="0" w:color="auto"/>
              <w:bottom w:val="single" w:sz="4" w:space="0" w:color="auto"/>
            </w:tcBorders>
          </w:tcPr>
          <w:p w:rsidR="00000000" w:rsidRDefault="00000000">
            <w:pPr>
              <w:spacing w:before="60" w:line="240" w:lineRule="auto"/>
              <w:jc w:val="center"/>
              <w:rPr>
                <w:i/>
                <w:iCs/>
                <w:sz w:val="16"/>
              </w:rPr>
            </w:pPr>
            <w:r>
              <w:rPr>
                <w:i/>
                <w:iCs/>
                <w:sz w:val="16"/>
              </w:rPr>
              <w:t>Расстройства зрения</w:t>
            </w:r>
          </w:p>
        </w:tc>
        <w:tc>
          <w:tcPr>
            <w:tcW w:w="558" w:type="pct"/>
            <w:tcBorders>
              <w:top w:val="single" w:sz="4" w:space="0" w:color="auto"/>
              <w:bottom w:val="single" w:sz="4" w:space="0" w:color="auto"/>
            </w:tcBorders>
          </w:tcPr>
          <w:p w:rsidR="00000000" w:rsidRDefault="00000000">
            <w:pPr>
              <w:spacing w:before="60" w:line="240" w:lineRule="auto"/>
              <w:jc w:val="center"/>
              <w:rPr>
                <w:i/>
                <w:iCs/>
                <w:sz w:val="16"/>
              </w:rPr>
            </w:pPr>
            <w:r>
              <w:rPr>
                <w:i/>
                <w:iCs/>
                <w:sz w:val="16"/>
              </w:rPr>
              <w:t>Расстроства двигательной системы</w:t>
            </w:r>
          </w:p>
        </w:tc>
        <w:tc>
          <w:tcPr>
            <w:tcW w:w="589" w:type="pct"/>
            <w:tcBorders>
              <w:top w:val="single" w:sz="4" w:space="0" w:color="auto"/>
              <w:bottom w:val="single" w:sz="4" w:space="0" w:color="auto"/>
            </w:tcBorders>
          </w:tcPr>
          <w:p w:rsidR="00000000" w:rsidRDefault="00000000">
            <w:pPr>
              <w:spacing w:before="60" w:line="240" w:lineRule="auto"/>
              <w:jc w:val="center"/>
              <w:rPr>
                <w:i/>
                <w:iCs/>
                <w:sz w:val="16"/>
              </w:rPr>
            </w:pPr>
            <w:r>
              <w:rPr>
                <w:i/>
                <w:iCs/>
                <w:sz w:val="16"/>
              </w:rPr>
              <w:t>Умственные расстройства</w:t>
            </w:r>
          </w:p>
        </w:tc>
        <w:tc>
          <w:tcPr>
            <w:tcW w:w="315" w:type="pct"/>
            <w:tcBorders>
              <w:top w:val="single" w:sz="4" w:space="0" w:color="auto"/>
              <w:bottom w:val="single" w:sz="4" w:space="0" w:color="auto"/>
            </w:tcBorders>
          </w:tcPr>
          <w:p w:rsidR="00000000" w:rsidRDefault="00000000">
            <w:pPr>
              <w:spacing w:before="60" w:line="240" w:lineRule="auto"/>
              <w:jc w:val="center"/>
              <w:rPr>
                <w:i/>
                <w:iCs/>
                <w:sz w:val="16"/>
              </w:rPr>
            </w:pPr>
            <w:r>
              <w:rPr>
                <w:i/>
                <w:iCs/>
                <w:sz w:val="16"/>
              </w:rPr>
              <w:t>Аутизм</w:t>
            </w:r>
          </w:p>
        </w:tc>
      </w:tr>
      <w:tr w:rsidR="00000000">
        <w:tblPrEx>
          <w:tblCellMar>
            <w:top w:w="0" w:type="dxa"/>
            <w:bottom w:w="0" w:type="dxa"/>
          </w:tblCellMar>
        </w:tblPrEx>
        <w:trPr>
          <w:cantSplit/>
        </w:trPr>
        <w:tc>
          <w:tcPr>
            <w:tcW w:w="519" w:type="pct"/>
            <w:tcBorders>
              <w:top w:val="single" w:sz="4" w:space="0" w:color="auto"/>
            </w:tcBorders>
          </w:tcPr>
          <w:p w:rsidR="00000000" w:rsidRDefault="00000000">
            <w:pPr>
              <w:spacing w:before="60" w:line="240" w:lineRule="auto"/>
              <w:rPr>
                <w:sz w:val="16"/>
              </w:rPr>
            </w:pPr>
            <w:r>
              <w:rPr>
                <w:sz w:val="16"/>
              </w:rPr>
              <w:t>ГВОО</w:t>
            </w:r>
          </w:p>
        </w:tc>
        <w:tc>
          <w:tcPr>
            <w:tcW w:w="344" w:type="pct"/>
            <w:tcBorders>
              <w:top w:val="single" w:sz="4" w:space="0" w:color="auto"/>
            </w:tcBorders>
          </w:tcPr>
          <w:p w:rsidR="00000000" w:rsidRDefault="00000000">
            <w:pPr>
              <w:tabs>
                <w:tab w:val="clear" w:pos="567"/>
              </w:tabs>
              <w:spacing w:before="60" w:line="240" w:lineRule="auto"/>
              <w:ind w:right="57"/>
              <w:jc w:val="right"/>
              <w:rPr>
                <w:sz w:val="16"/>
              </w:rPr>
            </w:pPr>
            <w:r>
              <w:rPr>
                <w:sz w:val="16"/>
              </w:rPr>
              <w:t>319 843</w:t>
            </w:r>
          </w:p>
        </w:tc>
        <w:tc>
          <w:tcPr>
            <w:tcW w:w="739" w:type="pct"/>
            <w:tcBorders>
              <w:top w:val="single" w:sz="4" w:space="0" w:color="auto"/>
            </w:tcBorders>
          </w:tcPr>
          <w:p w:rsidR="00000000" w:rsidRDefault="00000000">
            <w:pPr>
              <w:tabs>
                <w:tab w:val="clear" w:pos="567"/>
                <w:tab w:val="clear" w:pos="1134"/>
              </w:tabs>
              <w:spacing w:before="60" w:line="240" w:lineRule="auto"/>
              <w:ind w:right="447"/>
              <w:jc w:val="right"/>
              <w:rPr>
                <w:sz w:val="16"/>
              </w:rPr>
            </w:pPr>
            <w:r>
              <w:rPr>
                <w:sz w:val="16"/>
              </w:rPr>
              <w:t>287 859</w:t>
            </w:r>
          </w:p>
        </w:tc>
        <w:tc>
          <w:tcPr>
            <w:tcW w:w="737" w:type="pct"/>
            <w:tcBorders>
              <w:top w:val="single" w:sz="4" w:space="0" w:color="auto"/>
            </w:tcBorders>
          </w:tcPr>
          <w:p w:rsidR="00000000" w:rsidRDefault="00000000">
            <w:pPr>
              <w:tabs>
                <w:tab w:val="clear" w:pos="567"/>
                <w:tab w:val="clear" w:pos="1134"/>
              </w:tabs>
              <w:spacing w:before="60" w:line="240" w:lineRule="auto"/>
              <w:ind w:right="447"/>
              <w:jc w:val="right"/>
              <w:rPr>
                <w:sz w:val="16"/>
              </w:rPr>
            </w:pPr>
            <w:r>
              <w:rPr>
                <w:sz w:val="16"/>
              </w:rPr>
              <w:t>31 984</w:t>
            </w:r>
          </w:p>
        </w:tc>
        <w:tc>
          <w:tcPr>
            <w:tcW w:w="599" w:type="pct"/>
            <w:tcBorders>
              <w:top w:val="single" w:sz="4" w:space="0" w:color="auto"/>
            </w:tcBorders>
          </w:tcPr>
          <w:p w:rsidR="00000000" w:rsidRDefault="00000000">
            <w:pPr>
              <w:spacing w:before="60" w:line="240" w:lineRule="auto"/>
              <w:jc w:val="center"/>
              <w:rPr>
                <w:sz w:val="16"/>
              </w:rPr>
            </w:pPr>
            <w:r>
              <w:rPr>
                <w:sz w:val="16"/>
              </w:rPr>
              <w:t>14%</w:t>
            </w:r>
          </w:p>
        </w:tc>
        <w:tc>
          <w:tcPr>
            <w:tcW w:w="599" w:type="pct"/>
            <w:tcBorders>
              <w:top w:val="single" w:sz="4" w:space="0" w:color="auto"/>
            </w:tcBorders>
          </w:tcPr>
          <w:p w:rsidR="00000000" w:rsidRDefault="00000000">
            <w:pPr>
              <w:spacing w:before="60" w:line="240" w:lineRule="auto"/>
              <w:jc w:val="center"/>
              <w:rPr>
                <w:sz w:val="16"/>
              </w:rPr>
            </w:pPr>
            <w:r>
              <w:rPr>
                <w:sz w:val="16"/>
              </w:rPr>
              <w:t>7%</w:t>
            </w:r>
          </w:p>
        </w:tc>
        <w:tc>
          <w:tcPr>
            <w:tcW w:w="558" w:type="pct"/>
            <w:tcBorders>
              <w:top w:val="single" w:sz="4" w:space="0" w:color="auto"/>
            </w:tcBorders>
          </w:tcPr>
          <w:p w:rsidR="00000000" w:rsidRDefault="00000000">
            <w:pPr>
              <w:spacing w:before="60" w:line="240" w:lineRule="auto"/>
              <w:jc w:val="center"/>
              <w:rPr>
                <w:sz w:val="16"/>
              </w:rPr>
            </w:pPr>
            <w:r>
              <w:rPr>
                <w:sz w:val="16"/>
              </w:rPr>
              <w:t>11%</w:t>
            </w:r>
          </w:p>
        </w:tc>
        <w:tc>
          <w:tcPr>
            <w:tcW w:w="589" w:type="pct"/>
            <w:tcBorders>
              <w:top w:val="single" w:sz="4" w:space="0" w:color="auto"/>
            </w:tcBorders>
          </w:tcPr>
          <w:p w:rsidR="00000000" w:rsidRDefault="00000000">
            <w:pPr>
              <w:spacing w:before="60" w:line="240" w:lineRule="auto"/>
              <w:jc w:val="center"/>
              <w:rPr>
                <w:sz w:val="16"/>
              </w:rPr>
            </w:pPr>
            <w:r>
              <w:rPr>
                <w:sz w:val="16"/>
              </w:rPr>
              <w:t>51%</w:t>
            </w:r>
          </w:p>
        </w:tc>
        <w:tc>
          <w:tcPr>
            <w:tcW w:w="315" w:type="pct"/>
            <w:tcBorders>
              <w:top w:val="single" w:sz="4" w:space="0" w:color="auto"/>
            </w:tcBorders>
          </w:tcPr>
          <w:p w:rsidR="00000000" w:rsidRDefault="00000000">
            <w:pPr>
              <w:spacing w:before="60" w:line="240" w:lineRule="auto"/>
              <w:jc w:val="center"/>
              <w:rPr>
                <w:sz w:val="16"/>
              </w:rPr>
            </w:pPr>
            <w:r>
              <w:rPr>
                <w:sz w:val="16"/>
              </w:rPr>
              <w:t>17%</w:t>
            </w:r>
          </w:p>
        </w:tc>
      </w:tr>
      <w:tr w:rsidR="00000000">
        <w:tblPrEx>
          <w:tblCellMar>
            <w:top w:w="0" w:type="dxa"/>
            <w:bottom w:w="0" w:type="dxa"/>
          </w:tblCellMar>
        </w:tblPrEx>
        <w:trPr>
          <w:cantSplit/>
        </w:trPr>
        <w:tc>
          <w:tcPr>
            <w:tcW w:w="519" w:type="pct"/>
          </w:tcPr>
          <w:p w:rsidR="00000000" w:rsidRDefault="00000000">
            <w:pPr>
              <w:spacing w:before="60" w:line="240" w:lineRule="auto"/>
              <w:rPr>
                <w:sz w:val="16"/>
              </w:rPr>
            </w:pPr>
            <w:r>
              <w:rPr>
                <w:sz w:val="16"/>
              </w:rPr>
              <w:t>ЦМП</w:t>
            </w:r>
          </w:p>
        </w:tc>
        <w:tc>
          <w:tcPr>
            <w:tcW w:w="344" w:type="pct"/>
          </w:tcPr>
          <w:p w:rsidR="00000000" w:rsidRDefault="00000000">
            <w:pPr>
              <w:tabs>
                <w:tab w:val="clear" w:pos="567"/>
              </w:tabs>
              <w:spacing w:before="60" w:line="240" w:lineRule="auto"/>
              <w:ind w:right="57"/>
              <w:jc w:val="right"/>
              <w:rPr>
                <w:sz w:val="16"/>
              </w:rPr>
            </w:pPr>
            <w:r>
              <w:rPr>
                <w:sz w:val="16"/>
              </w:rPr>
              <w:t>101 776</w:t>
            </w:r>
          </w:p>
        </w:tc>
        <w:tc>
          <w:tcPr>
            <w:tcW w:w="739" w:type="pct"/>
          </w:tcPr>
          <w:p w:rsidR="00000000" w:rsidRDefault="00000000">
            <w:pPr>
              <w:tabs>
                <w:tab w:val="clear" w:pos="567"/>
                <w:tab w:val="clear" w:pos="1134"/>
              </w:tabs>
              <w:spacing w:before="60" w:line="240" w:lineRule="auto"/>
              <w:ind w:right="447"/>
              <w:jc w:val="right"/>
              <w:rPr>
                <w:sz w:val="16"/>
              </w:rPr>
            </w:pPr>
            <w:r>
              <w:rPr>
                <w:sz w:val="16"/>
              </w:rPr>
              <w:t>30 523</w:t>
            </w:r>
          </w:p>
        </w:tc>
        <w:tc>
          <w:tcPr>
            <w:tcW w:w="737" w:type="pct"/>
          </w:tcPr>
          <w:p w:rsidR="00000000" w:rsidRDefault="00000000">
            <w:pPr>
              <w:tabs>
                <w:tab w:val="clear" w:pos="567"/>
                <w:tab w:val="clear" w:pos="1134"/>
              </w:tabs>
              <w:spacing w:before="60" w:line="240" w:lineRule="auto"/>
              <w:ind w:right="447"/>
              <w:jc w:val="right"/>
              <w:rPr>
                <w:sz w:val="16"/>
              </w:rPr>
            </w:pPr>
            <w:r>
              <w:rPr>
                <w:sz w:val="16"/>
              </w:rPr>
              <w:t>71 253</w:t>
            </w:r>
          </w:p>
        </w:tc>
        <w:tc>
          <w:tcPr>
            <w:tcW w:w="599" w:type="pct"/>
          </w:tcPr>
          <w:p w:rsidR="00000000" w:rsidRDefault="00000000">
            <w:pPr>
              <w:spacing w:before="60" w:line="240" w:lineRule="auto"/>
              <w:jc w:val="center"/>
              <w:rPr>
                <w:sz w:val="16"/>
              </w:rPr>
            </w:pPr>
            <w:r>
              <w:rPr>
                <w:sz w:val="16"/>
              </w:rPr>
              <w:t>13%</w:t>
            </w:r>
          </w:p>
        </w:tc>
        <w:tc>
          <w:tcPr>
            <w:tcW w:w="599" w:type="pct"/>
          </w:tcPr>
          <w:p w:rsidR="00000000" w:rsidRDefault="00000000">
            <w:pPr>
              <w:spacing w:before="60" w:line="240" w:lineRule="auto"/>
              <w:jc w:val="center"/>
              <w:rPr>
                <w:sz w:val="16"/>
              </w:rPr>
            </w:pPr>
            <w:r>
              <w:rPr>
                <w:sz w:val="16"/>
              </w:rPr>
              <w:t>2,7%</w:t>
            </w:r>
          </w:p>
        </w:tc>
        <w:tc>
          <w:tcPr>
            <w:tcW w:w="558" w:type="pct"/>
          </w:tcPr>
          <w:p w:rsidR="00000000" w:rsidRDefault="00000000">
            <w:pPr>
              <w:spacing w:before="60" w:line="240" w:lineRule="auto"/>
              <w:jc w:val="center"/>
              <w:rPr>
                <w:sz w:val="16"/>
              </w:rPr>
            </w:pPr>
            <w:r>
              <w:rPr>
                <w:sz w:val="16"/>
              </w:rPr>
              <w:t>15%</w:t>
            </w:r>
          </w:p>
        </w:tc>
        <w:tc>
          <w:tcPr>
            <w:tcW w:w="589" w:type="pct"/>
          </w:tcPr>
          <w:p w:rsidR="00000000" w:rsidRDefault="00000000">
            <w:pPr>
              <w:spacing w:before="60" w:line="240" w:lineRule="auto"/>
              <w:jc w:val="center"/>
              <w:rPr>
                <w:sz w:val="16"/>
              </w:rPr>
            </w:pPr>
            <w:r>
              <w:rPr>
                <w:sz w:val="16"/>
              </w:rPr>
              <w:t>69%</w:t>
            </w:r>
          </w:p>
        </w:tc>
        <w:tc>
          <w:tcPr>
            <w:tcW w:w="315" w:type="pct"/>
          </w:tcPr>
          <w:p w:rsidR="00000000" w:rsidRDefault="00000000">
            <w:pPr>
              <w:spacing w:before="60" w:line="240" w:lineRule="auto"/>
              <w:jc w:val="center"/>
              <w:rPr>
                <w:sz w:val="16"/>
              </w:rPr>
            </w:pPr>
            <w:r>
              <w:rPr>
                <w:sz w:val="16"/>
              </w:rPr>
              <w:t>0,4%</w:t>
            </w:r>
          </w:p>
        </w:tc>
      </w:tr>
      <w:tr w:rsidR="00000000">
        <w:tblPrEx>
          <w:tblCellMar>
            <w:top w:w="0" w:type="dxa"/>
            <w:bottom w:w="0" w:type="dxa"/>
          </w:tblCellMar>
        </w:tblPrEx>
        <w:trPr>
          <w:cantSplit/>
        </w:trPr>
        <w:tc>
          <w:tcPr>
            <w:tcW w:w="519" w:type="pct"/>
          </w:tcPr>
          <w:p w:rsidR="00000000" w:rsidRDefault="00000000">
            <w:pPr>
              <w:spacing w:before="60" w:line="240" w:lineRule="auto"/>
              <w:rPr>
                <w:sz w:val="16"/>
              </w:rPr>
            </w:pPr>
            <w:r>
              <w:rPr>
                <w:sz w:val="16"/>
              </w:rPr>
              <w:t>ЦППДО</w:t>
            </w:r>
          </w:p>
        </w:tc>
        <w:tc>
          <w:tcPr>
            <w:tcW w:w="344" w:type="pct"/>
          </w:tcPr>
          <w:p w:rsidR="00000000" w:rsidRDefault="00000000">
            <w:pPr>
              <w:tabs>
                <w:tab w:val="clear" w:pos="567"/>
              </w:tabs>
              <w:spacing w:before="60" w:line="240" w:lineRule="auto"/>
              <w:ind w:right="57"/>
              <w:jc w:val="right"/>
              <w:rPr>
                <w:sz w:val="16"/>
              </w:rPr>
            </w:pPr>
            <w:r>
              <w:rPr>
                <w:sz w:val="16"/>
              </w:rPr>
              <w:t>99 500</w:t>
            </w:r>
          </w:p>
        </w:tc>
        <w:tc>
          <w:tcPr>
            <w:tcW w:w="739" w:type="pct"/>
          </w:tcPr>
          <w:p w:rsidR="00000000" w:rsidRDefault="00000000">
            <w:pPr>
              <w:tabs>
                <w:tab w:val="clear" w:pos="567"/>
                <w:tab w:val="clear" w:pos="1134"/>
              </w:tabs>
              <w:spacing w:before="60" w:line="240" w:lineRule="auto"/>
              <w:ind w:right="447"/>
              <w:jc w:val="right"/>
              <w:rPr>
                <w:sz w:val="16"/>
              </w:rPr>
            </w:pPr>
            <w:r>
              <w:rPr>
                <w:sz w:val="16"/>
              </w:rPr>
              <w:t>92 535</w:t>
            </w:r>
          </w:p>
        </w:tc>
        <w:tc>
          <w:tcPr>
            <w:tcW w:w="737" w:type="pct"/>
          </w:tcPr>
          <w:p w:rsidR="00000000" w:rsidRDefault="00000000">
            <w:pPr>
              <w:tabs>
                <w:tab w:val="clear" w:pos="567"/>
                <w:tab w:val="clear" w:pos="1134"/>
              </w:tabs>
              <w:spacing w:before="60" w:line="240" w:lineRule="auto"/>
              <w:ind w:right="447"/>
              <w:jc w:val="right"/>
              <w:rPr>
                <w:sz w:val="16"/>
              </w:rPr>
            </w:pPr>
            <w:r>
              <w:rPr>
                <w:sz w:val="16"/>
              </w:rPr>
              <w:t>6 965</w:t>
            </w:r>
          </w:p>
        </w:tc>
        <w:tc>
          <w:tcPr>
            <w:tcW w:w="599" w:type="pct"/>
          </w:tcPr>
          <w:p w:rsidR="00000000" w:rsidRDefault="00000000">
            <w:pPr>
              <w:spacing w:before="60" w:line="240" w:lineRule="auto"/>
              <w:jc w:val="center"/>
              <w:rPr>
                <w:sz w:val="16"/>
              </w:rPr>
            </w:pPr>
            <w:r>
              <w:rPr>
                <w:sz w:val="16"/>
              </w:rPr>
              <w:t>16%</w:t>
            </w:r>
          </w:p>
        </w:tc>
        <w:tc>
          <w:tcPr>
            <w:tcW w:w="599" w:type="pct"/>
          </w:tcPr>
          <w:p w:rsidR="00000000" w:rsidRDefault="00000000">
            <w:pPr>
              <w:spacing w:before="60" w:line="240" w:lineRule="auto"/>
              <w:jc w:val="center"/>
              <w:rPr>
                <w:sz w:val="16"/>
              </w:rPr>
            </w:pPr>
            <w:r>
              <w:rPr>
                <w:sz w:val="16"/>
              </w:rPr>
              <w:t>6%</w:t>
            </w:r>
          </w:p>
        </w:tc>
        <w:tc>
          <w:tcPr>
            <w:tcW w:w="558" w:type="pct"/>
          </w:tcPr>
          <w:p w:rsidR="00000000" w:rsidRDefault="00000000">
            <w:pPr>
              <w:spacing w:before="60" w:line="240" w:lineRule="auto"/>
              <w:jc w:val="center"/>
              <w:rPr>
                <w:sz w:val="16"/>
              </w:rPr>
            </w:pPr>
            <w:r>
              <w:rPr>
                <w:sz w:val="16"/>
              </w:rPr>
              <w:t>31%</w:t>
            </w:r>
          </w:p>
        </w:tc>
        <w:tc>
          <w:tcPr>
            <w:tcW w:w="589" w:type="pct"/>
          </w:tcPr>
          <w:p w:rsidR="00000000" w:rsidRDefault="00000000">
            <w:pPr>
              <w:spacing w:before="60" w:line="240" w:lineRule="auto"/>
              <w:jc w:val="center"/>
              <w:rPr>
                <w:sz w:val="16"/>
              </w:rPr>
            </w:pPr>
            <w:r>
              <w:rPr>
                <w:sz w:val="16"/>
              </w:rPr>
              <w:t>47%</w:t>
            </w:r>
          </w:p>
        </w:tc>
        <w:tc>
          <w:tcPr>
            <w:tcW w:w="315" w:type="pct"/>
          </w:tcPr>
          <w:p w:rsidR="00000000" w:rsidRDefault="00000000">
            <w:pPr>
              <w:spacing w:before="60" w:line="240" w:lineRule="auto"/>
              <w:jc w:val="center"/>
              <w:rPr>
                <w:sz w:val="16"/>
              </w:rPr>
            </w:pPr>
            <w:r>
              <w:rPr>
                <w:sz w:val="16"/>
              </w:rPr>
              <w:t>---</w:t>
            </w:r>
          </w:p>
        </w:tc>
      </w:tr>
      <w:tr w:rsidR="00000000">
        <w:tblPrEx>
          <w:tblCellMar>
            <w:top w:w="0" w:type="dxa"/>
            <w:bottom w:w="0" w:type="dxa"/>
          </w:tblCellMar>
        </w:tblPrEx>
        <w:trPr>
          <w:cantSplit/>
        </w:trPr>
        <w:tc>
          <w:tcPr>
            <w:tcW w:w="519" w:type="pct"/>
          </w:tcPr>
          <w:p w:rsidR="00000000" w:rsidRDefault="00000000">
            <w:pPr>
              <w:spacing w:before="60" w:line="240" w:lineRule="auto"/>
              <w:rPr>
                <w:sz w:val="16"/>
              </w:rPr>
            </w:pPr>
            <w:r>
              <w:rPr>
                <w:sz w:val="16"/>
              </w:rPr>
              <w:t>Прочие системы</w:t>
            </w:r>
          </w:p>
        </w:tc>
        <w:tc>
          <w:tcPr>
            <w:tcW w:w="344" w:type="pct"/>
          </w:tcPr>
          <w:p w:rsidR="00000000" w:rsidRDefault="00000000">
            <w:pPr>
              <w:tabs>
                <w:tab w:val="clear" w:pos="567"/>
              </w:tabs>
              <w:spacing w:before="60" w:line="240" w:lineRule="auto"/>
              <w:ind w:right="57"/>
              <w:jc w:val="right"/>
              <w:rPr>
                <w:sz w:val="16"/>
              </w:rPr>
            </w:pPr>
            <w:r>
              <w:rPr>
                <w:sz w:val="16"/>
              </w:rPr>
              <w:t>4 113</w:t>
            </w:r>
          </w:p>
        </w:tc>
        <w:tc>
          <w:tcPr>
            <w:tcW w:w="739" w:type="pct"/>
          </w:tcPr>
          <w:p w:rsidR="00000000" w:rsidRDefault="00000000">
            <w:pPr>
              <w:tabs>
                <w:tab w:val="clear" w:pos="567"/>
                <w:tab w:val="clear" w:pos="1134"/>
              </w:tabs>
              <w:spacing w:before="60" w:line="240" w:lineRule="auto"/>
              <w:ind w:right="447"/>
              <w:jc w:val="right"/>
              <w:rPr>
                <w:sz w:val="16"/>
              </w:rPr>
            </w:pPr>
            <w:r>
              <w:rPr>
                <w:sz w:val="16"/>
              </w:rPr>
              <w:t>2 585</w:t>
            </w:r>
          </w:p>
        </w:tc>
        <w:tc>
          <w:tcPr>
            <w:tcW w:w="737" w:type="pct"/>
          </w:tcPr>
          <w:p w:rsidR="00000000" w:rsidRDefault="00000000">
            <w:pPr>
              <w:tabs>
                <w:tab w:val="clear" w:pos="567"/>
                <w:tab w:val="clear" w:pos="1134"/>
              </w:tabs>
              <w:spacing w:before="60" w:line="240" w:lineRule="auto"/>
              <w:ind w:right="447"/>
              <w:jc w:val="right"/>
              <w:rPr>
                <w:sz w:val="16"/>
              </w:rPr>
            </w:pPr>
            <w:r>
              <w:rPr>
                <w:sz w:val="16"/>
              </w:rPr>
              <w:t>1 528</w:t>
            </w:r>
          </w:p>
        </w:tc>
        <w:tc>
          <w:tcPr>
            <w:tcW w:w="599" w:type="pct"/>
          </w:tcPr>
          <w:p w:rsidR="00000000" w:rsidRDefault="00000000">
            <w:pPr>
              <w:spacing w:before="60" w:line="240" w:lineRule="auto"/>
              <w:jc w:val="center"/>
              <w:rPr>
                <w:sz w:val="16"/>
              </w:rPr>
            </w:pPr>
            <w:r>
              <w:rPr>
                <w:sz w:val="16"/>
              </w:rPr>
              <w:t>-</w:t>
            </w:r>
          </w:p>
        </w:tc>
        <w:tc>
          <w:tcPr>
            <w:tcW w:w="599" w:type="pct"/>
          </w:tcPr>
          <w:p w:rsidR="00000000" w:rsidRDefault="00000000">
            <w:pPr>
              <w:spacing w:before="60" w:line="240" w:lineRule="auto"/>
              <w:jc w:val="center"/>
              <w:rPr>
                <w:sz w:val="16"/>
              </w:rPr>
            </w:pPr>
            <w:r>
              <w:rPr>
                <w:sz w:val="16"/>
              </w:rPr>
              <w:t>-</w:t>
            </w:r>
          </w:p>
        </w:tc>
        <w:tc>
          <w:tcPr>
            <w:tcW w:w="558" w:type="pct"/>
          </w:tcPr>
          <w:p w:rsidR="00000000" w:rsidRDefault="00000000">
            <w:pPr>
              <w:spacing w:before="60" w:line="240" w:lineRule="auto"/>
              <w:jc w:val="center"/>
              <w:rPr>
                <w:sz w:val="16"/>
              </w:rPr>
            </w:pPr>
            <w:r>
              <w:rPr>
                <w:sz w:val="16"/>
              </w:rPr>
              <w:t>-</w:t>
            </w:r>
          </w:p>
        </w:tc>
        <w:tc>
          <w:tcPr>
            <w:tcW w:w="589" w:type="pct"/>
          </w:tcPr>
          <w:p w:rsidR="00000000" w:rsidRDefault="00000000">
            <w:pPr>
              <w:spacing w:before="60" w:line="240" w:lineRule="auto"/>
              <w:jc w:val="center"/>
              <w:rPr>
                <w:sz w:val="16"/>
              </w:rPr>
            </w:pPr>
            <w:r>
              <w:rPr>
                <w:sz w:val="16"/>
              </w:rPr>
              <w:t>-</w:t>
            </w:r>
          </w:p>
        </w:tc>
        <w:tc>
          <w:tcPr>
            <w:tcW w:w="315" w:type="pct"/>
          </w:tcPr>
          <w:p w:rsidR="00000000" w:rsidRDefault="00000000">
            <w:pPr>
              <w:spacing w:before="60" w:line="240" w:lineRule="auto"/>
              <w:jc w:val="center"/>
              <w:rPr>
                <w:sz w:val="16"/>
              </w:rPr>
            </w:pPr>
          </w:p>
        </w:tc>
      </w:tr>
      <w:tr w:rsidR="00000000">
        <w:tblPrEx>
          <w:tblCellMar>
            <w:top w:w="0" w:type="dxa"/>
            <w:bottom w:w="0" w:type="dxa"/>
          </w:tblCellMar>
        </w:tblPrEx>
        <w:trPr>
          <w:cantSplit/>
        </w:trPr>
        <w:tc>
          <w:tcPr>
            <w:tcW w:w="519" w:type="pct"/>
            <w:tcBorders>
              <w:bottom w:val="single" w:sz="4" w:space="0" w:color="auto"/>
            </w:tcBorders>
          </w:tcPr>
          <w:p w:rsidR="00000000" w:rsidRDefault="00000000">
            <w:pPr>
              <w:spacing w:before="60" w:line="240" w:lineRule="auto"/>
              <w:rPr>
                <w:sz w:val="16"/>
              </w:rPr>
            </w:pPr>
            <w:r>
              <w:rPr>
                <w:sz w:val="16"/>
              </w:rPr>
              <w:t>Итого</w:t>
            </w:r>
          </w:p>
        </w:tc>
        <w:tc>
          <w:tcPr>
            <w:tcW w:w="344" w:type="pct"/>
            <w:tcBorders>
              <w:bottom w:val="single" w:sz="4" w:space="0" w:color="auto"/>
            </w:tcBorders>
          </w:tcPr>
          <w:p w:rsidR="00000000" w:rsidRDefault="00000000">
            <w:pPr>
              <w:tabs>
                <w:tab w:val="clear" w:pos="567"/>
              </w:tabs>
              <w:spacing w:before="60" w:line="240" w:lineRule="auto"/>
              <w:ind w:right="57"/>
              <w:jc w:val="right"/>
              <w:rPr>
                <w:sz w:val="16"/>
              </w:rPr>
            </w:pPr>
            <w:r>
              <w:rPr>
                <w:sz w:val="16"/>
              </w:rPr>
              <w:t>525 232</w:t>
            </w:r>
          </w:p>
        </w:tc>
        <w:tc>
          <w:tcPr>
            <w:tcW w:w="739" w:type="pct"/>
            <w:tcBorders>
              <w:bottom w:val="single" w:sz="4" w:space="0" w:color="auto"/>
            </w:tcBorders>
          </w:tcPr>
          <w:p w:rsidR="00000000" w:rsidRDefault="00000000">
            <w:pPr>
              <w:tabs>
                <w:tab w:val="clear" w:pos="567"/>
                <w:tab w:val="clear" w:pos="1134"/>
              </w:tabs>
              <w:spacing w:before="60" w:line="240" w:lineRule="auto"/>
              <w:ind w:right="447"/>
              <w:jc w:val="right"/>
              <w:rPr>
                <w:sz w:val="16"/>
              </w:rPr>
            </w:pPr>
            <w:r>
              <w:rPr>
                <w:sz w:val="16"/>
              </w:rPr>
              <w:t>413 502</w:t>
            </w:r>
          </w:p>
        </w:tc>
        <w:tc>
          <w:tcPr>
            <w:tcW w:w="737" w:type="pct"/>
            <w:tcBorders>
              <w:bottom w:val="single" w:sz="4" w:space="0" w:color="auto"/>
            </w:tcBorders>
          </w:tcPr>
          <w:p w:rsidR="00000000" w:rsidRDefault="00000000">
            <w:pPr>
              <w:tabs>
                <w:tab w:val="clear" w:pos="567"/>
                <w:tab w:val="clear" w:pos="1134"/>
              </w:tabs>
              <w:spacing w:before="60" w:line="240" w:lineRule="auto"/>
              <w:ind w:right="447"/>
              <w:jc w:val="right"/>
              <w:rPr>
                <w:sz w:val="16"/>
              </w:rPr>
            </w:pPr>
            <w:r>
              <w:rPr>
                <w:sz w:val="16"/>
              </w:rPr>
              <w:t>111 730</w:t>
            </w:r>
          </w:p>
        </w:tc>
        <w:tc>
          <w:tcPr>
            <w:tcW w:w="599" w:type="pct"/>
            <w:tcBorders>
              <w:bottom w:val="single" w:sz="4" w:space="0" w:color="auto"/>
            </w:tcBorders>
          </w:tcPr>
          <w:p w:rsidR="00000000" w:rsidRDefault="00000000">
            <w:pPr>
              <w:spacing w:before="60" w:line="240" w:lineRule="auto"/>
              <w:jc w:val="center"/>
              <w:rPr>
                <w:sz w:val="16"/>
              </w:rPr>
            </w:pPr>
            <w:r>
              <w:rPr>
                <w:sz w:val="16"/>
              </w:rPr>
              <w:t>-</w:t>
            </w:r>
          </w:p>
        </w:tc>
        <w:tc>
          <w:tcPr>
            <w:tcW w:w="599" w:type="pct"/>
            <w:tcBorders>
              <w:bottom w:val="single" w:sz="4" w:space="0" w:color="auto"/>
            </w:tcBorders>
          </w:tcPr>
          <w:p w:rsidR="00000000" w:rsidRDefault="00000000">
            <w:pPr>
              <w:spacing w:before="60" w:line="240" w:lineRule="auto"/>
              <w:jc w:val="center"/>
              <w:rPr>
                <w:sz w:val="16"/>
              </w:rPr>
            </w:pPr>
            <w:r>
              <w:rPr>
                <w:sz w:val="16"/>
              </w:rPr>
              <w:t>-</w:t>
            </w:r>
          </w:p>
        </w:tc>
        <w:tc>
          <w:tcPr>
            <w:tcW w:w="558" w:type="pct"/>
            <w:tcBorders>
              <w:bottom w:val="single" w:sz="4" w:space="0" w:color="auto"/>
            </w:tcBorders>
          </w:tcPr>
          <w:p w:rsidR="00000000" w:rsidRDefault="00000000">
            <w:pPr>
              <w:spacing w:before="60" w:line="240" w:lineRule="auto"/>
              <w:jc w:val="center"/>
              <w:rPr>
                <w:sz w:val="16"/>
              </w:rPr>
            </w:pPr>
            <w:r>
              <w:rPr>
                <w:sz w:val="16"/>
              </w:rPr>
              <w:t>-</w:t>
            </w:r>
          </w:p>
        </w:tc>
        <w:tc>
          <w:tcPr>
            <w:tcW w:w="589" w:type="pct"/>
            <w:tcBorders>
              <w:bottom w:val="single" w:sz="4" w:space="0" w:color="auto"/>
            </w:tcBorders>
          </w:tcPr>
          <w:p w:rsidR="00000000" w:rsidRDefault="00000000">
            <w:pPr>
              <w:spacing w:before="60" w:line="240" w:lineRule="auto"/>
              <w:jc w:val="center"/>
              <w:rPr>
                <w:sz w:val="16"/>
              </w:rPr>
            </w:pPr>
            <w:r>
              <w:rPr>
                <w:sz w:val="16"/>
              </w:rPr>
              <w:t>-</w:t>
            </w:r>
          </w:p>
        </w:tc>
        <w:tc>
          <w:tcPr>
            <w:tcW w:w="315" w:type="pct"/>
            <w:tcBorders>
              <w:bottom w:val="single" w:sz="4" w:space="0" w:color="auto"/>
            </w:tcBorders>
          </w:tcPr>
          <w:p w:rsidR="00000000" w:rsidRDefault="00000000">
            <w:pPr>
              <w:spacing w:before="60" w:line="240" w:lineRule="auto"/>
              <w:jc w:val="center"/>
              <w:rPr>
                <w:sz w:val="16"/>
              </w:rPr>
            </w:pPr>
            <w:r>
              <w:rPr>
                <w:sz w:val="16"/>
              </w:rPr>
              <w:t>-</w:t>
            </w:r>
          </w:p>
        </w:tc>
      </w:tr>
    </w:tbl>
    <w:p w:rsidR="00000000" w:rsidRDefault="00000000">
      <w:pPr>
        <w:jc w:val="both"/>
        <w:rPr>
          <w:sz w:val="18"/>
          <w:szCs w:val="22"/>
        </w:rPr>
      </w:pPr>
    </w:p>
    <w:p w:rsidR="00000000" w:rsidRDefault="00000000">
      <w:pPr>
        <w:spacing w:line="216" w:lineRule="auto"/>
        <w:jc w:val="both"/>
        <w:rPr>
          <w:sz w:val="18"/>
          <w:szCs w:val="22"/>
        </w:rPr>
      </w:pPr>
      <w:r>
        <w:rPr>
          <w:i/>
          <w:iCs/>
          <w:sz w:val="18"/>
          <w:szCs w:val="22"/>
        </w:rPr>
        <w:t>Источник:</w:t>
      </w:r>
      <w:r>
        <w:rPr>
          <w:sz w:val="18"/>
          <w:szCs w:val="22"/>
        </w:rPr>
        <w:t xml:space="preserve">  министерство просвещения, отдел международных связей, 2004 год.</w:t>
      </w:r>
    </w:p>
    <w:p w:rsidR="00000000" w:rsidRDefault="00000000">
      <w:pPr>
        <w:jc w:val="both"/>
        <w:rPr>
          <w:sz w:val="18"/>
          <w:szCs w:val="22"/>
        </w:rPr>
      </w:pPr>
    </w:p>
    <w:p w:rsidR="00000000" w:rsidRDefault="00000000">
      <w:pPr>
        <w:tabs>
          <w:tab w:val="clear" w:pos="1134"/>
          <w:tab w:val="left" w:pos="851"/>
        </w:tabs>
        <w:jc w:val="both"/>
        <w:rPr>
          <w:sz w:val="18"/>
          <w:szCs w:val="22"/>
        </w:rPr>
      </w:pPr>
      <w:r>
        <w:rPr>
          <w:sz w:val="18"/>
          <w:szCs w:val="22"/>
        </w:rPr>
        <w:t>ГВОО</w:t>
      </w:r>
      <w:r>
        <w:rPr>
          <w:sz w:val="18"/>
          <w:szCs w:val="22"/>
        </w:rPr>
        <w:tab/>
      </w:r>
      <w:r>
        <w:rPr>
          <w:sz w:val="18"/>
          <w:szCs w:val="22"/>
        </w:rPr>
        <w:tab/>
        <w:t>Группа вспомогательного обслуживания обычного образования.</w:t>
      </w:r>
    </w:p>
    <w:p w:rsidR="00000000" w:rsidRDefault="00000000">
      <w:pPr>
        <w:tabs>
          <w:tab w:val="clear" w:pos="1134"/>
          <w:tab w:val="left" w:pos="851"/>
        </w:tabs>
        <w:jc w:val="both"/>
        <w:rPr>
          <w:sz w:val="18"/>
          <w:szCs w:val="22"/>
        </w:rPr>
      </w:pPr>
      <w:r>
        <w:rPr>
          <w:sz w:val="18"/>
          <w:szCs w:val="22"/>
        </w:rPr>
        <w:t>ЦМП</w:t>
      </w:r>
      <w:r>
        <w:rPr>
          <w:sz w:val="18"/>
          <w:szCs w:val="22"/>
        </w:rPr>
        <w:tab/>
      </w:r>
      <w:r>
        <w:rPr>
          <w:sz w:val="18"/>
          <w:szCs w:val="22"/>
        </w:rPr>
        <w:tab/>
        <w:t>Центр многопрофильной поддержки.</w:t>
      </w:r>
    </w:p>
    <w:p w:rsidR="00000000" w:rsidRDefault="00000000">
      <w:pPr>
        <w:tabs>
          <w:tab w:val="clear" w:pos="1134"/>
          <w:tab w:val="left" w:pos="851"/>
        </w:tabs>
        <w:jc w:val="both"/>
        <w:rPr>
          <w:sz w:val="18"/>
          <w:szCs w:val="22"/>
        </w:rPr>
      </w:pPr>
      <w:r>
        <w:rPr>
          <w:sz w:val="18"/>
          <w:szCs w:val="22"/>
        </w:rPr>
        <w:t>ЦППДО</w:t>
      </w:r>
      <w:r>
        <w:rPr>
          <w:sz w:val="18"/>
          <w:szCs w:val="22"/>
        </w:rPr>
        <w:tab/>
        <w:t>Центр психо-педагогической поддержки дошкольного образования.</w:t>
      </w:r>
    </w:p>
    <w:p w:rsidR="00000000" w:rsidRDefault="00000000"/>
    <w:p w:rsidR="00000000" w:rsidRDefault="00000000">
      <w:pPr>
        <w:rPr>
          <w:b/>
          <w:bCs/>
        </w:rPr>
      </w:pPr>
      <w:r>
        <w:rPr>
          <w:b/>
          <w:bCs/>
        </w:rPr>
        <w:t>Пункт 60 с)</w:t>
      </w:r>
    </w:p>
    <w:p w:rsidR="00000000" w:rsidRDefault="00000000">
      <w:pPr>
        <w:rPr>
          <w:b/>
          <w:bCs/>
        </w:rPr>
      </w:pPr>
    </w:p>
    <w:p w:rsidR="00000000" w:rsidRDefault="00000000">
      <w:pPr>
        <w:rPr>
          <w:b/>
          <w:bCs/>
        </w:rPr>
      </w:pPr>
      <w:r>
        <w:rPr>
          <w:b/>
          <w:bCs/>
        </w:rPr>
        <w:tab/>
        <w:t>Программы компенсации</w:t>
      </w:r>
    </w:p>
    <w:p w:rsidR="00000000" w:rsidRDefault="00000000">
      <w:pPr>
        <w:rPr>
          <w:b/>
          <w:bCs/>
        </w:rPr>
      </w:pPr>
    </w:p>
    <w:p w:rsidR="00000000" w:rsidRDefault="00000000">
      <w:r>
        <w:t>699.</w:t>
      </w:r>
      <w:r>
        <w:tab/>
        <w:t>Федеральное правительство, стремясь к активизации своих усилий, устранению неравенства в удовлетворении спроса на образовательные ресурсы и в целях расширения возможностей поступления и учебы в учебных заведениях детей в сельских районах и в районах проживания коренного населения, в удаленных населенных пунктах и населенных пунктах с затрудненным доступом, а также в кварталах городской бедноты, предпринимает действия по компенсации такого неравенства, специально выделяя органам власти и субъектам федерации ресурсы, обращая особое внимание обучению в районах с наибольшим отставанием, осуществляя на комплексной и гибкой основе деятельность, соответствующую местной проблематике и специфике, и содействуя активному участию общества, обеспечивающему тесную связь между школой и обществом.</w:t>
      </w:r>
    </w:p>
    <w:p w:rsidR="00000000" w:rsidRDefault="00000000"/>
    <w:p w:rsidR="00000000" w:rsidRDefault="00000000">
      <w:r>
        <w:t>700.</w:t>
      </w:r>
      <w:r>
        <w:tab/>
        <w:t>Компенсационные меры призваны устранить такие структурные факторы, которые вызывают отставание в сфере образования, т.е. такие установки, которые связаны не только с положительными сторонами, но и со слабостями нынешней практики образования, управления школами и управления образовательными ресурсами, на основе двух важнейших элементов:  во</w:t>
      </w:r>
      <w:r>
        <w:noBreakHyphen/>
        <w:t>первых, аспект институционального управления и, во</w:t>
      </w:r>
      <w:r>
        <w:noBreakHyphen/>
        <w:t>вторых, качество образования, при том понимании, что для обеспечения качества образования необходимо эффективное управление.</w:t>
      </w:r>
    </w:p>
    <w:p w:rsidR="00000000" w:rsidRDefault="00000000"/>
    <w:p w:rsidR="00000000" w:rsidRDefault="00000000">
      <w:pPr>
        <w:rPr>
          <w:b/>
          <w:bCs/>
        </w:rPr>
      </w:pPr>
      <w:r>
        <w:rPr>
          <w:b/>
          <w:bCs/>
        </w:rPr>
        <w:tab/>
        <w:t>Образование для коренных народов</w:t>
      </w:r>
    </w:p>
    <w:p w:rsidR="00000000" w:rsidRDefault="00000000">
      <w:pPr>
        <w:rPr>
          <w:b/>
          <w:bCs/>
        </w:rPr>
      </w:pPr>
    </w:p>
    <w:p w:rsidR="00000000" w:rsidRDefault="00000000">
      <w:r>
        <w:t>701.</w:t>
      </w:r>
      <w:r>
        <w:tab/>
        <w:t>Правительство Мексики, развивая деятельность в области образования, которая одновременно содействует улучшению условий жизни коренного населения, а также его доступ к тем благам, которое дает развитие страны, содействует соблюдению и ограждению его прав человека, прежде всего прав женщин и детей, неукоснительно уважает культурную и языковую самобытность каждой этнической группы.</w:t>
      </w:r>
    </w:p>
    <w:p w:rsidR="00000000" w:rsidRDefault="00000000"/>
    <w:p w:rsidR="00000000" w:rsidRDefault="00000000">
      <w:r>
        <w:t>702.</w:t>
      </w:r>
      <w:r>
        <w:tab/>
        <w:t>В этой связи образовательная политика ставит своей целью достижение того, чтобы образование для детей коренных народов было межкультурным и двуязычным.  Так, благодаря признанию их культурной и языковой самобытности удастся удовлетворить на условиях равенства и с учетом реальных потребностей образовательные нужды и основные потребности в обучении.</w:t>
      </w:r>
    </w:p>
    <w:p w:rsidR="00000000" w:rsidRDefault="00000000"/>
    <w:p w:rsidR="00000000" w:rsidRDefault="00000000">
      <w:pPr>
        <w:rPr>
          <w:b/>
          <w:bCs/>
        </w:rPr>
      </w:pPr>
      <w:r>
        <w:rPr>
          <w:b/>
          <w:bCs/>
        </w:rPr>
        <w:tab/>
        <w:t>Общинное образование</w:t>
      </w:r>
    </w:p>
    <w:p w:rsidR="00000000" w:rsidRDefault="00000000">
      <w:pPr>
        <w:rPr>
          <w:b/>
          <w:bCs/>
        </w:rPr>
      </w:pPr>
    </w:p>
    <w:p w:rsidR="00000000" w:rsidRDefault="00000000">
      <w:r>
        <w:t>703.</w:t>
      </w:r>
      <w:r>
        <w:tab/>
        <w:t>В целях организации базового образования для детей, которые живут в сельских районах в наиболее удаленных и труднодоступных районах страны, осуществляются общинные учебные программы базового уровня.</w:t>
      </w:r>
    </w:p>
    <w:p w:rsidR="00000000" w:rsidRDefault="00000000"/>
    <w:p w:rsidR="00000000" w:rsidRDefault="00000000">
      <w:r>
        <w:t>704.</w:t>
      </w:r>
      <w:r>
        <w:tab/>
        <w:t>Согласно действующим нормативам, общинные учебные заведения создаются в населенных пунктах с числом жителей менее 500 человек, и эта задача достаточно сложна, поскольку в стране имеется больше 200 000 таких населенных пунктов, 75% из которых имеют число жителей меньше 100 человек.</w:t>
      </w:r>
    </w:p>
    <w:p w:rsidR="00000000" w:rsidRDefault="00000000">
      <w:pPr>
        <w:spacing w:line="240" w:lineRule="auto"/>
      </w:pPr>
    </w:p>
    <w:p w:rsidR="00000000" w:rsidRDefault="00000000">
      <w:pPr>
        <w:spacing w:line="240" w:lineRule="auto"/>
        <w:rPr>
          <w:b/>
          <w:bCs/>
        </w:rPr>
      </w:pPr>
      <w:r>
        <w:rPr>
          <w:b/>
          <w:bCs/>
        </w:rPr>
        <w:br w:type="page"/>
      </w:r>
      <w:r>
        <w:rPr>
          <w:b/>
          <w:bCs/>
        </w:rPr>
        <w:tab/>
        <w:t>Стипендии</w:t>
      </w:r>
    </w:p>
    <w:p w:rsidR="00000000" w:rsidRDefault="00000000">
      <w:pPr>
        <w:spacing w:line="240" w:lineRule="auto"/>
        <w:rPr>
          <w:b/>
          <w:bCs/>
        </w:rPr>
      </w:pPr>
    </w:p>
    <w:p w:rsidR="00000000" w:rsidRDefault="00000000">
      <w:r>
        <w:t>705.</w:t>
      </w:r>
      <w:r>
        <w:tab/>
        <w:t>В целях уменьшения неравенства в образовательных возможностях, от которого страдают уязвимые группы, а также подростки и молодые люди, которые в силу нехватки средств сталкиваются с трудностями в продолжении своих занятий, мексиканское правительство поставило цель укрепления программ и мер поддержки таких групп на основе предоставления стипендий.</w:t>
      </w:r>
    </w:p>
    <w:p w:rsidR="00000000" w:rsidRDefault="00000000"/>
    <w:p w:rsidR="00000000" w:rsidRDefault="00000000">
      <w:r>
        <w:t>706.</w:t>
      </w:r>
      <w:r>
        <w:tab/>
        <w:t>В ходе всего 2003/04 учебного года было предоставлено в общей сложности 5,2 млн. стипендий детям и молодым людям, которые нуждаются в них для прохождения обучения, от начальной школы до аспирантуры.  Следует подчеркнуть, что в рамках программы развития возможностей человека было представлено почти 4,6 млн. стипендий для детей и молодых людей для целей базового образования и получения среднего специального образования.</w:t>
      </w:r>
    </w:p>
    <w:p w:rsidR="00000000" w:rsidRDefault="00000000"/>
    <w:p w:rsidR="00000000" w:rsidRDefault="00000000">
      <w:r>
        <w:t>707.</w:t>
      </w:r>
      <w:r>
        <w:tab/>
        <w:t>Многоплановая работа, описанная выше, позволила добиться того, чтобы дети и молодые люди из уязвимых групп имели бо</w:t>
      </w:r>
      <w:r>
        <w:rPr>
          <w:rFonts w:ascii="Tahoma" w:hAnsi="Tahoma" w:cs="Tahoma"/>
        </w:rPr>
        <w:t></w:t>
      </w:r>
      <w:r>
        <w:t>льшие возможности доступа к образованию.</w:t>
      </w:r>
    </w:p>
    <w:p w:rsidR="00000000" w:rsidRDefault="00000000"/>
    <w:p w:rsidR="00000000" w:rsidRDefault="00000000">
      <w:pPr>
        <w:rPr>
          <w:b/>
          <w:bCs/>
        </w:rPr>
      </w:pPr>
      <w:r>
        <w:rPr>
          <w:b/>
          <w:bCs/>
        </w:rPr>
        <w:t xml:space="preserve">Пункт 60 d) </w:t>
      </w:r>
    </w:p>
    <w:p w:rsidR="00000000" w:rsidRDefault="00000000">
      <w:pPr>
        <w:rPr>
          <w:b/>
          <w:bCs/>
        </w:rPr>
      </w:pPr>
    </w:p>
    <w:p w:rsidR="00000000" w:rsidRDefault="00000000">
      <w:r>
        <w:t>708.</w:t>
      </w:r>
      <w:r>
        <w:tab/>
        <w:t>Среди основных мероприятий, проведенных для продвижения межкультурного двуязычного образования со специфическими чертами в академических и практических аспектах, можно назвать следующие:  подготовка учебных материалов, содействие базовому и профессиональному обучению двуязычных педагогов, развитие учебных проектов и содействие использованию и преподаванию языков коренных народов в учебном процессе.</w:t>
      </w:r>
    </w:p>
    <w:p w:rsidR="00000000" w:rsidRDefault="00000000"/>
    <w:p w:rsidR="00000000" w:rsidRDefault="00000000">
      <w:r>
        <w:t>709.</w:t>
      </w:r>
      <w:r>
        <w:tab/>
        <w:t>Учебные материалы призваны развить такую практику образования, которая учитывает образовательные потребности детей коренных народов и содействует удовлетворению их основных потребностей в образовании с упором на его международном и двуязычном характере.</w:t>
      </w:r>
    </w:p>
    <w:p w:rsidR="00000000" w:rsidRDefault="00000000"/>
    <w:p w:rsidR="00000000" w:rsidRDefault="00000000">
      <w:r>
        <w:t>710.</w:t>
      </w:r>
      <w:r>
        <w:tab/>
        <w:t>Базовое и профессиональное образование двуязычных учителей рассматривается в качестве комплексного, систематического и постоянного процесса, который конкретизируется в непрерывности и последовательности действий по первоначальному образованию учителей, повышению квалификации преподавательских кадров и совершенствованию в профессиональном и академическом аспекте в целях улучшения педагогического образования в учебных заведениях и стимулирования совместных усилий преподавателей и создания условий педагогического обмена между руководителями и учителями с упором на межкультурном и двуязычном характере образования.</w:t>
      </w:r>
    </w:p>
    <w:p w:rsidR="00000000" w:rsidRDefault="00000000">
      <w:r>
        <w:t>711.</w:t>
      </w:r>
      <w:r>
        <w:tab/>
        <w:t>Для стимулирования развития языков коренных народов необходимо реализовать процессы исследований, выработки методических предложений подготовки кадров и разработки дидактических материалов, которые бы обеспечивали усвоение учащимися навыков чтения и письма как на родном языке, так и на испанском языке.</w:t>
      </w:r>
    </w:p>
    <w:p w:rsidR="00000000" w:rsidRDefault="00000000"/>
    <w:p w:rsidR="00000000" w:rsidRDefault="00000000">
      <w:pPr>
        <w:rPr>
          <w:b/>
          <w:bCs/>
        </w:rPr>
      </w:pPr>
      <w:r>
        <w:rPr>
          <w:b/>
          <w:bCs/>
        </w:rPr>
        <w:t>Пункт 61</w:t>
      </w:r>
    </w:p>
    <w:p w:rsidR="00000000" w:rsidRDefault="00000000">
      <w:pPr>
        <w:rPr>
          <w:b/>
          <w:bCs/>
        </w:rPr>
      </w:pPr>
    </w:p>
    <w:p w:rsidR="00000000" w:rsidRDefault="00000000">
      <w:r>
        <w:t>712.</w:t>
      </w:r>
      <w:r>
        <w:tab/>
        <w:t>В системе базового образования оклады учителей варьируются в зависимости от субъекта федерации, в котором они работают, если они вписаны в педагогический табель о рангах и в зависимости от места работы, а также различных надбавок, начисляемых за выслугу лет и за отработанные часы.</w:t>
      </w:r>
    </w:p>
    <w:p w:rsidR="00000000" w:rsidRDefault="00000000"/>
    <w:p w:rsidR="00000000" w:rsidRDefault="00000000">
      <w:r>
        <w:t>713.</w:t>
      </w:r>
      <w:r>
        <w:tab/>
        <w:t>В системе среднего специального образования имеется ряд государственных учебных заведений, в которых оплата преподавателей также варьируется в зависимости от того, входит ли данное учебное заведение в систему федерации, является ли оно децентрализованным или же оно действует при университете штата, когда в каждом случае действует свой порядок начисления оклада.  Сходная ситуация характерна и для системы высшего образования.</w:t>
      </w:r>
    </w:p>
    <w:p w:rsidR="00000000" w:rsidRDefault="00000000"/>
    <w:p w:rsidR="00000000" w:rsidRDefault="00000000">
      <w:r>
        <w:t>714.</w:t>
      </w:r>
      <w:r>
        <w:tab/>
        <w:t>Что касается окладов других государственных служащих, то здесь также имеются различия в оплате труда между органами управления штатов и федерации, а также между учреждениями, между которыми имеются различия в уровне оплаты труда.</w:t>
      </w:r>
    </w:p>
    <w:p w:rsidR="00000000" w:rsidRDefault="00000000"/>
    <w:p w:rsidR="00000000" w:rsidRDefault="00000000">
      <w:r>
        <w:t>715.</w:t>
      </w:r>
      <w:r>
        <w:tab/>
        <w:t>Поэтому нет возможности сделать общее сопоставление динамики оплаты труда преподавательских кадров и других должностных лиц в хронологическом разрезе.</w:t>
      </w:r>
    </w:p>
    <w:p w:rsidR="00000000" w:rsidRDefault="00000000"/>
    <w:p w:rsidR="00000000" w:rsidRDefault="00000000">
      <w:r>
        <w:t>716.</w:t>
      </w:r>
      <w:r>
        <w:tab/>
        <w:t>Точно так же меры, которые могли бы быть приняты для улучшения условий жизни преподавательского состава, зависят от экономических ресурсов, которые имеются, и от конкретных условий, в которых находится каждое учебное заведение, а также от возможностей органов управления штатов и федерального правительства.</w:t>
      </w:r>
    </w:p>
    <w:p w:rsidR="00000000" w:rsidRDefault="00000000"/>
    <w:p w:rsidR="00000000" w:rsidRDefault="00000000">
      <w:pPr>
        <w:rPr>
          <w:b/>
          <w:bCs/>
        </w:rPr>
      </w:pPr>
      <w:r>
        <w:rPr>
          <w:b/>
          <w:bCs/>
        </w:rPr>
        <w:t>Пункт 62</w:t>
      </w:r>
    </w:p>
    <w:p w:rsidR="00000000" w:rsidRDefault="00000000">
      <w:pPr>
        <w:rPr>
          <w:b/>
          <w:bCs/>
        </w:rPr>
      </w:pPr>
    </w:p>
    <w:p w:rsidR="00000000" w:rsidRDefault="00000000">
      <w:r>
        <w:t>717.</w:t>
      </w:r>
      <w:r>
        <w:tab/>
        <w:t>Доля школ, которые не были созданы и не управляются государством, составляет 12,6%.</w:t>
      </w:r>
    </w:p>
    <w:p w:rsidR="00000000" w:rsidRDefault="00000000"/>
    <w:p w:rsidR="00000000" w:rsidRDefault="00000000">
      <w:r>
        <w:br w:type="page"/>
        <w:t>718.</w:t>
      </w:r>
      <w:r>
        <w:tab/>
        <w:t>Частные лица, желающие создать такие школы, не встречают каких бы то ни было затруднений и лишь должны соблюсти установленный порядок.  Что касается доступа, то средние специальные учебные заведения и высшие учебные заведения обычно проводят вступительные экзамены до принятия студентов, зачисляемых на первый курс.</w:t>
      </w:r>
    </w:p>
    <w:p w:rsidR="00000000" w:rsidRDefault="00000000"/>
    <w:p w:rsidR="00000000" w:rsidRDefault="00000000">
      <w:pPr>
        <w:rPr>
          <w:b/>
          <w:bCs/>
        </w:rPr>
      </w:pPr>
      <w:r>
        <w:rPr>
          <w:b/>
          <w:bCs/>
        </w:rPr>
        <w:t>Пункт 63</w:t>
      </w:r>
    </w:p>
    <w:p w:rsidR="00000000" w:rsidRDefault="00000000">
      <w:pPr>
        <w:rPr>
          <w:b/>
          <w:bCs/>
        </w:rPr>
      </w:pPr>
    </w:p>
    <w:p w:rsidR="00000000" w:rsidRDefault="00000000">
      <w:r>
        <w:t>719.</w:t>
      </w:r>
      <w:r>
        <w:tab/>
        <w:t>В ходе периода, охватываемого докладом, не имело место каких-либо изменений в политике, законодательстве и практике страны, которые бы негативным образом захватывали право, закрепленное в статье 13.</w:t>
      </w:r>
    </w:p>
    <w:p w:rsidR="00000000" w:rsidRDefault="00000000"/>
    <w:p w:rsidR="00000000" w:rsidRDefault="00000000">
      <w:pPr>
        <w:rPr>
          <w:b/>
          <w:bCs/>
        </w:rPr>
      </w:pPr>
      <w:r>
        <w:rPr>
          <w:b/>
          <w:bCs/>
        </w:rPr>
        <w:t>Пункт 64</w:t>
      </w:r>
    </w:p>
    <w:p w:rsidR="00000000" w:rsidRDefault="00000000">
      <w:pPr>
        <w:rPr>
          <w:b/>
          <w:bCs/>
        </w:rPr>
      </w:pPr>
    </w:p>
    <w:p w:rsidR="00000000" w:rsidRDefault="00000000">
      <w:r>
        <w:t>720.</w:t>
      </w:r>
      <w:r>
        <w:tab/>
        <w:t>Всемирный банк финансовыми средствами поддерживает программы, цель которых заключается в обеспечении равенства, а также в улучшении и модернизации профессионально-технического образования.</w:t>
      </w:r>
    </w:p>
    <w:p w:rsidR="00000000" w:rsidRDefault="00000000"/>
    <w:p w:rsidR="00000000" w:rsidRDefault="00000000">
      <w:pPr>
        <w:keepNext/>
        <w:jc w:val="center"/>
        <w:rPr>
          <w:b/>
          <w:bCs/>
        </w:rPr>
      </w:pPr>
      <w:r>
        <w:rPr>
          <w:b/>
          <w:bCs/>
          <w:lang w:val="en-US"/>
        </w:rPr>
        <w:t>I</w:t>
      </w:r>
      <w:r>
        <w:rPr>
          <w:b/>
          <w:bCs/>
        </w:rPr>
        <w:t>.</w:t>
      </w:r>
      <w:r>
        <w:rPr>
          <w:b/>
          <w:bCs/>
        </w:rPr>
        <w:tab/>
        <w:t>Статья 14</w:t>
      </w:r>
    </w:p>
    <w:p w:rsidR="00000000" w:rsidRDefault="00000000">
      <w:pPr>
        <w:keepNext/>
        <w:jc w:val="center"/>
        <w:rPr>
          <w:b/>
          <w:bCs/>
        </w:rPr>
      </w:pPr>
    </w:p>
    <w:p w:rsidR="00000000" w:rsidRDefault="00000000">
      <w:pPr>
        <w:keepNext/>
        <w:rPr>
          <w:b/>
          <w:bCs/>
        </w:rPr>
      </w:pPr>
      <w:r>
        <w:rPr>
          <w:b/>
          <w:bCs/>
        </w:rPr>
        <w:t>Пункт 65</w:t>
      </w:r>
    </w:p>
    <w:p w:rsidR="00000000" w:rsidRDefault="00000000">
      <w:pPr>
        <w:keepNext/>
        <w:rPr>
          <w:b/>
          <w:bCs/>
        </w:rPr>
      </w:pPr>
    </w:p>
    <w:p w:rsidR="00000000" w:rsidRDefault="00000000">
      <w:pPr>
        <w:keepNext/>
      </w:pPr>
      <w:r>
        <w:t>721.</w:t>
      </w:r>
      <w:r>
        <w:tab/>
        <w:t>В статье 3 Конституции устанавливается, что дошкольное, начальное и среднее образование образуют обязательное базовое образование.  Кроме того, образование, предоставляемое государством, должно быть светским и бесплатным.</w:t>
      </w:r>
    </w:p>
    <w:p w:rsidR="00000000" w:rsidRDefault="00000000"/>
    <w:p w:rsidR="00000000" w:rsidRDefault="00000000">
      <w:pPr>
        <w:jc w:val="center"/>
        <w:rPr>
          <w:b/>
          <w:bCs/>
        </w:rPr>
      </w:pPr>
      <w:r>
        <w:rPr>
          <w:b/>
          <w:bCs/>
          <w:lang w:val="en-US"/>
        </w:rPr>
        <w:t>J</w:t>
      </w:r>
      <w:r>
        <w:rPr>
          <w:b/>
          <w:bCs/>
        </w:rPr>
        <w:t>.</w:t>
      </w:r>
      <w:r>
        <w:rPr>
          <w:b/>
          <w:bCs/>
        </w:rPr>
        <w:tab/>
        <w:t>Статья 15</w:t>
      </w:r>
    </w:p>
    <w:p w:rsidR="00000000" w:rsidRDefault="00000000">
      <w:pPr>
        <w:jc w:val="center"/>
        <w:rPr>
          <w:b/>
          <w:bCs/>
        </w:rPr>
      </w:pPr>
    </w:p>
    <w:p w:rsidR="00000000" w:rsidRDefault="00000000">
      <w:pPr>
        <w:rPr>
          <w:b/>
          <w:bCs/>
        </w:rPr>
      </w:pPr>
      <w:r>
        <w:rPr>
          <w:b/>
          <w:bCs/>
        </w:rPr>
        <w:t>Пункт 66</w:t>
      </w:r>
    </w:p>
    <w:p w:rsidR="00000000" w:rsidRDefault="00000000">
      <w:pPr>
        <w:rPr>
          <w:b/>
          <w:bCs/>
        </w:rPr>
      </w:pPr>
    </w:p>
    <w:p w:rsidR="00000000" w:rsidRDefault="00000000">
      <w:r>
        <w:t>722.</w:t>
      </w:r>
      <w:r>
        <w:tab/>
        <w:t xml:space="preserve">Национальная программа культуры на период 2001-2006 годов является инструментом, конкретизирующим стратегии, предусмотренные в национальном плане развития на тот же период, и ставит ту цель, чтобы работа в области культуры вносила вклад в достижение социального развития в интересах человека, когда утверждение культурного разнообразия, открытость и обеспечение доступа к возможностям и культурным услугам, уважение свободы слова и творчества были бы в полной мере центральными элементами их стратегии.  Такая работа в основном ведется в следующих областях:  изучение и сохранение культурного наследия;  народная культура и культура коренных народов;  культурное наследие, развитие и туризм;  содействие </w:t>
      </w:r>
    </w:p>
    <w:p w:rsidR="00000000" w:rsidRDefault="00000000">
      <w:r>
        <w:br w:type="page"/>
        <w:t>художественному творчеству;  образование и исследования в сфере художественного творчества и культуры;  чтение и литература;  аудиовизуальные средства;  культурные связи и международное сотрудничество.</w:t>
      </w:r>
    </w:p>
    <w:p w:rsidR="00000000" w:rsidRDefault="00000000"/>
    <w:p w:rsidR="00000000" w:rsidRDefault="00000000">
      <w:r>
        <w:t>723.</w:t>
      </w:r>
      <w:r>
        <w:tab/>
        <w:t>Помимо Национальной программы культуры в стране действуют следующие нормативно-правовые акты, создающие нормативно-правовую основу защиты и сохранение культурного наследия Мексики, а также участия каждого человека в культурной жизни нашей страны:  федеральный закон об археологических, художественных и исторических памятниках и зонах, закон о создании национального института литературы и искусства, органический закон о Национальном институте этнографии и истории, общий закон о библиотеках, общий закон о национальном достоянии, федеральный закон о радио и телевидении и федеральный закон о кинематографии.</w:t>
      </w:r>
    </w:p>
    <w:p w:rsidR="00000000" w:rsidRDefault="00000000"/>
    <w:p w:rsidR="00000000" w:rsidRDefault="00000000">
      <w:r>
        <w:t>724.</w:t>
      </w:r>
      <w:r>
        <w:tab/>
        <w:t>В этой связи правительство Мексики также привлекает различные учреждения для поддержки производства пропаганды и распространения национального кино:  МИК, Фопросине, Фидесине.</w:t>
      </w:r>
    </w:p>
    <w:p w:rsidR="00000000" w:rsidRDefault="00000000"/>
    <w:p w:rsidR="00000000" w:rsidRDefault="00000000">
      <w:r>
        <w:t>725.</w:t>
      </w:r>
      <w:r>
        <w:tab/>
        <w:t>Мексиканский институт кинематографии (МИК) был создан в 1983 году, и в его ведение перешли учреждения, связанные с кинематографической деятельностью в системе федеральной исполнительной власти.  В настоящее время это государственный орган, которому поручено содействовать развитию кинематографической отрасли страны с уделением основного внимания производству фильмов и производству и распространению фильмов о мексиканском искусстве, предлагая, создавая и адаптируя программы и стратегии, которые вписывались бы в текущий контекст.</w:t>
      </w:r>
    </w:p>
    <w:p w:rsidR="00000000" w:rsidRDefault="00000000"/>
    <w:p w:rsidR="00000000" w:rsidRDefault="00000000">
      <w:r>
        <w:t>726.</w:t>
      </w:r>
      <w:r>
        <w:tab/>
        <w:t>Фонд производства качественных кинофильмов (ФПКК) был создан по инициативе президента в декабре 1997 года для возрождения отрасли серьезного кино (ленты известных кинематографистов, кинодебюты и экспериментальное кино).  29 декабря 1992 года палата депутатов ратифицировала федеральный закон о кинематографии, который был опубликован в "Диарио офисиаль де ла Федерасьон", в целях содействия производству, распространению, прокату и демонстрации фильмов, а также их реставрации и сохранения.</w:t>
      </w:r>
    </w:p>
    <w:p w:rsidR="00000000" w:rsidRDefault="00000000"/>
    <w:p w:rsidR="00000000" w:rsidRDefault="00000000">
      <w:r>
        <w:t>727.</w:t>
      </w:r>
      <w:r>
        <w:tab/>
        <w:t>Тем не менее в законе регламентируются не все вопросы, необходимые кинематографии для решения имеющихся в настоящее время проблем.  После проведения ряда совещаний и встреч с заинтересованными группами 5 января 1999</w:t>
      </w:r>
      <w:r>
        <w:rPr>
          <w:lang w:val="en-US"/>
        </w:rPr>
        <w:t> </w:t>
      </w:r>
      <w:r>
        <w:t xml:space="preserve">года был опубликован декрет о внесении поправок в федеральный закон о кинематографии, который действует в настоящее время.  Закон о порядке применения федерального закона о кинематографии был опубликован в " Диарио офисиаль де ла Федерасьон" 29 марта 2001 года.  В соответствии с ним был создан Фонд финансовой поддержки кинематографии (ФФПК), цель которого - развитие серьезного кино для массового зрителя.  </w:t>
      </w:r>
    </w:p>
    <w:p w:rsidR="00000000" w:rsidRDefault="00000000"/>
    <w:p w:rsidR="00000000" w:rsidRDefault="00000000">
      <w:pPr>
        <w:rPr>
          <w:b/>
          <w:bCs/>
        </w:rPr>
      </w:pPr>
      <w:r>
        <w:rPr>
          <w:b/>
          <w:bCs/>
        </w:rPr>
        <w:t>Пункт 66 а)</w:t>
      </w:r>
    </w:p>
    <w:p w:rsidR="00000000" w:rsidRDefault="00000000">
      <w:pPr>
        <w:rPr>
          <w:b/>
          <w:bCs/>
        </w:rPr>
      </w:pPr>
    </w:p>
    <w:p w:rsidR="00000000" w:rsidRDefault="00000000">
      <w:r>
        <w:t>728.</w:t>
      </w:r>
      <w:r>
        <w:tab/>
        <w:t>Общие ассигнования, выделенные на период 2003 финансового года для Национального совета культуры и искусства (Конакульта) из федерального бюджета 2003 года, составили 5 799 848 630,00 мексиканских песо.</w:t>
      </w:r>
    </w:p>
    <w:p w:rsidR="00000000" w:rsidRDefault="00000000"/>
    <w:p w:rsidR="00000000" w:rsidRDefault="00000000">
      <w:r>
        <w:t>729.</w:t>
      </w:r>
      <w:r>
        <w:tab/>
        <w:t>Далее следует упомянуть о ресурсах различных учреждений Конакульта и о целях их использования.</w:t>
      </w:r>
    </w:p>
    <w:p w:rsidR="00000000" w:rsidRDefault="00000000"/>
    <w:p w:rsidR="00000000" w:rsidRDefault="00000000">
      <w:r>
        <w:t>730.</w:t>
      </w:r>
      <w:r>
        <w:tab/>
        <w:t>Национальный фонд культуры и искусства (НФКИ) как механизм финансирования Национального совета культуры и искусства в период 1998-2003 годов выделил на развитие художественного творчества и культуры страны порядка 843,3 млн. песо (приблизительно 85 млн. долл. США).  Эти ресурсы предназначались для реализации проектов в области культуры, предложенных художественной и культурной общественностью государства, в рамках чуть более 20 культурных программ.</w:t>
      </w:r>
    </w:p>
    <w:p w:rsidR="00000000" w:rsidRDefault="00000000"/>
    <w:p w:rsidR="00000000" w:rsidRDefault="00000000">
      <w:r>
        <w:t>731.</w:t>
      </w:r>
      <w:r>
        <w:tab/>
        <w:t>В этой связи поддержка художественного творчества, оказываемая мексиканским государством через НФКИ, сделала возможным то, что появление заметных произведений художественного творчества и культуры обогатило тот смысл, который общество дает развитию при неукоснительном уважении свободы слова и творчества.</w:t>
      </w:r>
    </w:p>
    <w:p w:rsidR="00000000" w:rsidRDefault="00000000"/>
    <w:p w:rsidR="00000000" w:rsidRDefault="00000000">
      <w:r>
        <w:t>732.</w:t>
      </w:r>
      <w:r>
        <w:tab/>
        <w:t>Можно также привести следующие конкретные сведения о бюджетных средствах Национального института этнографии и истории, предназначенных для содействия развитию культуры и участию населения в культурной жизни.</w:t>
      </w:r>
    </w:p>
    <w:p w:rsidR="00000000" w:rsidRDefault="00000000"/>
    <w:p w:rsidR="00000000" w:rsidRDefault="00000000">
      <w:pPr>
        <w:jc w:val="center"/>
        <w:rPr>
          <w:b/>
          <w:bCs/>
        </w:rPr>
      </w:pPr>
      <w:r>
        <w:rPr>
          <w:b/>
          <w:bCs/>
        </w:rPr>
        <w:t>Выделенные бюджетные средства (тыс. песо)</w:t>
      </w:r>
    </w:p>
    <w:p w:rsidR="00000000" w:rsidRDefault="00000000">
      <w:pPr>
        <w:jc w:val="center"/>
        <w:rPr>
          <w:b/>
          <w:bCs/>
        </w:rPr>
      </w:pPr>
    </w:p>
    <w:tbl>
      <w:tblPr>
        <w:tblW w:w="9411" w:type="dxa"/>
        <w:tblLayout w:type="fixed"/>
        <w:tblCellMar>
          <w:left w:w="28" w:type="dxa"/>
          <w:right w:w="28" w:type="dxa"/>
        </w:tblCellMar>
        <w:tblLook w:val="0000" w:firstRow="0" w:lastRow="0" w:firstColumn="0" w:lastColumn="0" w:noHBand="0" w:noVBand="0"/>
      </w:tblPr>
      <w:tblGrid>
        <w:gridCol w:w="1524"/>
        <w:gridCol w:w="1496"/>
        <w:gridCol w:w="1496"/>
        <w:gridCol w:w="1601"/>
        <w:gridCol w:w="1578"/>
        <w:gridCol w:w="1716"/>
      </w:tblGrid>
      <w:tr w:rsidR="00000000">
        <w:tblPrEx>
          <w:tblCellMar>
            <w:top w:w="0" w:type="dxa"/>
            <w:bottom w:w="0" w:type="dxa"/>
          </w:tblCellMar>
        </w:tblPrEx>
        <w:trPr>
          <w:cantSplit/>
        </w:trPr>
        <w:tc>
          <w:tcPr>
            <w:tcW w:w="1524" w:type="dxa"/>
            <w:tcBorders>
              <w:top w:val="single" w:sz="4" w:space="0" w:color="auto"/>
              <w:bottom w:val="single" w:sz="4" w:space="0" w:color="auto"/>
            </w:tcBorders>
          </w:tcPr>
          <w:p w:rsidR="00000000" w:rsidRDefault="00000000">
            <w:pPr>
              <w:spacing w:before="60"/>
              <w:jc w:val="center"/>
              <w:rPr>
                <w:i/>
                <w:iCs/>
                <w:sz w:val="18"/>
              </w:rPr>
            </w:pPr>
            <w:r>
              <w:rPr>
                <w:i/>
                <w:iCs/>
                <w:sz w:val="18"/>
              </w:rPr>
              <w:t>1998 год</w:t>
            </w:r>
          </w:p>
        </w:tc>
        <w:tc>
          <w:tcPr>
            <w:tcW w:w="1496" w:type="dxa"/>
            <w:tcBorders>
              <w:top w:val="single" w:sz="4" w:space="0" w:color="auto"/>
              <w:bottom w:val="single" w:sz="4" w:space="0" w:color="auto"/>
            </w:tcBorders>
          </w:tcPr>
          <w:p w:rsidR="00000000" w:rsidRDefault="00000000">
            <w:pPr>
              <w:spacing w:before="60"/>
              <w:jc w:val="center"/>
              <w:rPr>
                <w:i/>
                <w:iCs/>
                <w:sz w:val="18"/>
              </w:rPr>
            </w:pPr>
            <w:r>
              <w:rPr>
                <w:i/>
                <w:iCs/>
                <w:sz w:val="18"/>
              </w:rPr>
              <w:t>1999 год</w:t>
            </w:r>
          </w:p>
        </w:tc>
        <w:tc>
          <w:tcPr>
            <w:tcW w:w="1496" w:type="dxa"/>
            <w:tcBorders>
              <w:top w:val="single" w:sz="4" w:space="0" w:color="auto"/>
              <w:bottom w:val="single" w:sz="4" w:space="0" w:color="auto"/>
            </w:tcBorders>
          </w:tcPr>
          <w:p w:rsidR="00000000" w:rsidRDefault="00000000">
            <w:pPr>
              <w:spacing w:before="60"/>
              <w:jc w:val="center"/>
              <w:rPr>
                <w:i/>
                <w:iCs/>
                <w:sz w:val="18"/>
              </w:rPr>
            </w:pPr>
            <w:r>
              <w:rPr>
                <w:i/>
                <w:iCs/>
                <w:sz w:val="18"/>
              </w:rPr>
              <w:t>2000 год</w:t>
            </w:r>
          </w:p>
        </w:tc>
        <w:tc>
          <w:tcPr>
            <w:tcW w:w="1601" w:type="dxa"/>
            <w:tcBorders>
              <w:top w:val="single" w:sz="4" w:space="0" w:color="auto"/>
              <w:bottom w:val="single" w:sz="4" w:space="0" w:color="auto"/>
            </w:tcBorders>
          </w:tcPr>
          <w:p w:rsidR="00000000" w:rsidRDefault="00000000">
            <w:pPr>
              <w:spacing w:before="60"/>
              <w:jc w:val="center"/>
              <w:rPr>
                <w:i/>
                <w:iCs/>
                <w:sz w:val="18"/>
              </w:rPr>
            </w:pPr>
            <w:r>
              <w:rPr>
                <w:i/>
                <w:iCs/>
                <w:sz w:val="18"/>
              </w:rPr>
              <w:t>2001 год</w:t>
            </w:r>
          </w:p>
        </w:tc>
        <w:tc>
          <w:tcPr>
            <w:tcW w:w="1578" w:type="dxa"/>
            <w:tcBorders>
              <w:top w:val="single" w:sz="4" w:space="0" w:color="auto"/>
              <w:bottom w:val="single" w:sz="4" w:space="0" w:color="auto"/>
            </w:tcBorders>
          </w:tcPr>
          <w:p w:rsidR="00000000" w:rsidRDefault="00000000">
            <w:pPr>
              <w:spacing w:before="60"/>
              <w:jc w:val="center"/>
              <w:rPr>
                <w:i/>
                <w:iCs/>
                <w:sz w:val="18"/>
              </w:rPr>
            </w:pPr>
            <w:r>
              <w:rPr>
                <w:i/>
                <w:iCs/>
                <w:sz w:val="18"/>
              </w:rPr>
              <w:t>2002 год</w:t>
            </w:r>
          </w:p>
        </w:tc>
        <w:tc>
          <w:tcPr>
            <w:tcW w:w="1716" w:type="dxa"/>
            <w:tcBorders>
              <w:top w:val="single" w:sz="4" w:space="0" w:color="auto"/>
              <w:bottom w:val="single" w:sz="4" w:space="0" w:color="auto"/>
            </w:tcBorders>
          </w:tcPr>
          <w:p w:rsidR="00000000" w:rsidRDefault="00000000">
            <w:pPr>
              <w:spacing w:before="60"/>
              <w:jc w:val="center"/>
              <w:rPr>
                <w:i/>
                <w:iCs/>
                <w:sz w:val="18"/>
              </w:rPr>
            </w:pPr>
            <w:r>
              <w:rPr>
                <w:i/>
                <w:iCs/>
                <w:sz w:val="18"/>
              </w:rPr>
              <w:t>2003 год</w:t>
            </w:r>
          </w:p>
        </w:tc>
      </w:tr>
      <w:tr w:rsidR="00000000">
        <w:tblPrEx>
          <w:tblCellMar>
            <w:top w:w="0" w:type="dxa"/>
            <w:bottom w:w="0" w:type="dxa"/>
          </w:tblCellMar>
        </w:tblPrEx>
        <w:trPr>
          <w:cantSplit/>
        </w:trPr>
        <w:tc>
          <w:tcPr>
            <w:tcW w:w="1524" w:type="dxa"/>
            <w:tcBorders>
              <w:top w:val="single" w:sz="4" w:space="0" w:color="auto"/>
              <w:bottom w:val="single" w:sz="4" w:space="0" w:color="auto"/>
            </w:tcBorders>
          </w:tcPr>
          <w:p w:rsidR="00000000" w:rsidRDefault="00000000">
            <w:pPr>
              <w:spacing w:before="60"/>
              <w:jc w:val="center"/>
              <w:rPr>
                <w:sz w:val="18"/>
              </w:rPr>
            </w:pPr>
            <w:r>
              <w:rPr>
                <w:sz w:val="18"/>
              </w:rPr>
              <w:t>814 545,0</w:t>
            </w:r>
          </w:p>
        </w:tc>
        <w:tc>
          <w:tcPr>
            <w:tcW w:w="1496" w:type="dxa"/>
            <w:tcBorders>
              <w:top w:val="single" w:sz="4" w:space="0" w:color="auto"/>
              <w:bottom w:val="single" w:sz="4" w:space="0" w:color="auto"/>
            </w:tcBorders>
          </w:tcPr>
          <w:p w:rsidR="00000000" w:rsidRDefault="00000000">
            <w:pPr>
              <w:spacing w:before="60"/>
              <w:jc w:val="center"/>
              <w:rPr>
                <w:sz w:val="18"/>
              </w:rPr>
            </w:pPr>
            <w:r>
              <w:rPr>
                <w:sz w:val="18"/>
              </w:rPr>
              <w:t>1 382 396,2</w:t>
            </w:r>
          </w:p>
        </w:tc>
        <w:tc>
          <w:tcPr>
            <w:tcW w:w="1496" w:type="dxa"/>
            <w:tcBorders>
              <w:top w:val="single" w:sz="4" w:space="0" w:color="auto"/>
              <w:bottom w:val="single" w:sz="4" w:space="0" w:color="auto"/>
            </w:tcBorders>
          </w:tcPr>
          <w:p w:rsidR="00000000" w:rsidRDefault="00000000">
            <w:pPr>
              <w:spacing w:before="60"/>
              <w:jc w:val="center"/>
              <w:rPr>
                <w:sz w:val="18"/>
              </w:rPr>
            </w:pPr>
            <w:r>
              <w:rPr>
                <w:sz w:val="18"/>
              </w:rPr>
              <w:t>1 459 723,7</w:t>
            </w:r>
          </w:p>
        </w:tc>
        <w:tc>
          <w:tcPr>
            <w:tcW w:w="1601" w:type="dxa"/>
            <w:tcBorders>
              <w:top w:val="single" w:sz="4" w:space="0" w:color="auto"/>
              <w:bottom w:val="single" w:sz="4" w:space="0" w:color="auto"/>
            </w:tcBorders>
          </w:tcPr>
          <w:p w:rsidR="00000000" w:rsidRDefault="00000000">
            <w:pPr>
              <w:spacing w:before="60"/>
              <w:jc w:val="center"/>
              <w:rPr>
                <w:sz w:val="18"/>
              </w:rPr>
            </w:pPr>
            <w:r>
              <w:rPr>
                <w:sz w:val="18"/>
              </w:rPr>
              <w:t>1 450 832,3</w:t>
            </w:r>
          </w:p>
        </w:tc>
        <w:tc>
          <w:tcPr>
            <w:tcW w:w="1578" w:type="dxa"/>
            <w:tcBorders>
              <w:top w:val="single" w:sz="4" w:space="0" w:color="auto"/>
              <w:bottom w:val="single" w:sz="4" w:space="0" w:color="auto"/>
            </w:tcBorders>
          </w:tcPr>
          <w:p w:rsidR="00000000" w:rsidRDefault="00000000">
            <w:pPr>
              <w:spacing w:before="60"/>
              <w:jc w:val="center"/>
              <w:rPr>
                <w:sz w:val="18"/>
              </w:rPr>
            </w:pPr>
            <w:r>
              <w:rPr>
                <w:sz w:val="18"/>
              </w:rPr>
              <w:t>1 825 450,7</w:t>
            </w:r>
          </w:p>
        </w:tc>
        <w:tc>
          <w:tcPr>
            <w:tcW w:w="1716" w:type="dxa"/>
            <w:tcBorders>
              <w:top w:val="single" w:sz="4" w:space="0" w:color="auto"/>
              <w:bottom w:val="single" w:sz="4" w:space="0" w:color="auto"/>
            </w:tcBorders>
          </w:tcPr>
          <w:p w:rsidR="00000000" w:rsidRDefault="00000000">
            <w:pPr>
              <w:spacing w:before="60"/>
              <w:jc w:val="center"/>
              <w:rPr>
                <w:sz w:val="18"/>
              </w:rPr>
            </w:pPr>
            <w:r>
              <w:rPr>
                <w:sz w:val="18"/>
              </w:rPr>
              <w:t>2 017 997,5</w:t>
            </w:r>
          </w:p>
        </w:tc>
      </w:tr>
    </w:tbl>
    <w:p w:rsidR="00000000" w:rsidRDefault="00000000">
      <w:pPr>
        <w:jc w:val="center"/>
      </w:pPr>
    </w:p>
    <w:p w:rsidR="00000000" w:rsidRDefault="00000000">
      <w:pPr>
        <w:rPr>
          <w:sz w:val="18"/>
        </w:rPr>
      </w:pPr>
      <w:r>
        <w:rPr>
          <w:i/>
          <w:iCs/>
          <w:sz w:val="18"/>
        </w:rPr>
        <w:t xml:space="preserve">Источник:  </w:t>
      </w:r>
      <w:r>
        <w:rPr>
          <w:sz w:val="18"/>
        </w:rPr>
        <w:t>Конакульта.</w:t>
      </w:r>
    </w:p>
    <w:p w:rsidR="00000000" w:rsidRDefault="00000000"/>
    <w:p w:rsidR="00000000" w:rsidRDefault="00000000">
      <w:r>
        <w:t>733.</w:t>
      </w:r>
      <w:r>
        <w:tab/>
        <w:t>Главное управление культурных связей и связей с соотечественниками (ГУКС) ставит цель установления связей между штатами Мексиканской Республики и федерацией в области культуры на основе программ сотрудничества между органами власти федерального, штатного и муниципального уровня при организованном участии общества в их разработке и осуществлении.  В его ведении находится 31 фонд культуры и искусства в штатах страны, деятельность которых охватывает всю ее территорию, с помощью которых творческим работникам там, где они живут, предлагаются возможности получения финансирования для реализации и продвижения различных культурных проектов по рекомендации ознакомившейся с ними местной творческой интеллигенции.  В период 2003 года было рекомендовано выделить средства для 1 399 проектов.</w:t>
      </w:r>
    </w:p>
    <w:p w:rsidR="00000000" w:rsidRDefault="00000000"/>
    <w:p w:rsidR="00000000" w:rsidRDefault="00000000">
      <w:r>
        <w:t>734.</w:t>
      </w:r>
      <w:r>
        <w:tab/>
        <w:t>Главное управление народной культуры и культуры коренного населения (ГУНК) на постоянной основе выделяет средства для развития культуры путем реализации ряда программ, в которых участвуют различные группы, занимающиеся народной культурой и культурой коренного населения страны.  ГУНК уже 26 лет ведет работу во всех штатах Республики, где оно имеет региональные отделения, оказывая содействие в реализации таких программ, как "Всестороннее развитие коренных культур", которые призваны содействовать художественному и литературному творчеству и историческим и этнографическим исследованиям коренных народов.</w:t>
      </w:r>
    </w:p>
    <w:p w:rsidR="00000000" w:rsidRDefault="00000000"/>
    <w:p w:rsidR="00000000" w:rsidRDefault="00000000">
      <w:r>
        <w:t>735.</w:t>
      </w:r>
      <w:r>
        <w:tab/>
        <w:t>Национальная программа народного художественного творчества ведет работу по обучению и предоставлению технической помощи мастерам народных промыслов и народным художникам, мужчинам и женщинам, а также по сохранению традиционных народных ремесел, материальной культуры и изобразительного наследия Мексики.  Кроме того, Программа поддержки культуры муниципий и общин (ППКМО) имеет своей целью оказание поддержки органам штатов, работающим на благо культуры коренных народов и народной культуры нашей страны, которым предоставляются консультации для реализации их проектов и экономические ресурсы, дополняющие их собственные финансовые средства.</w:t>
      </w:r>
    </w:p>
    <w:p w:rsidR="00000000" w:rsidRDefault="00000000"/>
    <w:p w:rsidR="00000000" w:rsidRDefault="00000000">
      <w:r>
        <w:t>736.</w:t>
      </w:r>
      <w:r>
        <w:tab/>
        <w:t>В сфере киноиндустрии Фонд производства качественного кино (ФПКК) получил от федерального правительства единовременную субсидию в размере 135 млн. песо и на эти средства начал в январе 1998 года свою деятельность.  За период его создания по 2003 год он оказал содействие в съеме 47 полнометражных фильмов (50% всех картин, снятых в стране), из которых уже закончено 40 лент, которые представлены на кинофестивалях, на которых они получили высокие оценки, включая 86 международных и 137 национальных премий.</w:t>
      </w:r>
    </w:p>
    <w:p w:rsidR="00000000" w:rsidRDefault="00000000"/>
    <w:p w:rsidR="00000000" w:rsidRDefault="00000000">
      <w:r>
        <w:t>737.</w:t>
      </w:r>
      <w:r>
        <w:tab/>
        <w:t>Фонд финансовой поддержки кинематографии (ФФПК) в 2001 году получил от федерального правительства 70 млн. песо, а в 2003 году - еще 70 млн. песо.  С момента его создания в 2003 году ФФПК выделил ресурсы для производства 16 полнометражных лент и таким образом принял активное участие в съемке мексиканских кинофильмов, четыре из которых уже показаны зрителям.  В соответствии со статьей 34, часть II, федерального закона о кинематографии министерство финансов обязано ежегодно выделять ресурсы из бюджета доходов федерации для их перечисления ФФПК.  Национальная программа культуры на период 2001-2006 годов служит инструментом, конкретизирующим стратегии, содержащиеся в национальном плане развития на тот же период, и ставит ту цель, чтобы работа в области культуры содействовала достижению социального развития,  в центре которого стоит человек, неизменные главные элементы которого - утверждение культурного многообразия, открытости и обеспечения доступа к возможностям и услугам культуры, уважения свободы слова и художественного творчества.  Работа ведется в основном в следующих областях:  исследование и сохранение культурного наследия;  народная культура и культура коренных народов;  культурное наследие, развитие и туризм;  стимулирование художественного творчества;  образование и исследования в области культуры и искусства;  пропаганда культуры;  чтение и литература;  аудиовизуальные средства;  культурные связи и связи с соотечественниками;  а также международное сотрудничество.</w:t>
      </w:r>
    </w:p>
    <w:p w:rsidR="00000000" w:rsidRDefault="00000000"/>
    <w:p w:rsidR="00000000" w:rsidRDefault="00000000">
      <w:pPr>
        <w:rPr>
          <w:b/>
          <w:bCs/>
        </w:rPr>
      </w:pPr>
      <w:r>
        <w:rPr>
          <w:b/>
          <w:bCs/>
        </w:rPr>
        <w:t>Пункт 66 b)</w:t>
      </w:r>
    </w:p>
    <w:p w:rsidR="00000000" w:rsidRDefault="00000000">
      <w:pPr>
        <w:rPr>
          <w:b/>
          <w:bCs/>
        </w:rPr>
      </w:pPr>
    </w:p>
    <w:p w:rsidR="00000000" w:rsidRDefault="00000000">
      <w:r>
        <w:t>738.</w:t>
      </w:r>
      <w:r>
        <w:tab/>
        <w:t>По линии Национального фонда культуры и искусства (НФКИ) Конакульта реализует ряд проектов, способствующих развитию и укреплению инфраструктуры культуры страны, которые позволяют содействовать участию населения в культурной жизни.  Это следующие проекты:</w:t>
      </w:r>
    </w:p>
    <w:p w:rsidR="00000000" w:rsidRDefault="00000000"/>
    <w:p w:rsidR="00000000" w:rsidRDefault="00000000">
      <w:pPr>
        <w:numPr>
          <w:ilvl w:val="0"/>
          <w:numId w:val="409"/>
        </w:numPr>
        <w:ind w:left="1134" w:hanging="573"/>
      </w:pPr>
      <w:r>
        <w:tab/>
        <w:t>Спектакли для театральной общественности.  В этой связи в 1998 и 2003 годах было показано несколько более 10 000 спектаклей, когда было осуществлено более 1 200 постановок, которые показаны более чем 2 млн. человек.</w:t>
      </w:r>
    </w:p>
    <w:p w:rsidR="00000000" w:rsidRDefault="00000000">
      <w:pPr>
        <w:ind w:left="201"/>
      </w:pPr>
    </w:p>
    <w:p w:rsidR="00000000" w:rsidRDefault="00000000">
      <w:pPr>
        <w:numPr>
          <w:ilvl w:val="0"/>
          <w:numId w:val="409"/>
        </w:numPr>
        <w:ind w:left="1134" w:hanging="573"/>
      </w:pPr>
      <w:r>
        <w:tab/>
        <w:t>Поддержка профессиональных драматических трупп.  Это самая последняя инициатива НФКИ, реализация которой была начата в октябре 2003 года.  В рамках этой программы предусматривается предоставить театральным труппам страны не менее 30 грантов в размере 1 млн. песо каждый.</w:t>
      </w:r>
    </w:p>
    <w:p w:rsidR="00000000" w:rsidRDefault="00000000">
      <w:pPr>
        <w:ind w:left="201"/>
      </w:pPr>
    </w:p>
    <w:p w:rsidR="00000000" w:rsidRDefault="00000000">
      <w:pPr>
        <w:numPr>
          <w:ilvl w:val="0"/>
          <w:numId w:val="409"/>
        </w:numPr>
        <w:ind w:left="1134" w:hanging="573"/>
      </w:pPr>
      <w:r>
        <w:tab/>
        <w:t>Программа доступа к цифровым службам публичных библиотек.  Цель программы заключается в том, чтобы содействовать повышению качества жизни лиц, живущих в общинах с низкими доходами, предоставляя доступ к информационно-коммуникационным технологиям (компьютерам, вебкамерам, печатающим устройствам, Интернету и т.п.).  НФКИ выступает в качестве финансирующего механизма Конакульта при использовании пожертвований, поступивших от Фонда Билла и Мелинды Гейтс, в части приобретения оборудования и деятельности программ.  Эта программа разрабатывается главным управлением библиотек Конакульта вместе с рядом ведомств федерального правительства.  В 2003 году была закуплена вычислительная техника для 657 публичных библиотек.</w:t>
      </w:r>
    </w:p>
    <w:p w:rsidR="00000000" w:rsidRDefault="00000000">
      <w:pPr>
        <w:ind w:left="201"/>
      </w:pPr>
    </w:p>
    <w:p w:rsidR="00000000" w:rsidRDefault="00000000">
      <w:pPr>
        <w:numPr>
          <w:ilvl w:val="0"/>
          <w:numId w:val="409"/>
        </w:numPr>
        <w:ind w:left="1134" w:hanging="573"/>
      </w:pPr>
      <w:r>
        <w:tab/>
        <w:t>Строительство Мексиканской библиотеки им. Хосе Васконселоса.  Проект осуществляется на основе проведения международного конкурса, на котором было представлено 592 проекта из 32 стран.  3 октября 2003 года международное жюри признало победителем проект, представленный группой мексиканских архитекторов.</w:t>
      </w:r>
    </w:p>
    <w:p w:rsidR="00000000" w:rsidRDefault="00000000">
      <w:pPr>
        <w:ind w:left="201"/>
      </w:pPr>
    </w:p>
    <w:p w:rsidR="00000000" w:rsidRDefault="00000000">
      <w:pPr>
        <w:numPr>
          <w:ilvl w:val="0"/>
          <w:numId w:val="409"/>
        </w:numPr>
        <w:ind w:left="1134" w:hanging="573"/>
      </w:pPr>
      <w:r>
        <w:tab/>
        <w:t>Программа поддержки художественного творчества.  В координации с Главным управлением народной культуры и культуры коренных народов НФКИ осуществляет программу поддержки развития народных промыслов (ППРНП), цель которой заключается в том, чтобы оказывать поддержку и предоставлять обучение группам и объединениям, занимающимся мексиканскими ремеслами.</w:t>
      </w:r>
    </w:p>
    <w:p w:rsidR="00000000" w:rsidRDefault="00000000">
      <w:pPr>
        <w:ind w:left="201"/>
      </w:pPr>
    </w:p>
    <w:p w:rsidR="00000000" w:rsidRDefault="00000000">
      <w:r>
        <w:t>739.</w:t>
      </w:r>
      <w:r>
        <w:tab/>
        <w:t>Конакульта, имеющая ряд отделений, располагает следующей инфраструктурой:</w:t>
      </w:r>
    </w:p>
    <w:p w:rsidR="00000000" w:rsidRDefault="00000000"/>
    <w:p w:rsidR="00000000" w:rsidRDefault="00000000">
      <w:pPr>
        <w:numPr>
          <w:ilvl w:val="0"/>
          <w:numId w:val="409"/>
        </w:numPr>
        <w:ind w:left="1134" w:hanging="573"/>
      </w:pPr>
      <w:r>
        <w:tab/>
        <w:t>Национальный институт этнографии и истории (НИЭИ), в ведении которого находится 112 музеев, 173 археологические зоны, 79 исторических памятников, 51 библиотека и 12 фототек, открытых для публики.</w:t>
      </w:r>
    </w:p>
    <w:p w:rsidR="00000000" w:rsidRDefault="00000000">
      <w:pPr>
        <w:ind w:left="201"/>
      </w:pPr>
    </w:p>
    <w:p w:rsidR="00000000" w:rsidRDefault="00000000">
      <w:pPr>
        <w:numPr>
          <w:ilvl w:val="0"/>
          <w:numId w:val="409"/>
        </w:numPr>
        <w:ind w:left="1134" w:hanging="573"/>
      </w:pPr>
      <w:r>
        <w:tab/>
        <w:t>Национальный институт искусств (НИИ), располагающий 15 музеями.  В области художественного образования он располагает системой 29 школ, обучение в которых ведется по полной программе - от азов до высшего образования.  Работа в области исследований, документации и информации в сфере искусства ведется в четырех национальных специализированных центрах по музыке, танцу, театру и изобразительному искусству.</w:t>
      </w:r>
    </w:p>
    <w:p w:rsidR="00000000" w:rsidRDefault="00000000">
      <w:pPr>
        <w:ind w:left="201"/>
      </w:pPr>
    </w:p>
    <w:p w:rsidR="00000000" w:rsidRDefault="00000000">
      <w:pPr>
        <w:numPr>
          <w:ilvl w:val="0"/>
          <w:numId w:val="409"/>
        </w:numPr>
        <w:ind w:left="1134" w:hanging="573"/>
      </w:pPr>
      <w:r>
        <w:tab/>
        <w:t xml:space="preserve">Национальный центр искусств (СЕНАРТ) имеет пять учебных заведений:  школа театрального искусства, учебный центр кинематографии, национальная школа классического и современного танца, национальная консерватория музыки и национальная школа живописи, скульптуры и графики "Эсмеральда".  Кроме того, при этом центре действует четыре исследовательских центра по вопросам театра, изобразительного искусства, музыки и танца.  Он располагает художественной библиотекой и мультимедийным центром, а также рядом </w:t>
      </w:r>
    </w:p>
    <w:p w:rsidR="00000000" w:rsidRDefault="00000000">
      <w:pPr>
        <w:ind w:left="1134" w:hanging="933"/>
      </w:pPr>
      <w:r>
        <w:br w:type="page"/>
      </w:r>
      <w:r>
        <w:tab/>
      </w:r>
      <w:r>
        <w:tab/>
        <w:t>галерей, театров, выставочных залов и конференц-залов для организации выставок, показов фильмов и других мероприятий, проводимых деятелями культуры и искусства Мексики и других стран.</w:t>
      </w:r>
    </w:p>
    <w:p w:rsidR="00000000" w:rsidRDefault="00000000">
      <w:pPr>
        <w:ind w:left="201"/>
      </w:pPr>
    </w:p>
    <w:p w:rsidR="00000000" w:rsidRDefault="00000000">
      <w:pPr>
        <w:numPr>
          <w:ilvl w:val="0"/>
          <w:numId w:val="409"/>
        </w:numPr>
        <w:ind w:left="1134" w:hanging="573"/>
      </w:pPr>
      <w:r>
        <w:tab/>
        <w:t xml:space="preserve">Культурный центр "Эленико" располагает двумя театральными залами и двумя универсальными театральными площадками:  театр "Эленико" служит площадкой, на которой ставятся масштабные постановки с участием популярных актеров и режиссеров;  он имеет 460 мест и подходит для постановки произведений и спектаклей для самой широкой зрительской аудитории.  "Грута" - площадка, на которой ставятся самые разнообразные драматические произведения, в которых обычно заняты молодые актеры и труппы, ищущие свой стиль.  Этот зал предназначен для 80-100 зрителей.  "Готическая капелла" - здание колониальной эпохи в готическом стиле постройки </w:t>
      </w:r>
      <w:r>
        <w:rPr>
          <w:lang w:val="en-US"/>
        </w:rPr>
        <w:t>XVI</w:t>
      </w:r>
      <w:r>
        <w:t> века;  в этом зале, где имеется 200 зрительских мест, обычно проводятся концерты классической музыки, показы книг, театральные постановки, которые учитывают особенности здания, охраняемого государством.  "Клаустро" - площадка на открытом воздухе, на которой ставятся и детские постановки, и концерты, и классические драматические произведения для 200 зрителей.  На этих четырех сценах показывается в среднем 15 спектаклей в неделю и более 700 спектаклей в год - это более 50 постановок для примерно 80 000 зрителей.</w:t>
      </w:r>
    </w:p>
    <w:p w:rsidR="00000000" w:rsidRDefault="00000000">
      <w:pPr>
        <w:ind w:left="201"/>
      </w:pPr>
    </w:p>
    <w:p w:rsidR="00000000" w:rsidRDefault="00000000">
      <w:r>
        <w:t>740.</w:t>
      </w:r>
      <w:r>
        <w:tab/>
        <w:t>В Мексике имеется 3 054 кинотеатра, принадлежащих частным прокатным компаниям.  Кроме того, в большинстве высших учебных заведений и культурных центров страны также имеются залы, которые используются для показа кинофильмов, имеющих культурную ценность, включая кинозалы, национальные кинотеки и фильмотеки НАУМ.</w:t>
      </w:r>
    </w:p>
    <w:p w:rsidR="00000000" w:rsidRDefault="00000000"/>
    <w:p w:rsidR="00000000" w:rsidRDefault="00000000">
      <w:r>
        <w:t>741.</w:t>
      </w:r>
      <w:r>
        <w:tab/>
        <w:t>В свою очередь Главное управление библиотек (ГУБ) поручено координировать деятельность национальной сети публичных библиотек, в которую входит 6 412 библиотек, располагающихся на всей территории Мексиканской Республики, которым оказывают содействие федеральное правительство и органы власти штатов и муниципий.  Их фонды составляют вместе примерно 32 млн. томов;  ежегодно читателям выдается 80 млн. книг.  Публичные библиотеки имеют базовые справочные коллекции, залы периодики и детских книг.  Читатели обслуживаются бесплатно:  это выдача книг в читальном зале, выдача книг на дом, консультации и справки, а в последнее время в некоторых библиотеках и выход в Интернет.</w:t>
      </w:r>
    </w:p>
    <w:p w:rsidR="00000000" w:rsidRDefault="00000000"/>
    <w:p w:rsidR="00000000" w:rsidRDefault="00000000">
      <w:r>
        <w:t>742.</w:t>
      </w:r>
      <w:r>
        <w:tab/>
        <w:t>В свою очередь Генеральное управление публикаций (ГУП) ставит своей главной целью развитие чтения в Мексике, для чего оно оказывает содействие, предоставляя библиографические материалы национальной сети публичных библиотек, организует читальные залы, которых в настоящее время насчитывается более 3 800 во всей Мексиканской Республике и в некоторых городах Соединенных Штатов, где живет значительное число мексиканцев.  "Эдукаль" - предприятие, которому поручено заниматься распространением и реализацией печатной и культурной продукции Конакульта, произведенной в различных областях, а также произведений, изданных федеральным правительством и органами власти штатов и муниципий и другими государственными ведомствами.  Оно имеет 19 книжных магазинов в Мехико и 37 магазинов в других районах страны.</w:t>
      </w:r>
    </w:p>
    <w:p w:rsidR="00000000" w:rsidRDefault="00000000"/>
    <w:p w:rsidR="00000000" w:rsidRDefault="00000000">
      <w:r>
        <w:t>743.</w:t>
      </w:r>
      <w:r>
        <w:tab/>
        <w:t>Главное управление народной культуры и культуры коренных народов (ГУНК) имеет в своем ведении Национальный музей народной культуры, находящийся в Мехико.  Старый дом, в котором тот располагается последние 23 года, постепенно обветшал и нуждается в ремонте, для чего потребуются средства;  в выходные дни его экспозицию осматривают 5 000</w:t>
      </w:r>
      <w:r>
        <w:noBreakHyphen/>
        <w:t>25 000 посетителей, не считая постоянно организуемые экскурсии для студентов на протяжении всего года.  Имеется настоятельная потребность расширения площадей и инфраструктуры для показа всевозможных произведений народной культуры.  С помощью центра информации и документации, в котором хранится 160 000 материалов, пропагандируются различные мероприятия и встречи в данной области.  Кроме того, с 2001 года ГУНК принимает участие в реализации проекта создания в Мехико музея народного искусства.</w:t>
      </w:r>
    </w:p>
    <w:p w:rsidR="00000000" w:rsidRDefault="00000000">
      <w:pPr>
        <w:rPr>
          <w:lang w:val="en-US"/>
        </w:rPr>
      </w:pPr>
    </w:p>
    <w:p w:rsidR="00000000" w:rsidRDefault="00000000">
      <w:r>
        <w:t>744.</w:t>
      </w:r>
      <w:r>
        <w:tab/>
        <w:t>Главное управление культурных связей и связей с соотечественниками осуществляет программу поддержки культурной инфраструктуры штатов, которая позволяет реконструировать и в максимальной степени использовать культурные объекты, находящиеся в собственности штатов и муниципий.  Кроме того, в штатах осуществляется программа активизации связей между деятелями культуры, объединяемыми национальной системой художественного творчества, и группами деятелей искусства и организаторами культуры в различных субъектах федерации.  Для укрепления связей, сотрудничества и содействия развитию художественного творчества была создана Национальная сеть художественных и культурных фестивалей.  Следует особо отметить систему обучения специалистов, работников и организаторов культуры, которая содействует профессионализации пропаганды культуры в стране на основе проведения семинаров, курсов, рабочих совещаний и конкурсов.</w:t>
      </w:r>
    </w:p>
    <w:p w:rsidR="00000000" w:rsidRDefault="00000000"/>
    <w:p w:rsidR="00000000" w:rsidRDefault="00000000">
      <w:pPr>
        <w:rPr>
          <w:b/>
          <w:bCs/>
        </w:rPr>
      </w:pPr>
      <w:r>
        <w:rPr>
          <w:b/>
          <w:bCs/>
        </w:rPr>
        <w:br w:type="page"/>
        <w:t>Пункт 66 с)</w:t>
      </w:r>
    </w:p>
    <w:p w:rsidR="00000000" w:rsidRDefault="00000000">
      <w:pPr>
        <w:rPr>
          <w:b/>
          <w:bCs/>
        </w:rPr>
      </w:pPr>
    </w:p>
    <w:p w:rsidR="00000000" w:rsidRDefault="00000000">
      <w:r>
        <w:t>745.</w:t>
      </w:r>
      <w:r>
        <w:tab/>
        <w:t>В ходе этого периода НИЭИ организовал в общей сложности 3 857 выставок как в стране, так и за рубежом.</w:t>
      </w:r>
    </w:p>
    <w:p w:rsidR="00000000" w:rsidRDefault="00000000"/>
    <w:p w:rsidR="00000000" w:rsidRDefault="00000000">
      <w:pPr>
        <w:jc w:val="center"/>
        <w:rPr>
          <w:b/>
          <w:bCs/>
        </w:rPr>
      </w:pPr>
      <w:r>
        <w:rPr>
          <w:b/>
          <w:bCs/>
        </w:rPr>
        <w:t>Организованные выставки</w:t>
      </w:r>
    </w:p>
    <w:p w:rsidR="00000000" w:rsidRDefault="00000000">
      <w:pPr>
        <w:jc w:val="center"/>
        <w:rPr>
          <w:b/>
          <w:bCs/>
        </w:rPr>
      </w:pPr>
    </w:p>
    <w:tbl>
      <w:tblPr>
        <w:tblW w:w="5000" w:type="pct"/>
        <w:tblLook w:val="0000" w:firstRow="0" w:lastRow="0" w:firstColumn="0" w:lastColumn="0" w:noHBand="0" w:noVBand="0"/>
      </w:tblPr>
      <w:tblGrid>
        <w:gridCol w:w="1595"/>
        <w:gridCol w:w="1595"/>
        <w:gridCol w:w="1595"/>
        <w:gridCol w:w="1595"/>
        <w:gridCol w:w="1594"/>
        <w:gridCol w:w="1596"/>
      </w:tblGrid>
      <w:tr w:rsidR="00000000">
        <w:tblPrEx>
          <w:tblCellMar>
            <w:top w:w="0" w:type="dxa"/>
            <w:bottom w:w="0" w:type="dxa"/>
          </w:tblCellMar>
        </w:tblPrEx>
        <w:tc>
          <w:tcPr>
            <w:tcW w:w="833" w:type="pct"/>
            <w:tcBorders>
              <w:top w:val="single" w:sz="4" w:space="0" w:color="auto"/>
              <w:bottom w:val="single" w:sz="4" w:space="0" w:color="auto"/>
            </w:tcBorders>
          </w:tcPr>
          <w:p w:rsidR="00000000" w:rsidRDefault="00000000">
            <w:pPr>
              <w:spacing w:before="60"/>
              <w:jc w:val="center"/>
              <w:rPr>
                <w:i/>
                <w:iCs/>
                <w:sz w:val="18"/>
              </w:rPr>
            </w:pPr>
            <w:r>
              <w:rPr>
                <w:i/>
                <w:iCs/>
                <w:sz w:val="18"/>
              </w:rPr>
              <w:t>1998 год</w:t>
            </w:r>
          </w:p>
        </w:tc>
        <w:tc>
          <w:tcPr>
            <w:tcW w:w="833" w:type="pct"/>
            <w:tcBorders>
              <w:top w:val="single" w:sz="4" w:space="0" w:color="auto"/>
              <w:bottom w:val="single" w:sz="4" w:space="0" w:color="auto"/>
            </w:tcBorders>
          </w:tcPr>
          <w:p w:rsidR="00000000" w:rsidRDefault="00000000">
            <w:pPr>
              <w:spacing w:before="60"/>
              <w:jc w:val="center"/>
              <w:rPr>
                <w:i/>
                <w:iCs/>
                <w:sz w:val="18"/>
              </w:rPr>
            </w:pPr>
            <w:r>
              <w:rPr>
                <w:i/>
                <w:iCs/>
                <w:sz w:val="18"/>
              </w:rPr>
              <w:t>1999 год</w:t>
            </w:r>
          </w:p>
        </w:tc>
        <w:tc>
          <w:tcPr>
            <w:tcW w:w="833" w:type="pct"/>
            <w:tcBorders>
              <w:top w:val="single" w:sz="4" w:space="0" w:color="auto"/>
              <w:bottom w:val="single" w:sz="4" w:space="0" w:color="auto"/>
            </w:tcBorders>
          </w:tcPr>
          <w:p w:rsidR="00000000" w:rsidRDefault="00000000">
            <w:pPr>
              <w:spacing w:before="60"/>
              <w:jc w:val="center"/>
              <w:rPr>
                <w:i/>
                <w:iCs/>
                <w:sz w:val="18"/>
              </w:rPr>
            </w:pPr>
            <w:r>
              <w:rPr>
                <w:i/>
                <w:iCs/>
                <w:sz w:val="18"/>
              </w:rPr>
              <w:t>2000 год</w:t>
            </w:r>
          </w:p>
        </w:tc>
        <w:tc>
          <w:tcPr>
            <w:tcW w:w="833" w:type="pct"/>
            <w:tcBorders>
              <w:top w:val="single" w:sz="4" w:space="0" w:color="auto"/>
              <w:bottom w:val="single" w:sz="4" w:space="0" w:color="auto"/>
            </w:tcBorders>
          </w:tcPr>
          <w:p w:rsidR="00000000" w:rsidRDefault="00000000">
            <w:pPr>
              <w:spacing w:before="60"/>
              <w:jc w:val="center"/>
              <w:rPr>
                <w:i/>
                <w:iCs/>
                <w:sz w:val="18"/>
              </w:rPr>
            </w:pPr>
            <w:r>
              <w:rPr>
                <w:i/>
                <w:iCs/>
                <w:sz w:val="18"/>
              </w:rPr>
              <w:t>2001 год</w:t>
            </w:r>
          </w:p>
        </w:tc>
        <w:tc>
          <w:tcPr>
            <w:tcW w:w="833" w:type="pct"/>
            <w:tcBorders>
              <w:top w:val="single" w:sz="4" w:space="0" w:color="auto"/>
              <w:bottom w:val="single" w:sz="4" w:space="0" w:color="auto"/>
            </w:tcBorders>
          </w:tcPr>
          <w:p w:rsidR="00000000" w:rsidRDefault="00000000">
            <w:pPr>
              <w:spacing w:before="60"/>
              <w:jc w:val="center"/>
              <w:rPr>
                <w:i/>
                <w:iCs/>
                <w:sz w:val="18"/>
              </w:rPr>
            </w:pPr>
            <w:r>
              <w:rPr>
                <w:i/>
                <w:iCs/>
                <w:sz w:val="18"/>
              </w:rPr>
              <w:t>2002 год</w:t>
            </w:r>
          </w:p>
        </w:tc>
        <w:tc>
          <w:tcPr>
            <w:tcW w:w="834" w:type="pct"/>
            <w:tcBorders>
              <w:top w:val="single" w:sz="4" w:space="0" w:color="auto"/>
              <w:bottom w:val="single" w:sz="4" w:space="0" w:color="auto"/>
            </w:tcBorders>
          </w:tcPr>
          <w:p w:rsidR="00000000" w:rsidRDefault="00000000">
            <w:pPr>
              <w:spacing w:before="60"/>
              <w:jc w:val="center"/>
              <w:rPr>
                <w:i/>
                <w:iCs/>
                <w:sz w:val="18"/>
              </w:rPr>
            </w:pPr>
            <w:r>
              <w:rPr>
                <w:i/>
                <w:iCs/>
                <w:sz w:val="18"/>
              </w:rPr>
              <w:t>2003 год</w:t>
            </w:r>
          </w:p>
        </w:tc>
      </w:tr>
      <w:tr w:rsidR="00000000">
        <w:tblPrEx>
          <w:tblCellMar>
            <w:top w:w="0" w:type="dxa"/>
            <w:bottom w:w="0" w:type="dxa"/>
          </w:tblCellMar>
        </w:tblPrEx>
        <w:tc>
          <w:tcPr>
            <w:tcW w:w="833" w:type="pct"/>
            <w:tcBorders>
              <w:top w:val="single" w:sz="4" w:space="0" w:color="auto"/>
              <w:bottom w:val="single" w:sz="4" w:space="0" w:color="auto"/>
            </w:tcBorders>
          </w:tcPr>
          <w:p w:rsidR="00000000" w:rsidRDefault="00000000">
            <w:pPr>
              <w:spacing w:before="60"/>
              <w:jc w:val="center"/>
              <w:rPr>
                <w:sz w:val="18"/>
              </w:rPr>
            </w:pPr>
            <w:r>
              <w:rPr>
                <w:sz w:val="18"/>
              </w:rPr>
              <w:t>827</w:t>
            </w:r>
          </w:p>
        </w:tc>
        <w:tc>
          <w:tcPr>
            <w:tcW w:w="833" w:type="pct"/>
            <w:tcBorders>
              <w:top w:val="single" w:sz="4" w:space="0" w:color="auto"/>
              <w:bottom w:val="single" w:sz="4" w:space="0" w:color="auto"/>
            </w:tcBorders>
          </w:tcPr>
          <w:p w:rsidR="00000000" w:rsidRDefault="00000000">
            <w:pPr>
              <w:spacing w:before="60"/>
              <w:jc w:val="center"/>
              <w:rPr>
                <w:sz w:val="18"/>
              </w:rPr>
            </w:pPr>
            <w:r>
              <w:rPr>
                <w:sz w:val="18"/>
              </w:rPr>
              <w:t>723</w:t>
            </w:r>
          </w:p>
        </w:tc>
        <w:tc>
          <w:tcPr>
            <w:tcW w:w="833" w:type="pct"/>
            <w:tcBorders>
              <w:top w:val="single" w:sz="4" w:space="0" w:color="auto"/>
              <w:bottom w:val="single" w:sz="4" w:space="0" w:color="auto"/>
            </w:tcBorders>
          </w:tcPr>
          <w:p w:rsidR="00000000" w:rsidRDefault="00000000">
            <w:pPr>
              <w:spacing w:before="60"/>
              <w:jc w:val="center"/>
              <w:rPr>
                <w:sz w:val="18"/>
              </w:rPr>
            </w:pPr>
            <w:r>
              <w:rPr>
                <w:sz w:val="18"/>
              </w:rPr>
              <w:t>722</w:t>
            </w:r>
          </w:p>
        </w:tc>
        <w:tc>
          <w:tcPr>
            <w:tcW w:w="833" w:type="pct"/>
            <w:tcBorders>
              <w:top w:val="single" w:sz="4" w:space="0" w:color="auto"/>
              <w:bottom w:val="single" w:sz="4" w:space="0" w:color="auto"/>
            </w:tcBorders>
          </w:tcPr>
          <w:p w:rsidR="00000000" w:rsidRDefault="00000000">
            <w:pPr>
              <w:spacing w:before="60"/>
              <w:jc w:val="center"/>
              <w:rPr>
                <w:sz w:val="18"/>
              </w:rPr>
            </w:pPr>
            <w:r>
              <w:rPr>
                <w:sz w:val="18"/>
              </w:rPr>
              <w:t>604</w:t>
            </w:r>
          </w:p>
        </w:tc>
        <w:tc>
          <w:tcPr>
            <w:tcW w:w="833" w:type="pct"/>
            <w:tcBorders>
              <w:top w:val="single" w:sz="4" w:space="0" w:color="auto"/>
              <w:bottom w:val="single" w:sz="4" w:space="0" w:color="auto"/>
            </w:tcBorders>
          </w:tcPr>
          <w:p w:rsidR="00000000" w:rsidRDefault="00000000">
            <w:pPr>
              <w:spacing w:before="60"/>
              <w:jc w:val="center"/>
              <w:rPr>
                <w:sz w:val="18"/>
              </w:rPr>
            </w:pPr>
            <w:r>
              <w:rPr>
                <w:sz w:val="18"/>
              </w:rPr>
              <w:t>627</w:t>
            </w:r>
          </w:p>
        </w:tc>
        <w:tc>
          <w:tcPr>
            <w:tcW w:w="834" w:type="pct"/>
            <w:tcBorders>
              <w:top w:val="single" w:sz="4" w:space="0" w:color="auto"/>
              <w:bottom w:val="single" w:sz="4" w:space="0" w:color="auto"/>
            </w:tcBorders>
          </w:tcPr>
          <w:p w:rsidR="00000000" w:rsidRDefault="00000000">
            <w:pPr>
              <w:spacing w:before="60"/>
              <w:jc w:val="center"/>
              <w:rPr>
                <w:sz w:val="18"/>
              </w:rPr>
            </w:pPr>
            <w:r>
              <w:rPr>
                <w:sz w:val="18"/>
              </w:rPr>
              <w:t>354</w:t>
            </w:r>
          </w:p>
        </w:tc>
      </w:tr>
    </w:tbl>
    <w:p w:rsidR="00000000" w:rsidRDefault="00000000">
      <w:pPr>
        <w:rPr>
          <w:i/>
          <w:iCs/>
        </w:rPr>
      </w:pPr>
    </w:p>
    <w:p w:rsidR="00000000" w:rsidRDefault="00000000">
      <w:pPr>
        <w:rPr>
          <w:sz w:val="18"/>
        </w:rPr>
      </w:pPr>
      <w:r>
        <w:rPr>
          <w:i/>
          <w:iCs/>
          <w:sz w:val="18"/>
        </w:rPr>
        <w:t xml:space="preserve">Источник:  </w:t>
      </w:r>
      <w:r>
        <w:rPr>
          <w:sz w:val="18"/>
        </w:rPr>
        <w:t>Конакульта.</w:t>
      </w:r>
    </w:p>
    <w:p w:rsidR="00000000" w:rsidRDefault="00000000"/>
    <w:p w:rsidR="00000000" w:rsidRDefault="00000000">
      <w:r>
        <w:t>746.</w:t>
      </w:r>
      <w:r>
        <w:tab/>
        <w:t>Среди этих выставок следует особо выделить следующие:  "Ацтеки", "Одеяния богов", "Золото и цивилизация", "Путь в Астлан" и "Сумерки майя".</w:t>
      </w:r>
    </w:p>
    <w:p w:rsidR="00000000" w:rsidRDefault="00000000"/>
    <w:p w:rsidR="00000000" w:rsidRDefault="00000000">
      <w:r>
        <w:t>747.</w:t>
      </w:r>
      <w:r>
        <w:tab/>
        <w:t>Для выполнения целей, предусмотренных в национальной программе культуры на период 2001-2006 годов, Национальный институт искусств (НИИ) ведет работу по основным направлениям исследований, реставрации, регистрации, сохранения и пропаганды художественного наследия и памятников культуры, начиная с XX века.  Мексика оказывает содействие студентам и творческой молодежи, в максимальной степени используя школы и культурные центры.  Только в 2003 году в масштабах страны были достигнуты следующие показатели:  а)  проведено 15 558 мероприятий для общественности;  b)  число зрителей на таких мероприятиях составило 3 283 363 человека;  с)  организовано 406 выставок;  d)  число посетителей выставок составило 3 326 178 человек;  е)  художественному творчеству обучалось 8 570 человек;  f)  отреставрировано 755 произведений искусства.  Кроме того, оказывается содействие участию специалистов в работе международных фестивалей, комитетов по присуждению премий, конкурсов, курсов и семинаров, деятельность которых освещается в средствах массовой информации.  В рамках программы обучения студентов за рубежом в последние годы было предоставлено 129 стипендий в целях использования возможностей обучения за рубежом.  Такая динамика культурного обмена и постоянный вклад мексиканцев за рубежом возрастают благодаря тому, что Институт обращает особое внимание на постоянное развитие динамичного культурного сотрудничества по реализации новаторских предложений.</w:t>
      </w:r>
    </w:p>
    <w:p w:rsidR="00000000" w:rsidRDefault="00000000"/>
    <w:p w:rsidR="00000000" w:rsidRDefault="00000000">
      <w:r>
        <w:t>748.</w:t>
      </w:r>
      <w:r>
        <w:tab/>
        <w:t>В рамках процесса пропаганды и самобытности НФКИ реализует программу для творческой молодежи, ориентированную на создание благоприятных условий для творческого процесса мексиканских художников в возрасте от 20 до 35 лет.  В рамках этой программы с момента ее создания было выделено 1 298 стипендий.  Из них 618 (47,6%) были предоставлены за период 1998-2003 годов.</w:t>
      </w:r>
    </w:p>
    <w:p w:rsidR="00000000" w:rsidRDefault="00000000">
      <w:r>
        <w:t>749.</w:t>
      </w:r>
      <w:r>
        <w:tab/>
        <w:t>Кроме того, для создания благоприятных условий профессионализации пропаганды творчества и профессионального роста исполнителей и для распространения и широкого использования специальных знаний и приемов, используемых современными художниками и творческими работниками, была создана программа поддержки исполнительского искусства.  По линии этой программы, созданной в 1989 году, было предоставлено в общей сложности 760 стипендий, из них 406 стипендий - за период 1998</w:t>
      </w:r>
      <w:r>
        <w:noBreakHyphen/>
        <w:t>2003 годов.</w:t>
      </w:r>
    </w:p>
    <w:p w:rsidR="00000000" w:rsidRDefault="00000000"/>
    <w:p w:rsidR="00000000" w:rsidRDefault="00000000">
      <w:r>
        <w:t>750.</w:t>
      </w:r>
      <w:r>
        <w:tab/>
        <w:t>Одна из последних инициатив НФКИ в области культуры, отвечающих требованиям взаимоуважения между индивидами, группами, государствами и регионами, получила название "Мексика:  ворота на американский континент"; ее главная цель заключается в содействии формированию новых механизмов реализации и осуществления проектов в области культуры, художественных и экономических связей в целях привлечения зрителя, пропаганды и распространения произведений культуры.</w:t>
      </w:r>
    </w:p>
    <w:p w:rsidR="00000000" w:rsidRDefault="00000000"/>
    <w:p w:rsidR="00000000" w:rsidRDefault="00000000">
      <w:r>
        <w:t>751.</w:t>
      </w:r>
      <w:r>
        <w:tab/>
        <w:t>В рамках инициативы "Мексика:  ворота на американский континент" в июне 2003 года в Мехико была организована встреча по сценическому искусству, которая должна была послужить созданию в сфере культуры форума, который бы помог появлению рабочих мест, расширению финансирования, наращиванию знаний, разработке предложений и налаживанию организованных связей сотрудничества внутри страны и за рубежом в целях расширения вклада культуры и искусства в умножение богатства общества.</w:t>
      </w:r>
    </w:p>
    <w:p w:rsidR="00000000" w:rsidRDefault="00000000"/>
    <w:p w:rsidR="00000000" w:rsidRDefault="00000000">
      <w:r>
        <w:t>752.</w:t>
      </w:r>
      <w:r>
        <w:tab/>
        <w:t>В работе этой встречи приняли участие танцоры, музыканты и актеры, заинтересованные в налаживании контактов с организациями других стран континента и с импрессарио, режиссерами и постановщиками из всех стран мира;  в рамках встречи был проведен коллоквиум по сценическому искусству, "ярмарка" сценического искусства и первый сценический конкурс американского континента.</w:t>
      </w:r>
    </w:p>
    <w:p w:rsidR="00000000" w:rsidRDefault="00000000"/>
    <w:p w:rsidR="00000000" w:rsidRDefault="00000000">
      <w:r>
        <w:t>753.</w:t>
      </w:r>
      <w:r>
        <w:tab/>
        <w:t>Проект "Ворота на американский континент" рассчитан на среднесрочную перспективу и осуществляется по двум параллельным направлениям:  1)  формирование внутреннего рынка развития сценического искусства, в частности рынка труда, который позволил бы шире распространять его результаты, и 2)  развитие сценического искусства на американском континенте, позволяющее открыть новые горизонты творчества в этой сфере.</w:t>
      </w:r>
    </w:p>
    <w:p w:rsidR="00000000" w:rsidRDefault="00000000"/>
    <w:p w:rsidR="00000000" w:rsidRDefault="00000000">
      <w:r>
        <w:t>754.</w:t>
      </w:r>
      <w:r>
        <w:tab/>
        <w:t>В свою очередь ГУНК по линии своих разнообразных программ и мероприятий содействует пропаганде традиционной культуры коренных народов в ее разнообразных проявлениях, отражающих культурную самобытность Мексики.  Оно вносит вклад в свободное развитие художественного творчества, осуществляя программу поддержки культуры на уровне муниципий и общин, проводя встречи, форумы и коллоквиумы внутри и за пределами кварталов, поселков и деревень и организует информационные кампании при содействии различных средств массовой информации, с которыми оно поддерживает контакт.  Тем не менее, еще необходимо продолжить эту работу внутри них для более глубокого изучения и повышения на этой основе эффективности реализации программ и надлежащего понимания их мировоззрения.</w:t>
      </w:r>
    </w:p>
    <w:p w:rsidR="00000000" w:rsidRDefault="00000000"/>
    <w:p w:rsidR="00000000" w:rsidRDefault="00000000">
      <w:r>
        <w:t>755.</w:t>
      </w:r>
      <w:r>
        <w:tab/>
        <w:t>В этой связи в 2003-2004 годах было подготовлено в среднем 313 работников культуры муниципальных учреждений, домов культуры, отделов и бюро народной культуры и культуры коренного населения, а также в меньшем количестве независимые организаторы культуры и/или представители ассоциаций в семи следующих субъектах федерации:</w:t>
      </w:r>
    </w:p>
    <w:p w:rsidR="00000000" w:rsidRDefault="00000000">
      <w:pPr>
        <w:jc w:val="center"/>
        <w:rPr>
          <w:b/>
          <w:bCs/>
        </w:rPr>
      </w:pPr>
      <w:r>
        <w:rPr>
          <w:b/>
          <w:bCs/>
        </w:rPr>
        <w:t>2003-4004 годы</w:t>
      </w:r>
    </w:p>
    <w:p w:rsidR="00000000" w:rsidRDefault="00000000">
      <w:pPr>
        <w:jc w:val="center"/>
      </w:pPr>
    </w:p>
    <w:tbl>
      <w:tblPr>
        <w:tblW w:w="0" w:type="auto"/>
        <w:jc w:val="center"/>
        <w:tblInd w:w="113" w:type="dxa"/>
        <w:tblLayout w:type="fixed"/>
        <w:tblCellMar>
          <w:top w:w="57" w:type="dxa"/>
          <w:left w:w="113" w:type="dxa"/>
          <w:bottom w:w="57" w:type="dxa"/>
          <w:right w:w="113" w:type="dxa"/>
        </w:tblCellMar>
        <w:tblLook w:val="0000" w:firstRow="0" w:lastRow="0" w:firstColumn="0" w:lastColumn="0" w:noHBand="0" w:noVBand="0"/>
      </w:tblPr>
      <w:tblGrid>
        <w:gridCol w:w="3402"/>
        <w:gridCol w:w="2533"/>
      </w:tblGrid>
      <w:tr w:rsidR="00000000">
        <w:trPr>
          <w:cantSplit/>
          <w:jc w:val="center"/>
        </w:trPr>
        <w:tc>
          <w:tcPr>
            <w:tcW w:w="3402" w:type="dxa"/>
            <w:tcBorders>
              <w:top w:val="single" w:sz="4" w:space="0" w:color="auto"/>
              <w:bottom w:val="single" w:sz="4" w:space="0" w:color="auto"/>
            </w:tcBorders>
          </w:tcPr>
          <w:p w:rsidR="00000000" w:rsidRDefault="00000000">
            <w:pPr>
              <w:spacing w:line="240" w:lineRule="auto"/>
              <w:jc w:val="center"/>
              <w:rPr>
                <w:i/>
                <w:iCs/>
                <w:sz w:val="18"/>
              </w:rPr>
            </w:pPr>
            <w:r>
              <w:rPr>
                <w:i/>
                <w:iCs/>
                <w:sz w:val="18"/>
              </w:rPr>
              <w:t>Регион</w:t>
            </w:r>
          </w:p>
        </w:tc>
        <w:tc>
          <w:tcPr>
            <w:tcW w:w="2533" w:type="dxa"/>
            <w:tcBorders>
              <w:top w:val="single" w:sz="4" w:space="0" w:color="auto"/>
              <w:bottom w:val="single" w:sz="4" w:space="0" w:color="auto"/>
            </w:tcBorders>
          </w:tcPr>
          <w:p w:rsidR="00000000" w:rsidRDefault="00000000">
            <w:pPr>
              <w:tabs>
                <w:tab w:val="clear" w:pos="567"/>
                <w:tab w:val="clear" w:pos="1134"/>
                <w:tab w:val="clear" w:pos="1701"/>
                <w:tab w:val="clear" w:pos="2268"/>
                <w:tab w:val="right" w:pos="1166"/>
              </w:tabs>
              <w:spacing w:line="240" w:lineRule="auto"/>
              <w:jc w:val="center"/>
              <w:rPr>
                <w:i/>
                <w:iCs/>
                <w:sz w:val="18"/>
              </w:rPr>
            </w:pPr>
            <w:r>
              <w:rPr>
                <w:i/>
                <w:iCs/>
                <w:sz w:val="18"/>
              </w:rPr>
              <w:t>Число участников</w:t>
            </w:r>
          </w:p>
        </w:tc>
      </w:tr>
      <w:tr w:rsidR="00000000">
        <w:trPr>
          <w:cantSplit/>
          <w:jc w:val="center"/>
        </w:trPr>
        <w:tc>
          <w:tcPr>
            <w:tcW w:w="3402" w:type="dxa"/>
            <w:tcBorders>
              <w:top w:val="single" w:sz="4" w:space="0" w:color="auto"/>
            </w:tcBorders>
          </w:tcPr>
          <w:p w:rsidR="00000000" w:rsidRDefault="00000000">
            <w:pPr>
              <w:spacing w:line="240" w:lineRule="auto"/>
              <w:rPr>
                <w:sz w:val="18"/>
              </w:rPr>
            </w:pPr>
            <w:r>
              <w:rPr>
                <w:sz w:val="18"/>
              </w:rPr>
              <w:t>Морелос</w:t>
            </w:r>
          </w:p>
        </w:tc>
        <w:tc>
          <w:tcPr>
            <w:tcW w:w="2533" w:type="dxa"/>
            <w:tcBorders>
              <w:top w:val="single" w:sz="4" w:space="0" w:color="auto"/>
            </w:tcBorders>
          </w:tcPr>
          <w:p w:rsidR="00000000" w:rsidRDefault="00000000">
            <w:pPr>
              <w:tabs>
                <w:tab w:val="clear" w:pos="567"/>
                <w:tab w:val="clear" w:pos="1134"/>
                <w:tab w:val="clear" w:pos="1701"/>
                <w:tab w:val="clear" w:pos="2268"/>
                <w:tab w:val="right" w:pos="1326"/>
              </w:tabs>
              <w:spacing w:line="240" w:lineRule="auto"/>
              <w:rPr>
                <w:sz w:val="18"/>
              </w:rPr>
            </w:pPr>
            <w:r>
              <w:rPr>
                <w:sz w:val="18"/>
              </w:rPr>
              <w:tab/>
              <w:t>17</w:t>
            </w:r>
          </w:p>
        </w:tc>
      </w:tr>
      <w:tr w:rsidR="00000000">
        <w:trPr>
          <w:cantSplit/>
          <w:jc w:val="center"/>
        </w:trPr>
        <w:tc>
          <w:tcPr>
            <w:tcW w:w="3402" w:type="dxa"/>
          </w:tcPr>
          <w:p w:rsidR="00000000" w:rsidRDefault="00000000">
            <w:pPr>
              <w:spacing w:line="240" w:lineRule="auto"/>
              <w:rPr>
                <w:sz w:val="18"/>
              </w:rPr>
            </w:pPr>
            <w:r>
              <w:rPr>
                <w:sz w:val="18"/>
              </w:rPr>
              <w:t>СЛП</w:t>
            </w:r>
          </w:p>
        </w:tc>
        <w:tc>
          <w:tcPr>
            <w:tcW w:w="2533" w:type="dxa"/>
          </w:tcPr>
          <w:p w:rsidR="00000000" w:rsidRDefault="00000000">
            <w:pPr>
              <w:tabs>
                <w:tab w:val="clear" w:pos="567"/>
                <w:tab w:val="clear" w:pos="1134"/>
                <w:tab w:val="clear" w:pos="1701"/>
                <w:tab w:val="clear" w:pos="2268"/>
                <w:tab w:val="right" w:pos="1326"/>
              </w:tabs>
              <w:spacing w:line="240" w:lineRule="auto"/>
              <w:rPr>
                <w:sz w:val="18"/>
              </w:rPr>
            </w:pPr>
            <w:r>
              <w:rPr>
                <w:sz w:val="18"/>
              </w:rPr>
              <w:tab/>
              <w:t>24</w:t>
            </w:r>
          </w:p>
        </w:tc>
      </w:tr>
      <w:tr w:rsidR="00000000">
        <w:trPr>
          <w:cantSplit/>
          <w:jc w:val="center"/>
        </w:trPr>
        <w:tc>
          <w:tcPr>
            <w:tcW w:w="3402" w:type="dxa"/>
          </w:tcPr>
          <w:p w:rsidR="00000000" w:rsidRDefault="00000000">
            <w:pPr>
              <w:spacing w:line="240" w:lineRule="auto"/>
              <w:rPr>
                <w:sz w:val="18"/>
              </w:rPr>
            </w:pPr>
            <w:r>
              <w:rPr>
                <w:sz w:val="18"/>
              </w:rPr>
              <w:t>Гуанахуато</w:t>
            </w:r>
          </w:p>
        </w:tc>
        <w:tc>
          <w:tcPr>
            <w:tcW w:w="2533" w:type="dxa"/>
          </w:tcPr>
          <w:p w:rsidR="00000000" w:rsidRDefault="00000000">
            <w:pPr>
              <w:tabs>
                <w:tab w:val="clear" w:pos="567"/>
                <w:tab w:val="clear" w:pos="1134"/>
                <w:tab w:val="clear" w:pos="1701"/>
                <w:tab w:val="clear" w:pos="2268"/>
                <w:tab w:val="right" w:pos="1326"/>
              </w:tabs>
              <w:spacing w:line="240" w:lineRule="auto"/>
              <w:rPr>
                <w:sz w:val="18"/>
              </w:rPr>
            </w:pPr>
            <w:r>
              <w:rPr>
                <w:sz w:val="18"/>
              </w:rPr>
              <w:tab/>
              <w:t>28</w:t>
            </w:r>
          </w:p>
        </w:tc>
      </w:tr>
      <w:tr w:rsidR="00000000">
        <w:trPr>
          <w:cantSplit/>
          <w:jc w:val="center"/>
        </w:trPr>
        <w:tc>
          <w:tcPr>
            <w:tcW w:w="3402" w:type="dxa"/>
          </w:tcPr>
          <w:p w:rsidR="00000000" w:rsidRDefault="00000000">
            <w:pPr>
              <w:spacing w:line="240" w:lineRule="auto"/>
              <w:rPr>
                <w:sz w:val="18"/>
              </w:rPr>
            </w:pPr>
            <w:r>
              <w:rPr>
                <w:sz w:val="18"/>
              </w:rPr>
              <w:t>Пуэбла</w:t>
            </w:r>
          </w:p>
        </w:tc>
        <w:tc>
          <w:tcPr>
            <w:tcW w:w="2533" w:type="dxa"/>
          </w:tcPr>
          <w:p w:rsidR="00000000" w:rsidRDefault="00000000">
            <w:pPr>
              <w:tabs>
                <w:tab w:val="clear" w:pos="567"/>
                <w:tab w:val="clear" w:pos="1134"/>
                <w:tab w:val="clear" w:pos="1701"/>
                <w:tab w:val="clear" w:pos="2268"/>
                <w:tab w:val="right" w:pos="1326"/>
              </w:tabs>
              <w:spacing w:line="240" w:lineRule="auto"/>
              <w:rPr>
                <w:sz w:val="18"/>
              </w:rPr>
            </w:pPr>
            <w:r>
              <w:rPr>
                <w:sz w:val="18"/>
              </w:rPr>
              <w:tab/>
              <w:t>18</w:t>
            </w:r>
          </w:p>
        </w:tc>
      </w:tr>
      <w:tr w:rsidR="00000000">
        <w:trPr>
          <w:cantSplit/>
          <w:jc w:val="center"/>
        </w:trPr>
        <w:tc>
          <w:tcPr>
            <w:tcW w:w="3402" w:type="dxa"/>
          </w:tcPr>
          <w:p w:rsidR="00000000" w:rsidRDefault="00000000">
            <w:pPr>
              <w:spacing w:line="240" w:lineRule="auto"/>
              <w:rPr>
                <w:sz w:val="18"/>
              </w:rPr>
            </w:pPr>
            <w:r>
              <w:rPr>
                <w:sz w:val="18"/>
              </w:rPr>
              <w:t>Сакатекас</w:t>
            </w:r>
          </w:p>
        </w:tc>
        <w:tc>
          <w:tcPr>
            <w:tcW w:w="2533" w:type="dxa"/>
          </w:tcPr>
          <w:p w:rsidR="00000000" w:rsidRDefault="00000000">
            <w:pPr>
              <w:tabs>
                <w:tab w:val="clear" w:pos="567"/>
                <w:tab w:val="clear" w:pos="1134"/>
                <w:tab w:val="clear" w:pos="1701"/>
                <w:tab w:val="clear" w:pos="2268"/>
                <w:tab w:val="right" w:pos="1326"/>
              </w:tabs>
              <w:spacing w:line="240" w:lineRule="auto"/>
              <w:rPr>
                <w:sz w:val="18"/>
              </w:rPr>
            </w:pPr>
            <w:r>
              <w:rPr>
                <w:sz w:val="18"/>
              </w:rPr>
              <w:tab/>
              <w:t>25</w:t>
            </w:r>
          </w:p>
        </w:tc>
      </w:tr>
      <w:tr w:rsidR="00000000">
        <w:trPr>
          <w:cantSplit/>
          <w:jc w:val="center"/>
        </w:trPr>
        <w:tc>
          <w:tcPr>
            <w:tcW w:w="3402" w:type="dxa"/>
          </w:tcPr>
          <w:p w:rsidR="00000000" w:rsidRDefault="00000000">
            <w:pPr>
              <w:spacing w:line="240" w:lineRule="auto"/>
              <w:rPr>
                <w:sz w:val="18"/>
              </w:rPr>
            </w:pPr>
            <w:r>
              <w:rPr>
                <w:sz w:val="18"/>
              </w:rPr>
              <w:t>Табаско</w:t>
            </w:r>
          </w:p>
        </w:tc>
        <w:tc>
          <w:tcPr>
            <w:tcW w:w="2533" w:type="dxa"/>
          </w:tcPr>
          <w:p w:rsidR="00000000" w:rsidRDefault="00000000">
            <w:pPr>
              <w:tabs>
                <w:tab w:val="clear" w:pos="567"/>
                <w:tab w:val="clear" w:pos="1134"/>
                <w:tab w:val="clear" w:pos="1701"/>
                <w:tab w:val="clear" w:pos="2268"/>
                <w:tab w:val="right" w:pos="1326"/>
              </w:tabs>
              <w:spacing w:line="240" w:lineRule="auto"/>
              <w:rPr>
                <w:sz w:val="18"/>
              </w:rPr>
            </w:pPr>
            <w:r>
              <w:rPr>
                <w:sz w:val="18"/>
              </w:rPr>
              <w:tab/>
              <w:t>24</w:t>
            </w:r>
          </w:p>
        </w:tc>
      </w:tr>
      <w:tr w:rsidR="00000000">
        <w:trPr>
          <w:cantSplit/>
          <w:jc w:val="center"/>
        </w:trPr>
        <w:tc>
          <w:tcPr>
            <w:tcW w:w="3402" w:type="dxa"/>
          </w:tcPr>
          <w:p w:rsidR="00000000" w:rsidRDefault="00000000">
            <w:pPr>
              <w:spacing w:line="240" w:lineRule="auto"/>
              <w:rPr>
                <w:sz w:val="18"/>
              </w:rPr>
            </w:pPr>
            <w:r>
              <w:rPr>
                <w:sz w:val="18"/>
              </w:rPr>
              <w:t>Кинтана-Роо</w:t>
            </w:r>
          </w:p>
        </w:tc>
        <w:tc>
          <w:tcPr>
            <w:tcW w:w="2533" w:type="dxa"/>
          </w:tcPr>
          <w:p w:rsidR="00000000" w:rsidRDefault="00000000">
            <w:pPr>
              <w:tabs>
                <w:tab w:val="clear" w:pos="567"/>
                <w:tab w:val="clear" w:pos="1134"/>
                <w:tab w:val="clear" w:pos="1701"/>
                <w:tab w:val="clear" w:pos="2268"/>
                <w:tab w:val="right" w:pos="1326"/>
              </w:tabs>
              <w:spacing w:line="240" w:lineRule="auto"/>
              <w:rPr>
                <w:sz w:val="18"/>
              </w:rPr>
            </w:pPr>
            <w:r>
              <w:rPr>
                <w:sz w:val="18"/>
              </w:rPr>
              <w:tab/>
              <w:t>23</w:t>
            </w:r>
          </w:p>
        </w:tc>
      </w:tr>
      <w:tr w:rsidR="00000000">
        <w:trPr>
          <w:cantSplit/>
          <w:jc w:val="center"/>
        </w:trPr>
        <w:tc>
          <w:tcPr>
            <w:tcW w:w="3402" w:type="dxa"/>
          </w:tcPr>
          <w:p w:rsidR="00000000" w:rsidRDefault="00000000">
            <w:pPr>
              <w:spacing w:line="240" w:lineRule="auto"/>
              <w:rPr>
                <w:sz w:val="18"/>
              </w:rPr>
            </w:pPr>
            <w:r>
              <w:rPr>
                <w:sz w:val="18"/>
              </w:rPr>
              <w:t>Федеральный округ</w:t>
            </w:r>
          </w:p>
        </w:tc>
        <w:tc>
          <w:tcPr>
            <w:tcW w:w="2533" w:type="dxa"/>
          </w:tcPr>
          <w:p w:rsidR="00000000" w:rsidRDefault="00000000">
            <w:pPr>
              <w:tabs>
                <w:tab w:val="clear" w:pos="567"/>
                <w:tab w:val="clear" w:pos="1134"/>
                <w:tab w:val="clear" w:pos="1701"/>
                <w:tab w:val="clear" w:pos="2268"/>
                <w:tab w:val="right" w:pos="1326"/>
              </w:tabs>
              <w:spacing w:line="240" w:lineRule="auto"/>
              <w:rPr>
                <w:sz w:val="18"/>
              </w:rPr>
            </w:pPr>
            <w:r>
              <w:rPr>
                <w:sz w:val="18"/>
              </w:rPr>
              <w:tab/>
              <w:t>153</w:t>
            </w:r>
          </w:p>
        </w:tc>
      </w:tr>
      <w:tr w:rsidR="00000000">
        <w:trPr>
          <w:cantSplit/>
          <w:trHeight w:val="240"/>
          <w:jc w:val="center"/>
        </w:trPr>
        <w:tc>
          <w:tcPr>
            <w:tcW w:w="3402" w:type="dxa"/>
            <w:tcBorders>
              <w:bottom w:val="single" w:sz="4" w:space="0" w:color="auto"/>
            </w:tcBorders>
          </w:tcPr>
          <w:p w:rsidR="00000000" w:rsidRDefault="00000000">
            <w:pPr>
              <w:spacing w:line="240" w:lineRule="auto"/>
              <w:rPr>
                <w:b/>
                <w:bCs/>
                <w:sz w:val="18"/>
              </w:rPr>
            </w:pPr>
            <w:r>
              <w:rPr>
                <w:b/>
                <w:bCs/>
                <w:sz w:val="18"/>
              </w:rPr>
              <w:t>Итого:  8 регионов</w:t>
            </w:r>
          </w:p>
        </w:tc>
        <w:tc>
          <w:tcPr>
            <w:tcW w:w="2533" w:type="dxa"/>
            <w:tcBorders>
              <w:bottom w:val="single" w:sz="4" w:space="0" w:color="auto"/>
            </w:tcBorders>
          </w:tcPr>
          <w:p w:rsidR="00000000" w:rsidRDefault="00000000">
            <w:pPr>
              <w:tabs>
                <w:tab w:val="clear" w:pos="567"/>
                <w:tab w:val="clear" w:pos="1134"/>
                <w:tab w:val="clear" w:pos="1701"/>
                <w:tab w:val="clear" w:pos="2268"/>
                <w:tab w:val="right" w:pos="1326"/>
              </w:tabs>
              <w:spacing w:line="240" w:lineRule="auto"/>
              <w:rPr>
                <w:b/>
                <w:bCs/>
                <w:sz w:val="18"/>
              </w:rPr>
            </w:pPr>
            <w:r>
              <w:rPr>
                <w:b/>
                <w:bCs/>
                <w:sz w:val="18"/>
              </w:rPr>
              <w:tab/>
              <w:t>313</w:t>
            </w:r>
          </w:p>
        </w:tc>
      </w:tr>
    </w:tbl>
    <w:p w:rsidR="00000000" w:rsidRDefault="00000000">
      <w:pPr>
        <w:tabs>
          <w:tab w:val="clear" w:pos="1701"/>
        </w:tabs>
        <w:rPr>
          <w:sz w:val="18"/>
          <w:lang w:val="en-US"/>
        </w:rPr>
      </w:pPr>
    </w:p>
    <w:p w:rsidR="00000000" w:rsidRDefault="00000000">
      <w:pPr>
        <w:tabs>
          <w:tab w:val="clear" w:pos="1701"/>
        </w:tabs>
        <w:rPr>
          <w:sz w:val="18"/>
        </w:rPr>
      </w:pPr>
      <w:r>
        <w:rPr>
          <w:i/>
          <w:iCs/>
          <w:sz w:val="18"/>
        </w:rPr>
        <w:t>Источник:</w:t>
      </w:r>
      <w:r>
        <w:rPr>
          <w:sz w:val="18"/>
        </w:rPr>
        <w:t xml:space="preserve">  Конакульта.</w:t>
      </w:r>
    </w:p>
    <w:p w:rsidR="00000000" w:rsidRDefault="00000000">
      <w:pPr>
        <w:ind w:left="1701"/>
      </w:pPr>
    </w:p>
    <w:p w:rsidR="00000000" w:rsidRDefault="00000000">
      <w:r>
        <w:t>756.</w:t>
      </w:r>
      <w:r>
        <w:tab/>
        <w:t>Главное управление культурных связей и связей с соотечественниками (ГУКС) осуществляет программу культурного развития на уровне муниципий, которая осуществляется на основе создания финансовых фондов и учреждения общественных советов культуры в муниципиях, которые имеют в качестве цели планирование использования и управления ресурсами данной программы.  К 2003 году этой программой было охвачено 280 муниципий, в которых официально создано 185 советов.</w:t>
      </w:r>
    </w:p>
    <w:p w:rsidR="00000000" w:rsidRDefault="00000000"/>
    <w:p w:rsidR="00000000" w:rsidRDefault="00000000">
      <w:r>
        <w:t>757.</w:t>
      </w:r>
      <w:r>
        <w:tab/>
        <w:t>Главное управление библиотек ведет разнообразную работу по пропаганде чтения, в частности осуществляя программу "Мои каникулы в библиотеке", ориентированную прежде всего на детей и подростков, которая проводится каждое лето.</w:t>
      </w:r>
    </w:p>
    <w:p w:rsidR="00000000" w:rsidRDefault="00000000"/>
    <w:p w:rsidR="00000000" w:rsidRDefault="00000000">
      <w:r>
        <w:t>758.</w:t>
      </w:r>
      <w:r>
        <w:tab/>
        <w:t>Культурный центр "Эленико" считает одной из своих главных целей развитие культурной самобытности, и для ее достижения осуществляет разнообразные проекты, связанные с драматургией и национальными театральными постановками.  В этой связи осуществляется цикл "Юные творцы", который призван дать возможность выступить молодым драматургам и режиссерам, которые только что окончили институт и имеют свой особенный взгляд на театральное искусство.</w:t>
      </w:r>
    </w:p>
    <w:p w:rsidR="00000000" w:rsidRDefault="00000000"/>
    <w:p w:rsidR="00000000" w:rsidRDefault="00000000">
      <w:r>
        <w:t>759.</w:t>
      </w:r>
      <w:r>
        <w:tab/>
        <w:t>"Национальная премия юным драматургам" </w:t>
      </w:r>
      <w:r>
        <w:noBreakHyphen/>
        <w:t xml:space="preserve"> конкурс, открытый для новых сочинений мексиканских драматургов.  Произведения финалистов издаются в сборнике "Театр Ла Грута", а пьесы-победители ставятся в том же театре в серии "Юные творцы".  Для этого проводится "Международная неделя современной драматургии", когда на протяжении семи дней организуются "круглые столы", театрализованные чтения, а в некоторые годы проводились семинары, а также встречи, призванные дать возможность участникам, как мексиканским, так и иностранным, обменяться мнениями.  Эти мероприятия способствуют пропаганде театрального искусства в Мексике.</w:t>
      </w:r>
    </w:p>
    <w:p w:rsidR="00000000" w:rsidRDefault="00000000"/>
    <w:p w:rsidR="00000000" w:rsidRDefault="00000000">
      <w:r>
        <w:t>760.</w:t>
      </w:r>
      <w:r>
        <w:tab/>
        <w:t xml:space="preserve">Со своей стороны, МИК, ставя одной из главных своих целей </w:t>
      </w:r>
      <w:r>
        <w:rPr>
          <w:i/>
          <w:iCs/>
        </w:rPr>
        <w:t>развитие мексиканского кино как одного из проявлений культуры страны, имеющего наиболее широкую популярность и влияние в стране и широко признаваемого за рубежом</w:t>
      </w:r>
      <w:r>
        <w:t>, ведет работу по пропаганде и распространению в масштабах страны, участвует в наиболее важных событиях в жизни кино внутри страны и пропагандирует кинодебюты и премьеры.  Кроме того, он принимает участие в работе основных международных кинофестивалей и ярмарок кино, на которых он каждый год распространяет полный производственный каталог, в котором фигурируют картины, снятые при участии государства и частных кинокомпаний.</w:t>
      </w:r>
    </w:p>
    <w:p w:rsidR="00000000" w:rsidRDefault="00000000"/>
    <w:p w:rsidR="00000000" w:rsidRDefault="00000000">
      <w:r>
        <w:t>761.</w:t>
      </w:r>
      <w:r>
        <w:tab/>
        <w:t>Национальные телепрограммы 22-го канала, который ведет вещание культурной тематики, в настоящее время занимают 49% в сетке программ и имеют потенциальную аудиторию 32 млн. человек, принимающих сигнал в долине Мехико в 332 городах страны через системы "Скай" и "ДирекТВ".  Благодаря этому число телезрителей 22-го канала, входящего в число 10 самых популярных каналов, выросло за период 2002-2003 годов на 66%.   В самые популярные часы вещания обычно транслируются отечественные передачи;  была перестроена сетка вещания, чтобы транслируемые передачи больше соответствовали интересам телезрителей.</w:t>
      </w:r>
    </w:p>
    <w:p w:rsidR="00000000" w:rsidRDefault="00000000"/>
    <w:p w:rsidR="00000000" w:rsidRDefault="00000000">
      <w:r>
        <w:t>762.</w:t>
      </w:r>
      <w:r>
        <w:tab/>
        <w:t xml:space="preserve">22-й канал передает программы, посвященные науке и истории, очерки, репортажи о путешествиях и о природе, музыкальные, оперные и балетные спектакли, тележурналы и передачи на злободневные темы, многосерийные телефильмы и специальные программы, </w:t>
      </w:r>
    </w:p>
    <w:p w:rsidR="00000000" w:rsidRDefault="00000000">
      <w:r>
        <w:br w:type="page"/>
        <w:t>включая премьеры отечественных лент и лучшие зарубежные телепрограммы.  Большое место занимают телепередачи, подготовленные в сотрудничестве с учреждениями образования и культуры в стране и за рубежом.</w:t>
      </w:r>
    </w:p>
    <w:p w:rsidR="00000000" w:rsidRDefault="00000000"/>
    <w:p w:rsidR="00000000" w:rsidRDefault="00000000">
      <w:r>
        <w:t>763.</w:t>
      </w:r>
      <w:r>
        <w:tab/>
        <w:t>Один из наиболее масштабных проектов 22-го канала - начало вещания на Соединенные Штаты.  Эти программы, которые транслируются как новый международный 22-й канал со своей сеткой вещания, отличающейся от вещания на мексиканскую аудиторию, можно принимать в 50 городах с многочисленным испаноязычным населением в девяти штатах - Иллинойсе, Нью-Мексико, Техасе, Неваде, Калифорнии, Флориде, Аризоне, Нью-Йорке и Колорадо.</w:t>
      </w:r>
    </w:p>
    <w:p w:rsidR="00000000" w:rsidRDefault="00000000"/>
    <w:p w:rsidR="00000000" w:rsidRDefault="00000000">
      <w:r>
        <w:t>764.</w:t>
      </w:r>
      <w:r>
        <w:tab/>
        <w:t xml:space="preserve">Совместно с "Эдукаль" 22-й канал распространяет ряд программ в формате </w:t>
      </w:r>
      <w:r>
        <w:rPr>
          <w:lang w:val="en-US"/>
        </w:rPr>
        <w:t>DVD</w:t>
      </w:r>
      <w:r>
        <w:t>, создав во "Всемирной библиотеке" Конакульта коллекцию "Канал".  Он будет показывать серьезные и развлекательные программы в соответствии с соглашениями со следующими учреждениями:  Фонд "Телевиса", Мексиканский фестиваль в историческом центре, Кафедра им. Хулио Кортасара, Международный сервантесовский фестиваль, Летний фестиваль исполнительского искусства Пуэблы, Международная гвадалахарская книжная ярмарка, Фестиваль мексиканского и латиноамериканского кино, Кафедра культурного телевещания 22-го канала - Ибероамериканский университет.</w:t>
      </w:r>
    </w:p>
    <w:p w:rsidR="00000000" w:rsidRDefault="00000000"/>
    <w:p w:rsidR="00000000" w:rsidRDefault="00000000">
      <w:r>
        <w:t>765.</w:t>
      </w:r>
      <w:r>
        <w:tab/>
        <w:t xml:space="preserve">Международный сервантесовский фестиваль, проводимый под эгидой Конакульта, преследует цель пропаганды и развития культуры и искусства.  Фестиваль проводится в Гуанахуато уже на протяжении 31 года, и в текущем году состоится </w:t>
      </w:r>
      <w:r>
        <w:rPr>
          <w:lang w:val="en-US"/>
        </w:rPr>
        <w:t>XXXII</w:t>
      </w:r>
      <w:r>
        <w:t xml:space="preserve"> фестиваль.  Фестиваль проводится благодаря финансированию из бюджета федерации и штата.  В проведении фестиваля активно участвуют частные фирмы, для чего созданы механизмы участия, позволяющие, с одной стороны, повысить уровень выступающих актеров и, с другой стороны, повысить технический уровень, в основном систем связи.  </w:t>
      </w:r>
    </w:p>
    <w:p w:rsidR="00000000" w:rsidRDefault="00000000"/>
    <w:p w:rsidR="00000000" w:rsidRDefault="00000000">
      <w:r>
        <w:t>766.</w:t>
      </w:r>
      <w:r>
        <w:tab/>
        <w:t xml:space="preserve">В период нынешней администрации, помимо формирования международной программы, представляющей пять континентов, проводится глубокое изучение определенных процессов в сфере культуры, когда </w:t>
      </w:r>
      <w:r>
        <w:rPr>
          <w:i/>
          <w:iCs/>
        </w:rPr>
        <w:t>континент, страна и штат</w:t>
      </w:r>
      <w:r>
        <w:t xml:space="preserve"> представляются на фестивале в качестве "почетных гостей".</w:t>
      </w:r>
    </w:p>
    <w:p w:rsidR="00000000" w:rsidRDefault="00000000"/>
    <w:p w:rsidR="00000000" w:rsidRDefault="00000000">
      <w:r>
        <w:t>767.</w:t>
      </w:r>
      <w:r>
        <w:tab/>
        <w:t>Фестиваль призван открыть доступ к культурному достоянию.  В соответствии с этим принципом художественная программа реализуется не только в таких традиционных местах, как театры и храмы, но и на улицах и площадях.  Кроме того, действует программа доступа для художников и студентов различных художественных специальностей, а также академическая программа укрепления и обогащения процессов творчества местных талантов.  Фестиваль проводится в рамках национальной программы культуры на основе предоставления доступа к культурному достоянию и услугам, свободы слова, поощрения распространения художественных произведений и производства и использования культурной продукции.</w:t>
      </w:r>
    </w:p>
    <w:p w:rsidR="00000000" w:rsidRDefault="00000000"/>
    <w:p w:rsidR="00000000" w:rsidRDefault="00000000">
      <w:pPr>
        <w:rPr>
          <w:b/>
          <w:bCs/>
        </w:rPr>
      </w:pPr>
      <w:r>
        <w:rPr>
          <w:b/>
          <w:bCs/>
        </w:rPr>
        <w:t xml:space="preserve">Пункт 66 </w:t>
      </w:r>
      <w:r>
        <w:rPr>
          <w:b/>
          <w:bCs/>
          <w:lang w:val="en-US"/>
        </w:rPr>
        <w:t>d</w:t>
      </w:r>
      <w:r>
        <w:rPr>
          <w:b/>
          <w:bCs/>
        </w:rPr>
        <w:t>)</w:t>
      </w:r>
    </w:p>
    <w:p w:rsidR="00000000" w:rsidRDefault="00000000">
      <w:pPr>
        <w:rPr>
          <w:b/>
          <w:bCs/>
        </w:rPr>
      </w:pPr>
    </w:p>
    <w:p w:rsidR="00000000" w:rsidRDefault="00000000">
      <w:r>
        <w:t>768.</w:t>
      </w:r>
      <w:r>
        <w:tab/>
        <w:t>Проект Музея культур Оахаки стал новой вехой в истории этнографических музеев страны.  До сего времени индейские народы были вырваны из исторического контекста и им были посвящены отдельные залы.  В новом проекте индейские общины стали действующими лицами истории, сыгравшими свою роль в социальных процессах, сформировавших штат Оахака и страну после испанского завоевания.  Кроме того, создано пространство, пользуясь которым коренные общины могут выражать свое мнение по социально-политическим и экономическим вопросам, которые их затрагивают.</w:t>
      </w:r>
    </w:p>
    <w:p w:rsidR="00000000" w:rsidRDefault="00000000"/>
    <w:p w:rsidR="00000000" w:rsidRDefault="00000000">
      <w:r>
        <w:t>769.</w:t>
      </w:r>
      <w:r>
        <w:tab/>
        <w:t>Кроме того, в Национальном музее антропологии приведена смена экспозиций в залах индейских народов наяр, пурепеча, отоми, науа, северных групп и уастеков и тотонаков.  Новая экспозиция обновлена как в академическом, так и в музеографическом плане с учетом результатов последних исследований и лучше показывает фонды этнографических коллекций.  В Национальном историческом музее, следуя образцу Музея культур Оахаки развитие страны увязывается с участием индийских общин Мексики.  На протяжении всей экспозиции представлены информационные материалы и экспонаты, посвященные таким общинам, сыгравшим свою роль в истории страны.  Руководствуясь таким новым духом, Региональный музей Уастеки, открытый в Тампико в штате Тамаулипас, стал новым словом в музейном деле в области археологии и этнографии, отойдя от традиционного разделения, проводившегося между обеими темами.</w:t>
      </w:r>
    </w:p>
    <w:p w:rsidR="00000000" w:rsidRDefault="00000000"/>
    <w:p w:rsidR="00000000" w:rsidRDefault="00000000">
      <w:r>
        <w:t>770.</w:t>
      </w:r>
      <w:r>
        <w:tab/>
        <w:t>Поправки в статью 2 Конституции, принятые в 2001 году конгрессом  страны, отражают новый подход и новое понимание того места, которое занимают коренные народы в мексиканском обществе.  В этой области ГУНК в рамках своей программы всестороннего развития коренных культур ведет свою деятельность по улучшению социальных условий жизни коренных народов Мексики.</w:t>
      </w:r>
    </w:p>
    <w:p w:rsidR="00000000" w:rsidRDefault="00000000"/>
    <w:p w:rsidR="00000000" w:rsidRDefault="00000000">
      <w:r>
        <w:t>771.</w:t>
      </w:r>
      <w:r>
        <w:tab/>
        <w:t>В целях признания и поддержки литературного творчества коренных писателей Мексики создана премия Насауалькойотль по литературе на коренных языках.  Кроме того, с 2002 года в свете признания роли женщин из числа коренных народов в развитии этих народов и их культуры оказывается поддержка укреплению различных организаций женщин на основе проведения культурных проектов, разработанных ими.  Программа "Женщины коренных народов в развитии культуры" нацелена на содействие признанию той роли, которую женщины коренных народов играют в сохранении культур своих народов, их творческого потенциала при выработке решений социальных, экономических и культурных проблем, с которыми сталкиваются эти народы, а также призвана способствовать установлению равноправных отношений между мужчинами и женщинами.  Кроме того, предпринимаются усилия по созданию каналов пропаганды творчества коренных женщин, отражающего культурное многообразие их народов в различных областях культуры, в которых развивается и укрепляется их самобытность.</w:t>
      </w:r>
    </w:p>
    <w:p w:rsidR="00000000" w:rsidRDefault="00000000"/>
    <w:p w:rsidR="00000000" w:rsidRDefault="00000000">
      <w:r>
        <w:t>772.</w:t>
      </w:r>
      <w:r>
        <w:tab/>
        <w:t>В этой связи осуществляется проект "Творцы снов и реальности:  женщины коренных народов в народном искусстве", предусматривающий налаживание контактов между женщинами творческих профессий из числа коренных народов различных культур Мексики.  Пока что было проведено две встречи:  первая в марте 2002 года в Мехико и вторая состоявшаяся в марте 2003 года в Пуэбле.  На каждой из этих встреч приняли участие более 50 женщин, занимающихся творчеством в области литературы, музыки, ремесел и изобразительного искусства.</w:t>
      </w:r>
    </w:p>
    <w:p w:rsidR="00000000" w:rsidRDefault="00000000"/>
    <w:p w:rsidR="00000000" w:rsidRDefault="00000000">
      <w:r>
        <w:t>773.</w:t>
      </w:r>
      <w:r>
        <w:tab/>
        <w:t>В 2003 году был проведен первый континентальный коллоквиум "Музыка коренных народов", рассмотревший ее основные черты, проблемы и перспективы, состоявшийся в Национальном музее антропологии Мехико.  Кроме того, в Национальном дворце съездов прошла встреча "Звуки Америки".  Была проведена первая выставка музыки коренных народов Америки, организованная Национальной комиссией развития коренных народов, народной культуры и культуры коренных народов Конакульта и группы "ТАК", а также латиноамериканским конгрессом культурного наследия развития и туризма, проведенного в Морелии (штат Мичоакан) Комиссией по народной и коренной культуре Конакульта правительством штата Мичоакан и министерством туризма.</w:t>
      </w:r>
    </w:p>
    <w:p w:rsidR="00000000" w:rsidRDefault="00000000"/>
    <w:p w:rsidR="00000000" w:rsidRDefault="00000000">
      <w:r>
        <w:t>774.</w:t>
      </w:r>
      <w:r>
        <w:tab/>
        <w:t>Коллоквиум "Глубокая Америка" был проведен для того, чтобы дать лидерам коренных народов возможность обсудить свои проблемы и цели развития, изучая то, что их объединяет, и имеющиеся у них возможности начала диалога с другими группами общества.</w:t>
      </w:r>
    </w:p>
    <w:p w:rsidR="00000000" w:rsidRDefault="00000000"/>
    <w:p w:rsidR="00000000" w:rsidRDefault="00000000">
      <w:r>
        <w:t>775.</w:t>
      </w:r>
      <w:r>
        <w:tab/>
        <w:t>Была опубликована книга, содержащая международные и национальные документы, посвященные празднованию Международного дня родного языка, объявленного ЮНЕСКО (21 февраля).  В подготовке этого издания приняли участие Бюро по вопросам развития коренных народов, палата депутатов, Объединение писателей на языках коренных народов и Национальная комиссия по народной культуре и культуре коренных народов Конакульта.</w:t>
      </w:r>
    </w:p>
    <w:p w:rsidR="00000000" w:rsidRDefault="00000000"/>
    <w:p w:rsidR="00000000" w:rsidRDefault="00000000">
      <w:r>
        <w:br w:type="page"/>
        <w:t>776.</w:t>
      </w:r>
      <w:r>
        <w:tab/>
        <w:t>В свою очередь НФКИ осуществляет с 1992 года программу содействия писателям на языках коренных народов.  Такая деятельность способствует развитию форм литературы, характерных для этих языков, их сохранению, их письменности и их передаче при уважении их традиций и обычаев.  Содействие в рамках программы было оказано 173 писателям на 30 коренных языках.  Из них 96 стипендий было представлено в период 1998-2003 годов.</w:t>
      </w:r>
    </w:p>
    <w:p w:rsidR="00000000" w:rsidRDefault="00000000"/>
    <w:p w:rsidR="00000000" w:rsidRDefault="00000000">
      <w:r>
        <w:t>777.</w:t>
      </w:r>
      <w:r>
        <w:tab/>
        <w:t>Другая важнейшая область в сфере традиционной культуры - музыкальное творчество и исполнительское искусство.  Развитие и сохранение такого музыкального искусства, хотя и опирается на поддержку ряда групп, заинтересованных в его сохранении, не опирается на постоянную систему финансирования, которая бы способствовала его пропаганде и позволяла содействовать творчеству в этой области.</w:t>
      </w:r>
    </w:p>
    <w:p w:rsidR="00000000" w:rsidRDefault="00000000"/>
    <w:p w:rsidR="00000000" w:rsidRDefault="00000000">
      <w:r>
        <w:t>778.</w:t>
      </w:r>
      <w:r>
        <w:tab/>
        <w:t>В 2001 году НФКИ провел первый конкурс на предоставление стипендий в области традиционной мексиканской музыки.  Принять участие в нем были приглашены композиторы и исполнители традиционной музыки, а также группы, которые исполняют музыкальные произведения на традиционных инструментах, и все музыканты, которые обращаются к традиционным музыкальным мотивам или восстанавливают звучание и мелодии традиционной музыки.  Цель его заключается в содействии сохранению звучания и укреплении механизмов музыкального творчества, что сделало бы возможным развитие традиционной музыки и оказание его влияния на национальную и мировую музыку.  Ставится цель достижения как сохранения музыки, так и ее влияние на музыкальный язык.  На трех этапах осуществления этой программы было предоставлено 53 стипендии для музыкантов и композиторов, сочиняющих и исполняющих традиционную музыку различных регионов страны.</w:t>
      </w:r>
    </w:p>
    <w:p w:rsidR="00000000" w:rsidRDefault="00000000"/>
    <w:p w:rsidR="00000000" w:rsidRDefault="00000000">
      <w:pPr>
        <w:rPr>
          <w:b/>
          <w:bCs/>
        </w:rPr>
      </w:pPr>
      <w:r>
        <w:rPr>
          <w:b/>
          <w:bCs/>
        </w:rPr>
        <w:t>Пункт 66 е)</w:t>
      </w:r>
    </w:p>
    <w:p w:rsidR="00000000" w:rsidRDefault="00000000">
      <w:pPr>
        <w:rPr>
          <w:b/>
          <w:bCs/>
        </w:rPr>
      </w:pPr>
    </w:p>
    <w:p w:rsidR="00000000" w:rsidRDefault="00000000">
      <w:r>
        <w:t>779.</w:t>
      </w:r>
      <w:r>
        <w:tab/>
        <w:t>Привлекая к этой работе свои различные подразделения, Конакульта по мере возможности стремится содействовать, привлекая для этого средства массовой информации, участию в культурной жизни.  В этой связи недавно была начата трансляция телесюжетов, призванных пропагандировать чтение и книгу.</w:t>
      </w:r>
    </w:p>
    <w:p w:rsidR="00000000" w:rsidRDefault="00000000"/>
    <w:p w:rsidR="00000000" w:rsidRDefault="00000000">
      <w:r>
        <w:t>780.</w:t>
      </w:r>
      <w:r>
        <w:tab/>
        <w:t xml:space="preserve">Кроме того, НИЭИ, являющийся по существу академическим учреждением, занимается распространением знаний, вырабатываемых в ходе работы по основным направлениям.  В этой связи Управление средств массовой информации, созданное чуть более десяти лет назад, превратилось в один из главных каналов информации Института, </w:t>
      </w:r>
    </w:p>
    <w:p w:rsidR="00000000" w:rsidRDefault="00000000">
      <w:r>
        <w:br w:type="page"/>
        <w:t>используемых для распространения результатов его исследований среди мексиканского общества благодаря повседневному контакту, установленному со средствами массовой информации.</w:t>
      </w:r>
    </w:p>
    <w:p w:rsidR="00000000" w:rsidRDefault="00000000"/>
    <w:p w:rsidR="00000000" w:rsidRDefault="00000000">
      <w:r>
        <w:t>781.</w:t>
      </w:r>
      <w:r>
        <w:tab/>
        <w:t>В последние пять лет оказывалась активная поддержка работы по распространению среди общества результатов исследований Института в таких областях, как археология, исторические памятники, этнография, история и музейное дело.  Тем самым НИЭИ повернулся лицом к обществу.  Необходимо подчеркнуть все значение средств массовой информации как незаменимого средства распространения знаний, связанных с культурой.  В этой связи следует отметить, что в данной области все больше не хватает средств, что затрудняет распространение такой информации среди мексиканского общества.</w:t>
      </w:r>
    </w:p>
    <w:p w:rsidR="00000000" w:rsidRDefault="00000000"/>
    <w:p w:rsidR="00000000" w:rsidRDefault="00000000">
      <w:r>
        <w:t>782.</w:t>
      </w:r>
      <w:r>
        <w:tab/>
        <w:t>Культурный центр "Эленико" (ККЭ) каждый месяц проводит пресс-конференции, на которые приглашаются корреспонденты по вопросам культуры различных периодических изданий, распространяемых в нашей стране, что представляет собой непростую задачу для Центра, располагающего небольшим бюджетом, который тем не менее стремится к активному участию в пропаганде мероприятий, которые содействуют развитию культуры.</w:t>
      </w:r>
    </w:p>
    <w:p w:rsidR="00000000" w:rsidRDefault="00000000"/>
    <w:p w:rsidR="00000000" w:rsidRDefault="00000000">
      <w:r>
        <w:t>783.</w:t>
      </w:r>
      <w:r>
        <w:tab/>
        <w:t>Для пропаганды работы НФКИ по линии своих программ используются различные средства:  печать страны, телевидение, радио и международная сеть Интернет.  С их помощью сообщество культуры и общественность в целом информируются о помощи, стипендиях и льготах для культуры.  Кроме того, распространяется информация о результатах проведенных конкурсов и о программах и графике организуемых мероприятий и выставок.</w:t>
      </w:r>
    </w:p>
    <w:p w:rsidR="00000000" w:rsidRDefault="00000000"/>
    <w:p w:rsidR="00000000" w:rsidRDefault="00000000">
      <w:r>
        <w:t>784.</w:t>
      </w:r>
      <w:r>
        <w:tab/>
        <w:t>Параллельно с развитием демократии в нашей стране средства массовой информации уделяют все больше внимания распространению информации о различных событиях ее культурной жизни.  В частности, шире освещаются вопросы культуры, связанные с коренными народами.</w:t>
      </w:r>
    </w:p>
    <w:p w:rsidR="00000000" w:rsidRDefault="00000000"/>
    <w:p w:rsidR="00000000" w:rsidRDefault="00000000">
      <w:r>
        <w:t>785.</w:t>
      </w:r>
      <w:r>
        <w:tab/>
        <w:t>Средства массовой информации, содействующие участию в культурной жизни, созданы государствами, как, например, 11</w:t>
      </w:r>
      <w:r>
        <w:noBreakHyphen/>
        <w:t>й канал, 22</w:t>
      </w:r>
      <w:r>
        <w:noBreakHyphen/>
        <w:t>й канал и радио "Образование".</w:t>
      </w:r>
    </w:p>
    <w:p w:rsidR="00000000" w:rsidRDefault="00000000"/>
    <w:p w:rsidR="00000000" w:rsidRDefault="00000000">
      <w:r>
        <w:t>786.</w:t>
      </w:r>
      <w:r>
        <w:tab/>
        <w:t>Народная культура в большинстве своих форм выражения не занимает какого</w:t>
      </w:r>
      <w:r>
        <w:noBreakHyphen/>
        <w:t>либо заметного места в средствах массовой информации, возможно потому, что еще сохраняются предрассудки или нет достаточных познаний о народном искусстве в отличие от высокого искусства.  "Фольклор" в его негативном смысле представляет собой концепцию, связываемую с чем</w:t>
      </w:r>
      <w:r>
        <w:noBreakHyphen/>
        <w:t>то низким, ассоциирующимся среди прочего с обрядами и с древними ритуалами, которые еще бытуют и глубоко укоренены в религиозной и культурной жизни народов нашей страны.  Различные выражения народной культуры и культуры коренных народов чаще всего воспринимаются как туристический продукт, спектакль, полный загадочных номеров, а не как выражение мысли и различных философий, целостных эстетических систем, глубоких знаний и представлений.</w:t>
      </w:r>
    </w:p>
    <w:p w:rsidR="00000000" w:rsidRDefault="00000000"/>
    <w:p w:rsidR="00000000" w:rsidRDefault="00000000">
      <w:pPr>
        <w:rPr>
          <w:i/>
          <w:iCs/>
        </w:rPr>
      </w:pPr>
      <w:r>
        <w:t>787.</w:t>
      </w:r>
      <w:r>
        <w:tab/>
        <w:t>Среди направлений политики правительства Мексики, намеченных в Национальной программе культуры на период 2001</w:t>
      </w:r>
      <w:r>
        <w:noBreakHyphen/>
        <w:t>2006 годов, в главе, посвященной аудиовизуальным средствам, поставлена следующая общая цель:  "...</w:t>
      </w:r>
      <w:r>
        <w:rPr>
          <w:i/>
          <w:iCs/>
        </w:rPr>
        <w:t>содействовать на основе производства и распространения аудиовизуальных материалов более широкому и действенному распространению национальной культуры и наиболее выдающихся проявлений всемирной культуры среди все более широких групп населения, исходя из того, что знания, понимание и пользование культурой представляют собой факторы, имеющие огромное значение для повышения качества жизни мексиканцев".</w:t>
      </w:r>
    </w:p>
    <w:p w:rsidR="00000000" w:rsidRDefault="00000000">
      <w:pPr>
        <w:rPr>
          <w:i/>
          <w:iCs/>
        </w:rPr>
      </w:pPr>
    </w:p>
    <w:p w:rsidR="00000000" w:rsidRDefault="00000000">
      <w:r>
        <w:t>788.</w:t>
      </w:r>
      <w:r>
        <w:tab/>
        <w:t>Такая задача решается на основе организации показов фильмов, снятых при поддержке со стороны государства в коммерческих кинотеатрах.  По окончании проката они выпускаются в видеоформате, а также транслируются по бесплатному и платному телевидению.  Кроме того, такие фильмы демонстрируются в рамках национальной сети кинематографических показов.</w:t>
      </w:r>
    </w:p>
    <w:p w:rsidR="00000000" w:rsidRDefault="00000000"/>
    <w:p w:rsidR="00000000" w:rsidRDefault="00000000">
      <w:pPr>
        <w:rPr>
          <w:b/>
          <w:bCs/>
        </w:rPr>
      </w:pPr>
      <w:r>
        <w:rPr>
          <w:b/>
          <w:bCs/>
        </w:rPr>
        <w:t xml:space="preserve">Пункт 66 </w:t>
      </w:r>
      <w:r>
        <w:rPr>
          <w:b/>
          <w:bCs/>
          <w:lang w:val="en-US"/>
        </w:rPr>
        <w:t>f</w:t>
      </w:r>
      <w:r>
        <w:rPr>
          <w:b/>
          <w:bCs/>
        </w:rPr>
        <w:t>)</w:t>
      </w:r>
    </w:p>
    <w:p w:rsidR="00000000" w:rsidRDefault="00000000">
      <w:pPr>
        <w:rPr>
          <w:b/>
          <w:bCs/>
        </w:rPr>
      </w:pPr>
    </w:p>
    <w:p w:rsidR="00000000" w:rsidRDefault="00000000">
      <w:r>
        <w:t>789.</w:t>
      </w:r>
      <w:r>
        <w:tab/>
        <w:t>Национальная программа культуры на период 2001</w:t>
      </w:r>
      <w:r>
        <w:noBreakHyphen/>
        <w:t>2006 годов считает в сфере культуры приоритетной задачей исследование и сохранение культурного наследия с целью изучения и сохранения материального и духовного наследия, представляющего собой культурное богатство Мексики в целях его изучения, защиты и распространения ради того, чтобы оно могло служить нынешним и будущим поколениям.</w:t>
      </w:r>
    </w:p>
    <w:p w:rsidR="00000000" w:rsidRDefault="00000000"/>
    <w:p w:rsidR="00000000" w:rsidRDefault="00000000">
      <w:r>
        <w:t>790.</w:t>
      </w:r>
      <w:r>
        <w:tab/>
        <w:t>Мексика </w:t>
      </w:r>
      <w:r>
        <w:noBreakHyphen/>
        <w:t xml:space="preserve"> одно из шести государств, в которых больше всего объектов, объявленных достоянием человечества, и первая среди них страна на американском континенте;  на всех этих объектах проводится работа по исследованиям и сохранению.  С учетом необходимости предотвращения последствий стихийных бедствий для исторических памятников и археологических зон, НИЭИ начато осуществление программы предотвращения последствий стихийных бедствий в области культурного наследия.  Эта программа, осуществляющаяся совместно с Национальным центром предотвращения стихийных бедствий, объединяет различные механизмы предотвращения и устранения последствий в свете постоянных угроз таких стихийных явлений, как землетрясения и ураганы.</w:t>
      </w:r>
    </w:p>
    <w:p w:rsidR="00000000" w:rsidRDefault="00000000"/>
    <w:p w:rsidR="00000000" w:rsidRDefault="00000000">
      <w:r>
        <w:t>791.</w:t>
      </w:r>
      <w:r>
        <w:tab/>
        <w:t>Праздник "День мертвых" заслужил признание со стороны ЮНЕСКО во втором провозглашении шедевров устного и нематериального наследия человечества.  Кроме того, в 2003 году Мексика голосовала за принятие Международной конвенции о сохранении нематериального культурного наследия.  Присуждая национальную премию в области культуры и искусства по разделу 6, "Искусство и традиции", ГУНК тем самым признает и укрепляет вклад тех, кто трудится ради сохранения традиций страны.</w:t>
      </w:r>
    </w:p>
    <w:p w:rsidR="00000000" w:rsidRDefault="00000000"/>
    <w:p w:rsidR="00000000" w:rsidRDefault="00000000">
      <w:r>
        <w:t>792.</w:t>
      </w:r>
      <w:r>
        <w:tab/>
        <w:t>В этой области культуры работают такие подразделения Конакульта, как НИЭИ, НИИ и Главное управление объектов и памятников.  НФКИ участвует в такой деятельности по двум направлениям своей программы работы:  археологические субфонды и субфонды программы "Примите произведение искусства" и программа приобретения произведений искусств.  По мере реконструкции археологических зон, расположенных в них музеев и других объектов работа археологических субфондов постепенно сворачивается.</w:t>
      </w:r>
    </w:p>
    <w:p w:rsidR="00000000" w:rsidRDefault="00000000"/>
    <w:p w:rsidR="00000000" w:rsidRDefault="00000000">
      <w:r>
        <w:t>793.</w:t>
      </w:r>
      <w:r>
        <w:tab/>
        <w:t>В настоящее время осталось три из них:  "Защита и сохранение археологической зоны Теотиуакан", "Реконструкция археологической зоны Альтависта</w:t>
      </w:r>
      <w:r>
        <w:noBreakHyphen/>
        <w:t>Чальчиуитес в Сакатекасе" и "Реконструкция зоны Яшчилан в штате Чьяпас".  Программа "Примите произведение искусства" стала каналом распределения в 2003 году свыше 13 млн. песо на цели сохранения, реставрации и сохранения различных произведений, находящихся в 20 штатах республики, на основе функционирования 40 культурных субфондов.</w:t>
      </w:r>
    </w:p>
    <w:p w:rsidR="00000000" w:rsidRDefault="00000000"/>
    <w:p w:rsidR="00000000" w:rsidRDefault="00000000">
      <w:r>
        <w:t>794.</w:t>
      </w:r>
      <w:r>
        <w:tab/>
        <w:t>Национальная кинотека, которая координируется МИК, представляет собой учреждение, которое занимается реставрацией, классификацией, сохранением и распространением кинематографических произведений, созданных при помощи государства.</w:t>
      </w:r>
    </w:p>
    <w:p w:rsidR="00000000" w:rsidRDefault="00000000"/>
    <w:p w:rsidR="00000000" w:rsidRDefault="00000000">
      <w:pPr>
        <w:rPr>
          <w:b/>
          <w:bCs/>
        </w:rPr>
      </w:pPr>
      <w:r>
        <w:rPr>
          <w:b/>
          <w:bCs/>
        </w:rPr>
        <w:t xml:space="preserve">Пункт 66 </w:t>
      </w:r>
      <w:r>
        <w:rPr>
          <w:b/>
          <w:bCs/>
          <w:lang w:val="en-US"/>
        </w:rPr>
        <w:t>g</w:t>
      </w:r>
      <w:r>
        <w:rPr>
          <w:b/>
          <w:bCs/>
        </w:rPr>
        <w:t>)</w:t>
      </w:r>
    </w:p>
    <w:p w:rsidR="00000000" w:rsidRDefault="00000000">
      <w:pPr>
        <w:rPr>
          <w:b/>
          <w:bCs/>
        </w:rPr>
      </w:pPr>
    </w:p>
    <w:p w:rsidR="00000000" w:rsidRDefault="00000000">
      <w:r>
        <w:t>795.</w:t>
      </w:r>
      <w:r>
        <w:tab/>
        <w:t>Один из основных принципов культурной политики </w:t>
      </w:r>
      <w:r>
        <w:noBreakHyphen/>
        <w:t xml:space="preserve"> уважение свободы слова и творчества, поэтому МИК гарантирует и обеспечивает свободу выражения во всех своих программах и деятельности.  Это находит свое проявление в конкурсах на выделение денежных средств, предоставляемых сценаристам и кинематографистам, предлагающим кинематографические проекты и снимающим короткометражные ленты.  Кроме того, это зафиксировано в правилах деятельности и оценки программ поддержки кинематографической отрасли, а также проявляется в коммерческом показе всех фильмов, которые сняты при помощи государства.</w:t>
      </w:r>
    </w:p>
    <w:p w:rsidR="00000000" w:rsidRDefault="00000000"/>
    <w:p w:rsidR="00000000" w:rsidRDefault="00000000">
      <w:r>
        <w:t>796.</w:t>
      </w:r>
      <w:r>
        <w:tab/>
        <w:t>Федеральный закон об авторском праве, который регламентирует порядок осуществления статьи 28 Конституции, имеет своей целью защиту и пропаганду культурного  наследия государства, защиту прав авторов, исполнителей, а также издателей, производителей и органов радиовещания в связи с их литературными или художественными произведениями во всех их выражениях, их исполнениями, их редакциями, их фонограммами или видеограммами, их передачами, а также в связи с другими правами интеллектуальной собственности.</w:t>
      </w:r>
    </w:p>
    <w:p w:rsidR="00000000" w:rsidRDefault="00000000"/>
    <w:p w:rsidR="00000000" w:rsidRDefault="00000000">
      <w:r>
        <w:t>797.</w:t>
      </w:r>
      <w:r>
        <w:tab/>
        <w:t>Кроме того, следует отметить, что в число основных принципов политики культуры входит уважение свободы выражения и творчества, поэтому МИК гарантирует и поощряет свободу выражения во всех своих программах и мероприятиях.  Это проявляется в конкурсах на участие в поддержке со стороны правительства Мексики для сценаристов, кинематографистов и режиссеров короткометражных фильмов.  Кроме того, те же принципы закреплены в правилах деятельности и оценки программ поддержки кинематографической отрасли.  Это также находит свое проявление в коммерческом показе всех фильмов, снятых при помощи государства.</w:t>
      </w:r>
    </w:p>
    <w:p w:rsidR="00000000" w:rsidRDefault="00000000"/>
    <w:p w:rsidR="00000000" w:rsidRDefault="00000000">
      <w:pPr>
        <w:rPr>
          <w:b/>
          <w:bCs/>
        </w:rPr>
      </w:pPr>
      <w:r>
        <w:rPr>
          <w:b/>
          <w:bCs/>
        </w:rPr>
        <w:t xml:space="preserve">Пункт 66 </w:t>
      </w:r>
      <w:r>
        <w:rPr>
          <w:b/>
          <w:bCs/>
          <w:lang w:val="en-US"/>
        </w:rPr>
        <w:t>h</w:t>
      </w:r>
      <w:r>
        <w:rPr>
          <w:b/>
          <w:bCs/>
        </w:rPr>
        <w:t>)</w:t>
      </w:r>
    </w:p>
    <w:p w:rsidR="00000000" w:rsidRDefault="00000000">
      <w:pPr>
        <w:rPr>
          <w:b/>
          <w:bCs/>
        </w:rPr>
      </w:pPr>
    </w:p>
    <w:p w:rsidR="00000000" w:rsidRDefault="00000000">
      <w:r>
        <w:t>798.</w:t>
      </w:r>
      <w:r>
        <w:tab/>
        <w:t>НИЭИ имеет в своей системе Национальную школу этнографии и истории с отделениями в Федеральном округе и в Чиуауа, а также Национальную школу консервации, реставрации и музеографии, в которой ведется подготовка на степень лиценциата по специальностям социальная этнография, физическая этнография, археология, история, этноистория, лингвистика, этнология и реставрация предметов искусства.  Обучение на степень магистра ведется по следующим специальностям:  социальная этнография, физическая этнография, археология, лингвистика, история </w:t>
      </w:r>
      <w:r>
        <w:noBreakHyphen/>
        <w:t xml:space="preserve"> этноистория и музейное дело.  Подготовка на степень доктора ведется по специальностям:  этнография, науки о языке и история </w:t>
      </w:r>
      <w:r>
        <w:noBreakHyphen/>
        <w:t xml:space="preserve"> этноистория.</w:t>
      </w:r>
    </w:p>
    <w:p w:rsidR="00000000" w:rsidRDefault="00000000"/>
    <w:p w:rsidR="00000000" w:rsidRDefault="00000000">
      <w:r>
        <w:t>799.</w:t>
      </w:r>
      <w:r>
        <w:tab/>
        <w:t>В этих школах обучаются в среднем 2</w:t>
      </w:r>
      <w:r>
        <w:rPr>
          <w:lang w:val="en-US"/>
        </w:rPr>
        <w:t xml:space="preserve"> </w:t>
      </w:r>
      <w:r>
        <w:t>500 студентов.  Кроме того, 11 февраля 2002 года в Национальной школе этнографии и истории было открыто новое здание библиотеки им. Гильермо Бонфиля Батальи, модернизация и автоматизация которой обеспечивают уровень обслуживания и позволяют укрепить связи между институтом и научной общественностью.  При поддержке НИЭИ и Ассоциации "Примите произведение искусства" и в сотрудничестве с правительствами федерации и штатов была создана Школа консервации и реставрации западного региона (ШКРЗ), которая открыла свои двери 25 сентября 2000 года, став первым центром специальной подготовки реставраторов в стране.</w:t>
      </w:r>
    </w:p>
    <w:p w:rsidR="00000000" w:rsidRDefault="00000000"/>
    <w:p w:rsidR="00000000" w:rsidRDefault="00000000">
      <w:r>
        <w:t>800.</w:t>
      </w:r>
      <w:r>
        <w:tab/>
        <w:t xml:space="preserve">В области художественного образования НИЭИ располагает системой 29 школ - от вводного курса до высшего образования.  Работа в области исследований, подготовки документов и информации искусствоведческой тематики ведется в четырех специализированных центрах страны, занимающихся музыкой, танцами, театром и изобразительным искусством.  </w:t>
      </w:r>
    </w:p>
    <w:p w:rsidR="00000000" w:rsidRDefault="00000000"/>
    <w:p w:rsidR="00000000" w:rsidRDefault="00000000">
      <w:r>
        <w:t>801.</w:t>
      </w:r>
      <w:r>
        <w:tab/>
        <w:t>НФКИ осуществляет программу поддержки обучения за рубежом, начатую в 1993 году в свете просьб творческих работников и исполнителей о предоставлении возможности повысить свой профессиональный и академический уровень за рубежом.  Программа стала наиболее важным центром поддержки в стране работников искусства, желающих получить послеуниверситетское образование или повысить свою квалификацию в любой стране мира по специальностям, обучение по которым не ведется в мексиканских вузах.</w:t>
      </w:r>
    </w:p>
    <w:p w:rsidR="00000000" w:rsidRDefault="00000000"/>
    <w:p w:rsidR="00000000" w:rsidRDefault="00000000">
      <w:r>
        <w:t>802.</w:t>
      </w:r>
      <w:r>
        <w:tab/>
        <w:t>В ходе этих десяти лет было получено 1 589 заявлений на получение подготовки по одиннадцати дисциплинам художественного творчества (соответствующей специализации);  в соответствии с этими просьбами было предоставлено 880 стипендий способным детям, молодым людям и взрослым, т.е. 55,38% всех обращавшихся с такими просьбами, что в общей сумме составило 59 млн. песо.  Из них 574 стипендии, или 65,22%</w:t>
      </w:r>
      <w:r>
        <w:rPr>
          <w:lang w:val="en-US"/>
        </w:rPr>
        <w:t>,</w:t>
      </w:r>
      <w:r>
        <w:t xml:space="preserve"> было предоставлено в период 1998-2003 годов.  Кроме того, по окончании обучения творческие работники, повысившие свой профессиональный и академический уровень, предлагают в порядке возмещения полученной ими материальной помощи вклад со своей стороны, обогащающий культуру страны. </w:t>
      </w:r>
    </w:p>
    <w:p w:rsidR="00000000" w:rsidRDefault="00000000"/>
    <w:p w:rsidR="00000000" w:rsidRDefault="00000000">
      <w:r>
        <w:t>803.</w:t>
      </w:r>
      <w:r>
        <w:tab/>
        <w:t>В отсутствие этой программы государство оставило бы без внимания процессы профессионального и академического роста, поскольку она позволяет стране поддерживать контакт с художественными и культурными движениями, которые зарождаются в глобальном масштабе, и  позволяет открыть границы для разнообразных и разноплановых знаний, которые студенты могут получать, а затем трансформировать на благо социального, художественного и культурного развития страны.</w:t>
      </w:r>
    </w:p>
    <w:p w:rsidR="00000000" w:rsidRDefault="00000000"/>
    <w:p w:rsidR="00000000" w:rsidRDefault="00000000">
      <w:r>
        <w:t>804.</w:t>
      </w:r>
      <w:r>
        <w:tab/>
        <w:t>Кроме того, ГУНК содействует созданию передвижных школ ремесленного рисунка и других форм подготовки для профессионализации пропаганды культуры, а ГУКС в рамках своей системы обучения работников культуры осуществляет следующие программы:  постоянную программу подготовки управленческих работников культуры, программу дистанционной модульной подготовки для организаторов и управленческих работников культуры, программу дистанционных информационных семинаров для организаторов и управленческих работников "Культура на столе", а также программы подсистемы профессионального обучения, осуществляемые совместно с рядом университетов:  открытая лиценциатура по управлению культурой Автономного университета Сан-Луис-Потоси, лиценциатура по развитию культуры Автономного университета Наярита, магистерская программа по развитию и управлению культурой в Университете Гвадалахары и магистерская программа по пропаганде и развитию культуры в Автономном университете Коауилы.</w:t>
      </w:r>
    </w:p>
    <w:p w:rsidR="00000000" w:rsidRDefault="00000000"/>
    <w:p w:rsidR="00000000" w:rsidRDefault="00000000">
      <w:r>
        <w:t>805.</w:t>
      </w:r>
      <w:r>
        <w:tab/>
        <w:t>Культурный центр "Эленико" имеет группу координации семинаров, которая занимается организацией курсов и семинаров, проводимых для обогащения знаний, ресурсов и техники театральных работников и студентов, изучающих театральное искусство.</w:t>
      </w:r>
    </w:p>
    <w:p w:rsidR="00000000" w:rsidRDefault="00000000"/>
    <w:p w:rsidR="00000000" w:rsidRDefault="00000000">
      <w:r>
        <w:t>806.</w:t>
      </w:r>
      <w:r>
        <w:tab/>
        <w:t>МИК и Учебный центр кинематографии координируют подготовку киноработников высокого профессионального уровня в технических и художественных областях кино:  съемка, производство, звук, редактирование, сценарий и реализация в рамках комплексной концепции механизма воздействия и языка кино. Для создания возможности обогащения структуры и содержания их работы, а также укрепления профессиональной подготовки кинодраматургов в период 1983-2003 годов была оказана помощь в проведении семинаров по киносценарному искусству.  Кроме того, короткометражное кино дает молодым режиссерам возможность профессионально заняться кино.  В этой связи каждый год проводится открытый курс, по итогам которого междисциплинарное жюри отбирает проекты, которые поступают в производство МИК.</w:t>
      </w:r>
    </w:p>
    <w:p w:rsidR="00000000" w:rsidRDefault="00000000">
      <w:pPr>
        <w:spacing w:line="240" w:lineRule="auto"/>
      </w:pPr>
    </w:p>
    <w:p w:rsidR="00000000" w:rsidRDefault="00000000">
      <w:pPr>
        <w:spacing w:line="240" w:lineRule="auto"/>
        <w:rPr>
          <w:b/>
          <w:bCs/>
        </w:rPr>
      </w:pPr>
      <w:r>
        <w:rPr>
          <w:b/>
          <w:bCs/>
        </w:rPr>
        <w:t>Пункт 66 i)</w:t>
      </w:r>
    </w:p>
    <w:p w:rsidR="00000000" w:rsidRDefault="00000000">
      <w:pPr>
        <w:spacing w:line="240" w:lineRule="auto"/>
        <w:rPr>
          <w:b/>
          <w:bCs/>
        </w:rPr>
      </w:pPr>
    </w:p>
    <w:p w:rsidR="00000000" w:rsidRDefault="00000000">
      <w:r>
        <w:t>807.</w:t>
      </w:r>
      <w:r>
        <w:tab/>
        <w:t>Что касается выявления, инвентаризации, каталогирования и регистрации культурного наследия, то в 1998 году НИЭИ закончил регистрацию 68 079 археологических объектов и каталогирование исторических памятников, а в 2003 году их число составило уже 112 662, из которых 34 110 - археологические объекты, а 78 552 - исторические памятники.</w:t>
      </w:r>
    </w:p>
    <w:p w:rsidR="00000000" w:rsidRDefault="00000000"/>
    <w:p w:rsidR="00000000" w:rsidRDefault="00000000">
      <w:r>
        <w:t>808.</w:t>
      </w:r>
      <w:r>
        <w:tab/>
        <w:t>Под издательской маркой НИЭИ выходят периодические издания, в которых распространяются результаты исследований по различным специальностям, проводимые НИЭИ, что демонстрируют следующие данные.</w:t>
      </w:r>
    </w:p>
    <w:p w:rsidR="00000000" w:rsidRDefault="00000000">
      <w:r>
        <w:br w:type="page"/>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8"/>
        <w:gridCol w:w="1595"/>
        <w:gridCol w:w="1595"/>
        <w:gridCol w:w="1595"/>
        <w:gridCol w:w="1595"/>
        <w:gridCol w:w="1485"/>
      </w:tblGrid>
      <w:tr w:rsidR="00000000">
        <w:tblPrEx>
          <w:tblCellMar>
            <w:top w:w="0" w:type="dxa"/>
            <w:bottom w:w="0" w:type="dxa"/>
          </w:tblCellMar>
        </w:tblPrEx>
        <w:trPr>
          <w:cantSplit/>
        </w:trPr>
        <w:tc>
          <w:tcPr>
            <w:tcW w:w="9323" w:type="dxa"/>
            <w:gridSpan w:val="6"/>
          </w:tcPr>
          <w:p w:rsidR="00000000" w:rsidRDefault="00000000">
            <w:pPr>
              <w:spacing w:before="60"/>
              <w:jc w:val="center"/>
              <w:rPr>
                <w:b/>
                <w:sz w:val="20"/>
              </w:rPr>
            </w:pPr>
            <w:r>
              <w:br w:type="page"/>
            </w:r>
            <w:r>
              <w:rPr>
                <w:b/>
                <w:sz w:val="20"/>
              </w:rPr>
              <w:t>Издаваемые публикации</w:t>
            </w:r>
          </w:p>
        </w:tc>
      </w:tr>
      <w:tr w:rsidR="00000000">
        <w:tblPrEx>
          <w:tblCellMar>
            <w:top w:w="0" w:type="dxa"/>
            <w:bottom w:w="0" w:type="dxa"/>
          </w:tblCellMar>
        </w:tblPrEx>
        <w:tc>
          <w:tcPr>
            <w:tcW w:w="1458" w:type="dxa"/>
          </w:tcPr>
          <w:p w:rsidR="00000000" w:rsidRDefault="00000000">
            <w:pPr>
              <w:spacing w:before="60"/>
              <w:jc w:val="center"/>
              <w:rPr>
                <w:i/>
                <w:iCs/>
                <w:sz w:val="18"/>
              </w:rPr>
            </w:pPr>
            <w:r>
              <w:rPr>
                <w:i/>
                <w:iCs/>
                <w:sz w:val="18"/>
              </w:rPr>
              <w:t>1998 год</w:t>
            </w:r>
          </w:p>
        </w:tc>
        <w:tc>
          <w:tcPr>
            <w:tcW w:w="1595" w:type="dxa"/>
          </w:tcPr>
          <w:p w:rsidR="00000000" w:rsidRDefault="00000000">
            <w:pPr>
              <w:spacing w:before="60"/>
              <w:jc w:val="center"/>
              <w:rPr>
                <w:i/>
                <w:iCs/>
                <w:sz w:val="18"/>
              </w:rPr>
            </w:pPr>
            <w:r>
              <w:rPr>
                <w:i/>
                <w:iCs/>
                <w:sz w:val="18"/>
              </w:rPr>
              <w:t>1999 год</w:t>
            </w:r>
          </w:p>
        </w:tc>
        <w:tc>
          <w:tcPr>
            <w:tcW w:w="1595" w:type="dxa"/>
          </w:tcPr>
          <w:p w:rsidR="00000000" w:rsidRDefault="00000000">
            <w:pPr>
              <w:spacing w:before="60"/>
              <w:jc w:val="center"/>
              <w:rPr>
                <w:i/>
                <w:iCs/>
                <w:sz w:val="18"/>
              </w:rPr>
            </w:pPr>
            <w:r>
              <w:rPr>
                <w:i/>
                <w:iCs/>
                <w:sz w:val="18"/>
              </w:rPr>
              <w:t>2000 год</w:t>
            </w:r>
          </w:p>
        </w:tc>
        <w:tc>
          <w:tcPr>
            <w:tcW w:w="1595" w:type="dxa"/>
          </w:tcPr>
          <w:p w:rsidR="00000000" w:rsidRDefault="00000000">
            <w:pPr>
              <w:spacing w:before="60"/>
              <w:jc w:val="center"/>
              <w:rPr>
                <w:i/>
                <w:iCs/>
                <w:sz w:val="18"/>
              </w:rPr>
            </w:pPr>
            <w:r>
              <w:rPr>
                <w:i/>
                <w:iCs/>
                <w:sz w:val="18"/>
              </w:rPr>
              <w:t>2001 год</w:t>
            </w:r>
          </w:p>
        </w:tc>
        <w:tc>
          <w:tcPr>
            <w:tcW w:w="1595" w:type="dxa"/>
          </w:tcPr>
          <w:p w:rsidR="00000000" w:rsidRDefault="00000000">
            <w:pPr>
              <w:spacing w:before="60"/>
              <w:jc w:val="center"/>
              <w:rPr>
                <w:i/>
                <w:iCs/>
                <w:sz w:val="18"/>
              </w:rPr>
            </w:pPr>
            <w:r>
              <w:rPr>
                <w:i/>
                <w:iCs/>
                <w:sz w:val="18"/>
              </w:rPr>
              <w:t>2002 год</w:t>
            </w:r>
          </w:p>
        </w:tc>
        <w:tc>
          <w:tcPr>
            <w:tcW w:w="1485" w:type="dxa"/>
          </w:tcPr>
          <w:p w:rsidR="00000000" w:rsidRDefault="00000000">
            <w:pPr>
              <w:spacing w:before="60"/>
              <w:jc w:val="center"/>
              <w:rPr>
                <w:i/>
                <w:iCs/>
                <w:sz w:val="18"/>
              </w:rPr>
            </w:pPr>
            <w:r>
              <w:rPr>
                <w:i/>
                <w:iCs/>
                <w:sz w:val="18"/>
              </w:rPr>
              <w:t>2003 год</w:t>
            </w:r>
          </w:p>
        </w:tc>
      </w:tr>
      <w:tr w:rsidR="00000000">
        <w:tblPrEx>
          <w:tblCellMar>
            <w:top w:w="0" w:type="dxa"/>
            <w:bottom w:w="0" w:type="dxa"/>
          </w:tblCellMar>
        </w:tblPrEx>
        <w:tc>
          <w:tcPr>
            <w:tcW w:w="1458" w:type="dxa"/>
          </w:tcPr>
          <w:p w:rsidR="00000000" w:rsidRDefault="00000000">
            <w:pPr>
              <w:spacing w:before="60"/>
              <w:jc w:val="center"/>
              <w:rPr>
                <w:sz w:val="18"/>
              </w:rPr>
            </w:pPr>
            <w:r>
              <w:rPr>
                <w:sz w:val="18"/>
              </w:rPr>
              <w:t>80</w:t>
            </w:r>
          </w:p>
        </w:tc>
        <w:tc>
          <w:tcPr>
            <w:tcW w:w="1595" w:type="dxa"/>
          </w:tcPr>
          <w:p w:rsidR="00000000" w:rsidRDefault="00000000">
            <w:pPr>
              <w:spacing w:before="60"/>
              <w:jc w:val="center"/>
              <w:rPr>
                <w:sz w:val="18"/>
              </w:rPr>
            </w:pPr>
            <w:r>
              <w:rPr>
                <w:sz w:val="18"/>
              </w:rPr>
              <w:t>87</w:t>
            </w:r>
          </w:p>
        </w:tc>
        <w:tc>
          <w:tcPr>
            <w:tcW w:w="1595" w:type="dxa"/>
          </w:tcPr>
          <w:p w:rsidR="00000000" w:rsidRDefault="00000000">
            <w:pPr>
              <w:spacing w:before="60"/>
              <w:jc w:val="center"/>
              <w:rPr>
                <w:sz w:val="18"/>
              </w:rPr>
            </w:pPr>
            <w:r>
              <w:rPr>
                <w:sz w:val="18"/>
              </w:rPr>
              <w:t>88</w:t>
            </w:r>
          </w:p>
        </w:tc>
        <w:tc>
          <w:tcPr>
            <w:tcW w:w="1595" w:type="dxa"/>
          </w:tcPr>
          <w:p w:rsidR="00000000" w:rsidRDefault="00000000">
            <w:pPr>
              <w:spacing w:before="60"/>
              <w:jc w:val="center"/>
              <w:rPr>
                <w:sz w:val="18"/>
              </w:rPr>
            </w:pPr>
            <w:r>
              <w:rPr>
                <w:sz w:val="18"/>
              </w:rPr>
              <w:t>67</w:t>
            </w:r>
          </w:p>
        </w:tc>
        <w:tc>
          <w:tcPr>
            <w:tcW w:w="1595" w:type="dxa"/>
          </w:tcPr>
          <w:p w:rsidR="00000000" w:rsidRDefault="00000000">
            <w:pPr>
              <w:spacing w:before="60"/>
              <w:jc w:val="center"/>
              <w:rPr>
                <w:sz w:val="18"/>
              </w:rPr>
            </w:pPr>
            <w:r>
              <w:rPr>
                <w:sz w:val="18"/>
              </w:rPr>
              <w:t>86</w:t>
            </w:r>
          </w:p>
        </w:tc>
        <w:tc>
          <w:tcPr>
            <w:tcW w:w="1485" w:type="dxa"/>
          </w:tcPr>
          <w:p w:rsidR="00000000" w:rsidRDefault="00000000">
            <w:pPr>
              <w:spacing w:before="60"/>
              <w:jc w:val="center"/>
              <w:rPr>
                <w:sz w:val="18"/>
              </w:rPr>
            </w:pPr>
            <w:r>
              <w:rPr>
                <w:sz w:val="18"/>
              </w:rPr>
              <w:t>71</w:t>
            </w:r>
          </w:p>
        </w:tc>
      </w:tr>
      <w:tr w:rsidR="00000000">
        <w:tblPrEx>
          <w:tblCellMar>
            <w:top w:w="0" w:type="dxa"/>
            <w:bottom w:w="0" w:type="dxa"/>
          </w:tblCellMar>
        </w:tblPrEx>
        <w:trPr>
          <w:cantSplit/>
        </w:trPr>
        <w:tc>
          <w:tcPr>
            <w:tcW w:w="9323" w:type="dxa"/>
            <w:gridSpan w:val="6"/>
          </w:tcPr>
          <w:p w:rsidR="00000000" w:rsidRDefault="00000000">
            <w:pPr>
              <w:spacing w:before="60"/>
              <w:jc w:val="center"/>
              <w:rPr>
                <w:b/>
                <w:bCs/>
                <w:sz w:val="20"/>
              </w:rPr>
            </w:pPr>
            <w:r>
              <w:rPr>
                <w:b/>
                <w:bCs/>
                <w:sz w:val="20"/>
              </w:rPr>
              <w:t>Тираж</w:t>
            </w:r>
          </w:p>
        </w:tc>
      </w:tr>
      <w:tr w:rsidR="00000000">
        <w:tblPrEx>
          <w:tblCellMar>
            <w:top w:w="0" w:type="dxa"/>
            <w:bottom w:w="0" w:type="dxa"/>
          </w:tblCellMar>
        </w:tblPrEx>
        <w:tc>
          <w:tcPr>
            <w:tcW w:w="1458" w:type="dxa"/>
          </w:tcPr>
          <w:p w:rsidR="00000000" w:rsidRDefault="00000000">
            <w:pPr>
              <w:spacing w:before="60"/>
              <w:jc w:val="center"/>
              <w:rPr>
                <w:sz w:val="18"/>
              </w:rPr>
            </w:pPr>
            <w:r>
              <w:rPr>
                <w:sz w:val="18"/>
              </w:rPr>
              <w:t>112 500</w:t>
            </w:r>
          </w:p>
        </w:tc>
        <w:tc>
          <w:tcPr>
            <w:tcW w:w="1595" w:type="dxa"/>
          </w:tcPr>
          <w:p w:rsidR="00000000" w:rsidRDefault="00000000">
            <w:pPr>
              <w:spacing w:before="60"/>
              <w:jc w:val="center"/>
              <w:rPr>
                <w:sz w:val="18"/>
              </w:rPr>
            </w:pPr>
            <w:r>
              <w:rPr>
                <w:sz w:val="18"/>
              </w:rPr>
              <w:t>136 900</w:t>
            </w:r>
          </w:p>
        </w:tc>
        <w:tc>
          <w:tcPr>
            <w:tcW w:w="1595" w:type="dxa"/>
          </w:tcPr>
          <w:p w:rsidR="00000000" w:rsidRDefault="00000000">
            <w:pPr>
              <w:spacing w:before="60"/>
              <w:jc w:val="center"/>
              <w:rPr>
                <w:sz w:val="18"/>
              </w:rPr>
            </w:pPr>
            <w:r>
              <w:rPr>
                <w:sz w:val="18"/>
              </w:rPr>
              <w:t>102 100</w:t>
            </w:r>
          </w:p>
        </w:tc>
        <w:tc>
          <w:tcPr>
            <w:tcW w:w="1595" w:type="dxa"/>
          </w:tcPr>
          <w:p w:rsidR="00000000" w:rsidRDefault="00000000">
            <w:pPr>
              <w:spacing w:before="60"/>
              <w:jc w:val="center"/>
              <w:rPr>
                <w:sz w:val="18"/>
              </w:rPr>
            </w:pPr>
            <w:r>
              <w:rPr>
                <w:sz w:val="18"/>
              </w:rPr>
              <w:t>81 600</w:t>
            </w:r>
          </w:p>
        </w:tc>
        <w:tc>
          <w:tcPr>
            <w:tcW w:w="1595" w:type="dxa"/>
          </w:tcPr>
          <w:p w:rsidR="00000000" w:rsidRDefault="00000000">
            <w:pPr>
              <w:spacing w:before="60"/>
              <w:jc w:val="center"/>
              <w:rPr>
                <w:sz w:val="18"/>
              </w:rPr>
            </w:pPr>
            <w:r>
              <w:rPr>
                <w:sz w:val="18"/>
              </w:rPr>
              <w:t>95 600</w:t>
            </w:r>
          </w:p>
        </w:tc>
        <w:tc>
          <w:tcPr>
            <w:tcW w:w="1485" w:type="dxa"/>
          </w:tcPr>
          <w:p w:rsidR="00000000" w:rsidRDefault="00000000">
            <w:pPr>
              <w:spacing w:before="60"/>
              <w:jc w:val="center"/>
              <w:rPr>
                <w:sz w:val="18"/>
              </w:rPr>
            </w:pPr>
            <w:r>
              <w:rPr>
                <w:sz w:val="18"/>
              </w:rPr>
              <w:t>72 300</w:t>
            </w:r>
          </w:p>
        </w:tc>
      </w:tr>
      <w:tr w:rsidR="00000000">
        <w:tblPrEx>
          <w:tblCellMar>
            <w:top w:w="0" w:type="dxa"/>
            <w:bottom w:w="0" w:type="dxa"/>
          </w:tblCellMar>
        </w:tblPrEx>
        <w:tc>
          <w:tcPr>
            <w:tcW w:w="1458" w:type="dxa"/>
          </w:tcPr>
          <w:p w:rsidR="00000000" w:rsidRDefault="00000000">
            <w:pPr>
              <w:spacing w:before="60"/>
              <w:jc w:val="center"/>
            </w:pPr>
          </w:p>
        </w:tc>
        <w:tc>
          <w:tcPr>
            <w:tcW w:w="1595" w:type="dxa"/>
          </w:tcPr>
          <w:p w:rsidR="00000000" w:rsidRDefault="00000000">
            <w:pPr>
              <w:spacing w:before="60"/>
              <w:jc w:val="center"/>
            </w:pPr>
          </w:p>
        </w:tc>
        <w:tc>
          <w:tcPr>
            <w:tcW w:w="1595" w:type="dxa"/>
          </w:tcPr>
          <w:p w:rsidR="00000000" w:rsidRDefault="00000000">
            <w:pPr>
              <w:spacing w:before="60"/>
              <w:jc w:val="center"/>
            </w:pPr>
          </w:p>
        </w:tc>
        <w:tc>
          <w:tcPr>
            <w:tcW w:w="1595" w:type="dxa"/>
          </w:tcPr>
          <w:p w:rsidR="00000000" w:rsidRDefault="00000000">
            <w:pPr>
              <w:spacing w:before="60"/>
              <w:jc w:val="center"/>
            </w:pPr>
          </w:p>
        </w:tc>
        <w:tc>
          <w:tcPr>
            <w:tcW w:w="1595" w:type="dxa"/>
          </w:tcPr>
          <w:p w:rsidR="00000000" w:rsidRDefault="00000000">
            <w:pPr>
              <w:spacing w:before="60"/>
              <w:jc w:val="center"/>
            </w:pPr>
          </w:p>
        </w:tc>
        <w:tc>
          <w:tcPr>
            <w:tcW w:w="1485" w:type="dxa"/>
          </w:tcPr>
          <w:p w:rsidR="00000000" w:rsidRDefault="00000000">
            <w:pPr>
              <w:spacing w:before="60"/>
              <w:jc w:val="center"/>
            </w:pPr>
          </w:p>
        </w:tc>
      </w:tr>
    </w:tbl>
    <w:p w:rsidR="00000000" w:rsidRDefault="00000000">
      <w:pPr>
        <w:spacing w:before="60"/>
        <w:rPr>
          <w:i/>
          <w:iCs/>
          <w:sz w:val="18"/>
        </w:rPr>
      </w:pPr>
    </w:p>
    <w:p w:rsidR="00000000" w:rsidRDefault="00000000">
      <w:pPr>
        <w:rPr>
          <w:sz w:val="18"/>
        </w:rPr>
      </w:pPr>
      <w:r>
        <w:rPr>
          <w:i/>
          <w:iCs/>
          <w:sz w:val="18"/>
        </w:rPr>
        <w:t>Источник</w:t>
      </w:r>
      <w:r>
        <w:rPr>
          <w:sz w:val="18"/>
        </w:rPr>
        <w:t>:  Конакульта.</w:t>
      </w:r>
    </w:p>
    <w:p w:rsidR="00000000" w:rsidRDefault="00000000">
      <w:pPr>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4"/>
        <w:gridCol w:w="1595"/>
        <w:gridCol w:w="1595"/>
        <w:gridCol w:w="1595"/>
        <w:gridCol w:w="1595"/>
        <w:gridCol w:w="1596"/>
      </w:tblGrid>
      <w:tr w:rsidR="00000000">
        <w:tblPrEx>
          <w:tblCellMar>
            <w:top w:w="0" w:type="dxa"/>
            <w:bottom w:w="0" w:type="dxa"/>
          </w:tblCellMar>
        </w:tblPrEx>
        <w:trPr>
          <w:cantSplit/>
        </w:trPr>
        <w:tc>
          <w:tcPr>
            <w:tcW w:w="9570" w:type="dxa"/>
            <w:gridSpan w:val="6"/>
          </w:tcPr>
          <w:p w:rsidR="00000000" w:rsidRDefault="00000000">
            <w:pPr>
              <w:spacing w:before="60"/>
              <w:jc w:val="center"/>
              <w:rPr>
                <w:b/>
                <w:bCs/>
                <w:sz w:val="20"/>
              </w:rPr>
            </w:pPr>
            <w:r>
              <w:rPr>
                <w:b/>
                <w:bCs/>
                <w:sz w:val="20"/>
              </w:rPr>
              <w:t>Периодические издания (журналы)</w:t>
            </w:r>
          </w:p>
        </w:tc>
      </w:tr>
      <w:tr w:rsidR="00000000">
        <w:tblPrEx>
          <w:tblCellMar>
            <w:top w:w="0" w:type="dxa"/>
            <w:bottom w:w="0" w:type="dxa"/>
          </w:tblCellMar>
        </w:tblPrEx>
        <w:tc>
          <w:tcPr>
            <w:tcW w:w="1594" w:type="dxa"/>
          </w:tcPr>
          <w:p w:rsidR="00000000" w:rsidRDefault="00000000">
            <w:pPr>
              <w:spacing w:before="60"/>
              <w:jc w:val="center"/>
              <w:rPr>
                <w:i/>
                <w:iCs/>
                <w:sz w:val="18"/>
              </w:rPr>
            </w:pPr>
            <w:r>
              <w:rPr>
                <w:i/>
                <w:iCs/>
                <w:sz w:val="18"/>
              </w:rPr>
              <w:t>1998 год</w:t>
            </w:r>
          </w:p>
        </w:tc>
        <w:tc>
          <w:tcPr>
            <w:tcW w:w="1595" w:type="dxa"/>
          </w:tcPr>
          <w:p w:rsidR="00000000" w:rsidRDefault="00000000">
            <w:pPr>
              <w:spacing w:before="60"/>
              <w:jc w:val="center"/>
              <w:rPr>
                <w:i/>
                <w:iCs/>
                <w:sz w:val="18"/>
              </w:rPr>
            </w:pPr>
            <w:r>
              <w:rPr>
                <w:i/>
                <w:iCs/>
                <w:sz w:val="18"/>
              </w:rPr>
              <w:t>1999 год</w:t>
            </w:r>
          </w:p>
        </w:tc>
        <w:tc>
          <w:tcPr>
            <w:tcW w:w="1595" w:type="dxa"/>
          </w:tcPr>
          <w:p w:rsidR="00000000" w:rsidRDefault="00000000">
            <w:pPr>
              <w:spacing w:before="60"/>
              <w:jc w:val="center"/>
              <w:rPr>
                <w:i/>
                <w:iCs/>
                <w:sz w:val="18"/>
              </w:rPr>
            </w:pPr>
            <w:r>
              <w:rPr>
                <w:i/>
                <w:iCs/>
                <w:sz w:val="18"/>
              </w:rPr>
              <w:t>2000 год</w:t>
            </w:r>
          </w:p>
        </w:tc>
        <w:tc>
          <w:tcPr>
            <w:tcW w:w="1595" w:type="dxa"/>
          </w:tcPr>
          <w:p w:rsidR="00000000" w:rsidRDefault="00000000">
            <w:pPr>
              <w:spacing w:before="60"/>
              <w:jc w:val="center"/>
              <w:rPr>
                <w:i/>
                <w:iCs/>
                <w:sz w:val="18"/>
              </w:rPr>
            </w:pPr>
            <w:r>
              <w:rPr>
                <w:i/>
                <w:iCs/>
                <w:sz w:val="18"/>
              </w:rPr>
              <w:t>2001 год</w:t>
            </w:r>
          </w:p>
        </w:tc>
        <w:tc>
          <w:tcPr>
            <w:tcW w:w="1595" w:type="dxa"/>
          </w:tcPr>
          <w:p w:rsidR="00000000" w:rsidRDefault="00000000">
            <w:pPr>
              <w:spacing w:before="60"/>
              <w:jc w:val="center"/>
              <w:rPr>
                <w:i/>
                <w:iCs/>
                <w:sz w:val="18"/>
              </w:rPr>
            </w:pPr>
            <w:r>
              <w:rPr>
                <w:i/>
                <w:iCs/>
                <w:sz w:val="18"/>
              </w:rPr>
              <w:t>2002 год</w:t>
            </w:r>
          </w:p>
        </w:tc>
        <w:tc>
          <w:tcPr>
            <w:tcW w:w="1596" w:type="dxa"/>
          </w:tcPr>
          <w:p w:rsidR="00000000" w:rsidRDefault="00000000">
            <w:pPr>
              <w:spacing w:before="60"/>
              <w:jc w:val="center"/>
              <w:rPr>
                <w:i/>
                <w:iCs/>
                <w:sz w:val="18"/>
              </w:rPr>
            </w:pPr>
            <w:r>
              <w:rPr>
                <w:i/>
                <w:iCs/>
                <w:sz w:val="18"/>
              </w:rPr>
              <w:t>2003 год</w:t>
            </w:r>
          </w:p>
        </w:tc>
      </w:tr>
      <w:tr w:rsidR="00000000">
        <w:tblPrEx>
          <w:tblCellMar>
            <w:top w:w="0" w:type="dxa"/>
            <w:bottom w:w="0" w:type="dxa"/>
          </w:tblCellMar>
        </w:tblPrEx>
        <w:tc>
          <w:tcPr>
            <w:tcW w:w="1594" w:type="dxa"/>
          </w:tcPr>
          <w:p w:rsidR="00000000" w:rsidRDefault="00000000">
            <w:pPr>
              <w:spacing w:before="60"/>
              <w:jc w:val="center"/>
              <w:rPr>
                <w:sz w:val="18"/>
              </w:rPr>
            </w:pPr>
            <w:r>
              <w:rPr>
                <w:sz w:val="18"/>
              </w:rPr>
              <w:t>46</w:t>
            </w:r>
          </w:p>
        </w:tc>
        <w:tc>
          <w:tcPr>
            <w:tcW w:w="1595" w:type="dxa"/>
          </w:tcPr>
          <w:p w:rsidR="00000000" w:rsidRDefault="00000000">
            <w:pPr>
              <w:spacing w:before="60"/>
              <w:jc w:val="center"/>
              <w:rPr>
                <w:sz w:val="18"/>
              </w:rPr>
            </w:pPr>
            <w:r>
              <w:rPr>
                <w:sz w:val="18"/>
              </w:rPr>
              <w:t>50</w:t>
            </w:r>
          </w:p>
        </w:tc>
        <w:tc>
          <w:tcPr>
            <w:tcW w:w="1595" w:type="dxa"/>
          </w:tcPr>
          <w:p w:rsidR="00000000" w:rsidRDefault="00000000">
            <w:pPr>
              <w:spacing w:before="60"/>
              <w:jc w:val="center"/>
              <w:rPr>
                <w:sz w:val="18"/>
              </w:rPr>
            </w:pPr>
            <w:r>
              <w:rPr>
                <w:sz w:val="18"/>
              </w:rPr>
              <w:t>64</w:t>
            </w:r>
          </w:p>
        </w:tc>
        <w:tc>
          <w:tcPr>
            <w:tcW w:w="1595" w:type="dxa"/>
          </w:tcPr>
          <w:p w:rsidR="00000000" w:rsidRDefault="00000000">
            <w:pPr>
              <w:spacing w:before="60"/>
              <w:jc w:val="center"/>
              <w:rPr>
                <w:sz w:val="18"/>
              </w:rPr>
            </w:pPr>
            <w:r>
              <w:rPr>
                <w:sz w:val="18"/>
              </w:rPr>
              <w:t>54</w:t>
            </w:r>
          </w:p>
        </w:tc>
        <w:tc>
          <w:tcPr>
            <w:tcW w:w="1595" w:type="dxa"/>
          </w:tcPr>
          <w:p w:rsidR="00000000" w:rsidRDefault="00000000">
            <w:pPr>
              <w:spacing w:before="60"/>
              <w:jc w:val="center"/>
              <w:rPr>
                <w:sz w:val="18"/>
              </w:rPr>
            </w:pPr>
            <w:r>
              <w:rPr>
                <w:sz w:val="18"/>
              </w:rPr>
              <w:t>30</w:t>
            </w:r>
          </w:p>
        </w:tc>
        <w:tc>
          <w:tcPr>
            <w:tcW w:w="1596" w:type="dxa"/>
          </w:tcPr>
          <w:p w:rsidR="00000000" w:rsidRDefault="00000000">
            <w:pPr>
              <w:spacing w:before="60"/>
              <w:jc w:val="center"/>
              <w:rPr>
                <w:sz w:val="18"/>
              </w:rPr>
            </w:pPr>
            <w:r>
              <w:rPr>
                <w:sz w:val="18"/>
              </w:rPr>
              <w:t>43</w:t>
            </w:r>
          </w:p>
        </w:tc>
      </w:tr>
      <w:tr w:rsidR="00000000">
        <w:tblPrEx>
          <w:tblCellMar>
            <w:top w:w="0" w:type="dxa"/>
            <w:bottom w:w="0" w:type="dxa"/>
          </w:tblCellMar>
        </w:tblPrEx>
        <w:trPr>
          <w:cantSplit/>
        </w:trPr>
        <w:tc>
          <w:tcPr>
            <w:tcW w:w="9570" w:type="dxa"/>
            <w:gridSpan w:val="6"/>
          </w:tcPr>
          <w:p w:rsidR="00000000" w:rsidRDefault="00000000">
            <w:pPr>
              <w:spacing w:before="60"/>
              <w:jc w:val="center"/>
              <w:rPr>
                <w:b/>
                <w:bCs/>
                <w:sz w:val="20"/>
              </w:rPr>
            </w:pPr>
            <w:r>
              <w:rPr>
                <w:b/>
                <w:bCs/>
                <w:sz w:val="20"/>
              </w:rPr>
              <w:t>Тираж</w:t>
            </w:r>
          </w:p>
        </w:tc>
      </w:tr>
      <w:tr w:rsidR="00000000">
        <w:tblPrEx>
          <w:tblCellMar>
            <w:top w:w="0" w:type="dxa"/>
            <w:bottom w:w="0" w:type="dxa"/>
          </w:tblCellMar>
        </w:tblPrEx>
        <w:tc>
          <w:tcPr>
            <w:tcW w:w="1594" w:type="dxa"/>
          </w:tcPr>
          <w:p w:rsidR="00000000" w:rsidRDefault="00000000">
            <w:pPr>
              <w:spacing w:before="60"/>
              <w:jc w:val="center"/>
              <w:rPr>
                <w:sz w:val="18"/>
              </w:rPr>
            </w:pPr>
            <w:r>
              <w:rPr>
                <w:sz w:val="18"/>
              </w:rPr>
              <w:t>467 158</w:t>
            </w:r>
          </w:p>
        </w:tc>
        <w:tc>
          <w:tcPr>
            <w:tcW w:w="1595" w:type="dxa"/>
          </w:tcPr>
          <w:p w:rsidR="00000000" w:rsidRDefault="00000000">
            <w:pPr>
              <w:spacing w:before="60"/>
              <w:jc w:val="center"/>
              <w:rPr>
                <w:sz w:val="18"/>
              </w:rPr>
            </w:pPr>
            <w:r>
              <w:rPr>
                <w:sz w:val="18"/>
              </w:rPr>
              <w:t>499 500</w:t>
            </w:r>
          </w:p>
        </w:tc>
        <w:tc>
          <w:tcPr>
            <w:tcW w:w="1595" w:type="dxa"/>
          </w:tcPr>
          <w:p w:rsidR="00000000" w:rsidRDefault="00000000">
            <w:pPr>
              <w:spacing w:before="60"/>
              <w:jc w:val="center"/>
              <w:rPr>
                <w:sz w:val="18"/>
              </w:rPr>
            </w:pPr>
            <w:r>
              <w:rPr>
                <w:sz w:val="18"/>
              </w:rPr>
              <w:t>432 500</w:t>
            </w:r>
          </w:p>
        </w:tc>
        <w:tc>
          <w:tcPr>
            <w:tcW w:w="1595" w:type="dxa"/>
          </w:tcPr>
          <w:p w:rsidR="00000000" w:rsidRDefault="00000000">
            <w:pPr>
              <w:spacing w:before="60"/>
              <w:jc w:val="center"/>
              <w:rPr>
                <w:sz w:val="18"/>
              </w:rPr>
            </w:pPr>
            <w:r>
              <w:rPr>
                <w:sz w:val="18"/>
              </w:rPr>
              <w:t>360 000</w:t>
            </w:r>
          </w:p>
        </w:tc>
        <w:tc>
          <w:tcPr>
            <w:tcW w:w="1595" w:type="dxa"/>
          </w:tcPr>
          <w:p w:rsidR="00000000" w:rsidRDefault="00000000">
            <w:pPr>
              <w:spacing w:before="60"/>
              <w:jc w:val="center"/>
              <w:rPr>
                <w:sz w:val="18"/>
              </w:rPr>
            </w:pPr>
            <w:r>
              <w:rPr>
                <w:sz w:val="18"/>
              </w:rPr>
              <w:t>84 500</w:t>
            </w:r>
          </w:p>
        </w:tc>
        <w:tc>
          <w:tcPr>
            <w:tcW w:w="1596" w:type="dxa"/>
          </w:tcPr>
          <w:p w:rsidR="00000000" w:rsidRDefault="00000000">
            <w:pPr>
              <w:spacing w:before="60"/>
              <w:jc w:val="center"/>
              <w:rPr>
                <w:sz w:val="18"/>
              </w:rPr>
            </w:pPr>
            <w:r>
              <w:rPr>
                <w:sz w:val="18"/>
              </w:rPr>
              <w:t>139,200</w:t>
            </w:r>
          </w:p>
        </w:tc>
      </w:tr>
    </w:tbl>
    <w:p w:rsidR="00000000" w:rsidRDefault="00000000">
      <w:pPr>
        <w:spacing w:before="60"/>
        <w:rPr>
          <w:sz w:val="18"/>
        </w:rPr>
      </w:pPr>
    </w:p>
    <w:p w:rsidR="00000000" w:rsidRDefault="00000000">
      <w:pPr>
        <w:rPr>
          <w:sz w:val="18"/>
        </w:rPr>
      </w:pPr>
      <w:r>
        <w:rPr>
          <w:i/>
          <w:iCs/>
          <w:sz w:val="18"/>
        </w:rPr>
        <w:t>Источник</w:t>
      </w:r>
      <w:r>
        <w:rPr>
          <w:sz w:val="18"/>
        </w:rPr>
        <w:t>:  Конакульта.</w:t>
      </w:r>
    </w:p>
    <w:p w:rsidR="00000000" w:rsidRDefault="00000000"/>
    <w:p w:rsidR="00000000" w:rsidRDefault="00000000">
      <w:r>
        <w:t>809.</w:t>
      </w:r>
      <w:r>
        <w:tab/>
        <w:t>Кроме того, для сохранения, развития и распространения культуры НИЭИ в среднем за год разрабатывает 1 000 конкретных проектов, среди которых выделяется проект этнографии регионов, населенных коренными народами Мексики в новом тысячелетии, объединяющий 114 исследователей различных специальностей из разных академических учреждений, из которых 48 работают в НИЭИ.  Этот проект стал наиболее важным в данной области за последнее десятилетие и отражает реальные результаты масштабных научных усилий, подтверждая интеллектуальную жизненность и способности осмысления проблем страны, что позволило добиться высокой отдачи этого проекта.  К 2003 году вышли в свет 17 монографий, а еще 4 готовятся к печати.</w:t>
      </w:r>
    </w:p>
    <w:p w:rsidR="00000000" w:rsidRDefault="00000000"/>
    <w:p w:rsidR="00000000" w:rsidRDefault="00000000">
      <w:r>
        <w:t>810.</w:t>
      </w:r>
      <w:r>
        <w:tab/>
        <w:t xml:space="preserve">В их числе </w:t>
      </w:r>
      <w:r>
        <w:noBreakHyphen/>
        <w:t xml:space="preserve"> археологический атлас сенотов и затопленных пещер острова Юкатан, благодаря которому имеются новые остеологические и углеродные материалы, связанные с фауной плейстоцена и с первыми обитателями полуострова, которые использовали пещеры, тогда еще сухие, в качестве жилища и места хранения воды;  атлас позволит дополнить исследования о древней истории Мексики в этом регионе.</w:t>
      </w:r>
    </w:p>
    <w:p w:rsidR="00000000" w:rsidRDefault="00000000"/>
    <w:p w:rsidR="00000000" w:rsidRDefault="00000000">
      <w:r>
        <w:t>811.</w:t>
      </w:r>
      <w:r>
        <w:tab/>
        <w:t>Другой проект, имеющий огромное значение для изучения заселения и культур всего американского континента, - проект, анализирующий наиболее древние потоки заселения американского континента, следы которого находятся на острове Эспириту-Санто в штате Южная Нижняя Калифорния.  После радиоуглеродного анализа 14 образцов морских раковин разных видов, найденных в курганах, имеющих явно искусственное происхождение, было доказано, что они имеют возраст порядка 40 000 лет.</w:t>
      </w:r>
    </w:p>
    <w:p w:rsidR="00000000" w:rsidRDefault="00000000">
      <w:r>
        <w:t>812.</w:t>
      </w:r>
      <w:r>
        <w:tab/>
        <w:t xml:space="preserve">Значение этого открытия заключается в том, что, если будет доказана связь между этими находками и каменными орудиями, найденными в этой зоне, мы получим самое древнее свидетельство заселения Мексики человеком и одно из самых древних свидетельств появления человека на американском континенте.  В 1998 году были завершены работы по реставрации в бывшем монастыре Санто-Доминго де Гусма в Оахаке, а также подготовлена экспозиция Музея культур в Оахаке. </w:t>
      </w:r>
    </w:p>
    <w:p w:rsidR="00000000" w:rsidRDefault="00000000"/>
    <w:p w:rsidR="00000000" w:rsidRDefault="00000000">
      <w:r>
        <w:t>813.</w:t>
      </w:r>
      <w:r>
        <w:tab/>
        <w:t>После трехлетней реставрации 17 ноября 2003 года вновь открылся для посетителей Национальный музей истории, экспозиции которого, размещающиеся в 16 залах, посвященных истории, и 3 залах для временных выставок, образующих вместе Национальный музей истории, пополнилось новыми экспонатами.  Кроме того, в 2003 году вновь открылся Музей культуры Уастеки, экспозиция которого посвящена культуре региона.  10 июля 2003 года для посетителей вновь открылся зал майя в Национальном музее антропологии.  В этом зале было выставлено более 700 экспонатов, из которых 160, недавно найденные НИЭИ, экспонируются впервые.</w:t>
      </w:r>
    </w:p>
    <w:p w:rsidR="00000000" w:rsidRDefault="00000000"/>
    <w:p w:rsidR="00000000" w:rsidRDefault="00000000">
      <w:r>
        <w:t>814.</w:t>
      </w:r>
      <w:r>
        <w:tab/>
        <w:t xml:space="preserve">Кроме того, 29 августа 2000 года открылись новые залы в музее "Кармен", в которых воссоздается повседневная жизнь семьи Новой Испании </w:t>
      </w:r>
      <w:r>
        <w:rPr>
          <w:lang w:val="en-US"/>
        </w:rPr>
        <w:t>XVIII</w:t>
      </w:r>
      <w:r>
        <w:t xml:space="preserve"> века;  реконструкция этих залов в музее стала возможна благодаря совместным усилиям Конакульта, по линии НИЭИ, правительства Мехико, Музея им. Франца Маера и общественных объединений.  Кроме того, в июне 2002 года был проведен четвертый "круглый стол" по Паленке, темой которого стал погребальный культ майя, в связи с чем было также отмечено 50-летие открытия гробницы Пакаля.  В июне 2002 года был проведен третий "круглый стол" по Монте-Альбану, общей темой которого стала система власти в древней Оахаке;  в этой связи был сделан ряд докладов, актуальных и для понимания жизни современного общества.  В ходе третьего "круглого стола" по Теотиуакану, проведенного в сентябре 2002 года, рассматривалась тема "Архитектура и урбанизм", по которой участники представили 44 доклада.</w:t>
      </w:r>
    </w:p>
    <w:p w:rsidR="00000000" w:rsidRDefault="00000000"/>
    <w:p w:rsidR="00000000" w:rsidRDefault="00000000">
      <w:r>
        <w:t>815.</w:t>
      </w:r>
      <w:r>
        <w:tab/>
        <w:t>Что касается сохранения произведений художественной культуры, то важным элементом структуры НИЭИ является специализированный реставрационный центр, чьи функции каталогизации и хранения имеют основополагающее значение для культуры страны.  В свою очередь Управление архитектуры отвечает за сохранение и распространение монументальных произведений художественного творчества.</w:t>
      </w:r>
    </w:p>
    <w:p w:rsidR="00000000" w:rsidRDefault="00000000"/>
    <w:p w:rsidR="00000000" w:rsidRDefault="00000000">
      <w:r>
        <w:t>816.</w:t>
      </w:r>
      <w:r>
        <w:tab/>
        <w:t>Как известно, Мексика подписала Международную конвенцию об охране нематериального культурного наследия и голосовала за ее принятие.  В этой связи в фондах Центра информации и документации о народной культуре и культуре коренных народов ГУНК имеется 160 000 единиц хранения;  ГУНК ведет работу по созданию центров информации о народной культуре и культуре коренных народов в штатах.  Программа поддержки творчества коренных народов направлена на поддержку и стимулирование художественного творчества коренных народов, как индивидуального, так и коллективного, в его различных выражениях, популяризацию искусства коренных народов, призванную расширить круг его ценителей в стране и за рубежом и на содействие осуществлению проектов, которые возрождают и развивают представления коренных народов о прекрасном и их мировоззрение, проявляющиеся в художественном творчестве.  Для достижения этих целей подготовлен ряд публикаций, таких, как серия лауреатов премии Несауалькойотля по литературе на языках коренных народов и ее "подсерия Росток:  детская литература для коренных народов", которая должна дать коренным народам детские книги для чтения на их языках;  вышли и другие серии книг.  При подготовке этих изданий содействие оказали различные федеральные учреждения и учреждения штатов, частные лица и организации коренных народов, которые трудятся на ниве их культуры.</w:t>
      </w:r>
    </w:p>
    <w:p w:rsidR="00000000" w:rsidRDefault="00000000"/>
    <w:p w:rsidR="00000000" w:rsidRDefault="00000000">
      <w:r>
        <w:t>817.</w:t>
      </w:r>
      <w:r>
        <w:tab/>
        <w:t>Кроме того, НФКИ осуществляет проект международного характера по пропаганде и распространению национальной культуры в других странах.  Это следующие программы:</w:t>
      </w:r>
    </w:p>
    <w:p w:rsidR="00000000" w:rsidRDefault="00000000"/>
    <w:p w:rsidR="00000000" w:rsidRDefault="00000000">
      <w:pPr>
        <w:numPr>
          <w:ilvl w:val="0"/>
          <w:numId w:val="410"/>
        </w:numPr>
      </w:pPr>
      <w:r>
        <w:t>программа перевода произведений мексиканской литературы на другие языки (ПроТрад);</w:t>
      </w:r>
    </w:p>
    <w:p w:rsidR="00000000" w:rsidRDefault="00000000">
      <w:pPr>
        <w:tabs>
          <w:tab w:val="clear" w:pos="1134"/>
        </w:tabs>
      </w:pPr>
    </w:p>
    <w:p w:rsidR="00000000" w:rsidRDefault="00000000">
      <w:pPr>
        <w:numPr>
          <w:ilvl w:val="0"/>
          <w:numId w:val="410"/>
        </w:numPr>
      </w:pPr>
      <w:r>
        <w:t>программа обменов для деятелей искусства;.</w:t>
      </w:r>
    </w:p>
    <w:p w:rsidR="00000000" w:rsidRDefault="00000000">
      <w:pPr>
        <w:tabs>
          <w:tab w:val="clear" w:pos="1134"/>
        </w:tabs>
      </w:pPr>
    </w:p>
    <w:p w:rsidR="00000000" w:rsidRDefault="00000000">
      <w:pPr>
        <w:numPr>
          <w:ilvl w:val="0"/>
          <w:numId w:val="410"/>
        </w:numPr>
      </w:pPr>
      <w:r>
        <w:t>"культурный контакт", целевой фонд культурного обмена между Мексикой и Соединенными Штатами.</w:t>
      </w:r>
    </w:p>
    <w:p w:rsidR="00000000" w:rsidRDefault="00000000">
      <w:pPr>
        <w:tabs>
          <w:tab w:val="clear" w:pos="1134"/>
        </w:tabs>
      </w:pPr>
    </w:p>
    <w:p w:rsidR="00000000" w:rsidRDefault="00000000">
      <w:r>
        <w:t>818.</w:t>
      </w:r>
      <w:r>
        <w:tab/>
        <w:t>Программа перевода произведений Мексиканской литературы на другие языки (ПроТрад) предусматривает оказание содействия зарубежным издательствам в переводе и публикации произведений видных мексиканских авторов.  Такое содействие оказывается в таких областях, как искусство, культура, литература, наука, философия, общественные науки и история Мексики.  В 1999</w:t>
      </w:r>
      <w:r>
        <w:noBreakHyphen/>
        <w:t>2003 годах рассматривалась возможность оказания помощи в издании 60 книг;  было предоставлено содействие в переводе 35 из них.  Были переведены произведения Октавио Паса, Сильвии Молины, Хоре Ибаргуэнгоитии, Хауна Вильоро и Хайме Сабинеса, а также многих других.  Они были переведены, в частности, на немецкий, английский, французский, арабский, японский и румынский языки.</w:t>
      </w:r>
    </w:p>
    <w:p w:rsidR="00000000" w:rsidRDefault="00000000"/>
    <w:p w:rsidR="00000000" w:rsidRDefault="00000000">
      <w:r>
        <w:t>819.</w:t>
      </w:r>
      <w:r>
        <w:tab/>
        <w:t>Программа обменов для деятелей искусства, которая осуществляется НФКИ, предусматривает заключение соглашений и подписание меморандумов о договоренности с рядом стран, таких, как Венесуэла, Канада, Колумбия, Соединенные Штаты и Франция.  Она призвана дать деятелям культуры страны возможность реализации конкретных проектов в других странах в ходе определенного периода времени, содействует обогащению их творчества, на основе встреч с художниками, работающими в той же области в других странах.  В рамках программы оказывается содействие обмену в таких областях, как изобразительное искусство, танец, культура, художественная литература, аудио- и визуальные средства, музыка и театр.  С момента ее создания в 1992 году программа оказала содействие свыше 300 художникам, из них 230 - в период 1998</w:t>
      </w:r>
      <w:r>
        <w:noBreakHyphen/>
        <w:t>2003 годов.</w:t>
      </w:r>
    </w:p>
    <w:p w:rsidR="00000000" w:rsidRDefault="00000000"/>
    <w:p w:rsidR="00000000" w:rsidRDefault="00000000">
      <w:r>
        <w:t>820.</w:t>
      </w:r>
      <w:r>
        <w:tab/>
        <w:t>Постоянно стремясь к содействию международному сотрудничеству в рамках НФКИ, Конакульта были созданы механизмы, содействующие совместному развитию культуры.  Для получения наиболее глубоких представлений и установления наиболее широких связей между Мексикой и Соединенными Штатами НФКИ осуществляет самое тесное сотрудничество с родственными учреждениями Соединенных Штатов, всячески стремясь к развитию программ, обогащающих культурный мир.</w:t>
      </w:r>
    </w:p>
    <w:p w:rsidR="00000000" w:rsidRDefault="00000000"/>
    <w:p w:rsidR="00000000" w:rsidRDefault="00000000">
      <w:r>
        <w:t>821.</w:t>
      </w:r>
      <w:r>
        <w:tab/>
        <w:t>В 1992 году при участии фонда Рокфеллера и Фонда культуры банка "Банкомер" был создан специальный Фонд культурного обмена между Мексикой и Соединенными Штатами (в настоящее время - "Культурный контакт"), цель которого - укрепление обмена в сфере художественного творчества и культурное сотрудничество между обеими странами на основе поддержки проектов высокого уровня, которые имеют очевидный двунациональный характер, отражают культурное и художественное многообразие Мексики и Соединенных Штатов и способны развивать тесное и прочное сотрудничество между художниками, исследователями, независимыми группами и учреждениями культуры сходного профиля обеих страх в различных областях художественного творчества.  В 1998-2003 годах Фондом было оказано содействие в реализации 275 совместных проектов, которые способствовали установлению более прочных связей между художниками и учреждениями культуры.  Это позволило получить более широкое и объективное представление о реальности, о культуре и о связях, которые установились между обеими странами.</w:t>
      </w:r>
    </w:p>
    <w:p w:rsidR="00000000" w:rsidRDefault="00000000"/>
    <w:p w:rsidR="00000000" w:rsidRDefault="00000000">
      <w:r>
        <w:t>822.</w:t>
      </w:r>
      <w:r>
        <w:tab/>
        <w:t>НФКИ реализует и другие культурные инициативы, которые также оказывают воздействие на развитие и пропаганду культуры, в том числе:  содействие литературному переводу и поддержка издания независимых журналов.  Первая программа преследует цель содействия и поощрения литературного перевода для того, чтобы читатели нашей страны познакомились с литературными произведениями авторов на других языках, когда совместно с Главным издательским управлением (ГИУ) проводятся конкурсы среди издательств и переводчиков на получение до восьми субсидий на перевод на испанский язык литературных произведений на иностранных языках на сумму 63 тыс. песо каждая, которые предоставляются четырьмя подразделениями в соответствии с утвержденной программой работы.  В период 1998-2003 годов было предоставлено 49 таких субсидий на перевод литературных произведений классиков с немецкого, болгарского, корейского, английского, французского, итальянского, русского, шведского, польского и латинского языков.</w:t>
      </w:r>
    </w:p>
    <w:p w:rsidR="00000000" w:rsidRDefault="00000000"/>
    <w:p w:rsidR="00000000" w:rsidRDefault="00000000">
      <w:r>
        <w:t>823.</w:t>
      </w:r>
      <w:r>
        <w:tab/>
        <w:t>В целях содействия работе по пропаганде литературы и искусства Мексики Конакульта, привлекая к этой работе НФКИ, координирует культурную программу "Глубина земли", а НИИ проводит среди издательств и независимых средств печати конкурсы на получение 19 субсидий, которые предоставляются для их издания.  Этот конкурс проводится для трех групп периодических изданий страны, которые должны удовлетворять следующим требованиям:</w:t>
      </w:r>
    </w:p>
    <w:p w:rsidR="00000000" w:rsidRDefault="00000000"/>
    <w:p w:rsidR="00000000" w:rsidRDefault="00000000">
      <w:pPr>
        <w:numPr>
          <w:ilvl w:val="0"/>
          <w:numId w:val="411"/>
        </w:numPr>
      </w:pPr>
      <w:r>
        <w:t>Литературные журналы, издаваемые в штатах Республики, которые вышли не менее чем двумя номерами или существуют не меньше года и которые, желательно, ставят своей целью, в частности, пропаганду и развитие литературы, включая литературу для молодежи.  Отобраны восемь журналов, содействие которым с учетом конкретных обстоятельств достигает до 71 000 песо в год.</w:t>
      </w:r>
    </w:p>
    <w:p w:rsidR="00000000" w:rsidRDefault="00000000">
      <w:pPr>
        <w:tabs>
          <w:tab w:val="clear" w:pos="1134"/>
        </w:tabs>
      </w:pPr>
    </w:p>
    <w:p w:rsidR="00000000" w:rsidRDefault="00000000">
      <w:pPr>
        <w:numPr>
          <w:ilvl w:val="0"/>
          <w:numId w:val="411"/>
        </w:numPr>
      </w:pPr>
      <w:r>
        <w:t>Литературные журналы, издаваемые в федеральном округе, вышедшие не менее чем двумя номерами и ставящие среди своих целей пропаганду и развитие мексиканской литературы.  Было отобрано шесть журналов, которые получают субсидию, размер которой с учетом конкретных обстоятельств может достигать до 71 000 песо в год.</w:t>
      </w:r>
    </w:p>
    <w:p w:rsidR="00000000" w:rsidRDefault="00000000">
      <w:pPr>
        <w:tabs>
          <w:tab w:val="clear" w:pos="1134"/>
        </w:tabs>
      </w:pPr>
    </w:p>
    <w:p w:rsidR="00000000" w:rsidRDefault="00000000">
      <w:pPr>
        <w:numPr>
          <w:ilvl w:val="0"/>
          <w:numId w:val="411"/>
        </w:numPr>
      </w:pPr>
      <w:r>
        <w:t>Художественные журналы, издаваемые как в федеральном округе, так и в штатах, которые вышли не менее чем тремя номерами или существуют не менее года и включают в число своих целей пропаганду и развитие мексиканского искусства в целом или в конкретных областях (архитектура, изобразительное искусство, танец, литература, аудио-визуальные средства, музыка и театр).  Было отобрано пять журналов, которые с учетом параметров издательской деятельности могут получать субсидию на сумму 114 000 песо в год.</w:t>
      </w:r>
    </w:p>
    <w:p w:rsidR="00000000" w:rsidRDefault="00000000">
      <w:pPr>
        <w:tabs>
          <w:tab w:val="clear" w:pos="1134"/>
        </w:tabs>
      </w:pPr>
    </w:p>
    <w:p w:rsidR="00000000" w:rsidRDefault="00000000">
      <w:r>
        <w:t>824.</w:t>
      </w:r>
      <w:r>
        <w:tab/>
        <w:t>В 1998-2003 годах оказана помощь 65 журналам, выходящим как в штатах страны, так и в федеральном округе.</w:t>
      </w:r>
    </w:p>
    <w:p w:rsidR="00000000" w:rsidRDefault="00000000"/>
    <w:p w:rsidR="00000000" w:rsidRDefault="00000000">
      <w:r>
        <w:t>825.</w:t>
      </w:r>
      <w:r>
        <w:tab/>
        <w:t>В числе основных направлений деятельности МИК - пропаганда и распространение кинематографической культуры внутри страны и за рубежом, для чего он оказывает содействие и проводит различные кинематографические мероприятия, позволяющие приблизить эту область художественного творчества к населению.</w:t>
      </w:r>
    </w:p>
    <w:p w:rsidR="00000000" w:rsidRDefault="00000000"/>
    <w:p w:rsidR="00000000" w:rsidRDefault="00000000">
      <w:pPr>
        <w:rPr>
          <w:b/>
          <w:bCs/>
        </w:rPr>
      </w:pPr>
      <w:r>
        <w:rPr>
          <w:b/>
          <w:bCs/>
        </w:rPr>
        <w:t>Позитивные моменты и трудности</w:t>
      </w:r>
    </w:p>
    <w:p w:rsidR="00000000" w:rsidRDefault="00000000"/>
    <w:p w:rsidR="00000000" w:rsidRDefault="00000000">
      <w:r>
        <w:t>826.</w:t>
      </w:r>
      <w:r>
        <w:tab/>
        <w:t>За последние годы заметно возросло число государственных программ в сфере культуры, нацеленных на развитие многокультурного характера мексиканского общества, в частности программ, в рамках которых повышенное внимание уделяется культурным мероприятиям, проводимым коренными народами и общинами.  Примером этого является все более широкое участие в следующих событиях культурной жизни:  присуждение Несауалькойотльской премии по литературе за произведения на языках коренных народов, ежегодное празднование Международного дня коренных народов, ежегодные творческие встречи женщин коренных национальностей, публикация коллекционных изданий литературных произведений для коренных народов и осуществление проектов, связанных с изучением различных аспектов жизни коренных народов.</w:t>
      </w:r>
    </w:p>
    <w:p w:rsidR="00000000" w:rsidRDefault="00000000"/>
    <w:p w:rsidR="00000000" w:rsidRDefault="00000000">
      <w:r>
        <w:t>827.</w:t>
      </w:r>
      <w:r>
        <w:tab/>
        <w:t>Среди позитивных моментов следует особо отметить принятие законов о защите культуры коренных народов, а также создание новых и укрепление уже существующих институтов, работающих в их интересах и на их благо.  Так, в 2001 году была внесена поправка в статью 2 Конституции, которая отныне признает и гарантирует право коренных общин на автономию в целях сохранения, обогащения и развития их языков, знаний, обычаев, традиций и всех прочих элементов, составляющих их культуру и определяющих их самобытность.  В 2003 году был принят закон о Национальной комиссии по развитию коренных народов, а Главное управление народной культуры было преобразовано в Главное управление народной культуры и культуры коренного населения.</w:t>
      </w:r>
    </w:p>
    <w:p w:rsidR="00000000" w:rsidRDefault="00000000"/>
    <w:p w:rsidR="00000000" w:rsidRDefault="00000000">
      <w:r>
        <w:t>828.</w:t>
      </w:r>
      <w:r>
        <w:tab/>
        <w:t>В этой связи, как уже упоминалось выше, Главное управление культурных связей и связей с соотечественниками (ГУКС) приступило к реализации специальной программы, ориентированной на нужды различных категорий инвалидов, а также обездоленных граждан, находящихся в больницах, содержащихся в местах заключения, центрах социальной реадаптации, приютах и т.д.</w:t>
      </w:r>
    </w:p>
    <w:p w:rsidR="00000000" w:rsidRDefault="00000000"/>
    <w:p w:rsidR="00000000" w:rsidRDefault="00000000">
      <w:r>
        <w:t>829.</w:t>
      </w:r>
      <w:r>
        <w:tab/>
        <w:t xml:space="preserve">Трудности коренятся в нехватке бюджетных средств, выделяемых на обеспечение уязвимым группам населения дополнительных альтернативных возможностей участия в жизни общества, а также на их охват различными проектами и программами.  Кроме того, </w:t>
      </w:r>
    </w:p>
    <w:p w:rsidR="00000000" w:rsidRDefault="00000000">
      <w:r>
        <w:br w:type="page"/>
        <w:t>они сталкиваются с проблемой оторванности и отчужденности от собственных общин.  Ситуация усугубляется далее непоследовательностью и несогласованностью действий различных ведомств, призванных заботиться об этой группе общества.</w:t>
      </w:r>
    </w:p>
    <w:p w:rsidR="00000000" w:rsidRDefault="00000000"/>
    <w:p w:rsidR="00000000" w:rsidRDefault="00000000">
      <w:pPr>
        <w:rPr>
          <w:b/>
          <w:bCs/>
        </w:rPr>
      </w:pPr>
      <w:r>
        <w:rPr>
          <w:b/>
          <w:bCs/>
        </w:rPr>
        <w:t>Пункт 67 а)</w:t>
      </w:r>
    </w:p>
    <w:p w:rsidR="00000000" w:rsidRDefault="00000000"/>
    <w:p w:rsidR="00000000" w:rsidRDefault="00000000">
      <w:r>
        <w:t>830.</w:t>
      </w:r>
      <w:r>
        <w:tab/>
        <w:t>В законе о науке и технике, опубликованном в "Федеральном официальном вестнике" за июнь 2002 года, упоминается о праве мексиканцев пользоваться плодами научно-технического прогресса.  В первом и втором подпунктах статьи 2 это право трактуется следующим образом.</w:t>
      </w:r>
    </w:p>
    <w:p w:rsidR="00000000" w:rsidRDefault="00000000"/>
    <w:p w:rsidR="00000000" w:rsidRDefault="00000000">
      <w:r>
        <w:t>831.</w:t>
      </w:r>
      <w:r>
        <w:tab/>
        <w:t>В качестве основ государственной политики, направленной на создание Национальной системы научных исследований и технических разработок, предлагаются следующие меры:</w:t>
      </w:r>
    </w:p>
    <w:p w:rsidR="00000000" w:rsidRDefault="00000000"/>
    <w:p w:rsidR="00000000" w:rsidRDefault="00000000">
      <w:pPr>
        <w:numPr>
          <w:ilvl w:val="0"/>
          <w:numId w:val="412"/>
        </w:numPr>
        <w:tabs>
          <w:tab w:val="clear" w:pos="567"/>
        </w:tabs>
      </w:pPr>
      <w:r>
        <w:t>наращивать научно-технический потенциал и расширять подготовку исследовательских кадров с целью решения фундаментальных национальных задач, призванных способствовать развитию страны и всестороннему росту благосостояния населения;</w:t>
      </w:r>
    </w:p>
    <w:p w:rsidR="00000000" w:rsidRDefault="00000000">
      <w:pPr>
        <w:ind w:left="360"/>
      </w:pPr>
    </w:p>
    <w:p w:rsidR="00000000" w:rsidRDefault="00000000">
      <w:pPr>
        <w:numPr>
          <w:ilvl w:val="0"/>
          <w:numId w:val="412"/>
        </w:numPr>
        <w:tabs>
          <w:tab w:val="clear" w:pos="567"/>
        </w:tabs>
      </w:pPr>
      <w:r>
        <w:t>способствовать развитию и взаимной увязке фундаментальных наук и технических инноваций, направляя их на модернизацию, заметное повышение качества образования и расширение границ познания, а также на превращение научных и технических знаний в составную часть общей культуры всего общества.</w:t>
      </w:r>
    </w:p>
    <w:p w:rsidR="00000000" w:rsidRDefault="00000000"/>
    <w:p w:rsidR="00000000" w:rsidRDefault="00000000">
      <w:r>
        <w:t>832.</w:t>
      </w:r>
      <w:r>
        <w:tab/>
        <w:t>С другой стороны, Национальный совет по науке и технике (КОНАСИТ) координирует работу 27 научно-исследовательских центров, действующих в различных областях исследований, в поисках ответов на различные вызовы современной жизни в таком сложном обществе, каким является Мексика.  Страна располагает сетью научно-исследовательских центров на всей территории страны, нацеленных на определение наиболее значимых научно-технических задач регионального и местного масштаба и предлагающих наиболее оптимальные решения этих задач.  Именно эта сеть научных центров призвана служить связующим звеном между высшими учебными заведениями, органами местной власти, инициативными группами частного сектора и широкой общественностью.</w:t>
      </w:r>
    </w:p>
    <w:p w:rsidR="00000000" w:rsidRDefault="00000000"/>
    <w:p w:rsidR="00000000" w:rsidRDefault="00000000">
      <w:pPr>
        <w:rPr>
          <w:b/>
          <w:bCs/>
        </w:rPr>
      </w:pPr>
      <w:r>
        <w:rPr>
          <w:b/>
          <w:bCs/>
        </w:rPr>
        <w:br w:type="page"/>
        <w:t xml:space="preserve">Пункт 67 </w:t>
      </w:r>
      <w:r>
        <w:rPr>
          <w:b/>
          <w:bCs/>
          <w:lang w:val="en-US"/>
        </w:rPr>
        <w:t>b</w:t>
      </w:r>
      <w:r>
        <w:rPr>
          <w:b/>
          <w:bCs/>
        </w:rPr>
        <w:t>)</w:t>
      </w:r>
    </w:p>
    <w:p w:rsidR="00000000" w:rsidRDefault="00000000"/>
    <w:p w:rsidR="00000000" w:rsidRDefault="00000000">
      <w:r>
        <w:t>833.</w:t>
      </w:r>
      <w:r>
        <w:tab/>
        <w:t>Касаясь вопроса распространения и популяризации научно-технических знаний, следует отметить, что Национальный совет по науке и технике предложил Программу общественных связей, основные направления которой находят отражение в Специальной программе научных исследований и технических разработок (ПЕСИТ) на 2001-2006 годы.  Эта программа общественных связей предусматривает проведение ряда мероприятий, призванных значительно повысить научно-техническую культуру мексиканского общества, убедить общество в жизненной необходимости развития науки и техники, оказывающей самое непосредственное влияние на качество жизни, рост эффективности экономики страны и на ее конкурентоспособность.</w:t>
      </w:r>
    </w:p>
    <w:p w:rsidR="00000000" w:rsidRDefault="00000000"/>
    <w:p w:rsidR="00000000" w:rsidRDefault="00000000">
      <w:r>
        <w:t>834.</w:t>
      </w:r>
      <w:r>
        <w:tab/>
        <w:t>С этой целью в стране прошли различные мероприятия, направленные на пробуждение интереса широкой общественности, и особенно молодежи, к вопросам развития науки и техники в современном мире.  Среди подобных мероприятий следует отметить следующие:</w:t>
      </w:r>
    </w:p>
    <w:p w:rsidR="00000000" w:rsidRDefault="00000000"/>
    <w:p w:rsidR="00000000" w:rsidRDefault="00000000">
      <w:pPr>
        <w:numPr>
          <w:ilvl w:val="0"/>
          <w:numId w:val="413"/>
        </w:numPr>
        <w:tabs>
          <w:tab w:val="clear" w:pos="567"/>
        </w:tabs>
      </w:pPr>
      <w:r>
        <w:t>Общенациональная неделя науки и техники.  Ее цель – популяризация науки и техники среди молодежи, подростков, школьников всех уровней обучения, родителей, учителей, исследователей, ученых и предпринимателей, а также содействие осознанию того, что наука и техника служат опорой экономического, культурного и социального развития страны.  Проведение такой кампании было возложено на учебные заведения и центры, научные ассоциации, государственные министерства, исследовательские учреждения, предприятия, научные музеи и правительства штатов.  Согласно оценкам мероприятиями недели было охвачено порядка 11 миллионов человек по всей стране.</w:t>
      </w:r>
    </w:p>
    <w:p w:rsidR="00000000" w:rsidRDefault="00000000">
      <w:pPr>
        <w:ind w:left="360"/>
      </w:pPr>
    </w:p>
    <w:p w:rsidR="00000000" w:rsidRDefault="00000000">
      <w:pPr>
        <w:numPr>
          <w:ilvl w:val="0"/>
          <w:numId w:val="413"/>
        </w:numPr>
        <w:tabs>
          <w:tab w:val="clear" w:pos="567"/>
        </w:tabs>
      </w:pPr>
      <w:r>
        <w:t>"Радио КонСиенсия" ("Радио с наукой").  Это получасовая радиопрограмма Национального совета по науке и технике, призванная в доходчивой, популярной форме и голосом известных мексиканских ученых донести до широкой публики насущные вопросы науки и техники.</w:t>
      </w:r>
    </w:p>
    <w:p w:rsidR="00000000" w:rsidRDefault="00000000"/>
    <w:p w:rsidR="00000000" w:rsidRDefault="00000000">
      <w:r>
        <w:t>835.</w:t>
      </w:r>
      <w:r>
        <w:tab/>
        <w:t>Кроме того, и другие организации подключились к проведению аналогичных мероприятий:</w:t>
      </w:r>
    </w:p>
    <w:p w:rsidR="00000000" w:rsidRDefault="00000000"/>
    <w:p w:rsidR="00000000" w:rsidRDefault="00000000">
      <w:pPr>
        <w:numPr>
          <w:ilvl w:val="0"/>
          <w:numId w:val="414"/>
        </w:numPr>
      </w:pPr>
      <w:r>
        <w:t>Программа "Наука в твоей школе".  Это учебная программа, задуманная, организационно оформленная и запущенная в 2002 году группой мексиканских ученых - членов Мексиканской академии наук.  Цель программы заключается в улучшении качества преподавания математики и научных дисциплин в начальной и средней школе, а также в выработке современного взгляда на эти предметы.</w:t>
      </w:r>
    </w:p>
    <w:p w:rsidR="00000000" w:rsidRDefault="00000000">
      <w:pPr>
        <w:ind w:left="360"/>
      </w:pPr>
    </w:p>
    <w:p w:rsidR="00000000" w:rsidRDefault="00000000">
      <w:pPr>
        <w:numPr>
          <w:ilvl w:val="0"/>
          <w:numId w:val="414"/>
        </w:numPr>
      </w:pPr>
      <w:r>
        <w:t>С помощью этой программы предполагается сблизить представителей науки с учителями и преподавателями и тем самым повысить уровень подготовки по предметам научного профиля и математике в начальной и средней школе.  Поставлена цель дать учителям более глубокое и ясное понимание научных и точных дисциплин и, действуя на принципах современной педагогической науки, воспитывать у них подход к учащемуся как к творцу своих знаний, используя его природный интерес и активность.</w:t>
      </w:r>
    </w:p>
    <w:p w:rsidR="00000000" w:rsidRDefault="00000000">
      <w:pPr>
        <w:ind w:left="360"/>
      </w:pPr>
    </w:p>
    <w:p w:rsidR="00000000" w:rsidRDefault="00000000">
      <w:pPr>
        <w:numPr>
          <w:ilvl w:val="0"/>
          <w:numId w:val="415"/>
        </w:numPr>
        <w:tabs>
          <w:tab w:val="clear" w:pos="567"/>
        </w:tabs>
      </w:pPr>
      <w:r>
        <w:t xml:space="preserve">Программа "Атлас наук".  В 2002 году Мексиканская академия наук приступила к созданию базы данных, размещенной на академическом Интернет-сайте </w:t>
      </w:r>
      <w:r>
        <w:rPr>
          <w:szCs w:val="22"/>
        </w:rPr>
        <w:t>(</w:t>
      </w:r>
      <w:hyperlink r:id="rId182" w:history="1">
        <w:r>
          <w:rPr>
            <w:rStyle w:val="Hyperlink"/>
            <w:szCs w:val="22"/>
          </w:rPr>
          <w:t>http://www.a</w:t>
        </w:r>
        <w:r>
          <w:rPr>
            <w:rStyle w:val="Hyperlink"/>
            <w:szCs w:val="22"/>
          </w:rPr>
          <w:t>m</w:t>
        </w:r>
        <w:r>
          <w:rPr>
            <w:rStyle w:val="Hyperlink"/>
            <w:szCs w:val="22"/>
          </w:rPr>
          <w:t>c.unam.mx</w:t>
        </w:r>
      </w:hyperlink>
      <w:r>
        <w:rPr>
          <w:szCs w:val="22"/>
        </w:rPr>
        <w:t xml:space="preserve">), которая позволяет проследить развитие научной мысли в национальном масштабе посредством регистрации и облегчения поиска исследователей, объектов </w:t>
      </w:r>
      <w:r>
        <w:t>инфраструктуры, учебных центров, научных разработок среди ученых и студентов и прочей тематической информации.  Эта база данных постоянно обновляется;  предполагается, что в ближайшие пять лет она охватит всю страну.</w:t>
      </w:r>
    </w:p>
    <w:p w:rsidR="00000000" w:rsidRDefault="00000000"/>
    <w:p w:rsidR="00000000" w:rsidRDefault="00000000">
      <w:pPr>
        <w:rPr>
          <w:b/>
          <w:bCs/>
        </w:rPr>
      </w:pPr>
      <w:r>
        <w:rPr>
          <w:b/>
          <w:bCs/>
        </w:rPr>
        <w:t>Пункт 67 с)</w:t>
      </w:r>
    </w:p>
    <w:p w:rsidR="00000000" w:rsidRDefault="00000000"/>
    <w:p w:rsidR="00000000" w:rsidRDefault="00000000">
      <w:r>
        <w:t>836.</w:t>
      </w:r>
      <w:r>
        <w:tab/>
        <w:t>Говоря о мерах, принятых для того, чтобы научно-технический прогресс не наносил ущерба достоинству или основополагающим правам личности, следует отметить, что Национальный конгресс пересмотрел и утвердил ряд законодательных актов, касающихся медицины генома.  30 апреля 2004 года было принято решение о создании Национального института медицины генома, что, в свою очередь, открывает перед нашей страной возможность проведения широких терапевтических исследований со стволовыми и эмбриональными клетками при полном соблюдении всех этических норм и принципов.</w:t>
      </w:r>
    </w:p>
    <w:p w:rsidR="00000000" w:rsidRDefault="00000000"/>
    <w:p w:rsidR="00000000" w:rsidRDefault="00000000">
      <w:r>
        <w:t>837.</w:t>
      </w:r>
      <w:r>
        <w:tab/>
        <w:t>Кроме того, в Национальном конгрессе ведется обсуждение проектов решений, которые определят наше отношение к вопросам клонирования живых существ и создания генетически модифицированных организмов.  Тем не менее, учитывая сложность данной тематики и возможные осложнения научного и этического плана, ожидается, что в ближайшие месяцы будут приняты такие документы и решения, которые позволят разработать современную и всеобъемлющую законодательную базу, способную обеспечить защиту прав личности и общества в целом.</w:t>
      </w:r>
    </w:p>
    <w:p w:rsidR="00000000" w:rsidRDefault="00000000"/>
    <w:p w:rsidR="00000000" w:rsidRDefault="00000000">
      <w:pPr>
        <w:rPr>
          <w:b/>
          <w:bCs/>
        </w:rPr>
      </w:pPr>
      <w:r>
        <w:rPr>
          <w:b/>
          <w:bCs/>
        </w:rPr>
        <w:t>Пункт 68</w:t>
      </w:r>
    </w:p>
    <w:p w:rsidR="00000000" w:rsidRDefault="00000000"/>
    <w:p w:rsidR="00000000" w:rsidRDefault="00000000">
      <w:r>
        <w:t>838.</w:t>
      </w:r>
      <w:r>
        <w:tab/>
        <w:t>Согласно статье 11 федерального закона об авторском праве, авторское право является признанием со стороны государства прав автора литературного или художественного произведения, которые перечислены в статье 13 этого закона, в силу чего государство гарантирует автору свою защиту в пользовании прерогативами и привилегиями личного и имущественного характера.  Личные привилегии касаются т.н. морального права, а вторые привилегии - имущественного права.</w:t>
      </w:r>
    </w:p>
    <w:p w:rsidR="00000000" w:rsidRDefault="00000000"/>
    <w:p w:rsidR="00000000" w:rsidRDefault="00000000">
      <w:r>
        <w:t>839.</w:t>
      </w:r>
      <w:r>
        <w:tab/>
        <w:t>23 июля 2003 года указанный закон был пересмотрен в сторону усиления защиты прав создателей литературных и художественных произведений.  Отныне срок действия имущественных прав, которые ранее действовали на протяжении жизни автора и в течение 75 лет после его смерти, продлен до 100 лет после его смерти.</w:t>
      </w:r>
    </w:p>
    <w:p w:rsidR="00000000" w:rsidRDefault="00000000"/>
    <w:p w:rsidR="00000000" w:rsidRDefault="00000000">
      <w:r>
        <w:t>840.</w:t>
      </w:r>
      <w:r>
        <w:tab/>
        <w:t>Говоря о защите культуры, следует отметить, что путем проведения конференций и рабочих совещаний ГУНК начало проработку правовых вопросов в области культуры и приступило к разъяснению различных сторон этой обширной сферы деятельности.  Одновременно ведется разъяснение основных путей получения авторских свидетельств среди людей творческих профессий, писателей и исследователей.</w:t>
      </w:r>
    </w:p>
    <w:p w:rsidR="00000000" w:rsidRDefault="00000000"/>
    <w:p w:rsidR="00000000" w:rsidRDefault="00000000">
      <w:r>
        <w:t>841.</w:t>
      </w:r>
      <w:r>
        <w:tab/>
        <w:t>Следует отметить организованный в 2003 году Национальным антропологическим музеем при участии со стороны Всемирной организации интеллектуальной собственности (ВОИС) семинар на тему:  "Авторское право - стратегическая ценность будущего".</w:t>
      </w:r>
    </w:p>
    <w:p w:rsidR="00000000" w:rsidRDefault="00000000"/>
    <w:p w:rsidR="00000000" w:rsidRDefault="00000000">
      <w:r>
        <w:t>842.</w:t>
      </w:r>
      <w:r>
        <w:tab/>
        <w:t>Что касается культуры коренных народов, то здесь основная проблема с точки зрения авторских прав заключалась главным образом в неуделении должного внимания конкретным программам, призванным знакомить с действующими в этой области законами и разъяснять меры по защите таких прав.  Например, многие плоды творчества коренных мастеров народных промыслов были бессовестным образом украдены и в настоящее время широко эксплуатируются в целях наживы китайскими предпринимателями.</w:t>
      </w:r>
    </w:p>
    <w:p w:rsidR="00000000" w:rsidRDefault="00000000"/>
    <w:p w:rsidR="00000000" w:rsidRDefault="00000000">
      <w:r>
        <w:t>843.</w:t>
      </w:r>
      <w:r>
        <w:tab/>
        <w:t>Коснувшись интеллектуальной собственности, следует отметить, что в Мексике действует Мексиканский институт производственной собственности (ИМПИ), призванный защищать моральное и материальное право собственности на любой продукт научного, технического и производственного свойства.</w:t>
      </w:r>
    </w:p>
    <w:p w:rsidR="00000000" w:rsidRDefault="00000000"/>
    <w:p w:rsidR="00000000" w:rsidRDefault="00000000">
      <w:r>
        <w:br w:type="page"/>
        <w:t>844.</w:t>
      </w:r>
      <w:r>
        <w:tab/>
        <w:t>ИМПИ является децентрализованным органом федерального правительства, который предоставляет юридическую защиту посредством выдачи патентов, регистрации торговых марок и оказания прочих видов юридической поддержки.  Институт следит за нарушениями в этой сфере, всячески популяризирует государственную систему защиты прав собственности, проводит разъяснения и консультации среди частных лиц, способствует техническому, торговому и производственному росту страны.  Таким образом, Институт несет ответственность за исполнение закона о промышленной собственности и других решений национального и международного характера.</w:t>
      </w:r>
    </w:p>
    <w:p w:rsidR="00000000" w:rsidRDefault="00000000"/>
    <w:p w:rsidR="00000000" w:rsidRDefault="00000000">
      <w:pPr>
        <w:rPr>
          <w:b/>
          <w:bCs/>
        </w:rPr>
      </w:pPr>
      <w:r>
        <w:rPr>
          <w:b/>
          <w:bCs/>
        </w:rPr>
        <w:t>Пункт 69 а)</w:t>
      </w:r>
    </w:p>
    <w:p w:rsidR="00000000" w:rsidRDefault="00000000"/>
    <w:p w:rsidR="00000000" w:rsidRDefault="00000000">
      <w:r>
        <w:t>845.</w:t>
      </w:r>
      <w:r>
        <w:tab/>
        <w:t>На конституционном уровне никаких изменений не произошло, однако в "Федеральном официальном вестнике" были опубликованы официальные заявления, являющиеся на сегодня высшим юридическим инструментом в деле защиты культурного наследия и надежным рычагом политики планирования и развития в руках правительств штатов и муниципальных властей.  Эти заявления касаются 15 зон, объявленных историческими памятниками, и 27 зон, объявленных памятниками археологии.</w:t>
      </w:r>
    </w:p>
    <w:p w:rsidR="00000000" w:rsidRDefault="00000000"/>
    <w:p w:rsidR="00000000" w:rsidRDefault="00000000">
      <w:r>
        <w:t>846.</w:t>
      </w:r>
      <w:r>
        <w:tab/>
        <w:t>Кроме того, в рамках Национальной программы по культуре на 2001-2006 годы при посредстве Главного управления публикаций Конакульта начата реализация программы "Мы - страна читателей".  Эта программа преследует следующие цели:</w:t>
      </w:r>
    </w:p>
    <w:p w:rsidR="00000000" w:rsidRDefault="00000000"/>
    <w:p w:rsidR="00000000" w:rsidRDefault="00000000">
      <w:pPr>
        <w:numPr>
          <w:ilvl w:val="0"/>
          <w:numId w:val="416"/>
        </w:numPr>
      </w:pPr>
      <w:r>
        <w:t>сделать чтение и саму книгу важнейшим элементом процесса, направленного на формирование всесторонне развитой личности, на сближение населения с образцами культуры и воспитание среди него критического сознания;</w:t>
      </w:r>
    </w:p>
    <w:p w:rsidR="00000000" w:rsidRDefault="00000000">
      <w:pPr>
        <w:ind w:left="360"/>
      </w:pPr>
    </w:p>
    <w:p w:rsidR="00000000" w:rsidRDefault="00000000">
      <w:pPr>
        <w:numPr>
          <w:ilvl w:val="0"/>
          <w:numId w:val="416"/>
        </w:numPr>
      </w:pPr>
      <w:r>
        <w:t>совместно с другими общественными организациями и гражданскими объединениями разработать и реализовать на практике программы и стратегии по формированию контингента читателей;</w:t>
      </w:r>
    </w:p>
    <w:p w:rsidR="00000000" w:rsidRDefault="00000000">
      <w:pPr>
        <w:ind w:left="360"/>
      </w:pPr>
    </w:p>
    <w:p w:rsidR="00000000" w:rsidRDefault="00000000">
      <w:pPr>
        <w:numPr>
          <w:ilvl w:val="0"/>
          <w:numId w:val="416"/>
        </w:numPr>
      </w:pPr>
      <w:r>
        <w:t>пропагандировать творчество современных мексиканских авторов в национальном и международном масштабах.</w:t>
      </w:r>
    </w:p>
    <w:p w:rsidR="00000000" w:rsidRDefault="00000000">
      <w:pPr>
        <w:ind w:left="360"/>
      </w:pPr>
    </w:p>
    <w:p w:rsidR="00000000" w:rsidRDefault="00000000">
      <w:r>
        <w:t>847.</w:t>
      </w:r>
      <w:r>
        <w:tab/>
        <w:t>С этой целью в рамках данной программы намечаются следующие стратегические направления деятельности:</w:t>
      </w:r>
    </w:p>
    <w:p w:rsidR="00000000" w:rsidRDefault="00000000">
      <w:pPr>
        <w:ind w:left="360"/>
      </w:pPr>
    </w:p>
    <w:p w:rsidR="00000000" w:rsidRDefault="00000000">
      <w:pPr>
        <w:numPr>
          <w:ilvl w:val="0"/>
          <w:numId w:val="417"/>
        </w:numPr>
      </w:pPr>
      <w:r>
        <w:t>разрабатывать радио- и телевещательные блоки, в которых предусматривается чтение текстов художественных произведений, способных привлечь внимание широкой публики;</w:t>
      </w:r>
    </w:p>
    <w:p w:rsidR="00000000" w:rsidRDefault="00000000">
      <w:pPr>
        <w:numPr>
          <w:ilvl w:val="0"/>
          <w:numId w:val="417"/>
        </w:numPr>
      </w:pPr>
      <w:r>
        <w:t>создавать программы для радио и телевидения, красочно и ярко приглашающие людей к знакомству с книгой, к посещению библиотек и книжных магазинов;</w:t>
      </w:r>
    </w:p>
    <w:p w:rsidR="00000000" w:rsidRDefault="00000000">
      <w:pPr>
        <w:ind w:left="360"/>
      </w:pPr>
    </w:p>
    <w:p w:rsidR="00000000" w:rsidRDefault="00000000">
      <w:pPr>
        <w:numPr>
          <w:ilvl w:val="0"/>
          <w:numId w:val="417"/>
        </w:numPr>
      </w:pPr>
      <w:r>
        <w:t>переиздавать и участвовать в совместном издании массовым тиражом новых книжных коллекций по низким ценам при участии крупных, мелких и средних частных издательств.  Эти коллекции должны освещать различные стороны художественной жизни и культуры с расчетом на читателей разных возрастных групп, в первую очередь детей и молодежь;</w:t>
      </w:r>
    </w:p>
    <w:p w:rsidR="00000000" w:rsidRDefault="00000000">
      <w:pPr>
        <w:ind w:left="360"/>
      </w:pPr>
    </w:p>
    <w:p w:rsidR="00000000" w:rsidRDefault="00000000">
      <w:pPr>
        <w:numPr>
          <w:ilvl w:val="0"/>
          <w:numId w:val="417"/>
        </w:numPr>
      </w:pPr>
      <w:r>
        <w:t>приступить к формированию государственных групп повышения общей культуры, сведенных в единую национальную сеть, с привлечением самых выдающихся просветительских сил и при содействии национальных программ развития читальных залов.  Целью этих групп является быстрое увеличение общего числа читальных залов и налаживание организации соответствующих помещений на местном уровне;</w:t>
      </w:r>
    </w:p>
    <w:p w:rsidR="00000000" w:rsidRDefault="00000000">
      <w:pPr>
        <w:ind w:left="360"/>
      </w:pPr>
    </w:p>
    <w:p w:rsidR="00000000" w:rsidRDefault="00000000">
      <w:pPr>
        <w:numPr>
          <w:ilvl w:val="0"/>
          <w:numId w:val="417"/>
        </w:numPr>
      </w:pPr>
      <w:r>
        <w:t>совместно с Главным управлением университетских связей и при содействии Главного управления культурных связей и связей с соотечественниками оборудовать при высших учебных заведениях читальные залы для нужд групп читателей, испытывающих особые потребности, как, например, дети из детских домов и сиротских приютов, стариков из домов престарелых, заключенных, пациентов больниц и прочих подобных лиц;</w:t>
      </w:r>
    </w:p>
    <w:p w:rsidR="00000000" w:rsidRDefault="00000000">
      <w:pPr>
        <w:ind w:left="360"/>
      </w:pPr>
    </w:p>
    <w:p w:rsidR="00000000" w:rsidRDefault="00000000">
      <w:pPr>
        <w:numPr>
          <w:ilvl w:val="0"/>
          <w:numId w:val="417"/>
        </w:numPr>
      </w:pPr>
      <w:r>
        <w:t>совместно с министерством иностранных дел и местными гражданскими организациями провести серию мероприятий по оборудованию дополнительных читальных залов для мексиканских общин за рубежом;</w:t>
      </w:r>
    </w:p>
    <w:p w:rsidR="00000000" w:rsidRDefault="00000000">
      <w:pPr>
        <w:ind w:left="360"/>
      </w:pPr>
    </w:p>
    <w:p w:rsidR="00000000" w:rsidRDefault="00000000">
      <w:pPr>
        <w:numPr>
          <w:ilvl w:val="0"/>
          <w:numId w:val="417"/>
        </w:numPr>
      </w:pPr>
      <w:r>
        <w:t>наращивать государственные фонды, предназначенные для развития чтения, в качестве механизма финансирования курсов повышения квалификации и общей культуры, а также приобретения книг для читальных залов;</w:t>
      </w:r>
    </w:p>
    <w:p w:rsidR="00000000" w:rsidRDefault="00000000">
      <w:pPr>
        <w:ind w:left="360"/>
      </w:pPr>
    </w:p>
    <w:p w:rsidR="00000000" w:rsidRDefault="00000000">
      <w:pPr>
        <w:numPr>
          <w:ilvl w:val="0"/>
          <w:numId w:val="417"/>
        </w:numPr>
      </w:pPr>
      <w:r>
        <w:t>проводить анализ итогов работы проходящих в стране ярмарок книг, с тем чтобы предложить меры по улучшению и расширению этой популярной услуги;</w:t>
      </w:r>
    </w:p>
    <w:p w:rsidR="00000000" w:rsidRDefault="00000000">
      <w:pPr>
        <w:ind w:left="360"/>
      </w:pPr>
    </w:p>
    <w:p w:rsidR="00000000" w:rsidRDefault="00000000">
      <w:pPr>
        <w:numPr>
          <w:ilvl w:val="0"/>
          <w:numId w:val="417"/>
        </w:numPr>
      </w:pPr>
      <w:r>
        <w:t>бросить всенародный клич, обращенный к молодым писателям, с призывом смелее публиковать свои произведения;</w:t>
      </w:r>
    </w:p>
    <w:p w:rsidR="00000000" w:rsidRDefault="00000000">
      <w:pPr>
        <w:ind w:left="360"/>
      </w:pPr>
    </w:p>
    <w:p w:rsidR="00000000" w:rsidRDefault="00000000">
      <w:pPr>
        <w:numPr>
          <w:ilvl w:val="0"/>
          <w:numId w:val="417"/>
        </w:numPr>
      </w:pPr>
      <w:r>
        <w:t>принимать участие в публикации книг в записи на компактных дисках.</w:t>
      </w:r>
    </w:p>
    <w:p w:rsidR="00000000" w:rsidRDefault="00000000"/>
    <w:p w:rsidR="00000000" w:rsidRDefault="00000000">
      <w:r>
        <w:t>848.</w:t>
      </w:r>
      <w:r>
        <w:tab/>
        <w:t>Если говорить о принятых мерах, имеющих целью обеспечить сохранение, расширение и распространение достижений науки, то нужно указать на введение соответствующего законодательства, а также на разработку ряда различных документов, призванных сообщить импульс научно-технической деятельности в стране.</w:t>
      </w:r>
    </w:p>
    <w:p w:rsidR="00000000" w:rsidRDefault="00000000"/>
    <w:p w:rsidR="00000000" w:rsidRDefault="00000000">
      <w:r>
        <w:t>849.</w:t>
      </w:r>
      <w:r>
        <w:tab/>
        <w:t>В 2002 году был единогласно утвержден ныне действующий закон о науке и технике (ЗНТ), которым предусматриваются новые механизмы поддержки процесса поступательного развития научно-технической деятельности страны.</w:t>
      </w:r>
    </w:p>
    <w:p w:rsidR="00000000" w:rsidRDefault="00000000"/>
    <w:p w:rsidR="00000000" w:rsidRDefault="00000000">
      <w:r>
        <w:t>850.</w:t>
      </w:r>
      <w:r>
        <w:tab/>
        <w:t>Этим законом регулируются условия, на которых федеральное правительство обязано оказывать помощь и поддержку в интересах стимулирования, углубления и развития общего процесса научно-технических изысканий в стране.  Таким образом, ЗНТ имеет своей целью:</w:t>
      </w:r>
    </w:p>
    <w:p w:rsidR="00000000" w:rsidRDefault="00000000"/>
    <w:p w:rsidR="00000000" w:rsidRDefault="00000000">
      <w:pPr>
        <w:numPr>
          <w:ilvl w:val="0"/>
          <w:numId w:val="418"/>
        </w:numPr>
      </w:pPr>
      <w:r>
        <w:t>регулирование условий, на которых федеральное правительство обязано оказывать помощь и поддержку в интересах стимулирования, углубления и развития общего процесса научно-технических изысканий в стране;</w:t>
      </w:r>
    </w:p>
    <w:p w:rsidR="00000000" w:rsidRDefault="00000000"/>
    <w:p w:rsidR="00000000" w:rsidRDefault="00000000">
      <w:pPr>
        <w:numPr>
          <w:ilvl w:val="0"/>
          <w:numId w:val="418"/>
        </w:numPr>
      </w:pPr>
      <w:r>
        <w:t>определение инструментов, посредством которых федеральное правительство будет выполнять возлагаемую на него обязанность в плане содействия научно-техническим изысканиям;</w:t>
      </w:r>
    </w:p>
    <w:p w:rsidR="00000000" w:rsidRDefault="00000000"/>
    <w:p w:rsidR="00000000" w:rsidRDefault="00000000">
      <w:pPr>
        <w:numPr>
          <w:ilvl w:val="0"/>
          <w:numId w:val="418"/>
        </w:numPr>
      </w:pPr>
      <w:r>
        <w:t>налаживание механизмов координации действий между подразделениями и ведомствами федеральной государственной администрации и прочими учреждениями, которые причастны к разработке политики и программ в области научно-технического развития либо которые принимают непосредственное участие в реализации такого рода деятельности;</w:t>
      </w:r>
    </w:p>
    <w:p w:rsidR="00000000" w:rsidRDefault="00000000"/>
    <w:p w:rsidR="00000000" w:rsidRDefault="00000000">
      <w:pPr>
        <w:numPr>
          <w:ilvl w:val="0"/>
          <w:numId w:val="418"/>
        </w:numPr>
      </w:pPr>
      <w:r>
        <w:t>создание соответствующих структур и механизмов для координации действий с правительствами федеративных образований, а также для привлечения и задействования научных кругов и профессорского состава высших учебных заведений, равно как представителей государственного, общественного и частного секторов к разработке и формулированию политики стимулирования, распространения, развития науки и техники и практического применения их достижений, а также к подготовке научных и технических профессиональных кадров;</w:t>
      </w:r>
    </w:p>
    <w:p w:rsidR="00000000" w:rsidRDefault="00000000"/>
    <w:p w:rsidR="00000000" w:rsidRDefault="00000000">
      <w:pPr>
        <w:numPr>
          <w:ilvl w:val="0"/>
          <w:numId w:val="418"/>
        </w:numPr>
      </w:pPr>
      <w:r>
        <w:t>обеспечение увязки процесса научно-технических изысканий с образованием;</w:t>
      </w:r>
    </w:p>
    <w:p w:rsidR="00000000" w:rsidRDefault="00000000"/>
    <w:p w:rsidR="00000000" w:rsidRDefault="00000000">
      <w:pPr>
        <w:numPr>
          <w:ilvl w:val="0"/>
          <w:numId w:val="418"/>
        </w:numPr>
      </w:pPr>
      <w:r>
        <w:t>наращивание потенциала и организационное укрепление научно-технических исследовательских групп при государственных высших учебных заведениях, которые осуществляют свою деятельность в соответствии с принципами, планами, программами и нормами, диктуемыми их собственными внутренними регламентами;</w:t>
      </w:r>
    </w:p>
    <w:p w:rsidR="00000000" w:rsidRDefault="00000000"/>
    <w:p w:rsidR="00000000" w:rsidRDefault="00000000">
      <w:pPr>
        <w:numPr>
          <w:ilvl w:val="0"/>
          <w:numId w:val="418"/>
        </w:numPr>
      </w:pPr>
      <w:r>
        <w:t>определение нормативной базы для признания полугосударственных структур, которые занимаются научно-технической исследовательской деятельностью, в качестве государственных исследовательских центров;  и</w:t>
      </w:r>
    </w:p>
    <w:p w:rsidR="00000000" w:rsidRDefault="00000000"/>
    <w:p w:rsidR="00000000" w:rsidRDefault="00000000">
      <w:pPr>
        <w:numPr>
          <w:ilvl w:val="0"/>
          <w:numId w:val="418"/>
        </w:numPr>
      </w:pPr>
      <w:r>
        <w:t>регулирование порядка использования средств, получаемых от деятельности самих государственных научно-исследовательских центров и поступающих от третьих лиц, для создания фондов научных изысканий и разработок технологий.</w:t>
      </w:r>
    </w:p>
    <w:p w:rsidR="00000000" w:rsidRDefault="00000000"/>
    <w:p w:rsidR="00000000" w:rsidRDefault="00000000">
      <w:r>
        <w:t>851.</w:t>
      </w:r>
      <w:r>
        <w:tab/>
        <w:t>Следует отметить, что 27 апреля 2004 года в ЗНТ была добавлена статья 9-</w:t>
      </w:r>
      <w:r>
        <w:rPr>
          <w:i/>
          <w:iCs/>
        </w:rPr>
        <w:t>бис</w:t>
      </w:r>
      <w:r>
        <w:t>, согласно которой федеральное правительство ставит своей целью добиваться доведения общего объема инвестиций (государственных и частных) на нужды исследований и разработок до 1% ВВП Мексики, что соответствует показателю, давно уже рекомендованному ЮНЕСКО для стран с уровнем экономики, сопоставимым с уровнем нашей страны.</w:t>
      </w:r>
    </w:p>
    <w:p w:rsidR="00000000" w:rsidRDefault="00000000"/>
    <w:p w:rsidR="00000000" w:rsidRDefault="00000000">
      <w:r>
        <w:t>852.</w:t>
      </w:r>
      <w:r>
        <w:tab/>
        <w:t>Кроме того, в том же году был принят органический закон о КОНАСИТ, вносящий в порядок деятельности Национального совета ряд коррективов, позволяющих ему более эффективно добиваться реализации целей, намеченных в ЗНТ.  Соответственно, Органическим законом предусматривается следующее:</w:t>
      </w:r>
    </w:p>
    <w:p w:rsidR="00000000" w:rsidRDefault="00000000"/>
    <w:p w:rsidR="00000000" w:rsidRDefault="00000000">
      <w:pPr>
        <w:numPr>
          <w:ilvl w:val="0"/>
          <w:numId w:val="419"/>
        </w:numPr>
      </w:pPr>
      <w:r>
        <w:t>КОНАСИТ преобразуется во внеотраслевую структуру, подотчетную непосредственно канцелярии президента Республики, и выводится из административного подчинения министерству просвещения, как это было раньше;</w:t>
      </w:r>
    </w:p>
    <w:p w:rsidR="00000000" w:rsidRDefault="00000000"/>
    <w:p w:rsidR="00000000" w:rsidRDefault="00000000">
      <w:pPr>
        <w:numPr>
          <w:ilvl w:val="0"/>
          <w:numId w:val="419"/>
        </w:numPr>
      </w:pPr>
      <w:r>
        <w:t>учреждение Главного совета по вопросам научных исследований и разработок технологий как политического и организационного органа под председательством президента Республики и в составе представителей различных государственных министерств, КОНАСИТ, научных и технических кругов, а также гражданского общества страны;</w:t>
      </w:r>
    </w:p>
    <w:p w:rsidR="00000000" w:rsidRDefault="00000000">
      <w:pPr>
        <w:numPr>
          <w:ilvl w:val="0"/>
          <w:numId w:val="419"/>
        </w:numPr>
      </w:pPr>
      <w:r>
        <w:t>учреждение и налаживание деятельности Межведомственного комитета по вопросам объединения федерального бюджета на нужды науки и техники;</w:t>
      </w:r>
    </w:p>
    <w:p w:rsidR="00000000" w:rsidRDefault="00000000"/>
    <w:p w:rsidR="00000000" w:rsidRDefault="00000000">
      <w:pPr>
        <w:numPr>
          <w:ilvl w:val="0"/>
          <w:numId w:val="419"/>
        </w:numPr>
      </w:pPr>
      <w:r>
        <w:t>создание в государственном бюджете раздела № 38 для КОНАСИТ и 28 действующих при нем государственных исследовательских центров;</w:t>
      </w:r>
    </w:p>
    <w:p w:rsidR="00000000" w:rsidRDefault="00000000"/>
    <w:p w:rsidR="00000000" w:rsidRDefault="00000000">
      <w:pPr>
        <w:numPr>
          <w:ilvl w:val="0"/>
          <w:numId w:val="419"/>
        </w:numPr>
      </w:pPr>
      <w:r>
        <w:t>учреждение Научно-технического консультативного форума в качестве автономного и постоянного консультативного органа исполнительной власти, Главного совета и Совета управляющих КОНАСИТ;</w:t>
      </w:r>
    </w:p>
    <w:p w:rsidR="00000000" w:rsidRDefault="00000000"/>
    <w:p w:rsidR="00000000" w:rsidRDefault="00000000">
      <w:pPr>
        <w:numPr>
          <w:ilvl w:val="0"/>
          <w:numId w:val="419"/>
        </w:numPr>
      </w:pPr>
      <w:r>
        <w:t>учреждение Национальной конференции по науке и технике, на которой представлены все 32 входящих в состав страны федеративных образования;</w:t>
      </w:r>
    </w:p>
    <w:p w:rsidR="00000000" w:rsidRDefault="00000000"/>
    <w:p w:rsidR="00000000" w:rsidRDefault="00000000">
      <w:pPr>
        <w:numPr>
          <w:ilvl w:val="0"/>
          <w:numId w:val="419"/>
        </w:numPr>
      </w:pPr>
      <w:r>
        <w:t>создание отраслевых фондов, в которых участвуют государственные министерства и федеральные правительственные ведомства, а также смешанных фондов, финансируемых совместно правительствами штатов и муниципалитетов;</w:t>
      </w:r>
    </w:p>
    <w:p w:rsidR="00000000" w:rsidRDefault="00000000"/>
    <w:p w:rsidR="00000000" w:rsidRDefault="00000000">
      <w:pPr>
        <w:numPr>
          <w:ilvl w:val="0"/>
          <w:numId w:val="419"/>
        </w:numPr>
      </w:pPr>
      <w:r>
        <w:t>стимулирование частных инвестиций в научные исследования и технические разработки (НИТР) посредством системы финансовых стимулов для тех предприятий, которые готовы участвовать в такой деятельности (под налоговую льготу подпадают 30% годовых расходов соответствующих предприятий на НИТР).</w:t>
      </w:r>
    </w:p>
    <w:p w:rsidR="00000000" w:rsidRDefault="00000000"/>
    <w:p w:rsidR="00000000" w:rsidRDefault="00000000">
      <w:r>
        <w:t>853.</w:t>
      </w:r>
      <w:r>
        <w:tab/>
        <w:t>Документом, в котором оговариваются основные элементы, определяющие общие направления развития науки, техники и инновационных технологий в Мексике, является Специальная программа научных исследований и технических разработок (ПЕСИТ) на 2001-2006 годы.  Данной программой намечаются три главные стратегические цели, а именно:</w:t>
      </w:r>
    </w:p>
    <w:p w:rsidR="00000000" w:rsidRDefault="00000000"/>
    <w:p w:rsidR="00000000" w:rsidRDefault="00000000">
      <w:r>
        <w:tab/>
        <w:t>1.</w:t>
      </w:r>
      <w:r>
        <w:tab/>
        <w:t>обеспечить наличие государственной политики в области науки и техники;</w:t>
      </w:r>
    </w:p>
    <w:p w:rsidR="00000000" w:rsidRDefault="00000000"/>
    <w:p w:rsidR="00000000" w:rsidRDefault="00000000">
      <w:r>
        <w:tab/>
        <w:t>2.</w:t>
      </w:r>
      <w:r>
        <w:tab/>
        <w:t>нарастить научный и технический потенциал страны;  и</w:t>
      </w:r>
    </w:p>
    <w:p w:rsidR="00000000" w:rsidRDefault="00000000"/>
    <w:p w:rsidR="00000000" w:rsidRDefault="00000000">
      <w:pPr>
        <w:ind w:left="1134" w:hanging="1134"/>
      </w:pPr>
      <w:r>
        <w:tab/>
        <w:t>3.</w:t>
      </w:r>
      <w:r>
        <w:tab/>
        <w:t>повысить конкурентоспособность и инновационную оснащенность предприятий.</w:t>
      </w:r>
    </w:p>
    <w:p w:rsidR="00000000" w:rsidRDefault="00000000"/>
    <w:p w:rsidR="00000000" w:rsidRDefault="00000000">
      <w:r>
        <w:br w:type="page"/>
        <w:t>854.</w:t>
      </w:r>
      <w:r>
        <w:tab/>
        <w:t>Кроме того, различные серьезные программы, реализуемые КОНАСИТ, призваны улучшить функционирование Национальной системы науки и техники посредством подготовки квалифицированных специалистов высокого уровня (Программа аспирантских стипендий), расширения научных исследований (Программа фондов на проведение исследований) и содействия повышению конкурентоспособности предприятий (Программа финансового стимулирования инвестиций в НИТР).</w:t>
      </w:r>
    </w:p>
    <w:p w:rsidR="00000000" w:rsidRDefault="00000000"/>
    <w:p w:rsidR="00000000" w:rsidRDefault="00000000">
      <w:pPr>
        <w:rPr>
          <w:b/>
          <w:bCs/>
        </w:rPr>
      </w:pPr>
      <w:r>
        <w:rPr>
          <w:b/>
          <w:bCs/>
        </w:rPr>
        <w:t xml:space="preserve">Пункт 69 </w:t>
      </w:r>
      <w:r>
        <w:rPr>
          <w:b/>
          <w:bCs/>
          <w:lang w:val="en-US"/>
        </w:rPr>
        <w:t>b</w:t>
      </w:r>
      <w:r>
        <w:rPr>
          <w:b/>
          <w:bCs/>
        </w:rPr>
        <w:t>)</w:t>
      </w:r>
    </w:p>
    <w:p w:rsidR="00000000" w:rsidRDefault="00000000"/>
    <w:p w:rsidR="00000000" w:rsidRDefault="00000000">
      <w:r>
        <w:t>855.</w:t>
      </w:r>
      <w:r>
        <w:tab/>
        <w:t>Как уже упоминалось выше, Национальный институт этнографии и истории (НИЭИ) выявляет объекты культурного наследия, проводит их инвентаризацию, каталогизацию и регистрацию, публикует журналы и книги, организует коллоквиумы и "круглые столы", в ходе которых сотрудники института пытаются распространять знания и информацию в данном вопросе.</w:t>
      </w:r>
    </w:p>
    <w:p w:rsidR="00000000" w:rsidRDefault="00000000"/>
    <w:p w:rsidR="00000000" w:rsidRDefault="00000000">
      <w:r>
        <w:t>856.</w:t>
      </w:r>
      <w:r>
        <w:tab/>
        <w:t>Со своей стороны, Главное управление народной культуры и культуры коренных народов (ГУНК) на постоянной основе проводит форумы, встречи, коллоквиумы, рабочие совещания, реализует программы, а также организует конкурсы и слеты, направленные на сближение творческих личностей, исследователей, организаций, общин, народов и различных групп, обеспечивая необходимые инструменты в целях сохранения культурного разнообразия страны, придания ему значимости и его поощрения.  При этом следует отметить, что публикация книг является самой важной составляющей этой работы.</w:t>
      </w:r>
    </w:p>
    <w:p w:rsidR="00000000" w:rsidRDefault="00000000"/>
    <w:p w:rsidR="00000000" w:rsidRDefault="00000000">
      <w:r>
        <w:t>857.</w:t>
      </w:r>
      <w:r>
        <w:tab/>
        <w:t>Если говорить о принятых мерах, имеющих целью обеспечить сохранение, расширение и распространение достижений науки, то нужно указать на введение соответствующего законодательства, а также на реализацию ряда различных шагов, призванных сообщить импульс научно-технической деятельности в стране.</w:t>
      </w:r>
    </w:p>
    <w:p w:rsidR="00000000" w:rsidRDefault="00000000"/>
    <w:p w:rsidR="00000000" w:rsidRDefault="00000000">
      <w:r>
        <w:t>858.</w:t>
      </w:r>
      <w:r>
        <w:tab/>
        <w:t>В 2002 году был единогласно утвержден ныне действующий закон о науке и технике (ЗНТ), которым предусматриваются новые механизмы поддержки процесса поступательного развития научно-технической деятельности страны.</w:t>
      </w:r>
    </w:p>
    <w:p w:rsidR="00000000" w:rsidRDefault="00000000"/>
    <w:p w:rsidR="00000000" w:rsidRDefault="00000000">
      <w:r>
        <w:t>859.</w:t>
      </w:r>
      <w:r>
        <w:tab/>
        <w:t>Посредством этого закона регулируются условия, на которых федеральное правительство обязано оказывать помощь и поддержку в интересах стимулирования, углубления и развития общего процесса научно-технических изысканий в стране.  Таким образом, ЗНТ имеет своей целью:</w:t>
      </w:r>
    </w:p>
    <w:p w:rsidR="00000000" w:rsidRDefault="00000000"/>
    <w:p w:rsidR="00000000" w:rsidRDefault="00000000">
      <w:pPr>
        <w:numPr>
          <w:ilvl w:val="0"/>
          <w:numId w:val="420"/>
        </w:numPr>
        <w:tabs>
          <w:tab w:val="clear" w:pos="1134"/>
          <w:tab w:val="num" w:pos="1122"/>
        </w:tabs>
        <w:ind w:left="1122" w:hanging="561"/>
      </w:pPr>
      <w:r>
        <w:rPr>
          <w:lang w:val="en-US"/>
        </w:rPr>
        <w:tab/>
      </w:r>
      <w:r>
        <w:t>регулирование условий, на которых федеральное правительство обязано оказывать помощь и поддержку в интересах стимулирования, углубления и развития общего процесса научно-технических изысканий в стране;</w:t>
      </w:r>
    </w:p>
    <w:p w:rsidR="00000000" w:rsidRDefault="00000000">
      <w:pPr>
        <w:tabs>
          <w:tab w:val="clear" w:pos="1134"/>
          <w:tab w:val="num" w:pos="1122"/>
        </w:tabs>
        <w:ind w:left="1122" w:hanging="561"/>
      </w:pPr>
    </w:p>
    <w:p w:rsidR="00000000" w:rsidRDefault="00000000">
      <w:pPr>
        <w:numPr>
          <w:ilvl w:val="0"/>
          <w:numId w:val="420"/>
        </w:numPr>
        <w:tabs>
          <w:tab w:val="clear" w:pos="1134"/>
          <w:tab w:val="num" w:pos="1122"/>
        </w:tabs>
        <w:ind w:left="1122" w:hanging="561"/>
      </w:pPr>
      <w:r>
        <w:rPr>
          <w:lang w:val="en-US"/>
        </w:rPr>
        <w:tab/>
      </w:r>
      <w:r>
        <w:t>определение инструментов, посредством которых федеральное правительство будет выполнять возлагаемую на него обязанность в плане содействия научно-техническим изысканиям;</w:t>
      </w:r>
    </w:p>
    <w:p w:rsidR="00000000" w:rsidRDefault="00000000">
      <w:pPr>
        <w:tabs>
          <w:tab w:val="clear" w:pos="1134"/>
          <w:tab w:val="num" w:pos="1122"/>
        </w:tabs>
        <w:ind w:left="1122" w:hanging="561"/>
      </w:pPr>
    </w:p>
    <w:p w:rsidR="00000000" w:rsidRDefault="00000000">
      <w:pPr>
        <w:numPr>
          <w:ilvl w:val="0"/>
          <w:numId w:val="420"/>
        </w:numPr>
        <w:tabs>
          <w:tab w:val="clear" w:pos="1134"/>
          <w:tab w:val="num" w:pos="1122"/>
        </w:tabs>
        <w:ind w:left="1122" w:hanging="561"/>
      </w:pPr>
      <w:r>
        <w:rPr>
          <w:lang w:val="en-US"/>
        </w:rPr>
        <w:tab/>
      </w:r>
      <w:r>
        <w:t>налаживание механизмов координации действий между подразделениями и ведомствами федеральной государственной администрации и прочими учреждениями, которые причастны к разработке политики и программ в области научно-технического развития либо которые принимают непосредственное участие в реализации такого рода деятельности;</w:t>
      </w:r>
    </w:p>
    <w:p w:rsidR="00000000" w:rsidRDefault="00000000">
      <w:pPr>
        <w:tabs>
          <w:tab w:val="clear" w:pos="1134"/>
          <w:tab w:val="num" w:pos="1122"/>
        </w:tabs>
        <w:ind w:left="1122" w:hanging="561"/>
      </w:pPr>
    </w:p>
    <w:p w:rsidR="00000000" w:rsidRDefault="00000000">
      <w:pPr>
        <w:numPr>
          <w:ilvl w:val="0"/>
          <w:numId w:val="420"/>
        </w:numPr>
        <w:tabs>
          <w:tab w:val="clear" w:pos="1134"/>
          <w:tab w:val="num" w:pos="1122"/>
        </w:tabs>
        <w:ind w:left="1122" w:hanging="561"/>
      </w:pPr>
      <w:r>
        <w:rPr>
          <w:lang w:val="en-US"/>
        </w:rPr>
        <w:tab/>
      </w:r>
      <w:r>
        <w:t>создание соответствующих структур и механизмов для координации действий с правительствами субъектов федерации, а также для привлечения и задействования научных кругов и профессорского состава высших учебных заведений, равно как представителей государственного, общественного и частного секторов к разработке и формулированию политики стимулирования, распространения, развития науки и техники и практического применения их достижений, а также к подготовке научных и технических профессиональных кадров;</w:t>
      </w:r>
    </w:p>
    <w:p w:rsidR="00000000" w:rsidRDefault="00000000">
      <w:pPr>
        <w:tabs>
          <w:tab w:val="clear" w:pos="1134"/>
          <w:tab w:val="num" w:pos="1122"/>
        </w:tabs>
        <w:ind w:left="1122" w:hanging="561"/>
      </w:pPr>
    </w:p>
    <w:p w:rsidR="00000000" w:rsidRDefault="00000000">
      <w:pPr>
        <w:numPr>
          <w:ilvl w:val="0"/>
          <w:numId w:val="420"/>
        </w:numPr>
        <w:tabs>
          <w:tab w:val="clear" w:pos="1134"/>
          <w:tab w:val="num" w:pos="1122"/>
        </w:tabs>
        <w:ind w:left="1122" w:hanging="561"/>
      </w:pPr>
      <w:r>
        <w:rPr>
          <w:lang w:val="en-US"/>
        </w:rPr>
        <w:tab/>
      </w:r>
      <w:r>
        <w:t>обеспечение увязки процесса научно-технических изысканий с образованием;</w:t>
      </w:r>
    </w:p>
    <w:p w:rsidR="00000000" w:rsidRDefault="00000000">
      <w:pPr>
        <w:tabs>
          <w:tab w:val="clear" w:pos="1134"/>
          <w:tab w:val="num" w:pos="1122"/>
        </w:tabs>
        <w:ind w:left="1122" w:hanging="561"/>
      </w:pPr>
    </w:p>
    <w:p w:rsidR="00000000" w:rsidRDefault="00000000">
      <w:pPr>
        <w:numPr>
          <w:ilvl w:val="0"/>
          <w:numId w:val="420"/>
        </w:numPr>
        <w:tabs>
          <w:tab w:val="clear" w:pos="1134"/>
          <w:tab w:val="num" w:pos="1122"/>
        </w:tabs>
        <w:ind w:left="1122" w:hanging="561"/>
      </w:pPr>
      <w:r>
        <w:rPr>
          <w:lang w:val="en-US"/>
        </w:rPr>
        <w:tab/>
      </w:r>
      <w:r>
        <w:t>наращивание потенциала и организационное укрепление научно-технических исследовательских групп при государственных высших учебных заведениях, которые осуществляют свою деятельность в соответствии с принципами, планами, программами и нормами, диктуемыми их собственными внутренними регламентами;</w:t>
      </w:r>
    </w:p>
    <w:p w:rsidR="00000000" w:rsidRDefault="00000000">
      <w:pPr>
        <w:tabs>
          <w:tab w:val="clear" w:pos="1134"/>
          <w:tab w:val="num" w:pos="1122"/>
        </w:tabs>
        <w:ind w:left="1122" w:hanging="561"/>
      </w:pPr>
    </w:p>
    <w:p w:rsidR="00000000" w:rsidRDefault="00000000">
      <w:pPr>
        <w:numPr>
          <w:ilvl w:val="0"/>
          <w:numId w:val="420"/>
        </w:numPr>
        <w:tabs>
          <w:tab w:val="clear" w:pos="1134"/>
          <w:tab w:val="num" w:pos="1122"/>
        </w:tabs>
        <w:ind w:left="1122" w:hanging="561"/>
      </w:pPr>
      <w:r>
        <w:rPr>
          <w:lang w:val="en-US"/>
        </w:rPr>
        <w:tab/>
      </w:r>
      <w:r>
        <w:t>определение нормативной базы для признания полугосударственных структур, которые занимаются научно-технической исследовательской деятельностью, в качестве государственных исследовательских центров;  а также</w:t>
      </w:r>
    </w:p>
    <w:p w:rsidR="00000000" w:rsidRDefault="00000000">
      <w:pPr>
        <w:tabs>
          <w:tab w:val="clear" w:pos="1134"/>
          <w:tab w:val="num" w:pos="1122"/>
        </w:tabs>
        <w:ind w:left="1122" w:hanging="561"/>
      </w:pPr>
    </w:p>
    <w:p w:rsidR="00000000" w:rsidRDefault="00000000">
      <w:pPr>
        <w:numPr>
          <w:ilvl w:val="0"/>
          <w:numId w:val="420"/>
        </w:numPr>
        <w:tabs>
          <w:tab w:val="clear" w:pos="1134"/>
          <w:tab w:val="num" w:pos="1122"/>
        </w:tabs>
        <w:ind w:left="1122" w:hanging="561"/>
      </w:pPr>
      <w:r>
        <w:rPr>
          <w:lang w:val="en-US"/>
        </w:rPr>
        <w:tab/>
      </w:r>
      <w:r>
        <w:t>регулирование порядка использования средств, получаемых от деятельности самих государственных научно-исследовательских центров и поступающих от третьих лиц, для создания фондов научных изысканий и разработок технологий.</w:t>
      </w:r>
    </w:p>
    <w:p w:rsidR="00000000" w:rsidRDefault="00000000">
      <w:r>
        <w:t>860.</w:t>
      </w:r>
      <w:r>
        <w:tab/>
        <w:t>Следует отметить, что 27 апреля 2004 года в ЗНТ была включена новая статья 9-бис, согласно которой федеральное правительство ставит своей целью добиваться доведения общего объема инвестиций (государственных и частных) на нужды исследований и разработок до 1% ВВП Мексики, что соответствует показателю, давно уже рекомендованному ЮНЕСКО для стран с уровнем экономики, сопоставимым с уровнем нашей страны.</w:t>
      </w:r>
    </w:p>
    <w:p w:rsidR="00000000" w:rsidRDefault="00000000"/>
    <w:p w:rsidR="00000000" w:rsidRDefault="00000000">
      <w:r>
        <w:t>861.</w:t>
      </w:r>
      <w:r>
        <w:tab/>
        <w:t>Кроме того, в том же году был принят органический закон о КОНАСИТ, вносящий в порядок деятельности Национального совета по науке и технике различные коррективы, позволяющие ему более эффективно добиваться реализации целей, намеченных в ЗНТ.  Соответственно, органическим законом предусматривается преобразование КОНАСИТ во внеотраслевую структуру, подотчетную непосредственно канцелярии президента Республики.  Таким образом, КОНАСИТ выводится из административного подчинения министерству просвещения, как это было раньше, и наделяется следующими полномочиями:</w:t>
      </w:r>
    </w:p>
    <w:p w:rsidR="00000000" w:rsidRDefault="00000000"/>
    <w:p w:rsidR="00000000" w:rsidRDefault="00000000">
      <w:pPr>
        <w:numPr>
          <w:ilvl w:val="0"/>
          <w:numId w:val="424"/>
        </w:numPr>
        <w:ind w:left="1122" w:hanging="561"/>
      </w:pPr>
      <w:r>
        <w:rPr>
          <w:lang w:val="en-US"/>
        </w:rPr>
        <w:tab/>
      </w:r>
      <w:r>
        <w:t>учреждение Главного совета по вопросам научных исследований и разработок технологий как политического и организационного органа под председательством президента Республики и в составе представителей различных государственных министерств, КОНАСИТ, научных и технических кругов, а также гражданского общества страны;</w:t>
      </w:r>
    </w:p>
    <w:p w:rsidR="00000000" w:rsidRDefault="00000000">
      <w:pPr>
        <w:ind w:left="1122" w:hanging="561"/>
      </w:pPr>
    </w:p>
    <w:p w:rsidR="00000000" w:rsidRDefault="00000000">
      <w:pPr>
        <w:numPr>
          <w:ilvl w:val="0"/>
          <w:numId w:val="424"/>
        </w:numPr>
        <w:ind w:left="1122" w:hanging="561"/>
      </w:pPr>
      <w:r>
        <w:rPr>
          <w:lang w:val="en-US"/>
        </w:rPr>
        <w:tab/>
      </w:r>
      <w:r>
        <w:t>учреждение и налаживание деятельности Межведомственного комитета по вопросам объединения федерального бюджета на нужды науки и техники;</w:t>
      </w:r>
    </w:p>
    <w:p w:rsidR="00000000" w:rsidRDefault="00000000">
      <w:pPr>
        <w:ind w:left="1122" w:hanging="561"/>
      </w:pPr>
    </w:p>
    <w:p w:rsidR="00000000" w:rsidRDefault="00000000">
      <w:pPr>
        <w:numPr>
          <w:ilvl w:val="0"/>
          <w:numId w:val="424"/>
        </w:numPr>
        <w:ind w:left="1122" w:hanging="561"/>
      </w:pPr>
      <w:r>
        <w:rPr>
          <w:lang w:val="en-US"/>
        </w:rPr>
        <w:tab/>
      </w:r>
      <w:r>
        <w:t>создание в государственном бюджете раздела № 38 для КОНАСИТ и 28 действующих при нем государственных исследовательских центров;</w:t>
      </w:r>
    </w:p>
    <w:p w:rsidR="00000000" w:rsidRDefault="00000000">
      <w:pPr>
        <w:ind w:left="1122" w:hanging="561"/>
      </w:pPr>
    </w:p>
    <w:p w:rsidR="00000000" w:rsidRDefault="00000000">
      <w:pPr>
        <w:numPr>
          <w:ilvl w:val="0"/>
          <w:numId w:val="424"/>
        </w:numPr>
        <w:ind w:left="1122" w:hanging="561"/>
      </w:pPr>
      <w:r>
        <w:rPr>
          <w:lang w:val="en-US"/>
        </w:rPr>
        <w:tab/>
      </w:r>
      <w:r>
        <w:t>учреждение Научно-технического консультативного форума в качестве автономного и постоянного консультативного органа исполнительной власти, Главного совета и Совета управляющих КОНАСИТ;</w:t>
      </w:r>
    </w:p>
    <w:p w:rsidR="00000000" w:rsidRDefault="00000000">
      <w:pPr>
        <w:ind w:left="1122" w:hanging="561"/>
      </w:pPr>
    </w:p>
    <w:p w:rsidR="00000000" w:rsidRDefault="00000000">
      <w:pPr>
        <w:numPr>
          <w:ilvl w:val="0"/>
          <w:numId w:val="424"/>
        </w:numPr>
        <w:ind w:left="1122" w:hanging="561"/>
      </w:pPr>
      <w:r>
        <w:rPr>
          <w:lang w:val="en-US"/>
        </w:rPr>
        <w:tab/>
      </w:r>
      <w:r>
        <w:t>учреждение Национальной конференции по науке и технике, на которой представлены все 32 входящих в состав страны федеративных образования;</w:t>
      </w:r>
    </w:p>
    <w:p w:rsidR="00000000" w:rsidRDefault="00000000">
      <w:pPr>
        <w:ind w:left="1122" w:hanging="561"/>
      </w:pPr>
    </w:p>
    <w:p w:rsidR="00000000" w:rsidRDefault="00000000">
      <w:pPr>
        <w:numPr>
          <w:ilvl w:val="0"/>
          <w:numId w:val="424"/>
        </w:numPr>
        <w:ind w:left="1122" w:hanging="561"/>
      </w:pPr>
      <w:r>
        <w:rPr>
          <w:lang w:val="en-US"/>
        </w:rPr>
        <w:tab/>
        <w:t>c</w:t>
      </w:r>
      <w:r>
        <w:t>оздание отраслевых фондов, в которых участвуют государственные министерства и федеральные правительственные ведомства, а также смешанных фондов, финансируемых совместно правительствами штатов и муниципалитетов;</w:t>
      </w:r>
    </w:p>
    <w:p w:rsidR="00000000" w:rsidRDefault="00000000">
      <w:pPr>
        <w:numPr>
          <w:ilvl w:val="0"/>
          <w:numId w:val="424"/>
        </w:numPr>
        <w:ind w:left="1122" w:hanging="561"/>
      </w:pPr>
      <w:r>
        <w:rPr>
          <w:lang w:val="en-US"/>
        </w:rPr>
        <w:tab/>
      </w:r>
      <w:r>
        <w:t>стимулирование частных инвестиций в научные исследования и технические разработки (НИТР) посредством системы финансовых стимулов для тех предприятий, которые готовы участвовать в такой деятельности (под налоговую льготу подпадают 30% годовых расходов соответствующих предприятий на НИТР).</w:t>
      </w:r>
    </w:p>
    <w:p w:rsidR="00000000" w:rsidRDefault="00000000"/>
    <w:p w:rsidR="00000000" w:rsidRDefault="00000000">
      <w:r>
        <w:t>862.</w:t>
      </w:r>
      <w:r>
        <w:tab/>
        <w:t>Имеется также документ - Специальная программа научных исследований и технических разработок (ПЕСИТ) на 2001-2006 годы, - в котором оговариваются основные элементы, определяющие общие направления развития науки, техники и инновационных технологий в Мексике.</w:t>
      </w:r>
    </w:p>
    <w:p w:rsidR="00000000" w:rsidRDefault="00000000"/>
    <w:p w:rsidR="00000000" w:rsidRDefault="00000000">
      <w:r>
        <w:t>863.</w:t>
      </w:r>
      <w:r>
        <w:tab/>
        <w:t>Кроме того, различные серьезные программы, реализуемые КОНАСИТ, призваны улучшить функционирование Национальной системы научных исследований и технических разработок посредством подготовки квалифицированных специалистов высокого уровня (Программа аспирантских стипендий), расширения научных исследований (Программа фондов на проведение исследований) и содействия повышению конкурентоспособности предприятий (Программа финансового стимулирования инвестиций в НИТР).</w:t>
      </w:r>
    </w:p>
    <w:p w:rsidR="00000000" w:rsidRDefault="00000000"/>
    <w:p w:rsidR="00000000" w:rsidRDefault="00000000">
      <w:pPr>
        <w:rPr>
          <w:b/>
          <w:bCs/>
        </w:rPr>
      </w:pPr>
      <w:r>
        <w:rPr>
          <w:b/>
          <w:bCs/>
        </w:rPr>
        <w:t>Пункт 70 а)</w:t>
      </w:r>
    </w:p>
    <w:p w:rsidR="00000000" w:rsidRDefault="00000000"/>
    <w:p w:rsidR="00000000" w:rsidRDefault="00000000">
      <w:r>
        <w:t>864.</w:t>
      </w:r>
      <w:r>
        <w:tab/>
        <w:t>Как уже упоминалось выше, Национальная программа по культуре на 2001</w:t>
      </w:r>
      <w:r>
        <w:noBreakHyphen/>
        <w:t>2006 годы направлена на то, чтобы работа в области культуры способствовала социальному развитию в интересах человека, когда утверждение культурного разнообразия, открытость и обеспечение доступа к культурным ценностям и возможностям, уважение свободы слова и творчества становятся постоянным и главным звеном стратегии общественного развития.</w:t>
      </w:r>
    </w:p>
    <w:p w:rsidR="00000000" w:rsidRDefault="00000000"/>
    <w:p w:rsidR="00000000" w:rsidRDefault="00000000">
      <w:r>
        <w:t>865.</w:t>
      </w:r>
      <w:r>
        <w:tab/>
        <w:t>В Мексике государство выступает главным гарантом безопасности и сохранения археологических, исторических, художественных и палеонтологических богатств мексиканской нации.  Для достижения этой благородной цели наша страна располагает следующими конституционными и законодательными актами:</w:t>
      </w:r>
    </w:p>
    <w:p w:rsidR="00000000" w:rsidRDefault="00000000"/>
    <w:p w:rsidR="00000000" w:rsidRDefault="00000000">
      <w:pPr>
        <w:numPr>
          <w:ilvl w:val="0"/>
          <w:numId w:val="478"/>
        </w:numPr>
        <w:tabs>
          <w:tab w:val="clear" w:pos="1134"/>
        </w:tabs>
        <w:ind w:left="1122" w:hanging="561"/>
      </w:pPr>
      <w:r>
        <w:rPr>
          <w:lang w:val="en-US"/>
        </w:rPr>
        <w:tab/>
      </w:r>
      <w:r>
        <w:t>Согласно Политической конституции Мексиканских Соединенных Штатов, принятие отвечающих национальным интересам законов в сфере археологического, исторического, художественного и палеонтологического наследия является исключительной прерогативой Национального конгресса;</w:t>
      </w:r>
    </w:p>
    <w:p w:rsidR="00000000" w:rsidRDefault="00000000">
      <w:pPr>
        <w:ind w:left="1122" w:hanging="561"/>
      </w:pPr>
    </w:p>
    <w:p w:rsidR="00000000" w:rsidRDefault="00000000">
      <w:pPr>
        <w:numPr>
          <w:ilvl w:val="0"/>
          <w:numId w:val="477"/>
        </w:numPr>
        <w:tabs>
          <w:tab w:val="clear" w:pos="1134"/>
        </w:tabs>
        <w:ind w:left="1122" w:hanging="561"/>
      </w:pPr>
      <w:r>
        <w:rPr>
          <w:lang w:val="en-US"/>
        </w:rPr>
        <w:tab/>
      </w:r>
      <w:r>
        <w:t>Закон о создании Национального института искусства и литературы.  Деятельность этого института сосредоточена на развитии и стимулировании творчества и исследований в области изобразительного искусства, музыки, художественной пластики, драматического искусства, танца, искусства словесности во всех их проявлениях и архитектуры;</w:t>
      </w:r>
    </w:p>
    <w:p w:rsidR="00000000" w:rsidRDefault="00000000">
      <w:pPr>
        <w:ind w:left="1122" w:hanging="561"/>
      </w:pPr>
    </w:p>
    <w:p w:rsidR="00000000" w:rsidRDefault="00000000">
      <w:pPr>
        <w:numPr>
          <w:ilvl w:val="0"/>
          <w:numId w:val="477"/>
        </w:numPr>
        <w:tabs>
          <w:tab w:val="clear" w:pos="1134"/>
        </w:tabs>
        <w:ind w:left="1122" w:hanging="561"/>
      </w:pPr>
      <w:r>
        <w:rPr>
          <w:lang w:val="en-US"/>
        </w:rPr>
        <w:tab/>
      </w:r>
      <w:r>
        <w:t>Органический закон о Национальном институте этнографии и истории.  Этот институт отвечает за изучение, сохранение и популяризацию национального наследия в области археологии, истории и антропологии, а также за подготовку профессиональных кадров, призванных оберегать, сохранять и пропагандировать это наследие.  Согласно этому органическому закону, на Национальный институт этнографии и истории возложено проведение научно-исследовательских работ в области антропологии и истории, связанных, в основном, с населением страны, с сохранением и восстановлением археологического, исторического и палеонтологического культурного наследия.  Институт занимается вопросами охраны, сохранения и восстановления этого наследия, популяризацией и распространением знаний и материалов, а также проведением всевозможных мероприятий в рамках своей компетенции;</w:t>
      </w:r>
    </w:p>
    <w:p w:rsidR="00000000" w:rsidRDefault="00000000">
      <w:pPr>
        <w:ind w:left="360"/>
      </w:pPr>
    </w:p>
    <w:p w:rsidR="00000000" w:rsidRDefault="00000000">
      <w:pPr>
        <w:numPr>
          <w:ilvl w:val="0"/>
          <w:numId w:val="477"/>
        </w:numPr>
        <w:tabs>
          <w:tab w:val="clear" w:pos="1134"/>
        </w:tabs>
        <w:ind w:left="1122" w:hanging="561"/>
      </w:pPr>
      <w:r>
        <w:rPr>
          <w:lang w:val="en-US"/>
        </w:rPr>
        <w:tab/>
      </w:r>
      <w:r>
        <w:t>Федеральный закон об археологических, художественных и исторических памятниках и заповедниках, действующий с мая 1972 года, а также закон о порядке его осуществления.  Они регулируют вопросы, связанные с изучением, сохранением, защитой и реставрацией объектов культурного наследия национального и общественного значения, к которым относятся археологические, художественные и исторические памятники и заповедники.  Законодательные акты, призванные охранять культурное наследие в нашей стране, разрабатывались для защиты как монументальных археологических и исторических ценностей, так и произведений искусства в целом.  На их основе была создана целостная система сохранения и распространения этого культурного наследия в виде узко специализированных структур, действующих в конкретных областях:  Национальный институт этнографии и истории и Национальный институт искусства и литературы - оба под эгидой федерального правительства;</w:t>
      </w:r>
    </w:p>
    <w:p w:rsidR="00000000" w:rsidRDefault="00000000">
      <w:pPr>
        <w:ind w:left="1122" w:hanging="561"/>
      </w:pPr>
    </w:p>
    <w:p w:rsidR="00000000" w:rsidRDefault="00000000">
      <w:pPr>
        <w:numPr>
          <w:ilvl w:val="0"/>
          <w:numId w:val="477"/>
        </w:numPr>
        <w:tabs>
          <w:tab w:val="clear" w:pos="1134"/>
        </w:tabs>
        <w:ind w:left="1122" w:hanging="561"/>
      </w:pPr>
      <w:r>
        <w:rPr>
          <w:lang w:val="en-US"/>
        </w:rPr>
        <w:tab/>
      </w:r>
      <w:r>
        <w:t>Общий закон о библиотеках.  Его воспитательная и культурная функция осуществляется путем создания, поддержания и организации публичных библиотек, которые постепенно объединились в Национальную сеть публичных библиотек под техническим и нормативным руководством Конакульта.  Через Главное управление библиотек Конакульта формирует и распределяет библиографию, наращивает книжные фонды, готовит специальный библиотечный персонал, способствует развитию инфраструктуры библиотек для свободного и неограниченного доступа к этим фондам всех желающих и страждущих знаний граждан;</w:t>
      </w:r>
    </w:p>
    <w:p w:rsidR="00000000" w:rsidRDefault="00000000">
      <w:pPr>
        <w:ind w:left="1122" w:hanging="561"/>
      </w:pPr>
    </w:p>
    <w:p w:rsidR="00000000" w:rsidRDefault="00000000">
      <w:pPr>
        <w:numPr>
          <w:ilvl w:val="0"/>
          <w:numId w:val="477"/>
        </w:numPr>
        <w:tabs>
          <w:tab w:val="clear" w:pos="1134"/>
        </w:tabs>
        <w:ind w:left="1122" w:hanging="561"/>
      </w:pPr>
      <w:r>
        <w:rPr>
          <w:lang w:val="en-US"/>
        </w:rPr>
        <w:tab/>
      </w:r>
      <w:r>
        <w:t>Общий закон о национальном достоянии предполагает, что национальное наследие состоит из общественного и частного достояния.  К числу богатств общественного достояния относятся исторические и художественные движимые и недвижимые памятники федеральной собственности;  движимые и недвижимые памятники археологии;  движимое имущество федеральной собственности, которое, по своей природе, не может быть обычным способом заменено или обновлено, как то:  официальные документы и архивы;  редкие и исторически важные манускрипты, инкунабулы, издания, книги, документы, периодические издания, географические карты, планы, брошюры и гравюры, а также коллекции, состоящие из таких предметов;  предметы этнографии и палеонтологии;  образцы фауны и флоры;  научные и технические коллекции, коллекции оружия, нумизматики и филателии;  архивы в виде фонограмм, фильмов, фотоматериалов, магнитофонных лент и любых других предметов, носящих изображение или звук, представляющих художественную или историческую музейную ценность;</w:t>
      </w:r>
    </w:p>
    <w:p w:rsidR="00000000" w:rsidRDefault="00000000">
      <w:pPr>
        <w:ind w:left="1122" w:hanging="561"/>
      </w:pPr>
    </w:p>
    <w:p w:rsidR="00000000" w:rsidRDefault="00000000">
      <w:pPr>
        <w:numPr>
          <w:ilvl w:val="0"/>
          <w:numId w:val="477"/>
        </w:numPr>
        <w:tabs>
          <w:tab w:val="clear" w:pos="1134"/>
        </w:tabs>
        <w:ind w:left="1122" w:hanging="561"/>
      </w:pPr>
      <w:r>
        <w:rPr>
          <w:lang w:val="en-US"/>
        </w:rPr>
        <w:tab/>
      </w:r>
      <w:r>
        <w:t>Федеральный закон о кинематографии, целью которого является стимулирование кинематографической деятельности, продвижение, коммерциализация и демонстрация кинофильмов, а также их восстановление и сохранение.  При этом постоянной задачей является изучение вопросов, связанных с укреплением и развитием национальной индустрии кинематографии;</w:t>
      </w:r>
    </w:p>
    <w:p w:rsidR="00000000" w:rsidRDefault="00000000">
      <w:pPr>
        <w:ind w:left="1122" w:hanging="561"/>
      </w:pPr>
    </w:p>
    <w:p w:rsidR="00000000" w:rsidRDefault="00000000">
      <w:pPr>
        <w:numPr>
          <w:ilvl w:val="0"/>
          <w:numId w:val="477"/>
        </w:numPr>
        <w:tabs>
          <w:tab w:val="clear" w:pos="1134"/>
        </w:tabs>
        <w:ind w:left="1122" w:hanging="561"/>
      </w:pPr>
      <w:r>
        <w:rPr>
          <w:lang w:val="en-US"/>
        </w:rPr>
        <w:tab/>
      </w:r>
      <w:r>
        <w:t xml:space="preserve">Федеральный закон о радио и телевидении.  Согласно этому закону, на радио и телевидение возложена общественная функция содействовать упрочению национального единства и улучшению форм человеческого общежития.  С этой целью и посредством своих передач они призваны:  утверждать уважение к принципам общественной морали, человеческому достоинству и семейным ценностям;  избегать в своих передачах вредных или возмущающих видов воздействия на гармоничное развитие детства и юношества;  содействовать повышению уровня культуры народа, сохранению национальных черт, обычаев </w:t>
      </w:r>
    </w:p>
    <w:p w:rsidR="00000000" w:rsidRDefault="00000000">
      <w:pPr>
        <w:ind w:left="1134" w:hanging="933"/>
      </w:pPr>
      <w:r>
        <w:br w:type="page"/>
      </w:r>
      <w:r>
        <w:tab/>
      </w:r>
      <w:r>
        <w:tab/>
        <w:t>и традиций страны и родного языка, а также возвышать ценности мексиканской нации;  укреплять демократические идеалы, крепить национальное единство, дружбу и международное сотрудничество.</w:t>
      </w:r>
    </w:p>
    <w:p w:rsidR="00000000" w:rsidRDefault="00000000">
      <w:pPr>
        <w:ind w:left="720"/>
      </w:pPr>
    </w:p>
    <w:p w:rsidR="00000000" w:rsidRDefault="00000000">
      <w:r>
        <w:t>866.</w:t>
      </w:r>
      <w:r>
        <w:tab/>
        <w:t>В этой связи и в контексте целей и стратегических направлений действий Конакульта в декабре 2003 года было торжественно открыто новое здание Национальной школы сохранения, реставрации и музейного дела (ЭНКРИМ).  Члены научного сообщества ЭНКРИМ получили в свое распоряжение новое помещение общей площадью свыше 10 000 м</w:t>
      </w:r>
      <w:r>
        <w:rPr>
          <w:vertAlign w:val="superscript"/>
        </w:rPr>
        <w:t>2</w:t>
      </w:r>
      <w:r>
        <w:t>, оборудованное современными учебными классами и студиями, оснащенными по последнему слову техники лабораториями, аудиториями и библиотекой - настоящий дворец знаний и исследований в области реставрации.</w:t>
      </w:r>
    </w:p>
    <w:p w:rsidR="00000000" w:rsidRDefault="00000000"/>
    <w:p w:rsidR="00000000" w:rsidRDefault="00000000">
      <w:r>
        <w:t>867.</w:t>
      </w:r>
      <w:r>
        <w:tab/>
        <w:t>Кроме того, при Национальной школе антропологии (НША), штат Чиуауа, была организована кафедра социальной антропологии.  Речь идет о первой соответствующей программе подобного уровня на севере Мексики, разработанной в формате, который позволяет сочетать опыт и поддержку двух таких учреждений, как НША и СИЕСАС.</w:t>
      </w:r>
    </w:p>
    <w:p w:rsidR="00000000" w:rsidRDefault="00000000"/>
    <w:p w:rsidR="00000000" w:rsidRDefault="00000000">
      <w:r>
        <w:t>868.</w:t>
      </w:r>
      <w:r>
        <w:tab/>
        <w:t xml:space="preserve">Что касается научных исследований, то, согласно подпункту </w:t>
      </w:r>
      <w:r>
        <w:rPr>
          <w:lang w:val="en-US"/>
        </w:rPr>
        <w:t>V</w:t>
      </w:r>
      <w:r>
        <w:t xml:space="preserve"> статьи 3 Политической конституции Мексиканских Соединенных Штатов, государство всячески поддерживает проведение научно-технических исследований.</w:t>
      </w:r>
    </w:p>
    <w:p w:rsidR="00000000" w:rsidRDefault="00000000"/>
    <w:p w:rsidR="00000000" w:rsidRDefault="00000000">
      <w:r>
        <w:t>869.</w:t>
      </w:r>
      <w:r>
        <w:tab/>
        <w:t>С момента создания в 1970 году Национального совета по науке и технике (КОНАСИТ), в Мексике действовали самые различные критерии и схемы функционирования системы науки и техники.  Тем не менее, потребовалось три десятилетия для появления законодательной базы на главном направлении действий федерального правительства в деле продвижения, усиления и развития научно-технических изысканий.  Принятый в мае 1999 года закон о развитии научно-технических исследований, который разрабатывался и формировался в рамках соглашения между Консультативным советом по науке (КСН), Мексиканской академией наук (МАН) и КОНАСИТ, объединяет точки зрения различных участников системы и устанавливает механизмы поддержания постоянного притока мнений, которые служат основой для планирования мероприятий по ускоренному научно-техническому развитию.  Ниже приведены шесть наиболее важных элементов этого закона:</w:t>
      </w:r>
    </w:p>
    <w:p w:rsidR="00000000" w:rsidRDefault="00000000"/>
    <w:p w:rsidR="00000000" w:rsidRDefault="00000000">
      <w:r>
        <w:tab/>
      </w:r>
      <w:r>
        <w:rPr>
          <w:lang w:val="en-US"/>
        </w:rPr>
        <w:t>i</w:t>
      </w:r>
      <w:r>
        <w:t>)</w:t>
      </w:r>
      <w:r>
        <w:tab/>
        <w:t>Специальная программа научных исследований и технических разработок;</w:t>
      </w:r>
    </w:p>
    <w:p w:rsidR="00000000" w:rsidRDefault="00000000"/>
    <w:p w:rsidR="00000000" w:rsidRDefault="00000000">
      <w:r>
        <w:tab/>
      </w:r>
      <w:r>
        <w:rPr>
          <w:lang w:val="en-US"/>
        </w:rPr>
        <w:t>ii</w:t>
      </w:r>
      <w:r>
        <w:t>)</w:t>
      </w:r>
      <w:r>
        <w:tab/>
        <w:t>Постоянно действующий научно-технический форум;</w:t>
      </w:r>
    </w:p>
    <w:p w:rsidR="00000000" w:rsidRDefault="00000000"/>
    <w:p w:rsidR="00000000" w:rsidRDefault="00000000">
      <w:r>
        <w:tab/>
      </w:r>
      <w:r>
        <w:rPr>
          <w:lang w:val="en-US"/>
        </w:rPr>
        <w:t>iii</w:t>
      </w:r>
      <w:r>
        <w:t>)</w:t>
      </w:r>
      <w:r>
        <w:tab/>
        <w:t>фонды КОНАСИТ и фонды научных исследований и технических разработок;</w:t>
      </w:r>
    </w:p>
    <w:p w:rsidR="00000000" w:rsidRDefault="00000000">
      <w:r>
        <w:tab/>
      </w:r>
      <w:r>
        <w:rPr>
          <w:lang w:val="en-US"/>
        </w:rPr>
        <w:t>iv</w:t>
      </w:r>
      <w:r>
        <w:t>)</w:t>
      </w:r>
      <w:r>
        <w:tab/>
        <w:t>Объединенная информационная система научно-технических исследований;</w:t>
      </w:r>
    </w:p>
    <w:p w:rsidR="00000000" w:rsidRDefault="00000000"/>
    <w:p w:rsidR="00000000" w:rsidRDefault="00000000">
      <w:r>
        <w:tab/>
      </w:r>
      <w:r>
        <w:rPr>
          <w:lang w:val="en-US"/>
        </w:rPr>
        <w:t>v</w:t>
      </w:r>
      <w:r>
        <w:t>)</w:t>
      </w:r>
      <w:r>
        <w:tab/>
        <w:t>Национальный реестр научно-технических предприятий и учреждений;</w:t>
      </w:r>
    </w:p>
    <w:p w:rsidR="00000000" w:rsidRDefault="00000000"/>
    <w:p w:rsidR="00000000" w:rsidRDefault="00000000">
      <w:r>
        <w:tab/>
      </w:r>
      <w:r>
        <w:rPr>
          <w:lang w:val="en-US"/>
        </w:rPr>
        <w:t>vi</w:t>
      </w:r>
      <w:r>
        <w:t>)</w:t>
      </w:r>
      <w:r>
        <w:tab/>
        <w:t>общественные исследовательские центры.</w:t>
      </w:r>
    </w:p>
    <w:p w:rsidR="00000000" w:rsidRDefault="00000000"/>
    <w:p w:rsidR="00000000" w:rsidRDefault="00000000">
      <w:r>
        <w:t>870.</w:t>
      </w:r>
      <w:r>
        <w:tab/>
        <w:t>В период 1995-2000 годов была разработана Программа научных исследований и технических разработок, которая, помимо прочих важных аспектов, поставила задачу децентрализации деятельности, связанной с научно-техническими исследованиями в стране.</w:t>
      </w:r>
    </w:p>
    <w:p w:rsidR="00000000" w:rsidRDefault="00000000"/>
    <w:p w:rsidR="00000000" w:rsidRDefault="00000000">
      <w:r>
        <w:t>871.</w:t>
      </w:r>
      <w:r>
        <w:tab/>
        <w:t>Осуществление этой программы не привело к заметным результатам;  тем не менее, в рассматриваемый период прямым следствием закона о развитии научно-технических исследований стало формирование специализированного кабинета по науке и технике.</w:t>
      </w:r>
    </w:p>
    <w:p w:rsidR="00000000" w:rsidRDefault="00000000"/>
    <w:p w:rsidR="00000000" w:rsidRDefault="00000000">
      <w:pPr>
        <w:ind w:left="201"/>
      </w:pPr>
      <w:r>
        <w:rPr>
          <w:b/>
          <w:bCs/>
          <w:lang w:val="en-US"/>
        </w:rPr>
        <w:tab/>
      </w:r>
      <w:r>
        <w:rPr>
          <w:b/>
          <w:bCs/>
        </w:rPr>
        <w:t>Закон о науке и технике</w:t>
      </w:r>
      <w:r>
        <w:t xml:space="preserve"> имеет своей целью:</w:t>
      </w:r>
    </w:p>
    <w:p w:rsidR="00000000" w:rsidRDefault="00000000"/>
    <w:p w:rsidR="00000000" w:rsidRDefault="00000000">
      <w:pPr>
        <w:ind w:left="1134" w:hanging="1134"/>
      </w:pPr>
      <w:r>
        <w:tab/>
      </w:r>
      <w:r>
        <w:rPr>
          <w:lang w:val="en-US"/>
        </w:rPr>
        <w:t>I</w:t>
      </w:r>
      <w:r>
        <w:t>.</w:t>
      </w:r>
      <w:r>
        <w:tab/>
        <w:t>регулирование условий, на которых федеральное правительство обязано оказывать помощь и поддержку в интересах стимулирования, углубления и развития общего процесса научно-технических изысканий в стране;</w:t>
      </w:r>
    </w:p>
    <w:p w:rsidR="00000000" w:rsidRDefault="00000000"/>
    <w:p w:rsidR="00000000" w:rsidRDefault="00000000">
      <w:pPr>
        <w:ind w:left="1134" w:hanging="1134"/>
      </w:pPr>
      <w:r>
        <w:tab/>
      </w:r>
      <w:r>
        <w:rPr>
          <w:lang w:val="en-US"/>
        </w:rPr>
        <w:t>II</w:t>
      </w:r>
      <w:r>
        <w:t>.</w:t>
      </w:r>
      <w:r>
        <w:tab/>
        <w:t>определение инструментов, посредством которых федеральное правительство будет выполнять возлагаемую на него обязанность в плане содействия научно-техническим изысканиям;</w:t>
      </w:r>
    </w:p>
    <w:p w:rsidR="00000000" w:rsidRDefault="00000000"/>
    <w:p w:rsidR="00000000" w:rsidRDefault="00000000">
      <w:pPr>
        <w:ind w:left="1134" w:hanging="1134"/>
      </w:pPr>
      <w:r>
        <w:tab/>
      </w:r>
      <w:r>
        <w:rPr>
          <w:lang w:val="en-US"/>
        </w:rPr>
        <w:t>III</w:t>
      </w:r>
      <w:r>
        <w:t>.</w:t>
      </w:r>
      <w:r>
        <w:tab/>
        <w:t>налаживание механизмов координации действий между подразделениями и ведомствами федеральной государственной администрации и прочими учреждениями, которые причастны к разработке политики и программ в области научно-технического развития либо которые принимают непосредственное участие в реализации такого рода деятельности;</w:t>
      </w:r>
    </w:p>
    <w:p w:rsidR="00000000" w:rsidRDefault="00000000"/>
    <w:p w:rsidR="00000000" w:rsidRDefault="00000000">
      <w:pPr>
        <w:ind w:left="1134" w:hanging="1134"/>
      </w:pPr>
      <w:r>
        <w:tab/>
      </w:r>
      <w:r>
        <w:rPr>
          <w:lang w:val="en-US"/>
        </w:rPr>
        <w:t>IV</w:t>
      </w:r>
      <w:r>
        <w:t>.</w:t>
      </w:r>
      <w:r>
        <w:tab/>
        <w:t>создание соответствующих структур и механизмов для координации действий с правительствами субъектов федерации, а также для привлечения и задействования научных кругов и профессорского состава высших учебных заведений, равно как представителей государственного, общественного и частного секторов к разработке и формулированию политики стимулирования, распространения, развития науки и техники и практического применения их достижений, а также к подготовке научных и технических профессиональных кадров;</w:t>
      </w:r>
    </w:p>
    <w:p w:rsidR="00000000" w:rsidRDefault="00000000">
      <w:r>
        <w:tab/>
      </w:r>
      <w:r>
        <w:rPr>
          <w:lang w:val="en-US"/>
        </w:rPr>
        <w:t>V</w:t>
      </w:r>
      <w:r>
        <w:t>.</w:t>
      </w:r>
      <w:r>
        <w:tab/>
        <w:t>обеспечение увязки процесса научно-технических изысканий с образованием;</w:t>
      </w:r>
    </w:p>
    <w:p w:rsidR="00000000" w:rsidRDefault="00000000"/>
    <w:p w:rsidR="00000000" w:rsidRDefault="00000000">
      <w:pPr>
        <w:ind w:left="1134" w:hanging="1134"/>
      </w:pPr>
      <w:r>
        <w:tab/>
      </w:r>
      <w:r>
        <w:rPr>
          <w:lang w:val="en-US"/>
        </w:rPr>
        <w:t>VI</w:t>
      </w:r>
      <w:r>
        <w:t>.</w:t>
      </w:r>
      <w:r>
        <w:tab/>
        <w:t>наращивание потенциала и организационное укрепление научно-технических исследовательских групп при государственных высших учебных заведениях, которые осуществляют свою деятельность в соответствии с принципами, планами, программами и нормами, диктуемыми их собственными внутренними регламентами;</w:t>
      </w:r>
    </w:p>
    <w:p w:rsidR="00000000" w:rsidRDefault="00000000"/>
    <w:p w:rsidR="00000000" w:rsidRDefault="00000000">
      <w:pPr>
        <w:ind w:left="1134" w:hanging="1134"/>
      </w:pPr>
      <w:r>
        <w:tab/>
      </w:r>
      <w:r>
        <w:rPr>
          <w:lang w:val="en-US"/>
        </w:rPr>
        <w:t>VII</w:t>
      </w:r>
      <w:r>
        <w:t>.</w:t>
      </w:r>
      <w:r>
        <w:tab/>
        <w:t>определение нормативной базы для признания для целей данного закона полугосударственных структур, которые занимаются научно-технической исследовательской деятельностью, в качестве государственных исследовательских центров;  а также</w:t>
      </w:r>
    </w:p>
    <w:p w:rsidR="00000000" w:rsidRDefault="00000000"/>
    <w:p w:rsidR="00000000" w:rsidRDefault="00000000">
      <w:pPr>
        <w:ind w:left="1134" w:hanging="1134"/>
      </w:pPr>
      <w:r>
        <w:tab/>
      </w:r>
      <w:r>
        <w:rPr>
          <w:lang w:val="en-US"/>
        </w:rPr>
        <w:t>VIII</w:t>
      </w:r>
      <w:r>
        <w:t>.</w:t>
      </w:r>
      <w:r>
        <w:tab/>
        <w:t>регулирование порядка использования средств, получаемых от деятельности самих государственных научно-исследовательских центров и поступающих от третьих лиц, для создания фондов научных изысканий и разработок технологий.</w:t>
      </w:r>
    </w:p>
    <w:p w:rsidR="00000000" w:rsidRDefault="00000000"/>
    <w:p w:rsidR="00000000" w:rsidRDefault="00000000">
      <w:r>
        <w:t>872.</w:t>
      </w:r>
      <w:r>
        <w:tab/>
        <w:t>Законом устанавливаются следующие основные принципы государственной политики, направленной на стимулирование комплексного развития Национальной системы научных исследований и технических разработок:</w:t>
      </w:r>
    </w:p>
    <w:p w:rsidR="00000000" w:rsidRDefault="00000000"/>
    <w:p w:rsidR="00000000" w:rsidRDefault="00000000">
      <w:pPr>
        <w:ind w:left="1134" w:hanging="1134"/>
      </w:pPr>
      <w:r>
        <w:tab/>
      </w:r>
      <w:r>
        <w:rPr>
          <w:lang w:val="en-US"/>
        </w:rPr>
        <w:t>I</w:t>
      </w:r>
      <w:r>
        <w:t>.</w:t>
      </w:r>
      <w:r>
        <w:tab/>
        <w:t>наращивать научно-технический потенциал и расширять подготовку исследовательских кадров с целью решения фундаментальных национальных задач, призванных способствовать развитию страны и всестороннему росту благосостояния населения;</w:t>
      </w:r>
    </w:p>
    <w:p w:rsidR="00000000" w:rsidRDefault="00000000"/>
    <w:p w:rsidR="00000000" w:rsidRDefault="00000000">
      <w:pPr>
        <w:ind w:left="1134" w:hanging="1134"/>
      </w:pPr>
      <w:r>
        <w:tab/>
      </w:r>
      <w:r>
        <w:rPr>
          <w:lang w:val="en-US"/>
        </w:rPr>
        <w:t>II</w:t>
      </w:r>
      <w:r>
        <w:t>.</w:t>
      </w:r>
      <w:r>
        <w:tab/>
        <w:t>способствовать развитию и взаимной увязке фундаментальных наук и технических инноваций, направляя их на модернизацию, заметное повышение качества образования и расширение границ познания, а также на превращение научных и технических знаний в составную часть общей культуры всего общества;</w:t>
      </w:r>
    </w:p>
    <w:p w:rsidR="00000000" w:rsidRDefault="00000000"/>
    <w:p w:rsidR="00000000" w:rsidRDefault="00000000">
      <w:pPr>
        <w:ind w:left="1134" w:hanging="1134"/>
      </w:pPr>
      <w:r>
        <w:tab/>
      </w:r>
      <w:r>
        <w:rPr>
          <w:lang w:val="en-US"/>
        </w:rPr>
        <w:t>III</w:t>
      </w:r>
      <w:r>
        <w:t>.</w:t>
      </w:r>
      <w:r>
        <w:tab/>
        <w:t>обеспечить интеграцию технологических достижений и инновационных разработок в производственный процесс в целях повышения производительности в национальной экономике и ее конкурентоспособности;</w:t>
      </w:r>
    </w:p>
    <w:p w:rsidR="00000000" w:rsidRDefault="00000000"/>
    <w:p w:rsidR="00000000" w:rsidRDefault="00000000">
      <w:pPr>
        <w:ind w:left="1134" w:hanging="1134"/>
      </w:pPr>
      <w:r>
        <w:br w:type="page"/>
      </w:r>
      <w:r>
        <w:tab/>
      </w:r>
      <w:r>
        <w:rPr>
          <w:lang w:val="en-US"/>
        </w:rPr>
        <w:t>IV</w:t>
      </w:r>
      <w:r>
        <w:t>.</w:t>
      </w:r>
      <w:r>
        <w:tab/>
        <w:t>добиваться объединения усилий различных секторов, причем связанных как со стимулированием роста научно-технического потенциала, так и с практическим использованием результатов научно-технической деятельности, в целях освоения областей, имеющих стратегически важное значение для развития страны;</w:t>
      </w:r>
    </w:p>
    <w:p w:rsidR="00000000" w:rsidRDefault="00000000"/>
    <w:p w:rsidR="00000000" w:rsidRDefault="00000000">
      <w:pPr>
        <w:ind w:left="1134" w:hanging="1134"/>
      </w:pPr>
      <w:r>
        <w:tab/>
      </w:r>
      <w:r>
        <w:rPr>
          <w:lang w:val="en-US"/>
        </w:rPr>
        <w:t>V</w:t>
      </w:r>
      <w:r>
        <w:t>.</w:t>
      </w:r>
      <w:r>
        <w:tab/>
        <w:t>наращивать темпы регионального развития посредством последовательного проведения курса на децентрализацию деятельности в области науки и техники;  и</w:t>
      </w:r>
    </w:p>
    <w:p w:rsidR="00000000" w:rsidRDefault="00000000"/>
    <w:p w:rsidR="00000000" w:rsidRDefault="00000000">
      <w:pPr>
        <w:ind w:left="1134" w:hanging="1134"/>
      </w:pPr>
      <w:r>
        <w:tab/>
      </w:r>
      <w:r>
        <w:rPr>
          <w:lang w:val="en-US"/>
        </w:rPr>
        <w:t>VI</w:t>
      </w:r>
      <w:r>
        <w:t>.</w:t>
      </w:r>
      <w:r>
        <w:tab/>
        <w:t>стимулировать процессы, позволяющие наметить соответствующие приоритетные направления, обеспечить выделение и оптимальное использование средств федерального правительства на нужды науки и техники.</w:t>
      </w:r>
    </w:p>
    <w:p w:rsidR="00000000" w:rsidRDefault="00000000"/>
    <w:p w:rsidR="00000000" w:rsidRDefault="00000000">
      <w:pPr>
        <w:tabs>
          <w:tab w:val="clear" w:pos="1134"/>
        </w:tabs>
        <w:rPr>
          <w:b/>
        </w:rPr>
      </w:pPr>
      <w:r>
        <w:rPr>
          <w:b/>
          <w:lang w:val="en-US"/>
        </w:rPr>
        <w:tab/>
      </w:r>
      <w:r>
        <w:rPr>
          <w:b/>
        </w:rPr>
        <w:t>Органический закон о Национальном совете по науке и технике</w:t>
      </w:r>
    </w:p>
    <w:p w:rsidR="00000000" w:rsidRDefault="00000000"/>
    <w:p w:rsidR="00000000" w:rsidRDefault="00000000">
      <w:r>
        <w:t>873.</w:t>
      </w:r>
      <w:r>
        <w:tab/>
        <w:t>Национальный совет по науке и технике (КОНАСИТ) был создан 27 декабря 1970 года в соответствии с законом Национального конгресса, опубликованным в "Федеральном официальном вестнике" от 29 декабря того же года, с поправками, внесенными на основании декрета от 27 декабря 1974 года.  Эти поправки затрагивали в основном содержание десяти статей, касающихся учреждения и функционирования руководящего совета этого учреждения.</w:t>
      </w:r>
    </w:p>
    <w:p w:rsidR="00000000" w:rsidRDefault="00000000"/>
    <w:p w:rsidR="00000000" w:rsidRDefault="00000000">
      <w:r>
        <w:t>874.</w:t>
      </w:r>
      <w:r>
        <w:tab/>
        <w:t>КОНАСИТ призван стимулировать и укреплять процесс научного развития и технической модернизации Мексики путем формирования высоко профессиональных кадров, продвижения и поддержки конкретных проектов по проведению исследований и распространению научно-технической информации.</w:t>
      </w:r>
    </w:p>
    <w:p w:rsidR="00000000" w:rsidRDefault="00000000"/>
    <w:p w:rsidR="00000000" w:rsidRDefault="00000000">
      <w:r>
        <w:t>875.</w:t>
      </w:r>
      <w:r>
        <w:tab/>
        <w:t>Политика, направления действий и критерии, на базе которых КОНАСИТ наращивает научные исследования и техническое развитие в последние годы, содержатся в Национальной программе научных исследований и технических разработок на 2000-2006 годы.</w:t>
      </w:r>
    </w:p>
    <w:p w:rsidR="00000000" w:rsidRDefault="00000000"/>
    <w:p w:rsidR="00000000" w:rsidRDefault="00000000">
      <w:r>
        <w:t>876.</w:t>
      </w:r>
      <w:r>
        <w:tab/>
        <w:t>Цель программы заключается в укреплении Национальной системы научных исследований и технических разработок, которая отвечала бы приоритетным задачам, стоящим перед страной, обеспечивала бы возможность решения конкретных проблем и удовлетворения конкретных потребностей общества, а также способствовала бы повышению уровня жизни и благосостояние населения.  Для этого требуется:</w:t>
      </w:r>
    </w:p>
    <w:p w:rsidR="00000000" w:rsidRDefault="00000000"/>
    <w:p w:rsidR="00000000" w:rsidRDefault="00000000">
      <w:pPr>
        <w:numPr>
          <w:ilvl w:val="0"/>
          <w:numId w:val="480"/>
        </w:numPr>
        <w:tabs>
          <w:tab w:val="clear" w:pos="567"/>
          <w:tab w:val="clear" w:pos="720"/>
        </w:tabs>
        <w:ind w:left="1134" w:hanging="567"/>
      </w:pPr>
      <w:r>
        <w:t>обеспечить наличие государственной политики в данном вопросе;</w:t>
      </w:r>
    </w:p>
    <w:p w:rsidR="00000000" w:rsidRDefault="00000000">
      <w:pPr>
        <w:tabs>
          <w:tab w:val="clear" w:pos="567"/>
        </w:tabs>
        <w:ind w:left="207"/>
      </w:pPr>
    </w:p>
    <w:p w:rsidR="00000000" w:rsidRDefault="00000000">
      <w:pPr>
        <w:numPr>
          <w:ilvl w:val="0"/>
          <w:numId w:val="480"/>
        </w:numPr>
        <w:tabs>
          <w:tab w:val="clear" w:pos="567"/>
          <w:tab w:val="clear" w:pos="720"/>
        </w:tabs>
        <w:ind w:left="1134" w:hanging="567"/>
      </w:pPr>
      <w:r>
        <w:t>наращивать научно-технический потенциал страны;</w:t>
      </w:r>
    </w:p>
    <w:p w:rsidR="00000000" w:rsidRDefault="00000000">
      <w:pPr>
        <w:tabs>
          <w:tab w:val="clear" w:pos="567"/>
        </w:tabs>
        <w:ind w:left="207"/>
      </w:pPr>
    </w:p>
    <w:p w:rsidR="00000000" w:rsidRDefault="00000000">
      <w:pPr>
        <w:numPr>
          <w:ilvl w:val="0"/>
          <w:numId w:val="480"/>
        </w:numPr>
        <w:tabs>
          <w:tab w:val="clear" w:pos="567"/>
          <w:tab w:val="clear" w:pos="720"/>
        </w:tabs>
        <w:ind w:left="1134" w:hanging="567"/>
      </w:pPr>
      <w:r>
        <w:t>поднять качество, конкурентоспособность и инновационный характер продукции предприятий.</w:t>
      </w:r>
    </w:p>
    <w:p w:rsidR="00000000" w:rsidRDefault="00000000"/>
    <w:p w:rsidR="00000000" w:rsidRDefault="00000000">
      <w:r>
        <w:t>877.</w:t>
      </w:r>
      <w:r>
        <w:tab/>
        <w:t>ЗАДАЧИ НА ПЕРИОД ДО 2025 ГОДА</w:t>
      </w:r>
    </w:p>
    <w:p w:rsidR="00000000" w:rsidRDefault="00000000"/>
    <w:p w:rsidR="00000000" w:rsidRDefault="00000000">
      <w:pPr>
        <w:rPr>
          <w:b/>
          <w:bCs/>
        </w:rPr>
      </w:pPr>
      <w:r>
        <w:tab/>
      </w:r>
      <w:r>
        <w:rPr>
          <w:b/>
          <w:bCs/>
        </w:rPr>
        <w:t>2002 год</w:t>
      </w:r>
    </w:p>
    <w:p w:rsidR="00000000" w:rsidRDefault="00000000"/>
    <w:p w:rsidR="00000000" w:rsidRDefault="00000000">
      <w:pPr>
        <w:numPr>
          <w:ilvl w:val="0"/>
          <w:numId w:val="480"/>
        </w:numPr>
        <w:tabs>
          <w:tab w:val="clear" w:pos="720"/>
        </w:tabs>
        <w:ind w:left="1134" w:hanging="567"/>
      </w:pPr>
      <w:r>
        <w:t>Разрабатывается Специальная программа научных исследований и технических разработок как результат интенсивных общенациональных консультаций, в ходе которых ученые, технические эксперты, предприниматели, академики и руководство страны вносят свой вклад в разработку этого жизненно важного для научно-технического развития Мексики инструмента.</w:t>
      </w:r>
    </w:p>
    <w:p w:rsidR="00000000" w:rsidRDefault="00000000">
      <w:pPr>
        <w:ind w:left="1134" w:hanging="573"/>
      </w:pPr>
    </w:p>
    <w:p w:rsidR="00000000" w:rsidRDefault="00000000">
      <w:pPr>
        <w:ind w:left="1134" w:hanging="573"/>
        <w:rPr>
          <w:b/>
          <w:bCs/>
        </w:rPr>
      </w:pPr>
      <w:r>
        <w:rPr>
          <w:b/>
          <w:bCs/>
        </w:rPr>
        <w:tab/>
        <w:t>2006 год</w:t>
      </w:r>
    </w:p>
    <w:p w:rsidR="00000000" w:rsidRDefault="00000000">
      <w:pPr>
        <w:ind w:left="1134" w:hanging="573"/>
      </w:pPr>
    </w:p>
    <w:p w:rsidR="00000000" w:rsidRDefault="00000000">
      <w:pPr>
        <w:numPr>
          <w:ilvl w:val="0"/>
          <w:numId w:val="480"/>
        </w:numPr>
        <w:tabs>
          <w:tab w:val="clear" w:pos="720"/>
        </w:tabs>
        <w:ind w:left="1134" w:hanging="567"/>
      </w:pPr>
      <w:r>
        <w:t>Мексика будет активно участвовать в процессе приобретения, накопления и распространения знаний в международном масштабе, стремясь выйти по науке и технике на уровень 1% ВВП;</w:t>
      </w:r>
    </w:p>
    <w:p w:rsidR="00000000" w:rsidRDefault="00000000">
      <w:pPr>
        <w:ind w:left="1134" w:hanging="573"/>
      </w:pPr>
    </w:p>
    <w:p w:rsidR="00000000" w:rsidRDefault="00000000">
      <w:pPr>
        <w:numPr>
          <w:ilvl w:val="0"/>
          <w:numId w:val="480"/>
        </w:numPr>
        <w:tabs>
          <w:tab w:val="clear" w:pos="720"/>
        </w:tabs>
        <w:ind w:left="1134" w:hanging="567"/>
      </w:pPr>
      <w:r>
        <w:t>должна существенно возрасти общая научно-техническая культура мексиканцев, а многие результаты научных исследований и технические разработки найдут конкретное воплощение;</w:t>
      </w:r>
    </w:p>
    <w:p w:rsidR="00000000" w:rsidRDefault="00000000">
      <w:pPr>
        <w:ind w:left="1134" w:hanging="573"/>
      </w:pPr>
    </w:p>
    <w:p w:rsidR="00000000" w:rsidRDefault="00000000">
      <w:pPr>
        <w:numPr>
          <w:ilvl w:val="0"/>
          <w:numId w:val="480"/>
        </w:numPr>
        <w:tabs>
          <w:tab w:val="clear" w:pos="720"/>
        </w:tabs>
        <w:ind w:left="1134" w:hanging="567"/>
      </w:pPr>
      <w:r>
        <w:t>использование науки и техники в производственных процессах постепенно станет вести к экономическому росту страны.</w:t>
      </w:r>
    </w:p>
    <w:p w:rsidR="00000000" w:rsidRDefault="00000000"/>
    <w:p w:rsidR="00000000" w:rsidRDefault="00000000">
      <w:pPr>
        <w:rPr>
          <w:b/>
          <w:bCs/>
        </w:rPr>
      </w:pPr>
      <w:r>
        <w:tab/>
      </w:r>
      <w:r>
        <w:rPr>
          <w:b/>
          <w:bCs/>
        </w:rPr>
        <w:t>2025 год</w:t>
      </w:r>
    </w:p>
    <w:p w:rsidR="00000000" w:rsidRDefault="00000000"/>
    <w:p w:rsidR="00000000" w:rsidRDefault="00000000">
      <w:pPr>
        <w:numPr>
          <w:ilvl w:val="0"/>
          <w:numId w:val="480"/>
        </w:numPr>
        <w:tabs>
          <w:tab w:val="clear" w:pos="720"/>
        </w:tabs>
        <w:ind w:left="1134" w:hanging="567"/>
      </w:pPr>
      <w:r>
        <w:t>Мексика будет вкладывать в исследования и разработки более 2% ВВП страны;</w:t>
      </w:r>
    </w:p>
    <w:p w:rsidR="00000000" w:rsidRDefault="00000000">
      <w:pPr>
        <w:ind w:left="1134" w:hanging="573"/>
      </w:pPr>
    </w:p>
    <w:p w:rsidR="00000000" w:rsidRDefault="00000000">
      <w:pPr>
        <w:numPr>
          <w:ilvl w:val="0"/>
          <w:numId w:val="480"/>
        </w:numPr>
        <w:tabs>
          <w:tab w:val="clear" w:pos="720"/>
        </w:tabs>
        <w:ind w:left="1134" w:hanging="567"/>
      </w:pPr>
      <w:r>
        <w:t>благодаря коллективным усилиям нации, Мексика войдет в десятку наиболее экономически развитых стран мира;</w:t>
      </w:r>
    </w:p>
    <w:p w:rsidR="00000000" w:rsidRDefault="00000000">
      <w:pPr>
        <w:ind w:left="1134" w:hanging="573"/>
      </w:pPr>
    </w:p>
    <w:p w:rsidR="00000000" w:rsidRDefault="00000000">
      <w:pPr>
        <w:numPr>
          <w:ilvl w:val="0"/>
          <w:numId w:val="480"/>
        </w:numPr>
        <w:tabs>
          <w:tab w:val="clear" w:pos="720"/>
        </w:tabs>
        <w:ind w:left="1134" w:hanging="567"/>
      </w:pPr>
      <w:r>
        <w:t>Мексика войдет в двадцатку наиболее развитых в плане научно-технического потенциала стран.</w:t>
      </w:r>
    </w:p>
    <w:p w:rsidR="00000000" w:rsidRDefault="00000000">
      <w:pPr>
        <w:rPr>
          <w:b/>
          <w:bCs/>
        </w:rPr>
      </w:pPr>
      <w:r>
        <w:rPr>
          <w:b/>
          <w:bCs/>
        </w:rPr>
        <w:t xml:space="preserve">Пункт 70 </w:t>
      </w:r>
      <w:r>
        <w:rPr>
          <w:b/>
          <w:bCs/>
          <w:lang w:val="en-US"/>
        </w:rPr>
        <w:t>b</w:t>
      </w:r>
      <w:r>
        <w:rPr>
          <w:b/>
          <w:bCs/>
        </w:rPr>
        <w:t>)</w:t>
      </w:r>
    </w:p>
    <w:p w:rsidR="00000000" w:rsidRDefault="00000000"/>
    <w:p w:rsidR="00000000" w:rsidRDefault="00000000">
      <w:r>
        <w:t>878.</w:t>
      </w:r>
      <w:r>
        <w:tab/>
        <w:t>Национальный институт этнографии и истории (НИЭИ) развернул активную научную деятельность и ведет одиннадцать постоянных семинаров, на которых, среди прочего, изучаются такие темы, как:  афро-мексиканская реальность, иконография, происхождение слов, грамматический анализ языков коренных народностей, лингвистическая антропология, мифы и религиозные верования в антропологии, психоанализ, межэтнические отношения, а также антропологические и исторические исследования в штате Герреро.</w:t>
      </w:r>
    </w:p>
    <w:p w:rsidR="00000000" w:rsidRDefault="00000000"/>
    <w:p w:rsidR="00000000" w:rsidRDefault="00000000">
      <w:r>
        <w:t>879.</w:t>
      </w:r>
      <w:r>
        <w:tab/>
        <w:t>Постоянно действующий семинар по вопросам чиканос и проблемам приграничных районов положил начало проведению рабочих совещаний, посвященных анализу и обсуждению вопросов глобализации и связи этого явления с экономикой и культурой, а также основных теоретических аспектов международной миграции.  Другой постоянный семинар занят изучением проблем детства и юношества.  Семинар на кафедре антропологии увлек своих слушателей глубоким рассмотрением корней насилия в обществе;  такие занятия призваны помогать в борьбе против этого социального зла и наладить контроль его распространения.  Первый конгресс под лозунгом "Здоровье против болезней" прошел на юго-востоке Мексики.  Его участники затронули в своих обсуждениях археологический и антропологический аспект здоровья и проблему заболеваемости в доколумбовую эпоху, а также вопросы развития санитарии с колониальных времен до наших дней.  На семинарах кафедр антропологии и сексологии - в рамках обмена научным опытом - был предложен свежий взгляд на давно забытые, но не потерявшие при этом своей актуальности проблемы и аспекты, связанные с пониманием характера и поведения групп людей и отдельных лиц.  Мексиканские ученые также принимают активное участие во многих международных научных форумах.</w:t>
      </w:r>
    </w:p>
    <w:p w:rsidR="00000000" w:rsidRDefault="00000000"/>
    <w:p w:rsidR="00000000" w:rsidRDefault="00000000">
      <w:r>
        <w:t>880.</w:t>
      </w:r>
      <w:r>
        <w:tab/>
        <w:t>Главное управление народной культуры и культуры коренных народов путем организации встреч, семинаров и других мероприятий наладило творческий обмен между различными представителями народной культуры и культуры коренных народов.  Результаты такого взаимного обмена становятся особенно заметными, когда авторы или создатели делятся своими творениями с братьями по цеху.</w:t>
      </w:r>
    </w:p>
    <w:p w:rsidR="00000000" w:rsidRDefault="00000000"/>
    <w:p w:rsidR="00000000" w:rsidRDefault="00000000">
      <w:pPr>
        <w:rPr>
          <w:b/>
          <w:bCs/>
        </w:rPr>
      </w:pPr>
      <w:r>
        <w:rPr>
          <w:b/>
          <w:bCs/>
        </w:rPr>
        <w:t>Пункт 70 с)</w:t>
      </w:r>
    </w:p>
    <w:p w:rsidR="00000000" w:rsidRDefault="00000000"/>
    <w:p w:rsidR="00000000" w:rsidRDefault="00000000">
      <w:r>
        <w:t>881.</w:t>
      </w:r>
      <w:r>
        <w:tab/>
        <w:t>Конакульта через Национальный институт этнографии и истории поддержал создание Мексиканской академии этнографии, которая была официально открыта 22 января 2003 года и явилась первой в своем роде на Латиноамериканском континенте.  Во главе академии встала д-р Беатрис Барба Ауатзин, долгие годы проработавшая в этом Институте в качестве исследователя.  В состав Академии входят 42 известных в стране и за рубежом ученых-этнографа.  Учреждение Академии живо поддержали НИЭИ, Мексиканская академия наук, Испано-американская академия наук, искусств и изящной словесности, а также Мексиканская академия истории.  Таким образом, была создана научная структура, призванная, в частности, стимулировать этнографические исследования и распространять знания о человеке в Мексике, равно как и знакомить мировое сообщество с достижениями мексиканской науки в этой области знаний.</w:t>
      </w:r>
    </w:p>
    <w:p w:rsidR="00000000" w:rsidRDefault="00000000"/>
    <w:p w:rsidR="00000000" w:rsidRDefault="00000000">
      <w:r>
        <w:t>882.</w:t>
      </w:r>
      <w:r>
        <w:tab/>
        <w:t>По линии ГУНК был создан ряд различных фондов в поддержку творческих личностей.  К числу таких фондов относятся, в частности, Программа поддержки культуры на уровне муниципалитетов и общин (ПАКМИК) и Национальная программа народного искусства.  Кроме того, была заложена юридическая основа и налажена общая консультативная поддержка в деле создания ассоциаций культурной направленности в таких областях, как литература, народные ремесла, театр, музыка и проч.</w:t>
      </w:r>
    </w:p>
    <w:p w:rsidR="00000000" w:rsidRDefault="00000000"/>
    <w:p w:rsidR="00000000" w:rsidRDefault="00000000">
      <w:r>
        <w:t>883.</w:t>
      </w:r>
      <w:r>
        <w:tab/>
        <w:t>Со своей стороны, Национальный институт авторского права санкционировал создание и действие в стране обществ коллективного управления, призванных защищать авторов и правообладателей, причем как местных, так и иностранных, и должен следить за тем, чтобы их деятельность осуществлялась в соответствии с федеральным законом об авторском праве и законом о порядке его осуществления.  В настоящее время в стране действуют 12 обществ коллективного управления в вопросах авторского и смежных прав.</w:t>
      </w:r>
    </w:p>
    <w:p w:rsidR="00000000" w:rsidRDefault="00000000"/>
    <w:p w:rsidR="00000000" w:rsidRDefault="00000000">
      <w:r>
        <w:t>884.</w:t>
      </w:r>
      <w:r>
        <w:tab/>
        <w:t>В соответствии со Специальной программой научных исследований и технических разработок на 2001-2006 годы путем подготовки кадров специалистов - мужчин и женщин - для преподавательской и исследовательской деятельности в нашей стране удалось создать и расширить базу научно-технических исследований.  В то же время получила развитие институциональная система, в которую вошли различные исследовательские центры, действующие при учреждениях и ведомствах федеральной администрации, государственных университетах и высших учебных заведениях, а также исследовательские центры при различных предприятиях и частных университетах.</w:t>
      </w:r>
    </w:p>
    <w:p w:rsidR="00000000" w:rsidRDefault="00000000"/>
    <w:p w:rsidR="00000000" w:rsidRDefault="00000000">
      <w:r>
        <w:t>885.</w:t>
      </w:r>
      <w:r>
        <w:tab/>
        <w:t>Несмотря на развитие системы таких учреждений, темпы поступательного движения науки и техники в мире обостряют для нашей стране потребность в новейших подходах к расширению научно-технических исследований и направлении еще бóльших ресурсов в эти отрасли.  Границы научного познания и технического развития отличаются не только все большим динамизмом, но и резко возрастающей специализацией и разнообразием.</w:t>
      </w:r>
    </w:p>
    <w:p w:rsidR="00000000" w:rsidRDefault="00000000"/>
    <w:p w:rsidR="00000000" w:rsidRDefault="00000000">
      <w:r>
        <w:br w:type="page"/>
        <w:t>886.</w:t>
      </w:r>
      <w:r>
        <w:tab/>
        <w:t>Специальная программа научных исследований и технических разработок (ПЕСИТ) стала для правительства Республики основным инструментом планирования деятельности в этой области и важным рычагом в деле объединения и координации усилий страны на пути научно-технического развития.  К 2006 году намечается довести объем национальных инвестиций в научные исследования и опытно-конструкторские разработки (НИОКР) до 1% валового внутреннего продукта (ВВП), при этом 60% инвестиций должно приходиться на федеральное правительство и 40% - на частный сектор производства.  Если исходить из того, что ежегодный прирост ВВП составит 5%, вложения в НИОКР должны ежегодно возрастать на 22%.</w:t>
      </w:r>
    </w:p>
    <w:p w:rsidR="00000000" w:rsidRDefault="00000000"/>
    <w:p w:rsidR="00000000" w:rsidRDefault="00000000">
      <w:r>
        <w:t>887.</w:t>
      </w:r>
      <w:r>
        <w:tab/>
        <w:t>Этой Программой также намечаются новые стратегические направления развития отраслевых научно-технических разработок, позволяющие с большей эффективностью и отдачей использовать капиталовложения и создавать качественные аспирантуры по различным направлениям исследований.  Кроме того, устанавливаются показатели, позволяющие сверять ход выполнения программы на протяжении всего периода с 2001 по 2006 годы.</w:t>
      </w:r>
    </w:p>
    <w:p w:rsidR="00000000" w:rsidRDefault="00000000"/>
    <w:p w:rsidR="00000000" w:rsidRDefault="00000000">
      <w:r>
        <w:t>888.</w:t>
      </w:r>
      <w:r>
        <w:tab/>
        <w:t>Помимо наращивания вложений в ускорение научно-технического прогресса, Программа направлена на структурные изменения в необходимые для более эффективного использования ресурсов.</w:t>
      </w:r>
    </w:p>
    <w:p w:rsidR="00000000" w:rsidRDefault="00000000"/>
    <w:p w:rsidR="00000000" w:rsidRDefault="00000000">
      <w:r>
        <w:t>889.</w:t>
      </w:r>
      <w:r>
        <w:tab/>
        <w:t>Данная задача выполнима лишь при совместных усилиях общества, научных кругов, производственного сектора, правительств штатов и федерального правительства.  Эти главные участники программы должны быть абсолютно уверены в высокой рентабельности общественных и частных инвестиций в науку и технику.  К 2006 году Мексика должна существенно нарастить людской потенциал, задействованный в техническом и научном развитии, а также увеличить инвестиции в инфраструктуру и создание современных лабораторий.  Только так страна сможет успешно влиться в т.н. "новую экономику", характеризующуюся открытостью и высокой конкурентоспособностью и диктующую необходимость в новых решительных шагах на пути научно-технического прогресса.</w:t>
      </w:r>
    </w:p>
    <w:p w:rsidR="00000000" w:rsidRDefault="00000000"/>
    <w:p w:rsidR="00000000" w:rsidRDefault="00000000">
      <w:r>
        <w:t>890.</w:t>
      </w:r>
      <w:r>
        <w:tab/>
        <w:t>Программа ПЕСИТ помогает учреждениям и ведомствам федерального административного подчинения делать свой вклад в развитие науки и техники с большей эффективностью, без дублирований, используя ресурс синергического взаимодействия.  Точно также, эта Программа объединяет усилия производственного и социального секторов в деле обеспечения неразрывной увязки технического прогресса с производственными процессами на государственных предприятиях, а также с подготовкой людских ресурсов, нужда в которых в сферах производства и образования с каждым годом возрастает.  Взаимодействие федерального правительства с правительствами штатов находит свое выражение в совместных мероприятиях, направленных на решение насущных проблем.</w:t>
      </w:r>
    </w:p>
    <w:p w:rsidR="00000000" w:rsidRDefault="00000000"/>
    <w:p w:rsidR="00000000" w:rsidRDefault="00000000">
      <w:r>
        <w:rPr>
          <w:b/>
        </w:rPr>
        <w:tab/>
        <w:t>Трудности</w:t>
      </w:r>
    </w:p>
    <w:p w:rsidR="00000000" w:rsidRDefault="00000000"/>
    <w:p w:rsidR="00000000" w:rsidRDefault="00000000">
      <w:r>
        <w:t>891.</w:t>
      </w:r>
      <w:r>
        <w:tab/>
        <w:t>Для достижения поставленных задач требуется:</w:t>
      </w:r>
    </w:p>
    <w:p w:rsidR="00000000" w:rsidRDefault="00000000"/>
    <w:p w:rsidR="00000000" w:rsidRDefault="00000000">
      <w:pPr>
        <w:ind w:left="1134" w:hanging="1134"/>
      </w:pPr>
      <w:r>
        <w:tab/>
        <w:t>1.</w:t>
      </w:r>
      <w:r>
        <w:tab/>
        <w:t>своевременное выделение федеральным правительством средств, предназначенных для отраслевых, смешанных и ведомственных фондов, через которые федеральные ресурсы дали бы толчок развитию экспериментальных научных исследований и технических разработок;</w:t>
      </w:r>
    </w:p>
    <w:p w:rsidR="00000000" w:rsidRDefault="00000000"/>
    <w:p w:rsidR="00000000" w:rsidRDefault="00000000">
      <w:pPr>
        <w:ind w:left="1134" w:hanging="1134"/>
      </w:pPr>
      <w:r>
        <w:tab/>
        <w:t>2.</w:t>
      </w:r>
      <w:r>
        <w:tab/>
        <w:t>повышение частным производственным сектором своего вклада в НИОКР и доведение его до годового реального уровня в 33%, что соответствовало бы отчислению основными предприятиями 1% от своих продаж на эти нужды.</w:t>
      </w:r>
    </w:p>
    <w:p w:rsidR="00000000" w:rsidRDefault="00000000"/>
    <w:p w:rsidR="00000000" w:rsidRDefault="00000000">
      <w:r>
        <w:t>892.</w:t>
      </w:r>
      <w:r>
        <w:tab/>
        <w:t>Ощущается потребность в бóльших ресурсах для направления их на требуемую поддержку организаций и учреждений, занятых научными исследованиями.</w:t>
      </w:r>
    </w:p>
    <w:p w:rsidR="00000000" w:rsidRDefault="00000000"/>
    <w:p w:rsidR="00000000" w:rsidRDefault="00000000">
      <w:pPr>
        <w:rPr>
          <w:b/>
          <w:bCs/>
        </w:rPr>
      </w:pPr>
      <w:r>
        <w:rPr>
          <w:b/>
          <w:bCs/>
        </w:rPr>
        <w:t>Пункт 71 а)</w:t>
      </w:r>
    </w:p>
    <w:p w:rsidR="00000000" w:rsidRDefault="00000000"/>
    <w:p w:rsidR="00000000" w:rsidRDefault="00000000">
      <w:r>
        <w:t>893.</w:t>
      </w:r>
      <w:r>
        <w:tab/>
        <w:t>Национальный совет по культуре и искусству принимал активное участие в двусторонних встречах между странами, развивающими программы культурного сотрудничества.  Совет также активно выступал на многосторонних и региональных международных форумах, в ходе которых он излагал позицию нашей страны по вопросам культурного разнообразия, защиты и сохранения материального и духовного культурного наследия, а также по многим другим темам.</w:t>
      </w:r>
    </w:p>
    <w:p w:rsidR="00000000" w:rsidRDefault="00000000"/>
    <w:p w:rsidR="00000000" w:rsidRDefault="00000000">
      <w:r>
        <w:t>894.</w:t>
      </w:r>
      <w:r>
        <w:tab/>
        <w:t>Международное сотрудничество всегда являлось одним из приоритетов мексиканской внешней политики.  В 1998 году это было закреплено конституционно в статье 89 нашего Основного закона.  Такое сотрудничество рассматривается в качестве особого рычага в деле укрепления международной солидарности и важного подспорья для процесса национального развития.  В этой связи Конакульта заключено с различными странами порядка 130 соглашений о межведомственном сотрудничестве в области археологии, этнографии, культурного наследия, строительства объектов художественной культуры, в сфере радио- и телевещания, а также кинематографии.</w:t>
      </w:r>
    </w:p>
    <w:p w:rsidR="00000000" w:rsidRDefault="00000000"/>
    <w:p w:rsidR="00000000" w:rsidRDefault="00000000">
      <w:r>
        <w:t>895.</w:t>
      </w:r>
      <w:r>
        <w:tab/>
        <w:t>В этом направлении были предприняты следующие шаги:</w:t>
      </w:r>
    </w:p>
    <w:p w:rsidR="00000000" w:rsidRDefault="00000000">
      <w:pPr>
        <w:numPr>
          <w:ilvl w:val="0"/>
          <w:numId w:val="483"/>
        </w:numPr>
        <w:tabs>
          <w:tab w:val="clear" w:pos="1068"/>
        </w:tabs>
        <w:ind w:left="1134" w:hanging="567"/>
      </w:pPr>
      <w:r>
        <w:t xml:space="preserve">в ходе </w:t>
      </w:r>
      <w:r>
        <w:rPr>
          <w:lang w:val="en-US"/>
        </w:rPr>
        <w:t>XV</w:t>
      </w:r>
      <w:r>
        <w:t xml:space="preserve"> совещания двухсторонней комиссии Мексика - США, проходившего в Вашингтоне, 10-11 июля 1998 года, был подписан договор о сотрудничестве между НИЭИ и Службой национальных парков Соединенных Штатов Америки об обмене специалистами и совместной организации культурных мероприятий;</w:t>
      </w:r>
    </w:p>
    <w:p w:rsidR="00000000" w:rsidRDefault="00000000">
      <w:pPr>
        <w:ind w:left="708"/>
      </w:pPr>
    </w:p>
    <w:p w:rsidR="00000000" w:rsidRDefault="00000000">
      <w:pPr>
        <w:numPr>
          <w:ilvl w:val="0"/>
          <w:numId w:val="483"/>
        </w:numPr>
        <w:tabs>
          <w:tab w:val="clear" w:pos="1068"/>
        </w:tabs>
        <w:ind w:left="1134" w:hanging="567"/>
      </w:pPr>
      <w:r>
        <w:t>в 2001 году между правительством штата Сан-Луис-Потоси, Фондом развития культуры банка "Банамекс" и Конакульта в лице НИЭИ было подписано соглашение об учреждении специального фонда для расширения исследований в археологическом заповеднике "Тамток";</w:t>
      </w:r>
    </w:p>
    <w:p w:rsidR="00000000" w:rsidRDefault="00000000">
      <w:pPr>
        <w:ind w:left="708"/>
      </w:pPr>
    </w:p>
    <w:p w:rsidR="00000000" w:rsidRDefault="00000000">
      <w:pPr>
        <w:numPr>
          <w:ilvl w:val="0"/>
          <w:numId w:val="483"/>
        </w:numPr>
        <w:tabs>
          <w:tab w:val="clear" w:pos="1068"/>
        </w:tabs>
        <w:ind w:left="1134" w:hanging="567"/>
      </w:pPr>
      <w:r>
        <w:t>во избежание случаев кражи ценностей федерального значения, принадлежащих церкви, в 2001 году было подписано соглашение между правительством штата Тласкала, местной епархией и НИЭИ, направленное на принятие совместных мер по борьбе с такими преступными деяниями;</w:t>
      </w:r>
    </w:p>
    <w:p w:rsidR="00000000" w:rsidRDefault="00000000">
      <w:pPr>
        <w:ind w:left="708"/>
      </w:pPr>
    </w:p>
    <w:p w:rsidR="00000000" w:rsidRDefault="00000000">
      <w:pPr>
        <w:numPr>
          <w:ilvl w:val="0"/>
          <w:numId w:val="483"/>
        </w:numPr>
        <w:tabs>
          <w:tab w:val="clear" w:pos="1068"/>
        </w:tabs>
        <w:ind w:left="1134" w:hanging="567"/>
      </w:pPr>
      <w:r>
        <w:t>в 2002 году с правительством штата Тласкала было заключено соглашение о сотрудничестве - первое на национальном уровне в этой области, - которым предусматриваются меры по регистрации и каталогизации ценностей, находящихся в культовых храмах, а также совместные действия, направленные на предотвращение противоправных действий, краж, случаев нанесения ущерба или незаконного оборота предметов, являющихся памятниками культурного наследия;</w:t>
      </w:r>
    </w:p>
    <w:p w:rsidR="00000000" w:rsidRDefault="00000000">
      <w:pPr>
        <w:ind w:left="708"/>
      </w:pPr>
    </w:p>
    <w:p w:rsidR="00000000" w:rsidRDefault="00000000">
      <w:pPr>
        <w:numPr>
          <w:ilvl w:val="0"/>
          <w:numId w:val="483"/>
        </w:numPr>
        <w:tabs>
          <w:tab w:val="clear" w:pos="1068"/>
        </w:tabs>
        <w:ind w:left="1134" w:hanging="567"/>
      </w:pPr>
      <w:r>
        <w:t>точно так же в 2001 году администрация штата Пуэбла и епископат штата Пуэбла подписали соглашение, призванное обеспечить сохранность предметов религиозного искусства.  Соглашение предусматривает подготовку представителей церкви и лиц из состава администрации штата для качественного проведения инвентаризации и каталогизации движимых ценностей, расположенных в храмах и часовнях.</w:t>
      </w:r>
    </w:p>
    <w:p w:rsidR="00000000" w:rsidRDefault="00000000">
      <w:pPr>
        <w:ind w:left="708"/>
      </w:pPr>
    </w:p>
    <w:p w:rsidR="00000000" w:rsidRDefault="00000000">
      <w:r>
        <w:t>896.</w:t>
      </w:r>
      <w:r>
        <w:tab/>
        <w:t>Со своей стороны Национальный институт авторского права занял стратегические позиции на международной арене и уверенно представляет и отстаивает интересы мексиканских авторов, принимая активное участие в проведении курса Мексики и определении подобающего ей места на международных форумах и в рамках международных организациях, среди которых следует выделить следующие:</w:t>
      </w:r>
    </w:p>
    <w:p w:rsidR="00000000" w:rsidRDefault="00000000"/>
    <w:p w:rsidR="00000000" w:rsidRDefault="00000000">
      <w:pPr>
        <w:numPr>
          <w:ilvl w:val="0"/>
          <w:numId w:val="483"/>
        </w:numPr>
        <w:tabs>
          <w:tab w:val="clear" w:pos="1068"/>
        </w:tabs>
        <w:ind w:left="1134" w:hanging="567"/>
      </w:pPr>
      <w:r>
        <w:t>Всемирная организация интеллектуальной собственности (ВОИС);</w:t>
      </w:r>
    </w:p>
    <w:p w:rsidR="00000000" w:rsidRDefault="00000000">
      <w:pPr>
        <w:ind w:left="708"/>
      </w:pPr>
    </w:p>
    <w:p w:rsidR="00000000" w:rsidRDefault="00000000">
      <w:pPr>
        <w:numPr>
          <w:ilvl w:val="0"/>
          <w:numId w:val="483"/>
        </w:numPr>
        <w:tabs>
          <w:tab w:val="clear" w:pos="1068"/>
        </w:tabs>
        <w:ind w:left="1134" w:hanging="567"/>
      </w:pPr>
      <w:r>
        <w:t>Зона свободной торговли американского континента (ЗСТА);</w:t>
      </w:r>
    </w:p>
    <w:p w:rsidR="00000000" w:rsidRDefault="00000000">
      <w:pPr>
        <w:numPr>
          <w:ilvl w:val="0"/>
          <w:numId w:val="483"/>
        </w:numPr>
        <w:tabs>
          <w:tab w:val="clear" w:pos="1068"/>
        </w:tabs>
        <w:ind w:left="1134" w:hanging="567"/>
      </w:pPr>
      <w:r>
        <w:t>Форум Азиатско-тихоокеанского экономического сотрудничества (АТЭС).</w:t>
      </w:r>
    </w:p>
    <w:p w:rsidR="00000000" w:rsidRDefault="00000000"/>
    <w:p w:rsidR="00000000" w:rsidRDefault="00000000">
      <w:r>
        <w:t>897.</w:t>
      </w:r>
      <w:r>
        <w:tab/>
        <w:t>Кроме того, Институт принимал активное участие в переговорах о заключении ряда соглашений о свободной торговле, в которых фигурирует раздел о промышленной собственности.</w:t>
      </w:r>
    </w:p>
    <w:p w:rsidR="00000000" w:rsidRDefault="00000000"/>
    <w:p w:rsidR="00000000" w:rsidRDefault="00000000">
      <w:r>
        <w:t>898.</w:t>
      </w:r>
      <w:r>
        <w:tab/>
        <w:t>Термин "международное сотрудничество" предполагает комплекс мер, проистекающих из потоков взаимного обмена между различными национальными сообществами в поисках выгоды, распределенной между экономическим развитием и социальным благосостоянием.  Оно опирается на деятельность как международных организаций, входящих в систему Организации Объединенных Наций, так и региональных, межправительственных и неправительственных структур, и преследует конкретные международные цели.  Международное сотрудничество представляет собой мобилизацию финансовых, людских, технических и технологических ресурсов в интересах стимулирования дальнейшего международного развития.</w:t>
      </w:r>
    </w:p>
    <w:p w:rsidR="00000000" w:rsidRDefault="00000000"/>
    <w:p w:rsidR="00000000" w:rsidRDefault="00000000">
      <w:r>
        <w:t>899.</w:t>
      </w:r>
      <w:r>
        <w:tab/>
        <w:t>В настоящее время вполне можно выделить различные области, в которых осуществляется международное сотрудничество в интересах развития.  Это - наука, техника, технология, образование, культура, транспорт, энергетика, финансы, торговля и проч.  Здесь следует особо отметить научно-техническое сотрудничество, которое помогает стране влиться в динамичный международный процесс, для которого характерны стремительное поступательное движение научной мысли, технический прогресс и последовательное совершенствование производственных технологий.</w:t>
      </w:r>
    </w:p>
    <w:p w:rsidR="00000000" w:rsidRDefault="00000000"/>
    <w:p w:rsidR="00000000" w:rsidRDefault="00000000">
      <w:r>
        <w:t>900.</w:t>
      </w:r>
      <w:r>
        <w:tab/>
        <w:t>Научно-техническое сотрудничество создает нарастающий поток ресурсов, знаний, опыта, технологий и наработок, позволяющий объединить возможности страны с международными достижениями в самых разных областях.  Оно позволяет задействовать механизмы, раздвигающие границы научных познаний, и способствует совместному развитию высокотехнологичных производств.</w:t>
      </w:r>
    </w:p>
    <w:p w:rsidR="00000000" w:rsidRDefault="00000000"/>
    <w:p w:rsidR="00000000" w:rsidRDefault="00000000">
      <w:r>
        <w:t>901.</w:t>
      </w:r>
      <w:r>
        <w:tab/>
        <w:t>Для Мексики международное сотрудничество служит важнейшим инструментом внешней политики и действенным механизмом поощрения, приумножения, усиления и придания динамизма процессам широких взаимных обменов с другими странами мира.  Конечной целью этих процессов является социальное развитие.  Важность такого утверждения становится очевидной, если учесть, что - согласно подпункту Х статьи 89 Политической Конституции Мексиканских Соединенных Штатов - международное сотрудничество фигурирует в числе нормативных принципов, которыми исполнительная власть страны должна руководствоваться при проведении государственной внешней политики.</w:t>
      </w:r>
    </w:p>
    <w:p w:rsidR="00000000" w:rsidRDefault="00000000">
      <w:r>
        <w:t>902.</w:t>
      </w:r>
      <w:r>
        <w:tab/>
        <w:t>Проводимая Мексикой политика международного научно-технического сотрудничества ставит своей целью содействовать укреплению национального потенциала посредством осуществления проектов, способствующих комплексному и устойчивому социальному развитию, а также сбалансированному расширению международных связей.</w:t>
      </w:r>
    </w:p>
    <w:p w:rsidR="00000000" w:rsidRDefault="00000000"/>
    <w:p w:rsidR="00000000" w:rsidRDefault="00000000">
      <w:r>
        <w:t>903.</w:t>
      </w:r>
      <w:r>
        <w:tab/>
        <w:t>Главное управление научно-технического сотрудничества (ГУНТС), подведомственное департаменту экономических связей и международного сотрудничества, координирует участие Мексики в различных областях научно-технического и технологического взаимодействия с промышленно развитыми странами, странами, находящимися на среднем уровне развития, и с развивающимися государствами, а также с многосторонними организациями и международными форумами.</w:t>
      </w:r>
    </w:p>
    <w:p w:rsidR="00000000" w:rsidRDefault="00000000"/>
    <w:p w:rsidR="00000000" w:rsidRDefault="00000000">
      <w:r>
        <w:t>904.</w:t>
      </w:r>
      <w:r>
        <w:tab/>
        <w:t>Стратегия Мексики в области международного сотрудничества основывается на том, что через объединение усилий, обмен опытом, возможностями и людскими ресурсами страны получают взаимную выгоду, обогащают свои связи и тем самым снижают стоимость осуществления совместных проектов комплексного развития.</w:t>
      </w:r>
    </w:p>
    <w:p w:rsidR="00000000" w:rsidRDefault="00000000"/>
    <w:p w:rsidR="00000000" w:rsidRDefault="00000000">
      <w:r>
        <w:t>905.</w:t>
      </w:r>
      <w:r>
        <w:tab/>
        <w:t>ГУНТС работает по четырем направлениям научно-технического и технологического сотрудничества:  на двухсторонней, региональной и многосторонней основе, а также с международными организациями и форумами.  Научно-техническое и технологическое сотрудничество осуществляется по следующей схеме:</w:t>
      </w:r>
    </w:p>
    <w:p w:rsidR="00000000" w:rsidRDefault="00000000"/>
    <w:p w:rsidR="00000000" w:rsidRDefault="00000000">
      <w:pPr>
        <w:ind w:left="1134" w:hanging="1134"/>
      </w:pPr>
      <w:r>
        <w:tab/>
      </w:r>
      <w:r>
        <w:rPr>
          <w:lang w:val="en-US"/>
        </w:rPr>
        <w:t>A</w:t>
      </w:r>
      <w:r>
        <w:t>.</w:t>
      </w:r>
      <w:r>
        <w:tab/>
        <w:t>Сотрудничество Мексики с промышленно развитыми странами строится на принципах совместного участия, совместного финансирования и самоокупаемости.  Совместные проекты реализуются главным образом в тех приоритетных секторах экономики, которые определены в Национальном плане развития.  В рамках такого сотрудничества преследуется цель стимулировать широкое привлечение общественности, использование передовой техники, освоение передовых технологий и содействовать социальному развитию наиболее уязвимых регионов и групп населения.</w:t>
      </w:r>
    </w:p>
    <w:p w:rsidR="00000000" w:rsidRDefault="00000000"/>
    <w:p w:rsidR="00000000" w:rsidRDefault="00000000">
      <w:pPr>
        <w:ind w:left="1134" w:hanging="1134"/>
      </w:pPr>
      <w:r>
        <w:tab/>
      </w:r>
      <w:r>
        <w:rPr>
          <w:lang w:val="en-US"/>
        </w:rPr>
        <w:t>B</w:t>
      </w:r>
      <w:r>
        <w:t>.</w:t>
      </w:r>
      <w:r>
        <w:tab/>
        <w:t>Усилия направляются также на расширение совместного участия различных учреждений и ведомств федерального подчинения и штатов, академических кругов, центров технического развития и частного сектора, равно как на стимулирование более широкого участия женщин и гражданского общества.</w:t>
      </w:r>
    </w:p>
    <w:p w:rsidR="00000000" w:rsidRDefault="00000000"/>
    <w:p w:rsidR="00000000" w:rsidRDefault="00000000">
      <w:pPr>
        <w:ind w:left="1134" w:hanging="1134"/>
      </w:pPr>
      <w:r>
        <w:tab/>
      </w:r>
      <w:r>
        <w:rPr>
          <w:lang w:val="en-US"/>
        </w:rPr>
        <w:t>C</w:t>
      </w:r>
      <w:r>
        <w:t>.</w:t>
      </w:r>
      <w:r>
        <w:tab/>
        <w:t>Значительное число мексиканских учреждений участвует в совместных мероприятиях и проектах по научно-техническому и технологическому сотрудничеству со странами, находящимися на среднем уровне развития, и с развивающимися странами.  Такие проекты осуществляются на базе следующих критериев:  взаимодополняемость структурных мощностей, уместность, целесообразность и осуществимость, а также на совместное финансирование при соблюдении взаимной выгоды.</w:t>
      </w:r>
    </w:p>
    <w:p w:rsidR="00000000" w:rsidRDefault="00000000"/>
    <w:p w:rsidR="00000000" w:rsidRDefault="00000000">
      <w:pPr>
        <w:ind w:left="1134" w:hanging="1134"/>
      </w:pPr>
      <w:r>
        <w:tab/>
      </w:r>
      <w:r>
        <w:rPr>
          <w:lang w:val="en-US"/>
        </w:rPr>
        <w:t>D</w:t>
      </w:r>
      <w:r>
        <w:t>.</w:t>
      </w:r>
      <w:r>
        <w:tab/>
        <w:t>Мексика предлагает и осуществляет программы сотрудничества с менее развитыми в экономическом отношении странами, в частности со странами Центральной Америки и Карибского бассейна.  Такое сотрудничество обогащает экономически слабые страны нашим опытом и возможностями в деле решения задач развития.</w:t>
      </w:r>
    </w:p>
    <w:p w:rsidR="00000000" w:rsidRDefault="00000000"/>
    <w:p w:rsidR="00000000" w:rsidRDefault="00000000">
      <w:pPr>
        <w:ind w:left="1134" w:hanging="1134"/>
      </w:pPr>
      <w:r>
        <w:tab/>
      </w:r>
      <w:r>
        <w:rPr>
          <w:lang w:val="en-US"/>
        </w:rPr>
        <w:t>E</w:t>
      </w:r>
      <w:r>
        <w:t>.</w:t>
      </w:r>
      <w:r>
        <w:tab/>
        <w:t>В сфере многостороннего сотрудничества особое значение придается взаимодействию с органами системы Организации Объединенных Наций, с Организацией американских государств и другими региональными организациями и международными форумами на принципах паритетного участия, совместного финансирования и самоокупаемости.  Проводимые в этих рамках мероприятия преследуют двойную цель:  такое сотрудничество должно быть выгодно для национальных государственных и частных подразделений и структур; оно должно сулить взаимные выгоды на многостороннем уровне.</w:t>
      </w:r>
    </w:p>
    <w:p w:rsidR="00000000" w:rsidRDefault="00000000"/>
    <w:p w:rsidR="00000000" w:rsidRDefault="00000000">
      <w:r>
        <w:t>906.</w:t>
      </w:r>
      <w:r>
        <w:tab/>
        <w:t>В настоящее время вполне можно выделить различные области, в которых осуществляется международное сотрудничество в интересах развития.  Это - наука, техника, технология, образование, культура, транспорт, энергетика, финансы, торговля и проч.  Здесь следует особо отметить научно-техническое сотрудничество, которое помогает стране влиться в динамичный международный процесс, для которого характерны стремительное поступательное движение научной мысли, технический прогресс и последовательное совершенствование производственных технологий.</w:t>
      </w:r>
    </w:p>
    <w:p w:rsidR="00000000" w:rsidRDefault="00000000"/>
    <w:p w:rsidR="00000000" w:rsidRDefault="00000000">
      <w:r>
        <w:t>907.</w:t>
      </w:r>
      <w:r>
        <w:tab/>
        <w:t>Научно-техническое сотрудничество провоцирует нарастающий поток ресурсов, знаний, опыта, технологий и наработок, позволяющий объединить национальные возможности с международными достижениями в самых разных областях.  Оно позволяет сочетать механизмы, раздвигающие границы научного знания, и способствует совместному развитию высокотехнологичных производств.</w:t>
      </w:r>
    </w:p>
    <w:p w:rsidR="00000000" w:rsidRDefault="00000000"/>
    <w:p w:rsidR="00000000" w:rsidRDefault="00000000">
      <w:r>
        <w:t>908.</w:t>
      </w:r>
      <w:r>
        <w:tab/>
        <w:t>Важнейшим юридическим инструментом согласования и реализации программ сотрудничества выступает правительственное соглашение о техническом и научном сотрудничестве.  В настоящее время действуют 83 соглашения о сотрудничестве, подписанные Мексикой.</w:t>
      </w:r>
    </w:p>
    <w:p w:rsidR="00000000" w:rsidRDefault="00000000"/>
    <w:p w:rsidR="00000000" w:rsidRDefault="00000000">
      <w:r>
        <w:t>909.</w:t>
      </w:r>
      <w:r>
        <w:tab/>
        <w:t>С целью наиболее эффективного использования ресурсов международного сотрудничества в своей деятельности в этой области наша страна руководствуется следующими принципами:</w:t>
      </w:r>
    </w:p>
    <w:p w:rsidR="00000000" w:rsidRDefault="00000000"/>
    <w:p w:rsidR="00000000" w:rsidRDefault="00000000">
      <w:pPr>
        <w:numPr>
          <w:ilvl w:val="0"/>
          <w:numId w:val="486"/>
        </w:numPr>
        <w:tabs>
          <w:tab w:val="clear" w:pos="1068"/>
        </w:tabs>
        <w:ind w:left="1134" w:hanging="567"/>
      </w:pPr>
      <w:r>
        <w:t>Взаимодополняемость.  Под этим следует понимать, что сотрудничество является подспорьем национальных усилий.  При этом следует избегать попадания в зависимость любой формы;</w:t>
      </w:r>
    </w:p>
    <w:p w:rsidR="00000000" w:rsidRDefault="00000000">
      <w:pPr>
        <w:ind w:left="708"/>
      </w:pPr>
    </w:p>
    <w:p w:rsidR="00000000" w:rsidRDefault="00000000">
      <w:pPr>
        <w:numPr>
          <w:ilvl w:val="0"/>
          <w:numId w:val="486"/>
        </w:numPr>
        <w:tabs>
          <w:tab w:val="clear" w:pos="1068"/>
        </w:tabs>
        <w:ind w:left="1134" w:hanging="567"/>
      </w:pPr>
      <w:r>
        <w:t>Самоокупаемость.  Сотрудничество оправдано лишь тогда, когда налицо процесс развития, и позднее сторона сотрудничества может обходиться собственными ресурсами;</w:t>
      </w:r>
    </w:p>
    <w:p w:rsidR="00000000" w:rsidRDefault="00000000">
      <w:pPr>
        <w:ind w:left="708"/>
      </w:pPr>
    </w:p>
    <w:p w:rsidR="00000000" w:rsidRDefault="00000000">
      <w:pPr>
        <w:numPr>
          <w:ilvl w:val="0"/>
          <w:numId w:val="486"/>
        </w:numPr>
        <w:tabs>
          <w:tab w:val="clear" w:pos="1068"/>
        </w:tabs>
        <w:ind w:left="1134" w:hanging="567"/>
      </w:pPr>
      <w:r>
        <w:t>Совместное финансирование.  Стороны должны совместно вкладывать финансовые средства в реализацию совместных проектов.  Речь не идет о какой-либо форме помощи;</w:t>
      </w:r>
    </w:p>
    <w:p w:rsidR="00000000" w:rsidRDefault="00000000">
      <w:pPr>
        <w:ind w:left="708"/>
      </w:pPr>
    </w:p>
    <w:p w:rsidR="00000000" w:rsidRDefault="00000000">
      <w:pPr>
        <w:numPr>
          <w:ilvl w:val="0"/>
          <w:numId w:val="486"/>
        </w:numPr>
        <w:tabs>
          <w:tab w:val="clear" w:pos="1068"/>
        </w:tabs>
        <w:ind w:left="1134" w:hanging="567"/>
      </w:pPr>
      <w:r>
        <w:t>Многоплановость сотрудничества.</w:t>
      </w:r>
    </w:p>
    <w:p w:rsidR="00000000" w:rsidRDefault="00000000"/>
    <w:p w:rsidR="00000000" w:rsidRDefault="00000000">
      <w:r>
        <w:t>910.</w:t>
      </w:r>
      <w:r>
        <w:tab/>
        <w:t xml:space="preserve">Благодаря такой разновидности сотрудничества, которую можно назвать </w:t>
      </w:r>
      <w:r>
        <w:rPr>
          <w:b/>
        </w:rPr>
        <w:t>содействием</w:t>
      </w:r>
      <w:r>
        <w:t>, Мексика получает техническое содействие от промышленно развитых стран и международных организаций под национальные проекты, призванные усиливать внутреннюю мощь, привлекать передовые технологии и способствовать социальному развитию наиболее уязвимых регионов и групп.</w:t>
      </w:r>
    </w:p>
    <w:p w:rsidR="00000000" w:rsidRDefault="00000000"/>
    <w:p w:rsidR="00000000" w:rsidRDefault="00000000">
      <w:r>
        <w:t>911.</w:t>
      </w:r>
      <w:r>
        <w:tab/>
        <w:t xml:space="preserve">В рамках такой грани сотрудничества, которая может называться </w:t>
      </w:r>
      <w:r>
        <w:rPr>
          <w:b/>
        </w:rPr>
        <w:t>помощью</w:t>
      </w:r>
      <w:r>
        <w:t>, правительство Мексики реализует многочисленные проекты по двухстороннему и региональному сотрудничеству в интересах менее развитых в экономическом отношении стран, особенно стран Центральной Америки и Карибского бассейна, с которыми нас связывает общность интересов:</w:t>
      </w:r>
    </w:p>
    <w:p w:rsidR="00000000" w:rsidRDefault="00000000"/>
    <w:p w:rsidR="00000000" w:rsidRDefault="00000000">
      <w:pPr>
        <w:numPr>
          <w:ilvl w:val="0"/>
          <w:numId w:val="487"/>
        </w:numPr>
        <w:tabs>
          <w:tab w:val="clear" w:pos="1068"/>
        </w:tabs>
        <w:ind w:left="1134" w:hanging="567"/>
      </w:pPr>
      <w:r>
        <w:rPr>
          <w:b/>
        </w:rPr>
        <w:t>Горизонтальное сотрудничество</w:t>
      </w:r>
      <w:r>
        <w:t>.  В данном случае речь идет о проектах сотрудничества с теми развивающимися странами, которые испытывают одинаковые с нами трудности и с которыми нас связывают общие интересы.  Прежде всего это касается стран Южной Америки и Юго-Восточной Азии. Здесь предлагаются к реализации проекты в важнейших секторах экономики, направленные на развитие технического взаимодействия, причем особо приветствуются инициативы, связанные с подготовкой профессиональных национальных кадров.</w:t>
      </w:r>
    </w:p>
    <w:p w:rsidR="00000000" w:rsidRDefault="00000000">
      <w:pPr>
        <w:ind w:left="708"/>
      </w:pPr>
    </w:p>
    <w:p w:rsidR="00000000" w:rsidRDefault="00000000">
      <w:pPr>
        <w:numPr>
          <w:ilvl w:val="0"/>
          <w:numId w:val="487"/>
        </w:numPr>
        <w:tabs>
          <w:tab w:val="clear" w:pos="1068"/>
        </w:tabs>
        <w:ind w:left="1134" w:hanging="567"/>
      </w:pPr>
      <w:r>
        <w:rPr>
          <w:b/>
        </w:rPr>
        <w:t>Треугольное или трехстороннее сотрудничество</w:t>
      </w:r>
      <w:r>
        <w:t>.  Такая разновидность сотрудничества предполагает участие в нем трех сторон.  Первой стороной является страна, которая обращается с просьбой о сотрудничестве, другая сторона, как правило, оказывает финансовую поддержку.  Мексика же, выступая в качестве третьей стороны, в основном вкладывает знания и опыт, направляя в страну, где осуществляется проект, своих специалистов, или предлагая схемы подготовки профессиональных кадров.  В настоящее время соответствующие программы сотрудничества осуществляются главным образом с правительством Японии.</w:t>
      </w:r>
    </w:p>
    <w:p w:rsidR="00000000" w:rsidRDefault="00000000"/>
    <w:p w:rsidR="00000000" w:rsidRDefault="00000000">
      <w:r>
        <w:t>912.</w:t>
      </w:r>
      <w:r>
        <w:tab/>
        <w:t>Обычно международное сотрудничество приобретает следующие формы:</w:t>
      </w:r>
    </w:p>
    <w:p w:rsidR="00000000" w:rsidRDefault="00000000"/>
    <w:p w:rsidR="00000000" w:rsidRDefault="00000000">
      <w:pPr>
        <w:numPr>
          <w:ilvl w:val="0"/>
          <w:numId w:val="487"/>
        </w:numPr>
        <w:tabs>
          <w:tab w:val="clear" w:pos="1068"/>
        </w:tabs>
        <w:ind w:left="1134" w:hanging="567"/>
      </w:pPr>
      <w:r>
        <w:t>обмен экспертами;</w:t>
      </w:r>
    </w:p>
    <w:p w:rsidR="00000000" w:rsidRDefault="00000000">
      <w:pPr>
        <w:ind w:left="708"/>
      </w:pPr>
    </w:p>
    <w:p w:rsidR="00000000" w:rsidRDefault="00000000">
      <w:pPr>
        <w:numPr>
          <w:ilvl w:val="0"/>
          <w:numId w:val="487"/>
        </w:numPr>
        <w:tabs>
          <w:tab w:val="clear" w:pos="1068"/>
        </w:tabs>
        <w:ind w:left="1134" w:hanging="567"/>
      </w:pPr>
      <w:r>
        <w:t>кратковременные командировки и организация технических курсов подготовки;</w:t>
      </w:r>
    </w:p>
    <w:p w:rsidR="00000000" w:rsidRDefault="00000000">
      <w:pPr>
        <w:ind w:left="708"/>
      </w:pPr>
    </w:p>
    <w:p w:rsidR="00000000" w:rsidRDefault="00000000">
      <w:pPr>
        <w:numPr>
          <w:ilvl w:val="0"/>
          <w:numId w:val="487"/>
        </w:numPr>
        <w:tabs>
          <w:tab w:val="clear" w:pos="1068"/>
        </w:tabs>
        <w:ind w:left="1134" w:hanging="567"/>
      </w:pPr>
      <w:r>
        <w:t>изучение предпосылок к выполнению того или иного проекта и возможности его реализации;</w:t>
      </w:r>
    </w:p>
    <w:p w:rsidR="00000000" w:rsidRDefault="00000000">
      <w:pPr>
        <w:ind w:left="708"/>
      </w:pPr>
    </w:p>
    <w:p w:rsidR="00000000" w:rsidRDefault="00000000">
      <w:pPr>
        <w:numPr>
          <w:ilvl w:val="0"/>
          <w:numId w:val="487"/>
        </w:numPr>
        <w:tabs>
          <w:tab w:val="clear" w:pos="1068"/>
        </w:tabs>
        <w:ind w:left="1134" w:hanging="567"/>
      </w:pPr>
      <w:r>
        <w:t>обмен информацией, документацией и проектными и прочими материалами;</w:t>
      </w:r>
    </w:p>
    <w:p w:rsidR="00000000" w:rsidRDefault="00000000">
      <w:pPr>
        <w:ind w:left="708"/>
      </w:pPr>
    </w:p>
    <w:p w:rsidR="00000000" w:rsidRDefault="00000000">
      <w:pPr>
        <w:numPr>
          <w:ilvl w:val="0"/>
          <w:numId w:val="487"/>
        </w:numPr>
        <w:tabs>
          <w:tab w:val="clear" w:pos="1068"/>
        </w:tabs>
        <w:ind w:left="1134" w:hanging="567"/>
      </w:pPr>
      <w:r>
        <w:t>осуществление разведывательных и диагностических миссий и экспедиций;</w:t>
      </w:r>
    </w:p>
    <w:p w:rsidR="00000000" w:rsidRDefault="00000000">
      <w:pPr>
        <w:ind w:left="708"/>
      </w:pPr>
    </w:p>
    <w:p w:rsidR="00000000" w:rsidRDefault="00000000">
      <w:pPr>
        <w:numPr>
          <w:ilvl w:val="0"/>
          <w:numId w:val="487"/>
        </w:numPr>
        <w:tabs>
          <w:tab w:val="clear" w:pos="1068"/>
        </w:tabs>
        <w:ind w:left="1134" w:hanging="567"/>
      </w:pPr>
      <w:r>
        <w:t>проведение встреч, семинаров и рабочих совещаний;</w:t>
      </w:r>
    </w:p>
    <w:p w:rsidR="00000000" w:rsidRDefault="00000000">
      <w:pPr>
        <w:ind w:left="708"/>
      </w:pPr>
    </w:p>
    <w:p w:rsidR="00000000" w:rsidRDefault="00000000">
      <w:pPr>
        <w:numPr>
          <w:ilvl w:val="0"/>
          <w:numId w:val="487"/>
        </w:numPr>
        <w:tabs>
          <w:tab w:val="clear" w:pos="1068"/>
        </w:tabs>
        <w:ind w:left="1134" w:hanging="567"/>
      </w:pPr>
      <w:r>
        <w:t>формирование и подготовка людских ресурсов;</w:t>
      </w:r>
    </w:p>
    <w:p w:rsidR="00000000" w:rsidRDefault="00000000">
      <w:pPr>
        <w:ind w:left="708"/>
      </w:pPr>
    </w:p>
    <w:p w:rsidR="00000000" w:rsidRDefault="00000000">
      <w:pPr>
        <w:numPr>
          <w:ilvl w:val="0"/>
          <w:numId w:val="487"/>
        </w:numPr>
        <w:tabs>
          <w:tab w:val="clear" w:pos="1068"/>
        </w:tabs>
        <w:ind w:left="1134" w:hanging="567"/>
      </w:pPr>
      <w:r>
        <w:t>оборудование и материалы для осуществления проектов (в небольших количествах);  и</w:t>
      </w:r>
    </w:p>
    <w:p w:rsidR="00000000" w:rsidRDefault="00000000">
      <w:pPr>
        <w:ind w:left="708"/>
      </w:pPr>
    </w:p>
    <w:p w:rsidR="00000000" w:rsidRDefault="00000000">
      <w:pPr>
        <w:numPr>
          <w:ilvl w:val="0"/>
          <w:numId w:val="487"/>
        </w:numPr>
        <w:tabs>
          <w:tab w:val="clear" w:pos="1068"/>
        </w:tabs>
        <w:ind w:left="1134" w:hanging="567"/>
      </w:pPr>
      <w:r>
        <w:t>проведение научных исследований.</w:t>
      </w:r>
    </w:p>
    <w:p w:rsidR="00000000" w:rsidRDefault="00000000"/>
    <w:p w:rsidR="00000000" w:rsidRDefault="00000000">
      <w:r>
        <w:t>913.</w:t>
      </w:r>
      <w:r>
        <w:tab/>
        <w:t>В рамках перечисленных в предыдущем пункте разновидностей и форм международного сотрудничества правительство Мексики заключило 83 соглашения на осуществление проектов в области научно-технического сотрудничества.  На их основе правительство Мексики регулирует взаимоотношения со странами и международными организациями.</w:t>
      </w:r>
    </w:p>
    <w:p w:rsidR="00000000" w:rsidRDefault="00000000"/>
    <w:p w:rsidR="00000000" w:rsidRDefault="00000000">
      <w:r>
        <w:t>914.</w:t>
      </w:r>
      <w:r>
        <w:tab/>
        <w:t>В рамках указанных выше 83 соглашений предусмотрено 2 294 конкретных шага, в том числе 635 разовых мероприятий и 1 659 проектов.  По состоянию на конец 2004 года 732 из этих проектов находились на стадии реализации, а 259 были завершены.</w:t>
      </w:r>
    </w:p>
    <w:p w:rsidR="00000000" w:rsidRDefault="00000000"/>
    <w:p w:rsidR="00000000" w:rsidRDefault="00000000">
      <w:pPr>
        <w:jc w:val="center"/>
        <w:rPr>
          <w:bCs/>
          <w:lang w:val="es-MX"/>
        </w:rPr>
      </w:pPr>
      <w:r>
        <w:rPr>
          <w:b/>
          <w:bCs/>
          <w:lang w:eastAsia="ja-JP"/>
        </w:rPr>
        <w:t>1.  Соглашения о сотрудничестве в разбивке по регионам</w:t>
      </w:r>
    </w:p>
    <w:p w:rsidR="00000000" w:rsidRDefault="00000000">
      <w:pPr>
        <w:jc w:val="center"/>
        <w:rPr>
          <w:i/>
          <w:iCs/>
          <w:lang w:eastAsia="ja-JP"/>
        </w:rPr>
      </w:pPr>
      <w:r>
        <w:rPr>
          <w:i/>
          <w:iCs/>
          <w:lang w:eastAsia="ja-JP"/>
        </w:rPr>
        <w:t>(по состоянию на октябрь 2004 года)</w:t>
      </w:r>
    </w:p>
    <w:p w:rsidR="00000000" w:rsidRDefault="00000000">
      <w:pPr>
        <w:rPr>
          <w:lang w:eastAsia="ja-JP"/>
        </w:rPr>
      </w:pPr>
    </w:p>
    <w:tbl>
      <w:tblPr>
        <w:tblW w:w="7309" w:type="dxa"/>
        <w:jc w:val="center"/>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81"/>
        <w:gridCol w:w="1428"/>
      </w:tblGrid>
      <w:tr w:rsidR="00000000">
        <w:trPr>
          <w:trHeight w:val="225"/>
          <w:jc w:val="center"/>
        </w:trPr>
        <w:tc>
          <w:tcPr>
            <w:tcW w:w="5881" w:type="dxa"/>
            <w:shd w:val="clear" w:color="auto" w:fill="FFFFFF"/>
            <w:noWrap/>
            <w:vAlign w:val="bottom"/>
          </w:tcPr>
          <w:p w:rsidR="00000000" w:rsidRDefault="00000000">
            <w:pPr>
              <w:spacing w:before="40"/>
              <w:rPr>
                <w:lang w:eastAsia="ja-JP"/>
              </w:rPr>
            </w:pPr>
            <w:r>
              <w:rPr>
                <w:lang w:eastAsia="ja-JP"/>
              </w:rPr>
              <w:t>Африка и Ближний Восток</w:t>
            </w:r>
          </w:p>
        </w:tc>
        <w:tc>
          <w:tcPr>
            <w:tcW w:w="1428" w:type="dxa"/>
            <w:shd w:val="clear" w:color="auto" w:fill="FFFFFF"/>
            <w:noWrap/>
            <w:vAlign w:val="bottom"/>
          </w:tcPr>
          <w:p w:rsidR="00000000" w:rsidRDefault="00000000">
            <w:pPr>
              <w:tabs>
                <w:tab w:val="clear" w:pos="567"/>
              </w:tabs>
              <w:spacing w:before="40"/>
              <w:ind w:right="113"/>
              <w:jc w:val="right"/>
              <w:rPr>
                <w:lang w:eastAsia="ja-JP"/>
              </w:rPr>
            </w:pPr>
            <w:r>
              <w:rPr>
                <w:lang w:eastAsia="ja-JP"/>
              </w:rPr>
              <w:t>6</w:t>
            </w:r>
          </w:p>
        </w:tc>
      </w:tr>
      <w:tr w:rsidR="00000000">
        <w:trPr>
          <w:trHeight w:val="225"/>
          <w:jc w:val="center"/>
        </w:trPr>
        <w:tc>
          <w:tcPr>
            <w:tcW w:w="5881" w:type="dxa"/>
            <w:shd w:val="clear" w:color="auto" w:fill="FFFFFF"/>
            <w:noWrap/>
            <w:vAlign w:val="bottom"/>
          </w:tcPr>
          <w:p w:rsidR="00000000" w:rsidRDefault="00000000">
            <w:pPr>
              <w:spacing w:before="40"/>
              <w:rPr>
                <w:lang w:eastAsia="ja-JP"/>
              </w:rPr>
            </w:pPr>
            <w:r>
              <w:rPr>
                <w:lang w:eastAsia="ja-JP"/>
              </w:rPr>
              <w:t>Азиатско-Тихоокеанский регион</w:t>
            </w:r>
          </w:p>
        </w:tc>
        <w:tc>
          <w:tcPr>
            <w:tcW w:w="1428" w:type="dxa"/>
            <w:shd w:val="clear" w:color="auto" w:fill="FFFFFF"/>
            <w:noWrap/>
            <w:vAlign w:val="bottom"/>
          </w:tcPr>
          <w:p w:rsidR="00000000" w:rsidRDefault="00000000">
            <w:pPr>
              <w:tabs>
                <w:tab w:val="clear" w:pos="567"/>
              </w:tabs>
              <w:spacing w:before="40"/>
              <w:ind w:right="113"/>
              <w:jc w:val="right"/>
              <w:rPr>
                <w:lang w:eastAsia="ja-JP"/>
              </w:rPr>
            </w:pPr>
            <w:r>
              <w:rPr>
                <w:lang w:eastAsia="ja-JP"/>
              </w:rPr>
              <w:t>8</w:t>
            </w:r>
          </w:p>
        </w:tc>
      </w:tr>
      <w:tr w:rsidR="00000000">
        <w:trPr>
          <w:trHeight w:val="225"/>
          <w:jc w:val="center"/>
        </w:trPr>
        <w:tc>
          <w:tcPr>
            <w:tcW w:w="5881" w:type="dxa"/>
            <w:shd w:val="clear" w:color="auto" w:fill="FFFFFF"/>
            <w:noWrap/>
            <w:vAlign w:val="bottom"/>
          </w:tcPr>
          <w:p w:rsidR="00000000" w:rsidRDefault="00000000">
            <w:pPr>
              <w:spacing w:before="40"/>
              <w:rPr>
                <w:lang w:eastAsia="ja-JP"/>
              </w:rPr>
            </w:pPr>
            <w:r>
              <w:rPr>
                <w:lang w:eastAsia="ja-JP"/>
              </w:rPr>
              <w:t>Центральная/Восточная Европа</w:t>
            </w:r>
          </w:p>
        </w:tc>
        <w:tc>
          <w:tcPr>
            <w:tcW w:w="1428" w:type="dxa"/>
            <w:shd w:val="clear" w:color="auto" w:fill="FFFFFF"/>
            <w:noWrap/>
            <w:vAlign w:val="bottom"/>
          </w:tcPr>
          <w:p w:rsidR="00000000" w:rsidRDefault="00000000">
            <w:pPr>
              <w:tabs>
                <w:tab w:val="clear" w:pos="567"/>
              </w:tabs>
              <w:spacing w:before="40"/>
              <w:ind w:right="113"/>
              <w:jc w:val="right"/>
              <w:rPr>
                <w:lang w:eastAsia="ja-JP"/>
              </w:rPr>
            </w:pPr>
            <w:r>
              <w:rPr>
                <w:lang w:eastAsia="ja-JP"/>
              </w:rPr>
              <w:t>10</w:t>
            </w:r>
          </w:p>
        </w:tc>
      </w:tr>
      <w:tr w:rsidR="00000000">
        <w:trPr>
          <w:trHeight w:val="225"/>
          <w:jc w:val="center"/>
        </w:trPr>
        <w:tc>
          <w:tcPr>
            <w:tcW w:w="5881" w:type="dxa"/>
            <w:shd w:val="clear" w:color="auto" w:fill="FFFFFF"/>
            <w:noWrap/>
            <w:vAlign w:val="bottom"/>
          </w:tcPr>
          <w:p w:rsidR="00000000" w:rsidRDefault="00000000">
            <w:pPr>
              <w:spacing w:before="40"/>
              <w:rPr>
                <w:lang w:eastAsia="ja-JP"/>
              </w:rPr>
            </w:pPr>
            <w:r>
              <w:rPr>
                <w:lang w:eastAsia="ja-JP"/>
              </w:rPr>
              <w:t>Международные организации</w:t>
            </w:r>
          </w:p>
        </w:tc>
        <w:tc>
          <w:tcPr>
            <w:tcW w:w="1428" w:type="dxa"/>
            <w:shd w:val="clear" w:color="auto" w:fill="FFFFFF"/>
            <w:noWrap/>
            <w:vAlign w:val="bottom"/>
          </w:tcPr>
          <w:p w:rsidR="00000000" w:rsidRDefault="00000000">
            <w:pPr>
              <w:tabs>
                <w:tab w:val="clear" w:pos="567"/>
              </w:tabs>
              <w:spacing w:before="40"/>
              <w:ind w:right="113"/>
              <w:jc w:val="right"/>
              <w:rPr>
                <w:lang w:eastAsia="ja-JP"/>
              </w:rPr>
            </w:pPr>
            <w:r>
              <w:rPr>
                <w:lang w:eastAsia="ja-JP"/>
              </w:rPr>
              <w:t>4</w:t>
            </w:r>
          </w:p>
        </w:tc>
      </w:tr>
      <w:tr w:rsidR="00000000">
        <w:trPr>
          <w:trHeight w:val="225"/>
          <w:jc w:val="center"/>
        </w:trPr>
        <w:tc>
          <w:tcPr>
            <w:tcW w:w="5881" w:type="dxa"/>
            <w:shd w:val="clear" w:color="auto" w:fill="FFFFFF"/>
            <w:noWrap/>
            <w:vAlign w:val="bottom"/>
          </w:tcPr>
          <w:p w:rsidR="00000000" w:rsidRDefault="00000000">
            <w:pPr>
              <w:spacing w:before="40"/>
              <w:rPr>
                <w:lang w:eastAsia="ja-JP"/>
              </w:rPr>
            </w:pPr>
            <w:r>
              <w:rPr>
                <w:lang w:eastAsia="ja-JP"/>
              </w:rPr>
              <w:t>Промышленно развитые страны</w:t>
            </w:r>
          </w:p>
        </w:tc>
        <w:tc>
          <w:tcPr>
            <w:tcW w:w="1428" w:type="dxa"/>
            <w:shd w:val="clear" w:color="auto" w:fill="FFFFFF"/>
            <w:noWrap/>
            <w:vAlign w:val="bottom"/>
          </w:tcPr>
          <w:p w:rsidR="00000000" w:rsidRDefault="00000000">
            <w:pPr>
              <w:tabs>
                <w:tab w:val="clear" w:pos="567"/>
              </w:tabs>
              <w:spacing w:before="40"/>
              <w:ind w:right="113"/>
              <w:jc w:val="right"/>
              <w:rPr>
                <w:lang w:eastAsia="ja-JP"/>
              </w:rPr>
            </w:pPr>
            <w:r>
              <w:rPr>
                <w:lang w:eastAsia="ja-JP"/>
              </w:rPr>
              <w:t>14</w:t>
            </w:r>
          </w:p>
        </w:tc>
      </w:tr>
      <w:tr w:rsidR="00000000">
        <w:trPr>
          <w:trHeight w:val="225"/>
          <w:jc w:val="center"/>
        </w:trPr>
        <w:tc>
          <w:tcPr>
            <w:tcW w:w="5881" w:type="dxa"/>
            <w:shd w:val="clear" w:color="auto" w:fill="FFFFFF"/>
            <w:noWrap/>
            <w:vAlign w:val="bottom"/>
          </w:tcPr>
          <w:p w:rsidR="00000000" w:rsidRDefault="00000000">
            <w:pPr>
              <w:spacing w:before="40"/>
              <w:rPr>
                <w:lang w:eastAsia="ja-JP"/>
              </w:rPr>
            </w:pPr>
            <w:r>
              <w:rPr>
                <w:lang w:eastAsia="ja-JP"/>
              </w:rPr>
              <w:t>Южная Америка</w:t>
            </w:r>
          </w:p>
        </w:tc>
        <w:tc>
          <w:tcPr>
            <w:tcW w:w="1428" w:type="dxa"/>
            <w:shd w:val="clear" w:color="auto" w:fill="FFFFFF"/>
            <w:noWrap/>
            <w:vAlign w:val="bottom"/>
          </w:tcPr>
          <w:p w:rsidR="00000000" w:rsidRDefault="00000000">
            <w:pPr>
              <w:tabs>
                <w:tab w:val="clear" w:pos="567"/>
              </w:tabs>
              <w:spacing w:before="40"/>
              <w:ind w:right="113"/>
              <w:jc w:val="right"/>
              <w:rPr>
                <w:lang w:eastAsia="ja-JP"/>
              </w:rPr>
            </w:pPr>
            <w:r>
              <w:rPr>
                <w:lang w:eastAsia="ja-JP"/>
              </w:rPr>
              <w:t>10</w:t>
            </w:r>
          </w:p>
        </w:tc>
      </w:tr>
      <w:tr w:rsidR="00000000">
        <w:trPr>
          <w:trHeight w:val="225"/>
          <w:jc w:val="center"/>
        </w:trPr>
        <w:tc>
          <w:tcPr>
            <w:tcW w:w="5881" w:type="dxa"/>
            <w:shd w:val="clear" w:color="auto" w:fill="FFFFFF"/>
            <w:noWrap/>
            <w:vAlign w:val="bottom"/>
          </w:tcPr>
          <w:p w:rsidR="00000000" w:rsidRDefault="00000000">
            <w:pPr>
              <w:spacing w:before="40"/>
              <w:rPr>
                <w:lang w:eastAsia="ja-JP"/>
              </w:rPr>
            </w:pPr>
            <w:r>
              <w:rPr>
                <w:lang w:eastAsia="ja-JP"/>
              </w:rPr>
              <w:t>Центральная Америка и Карибский бассейн</w:t>
            </w:r>
          </w:p>
        </w:tc>
        <w:tc>
          <w:tcPr>
            <w:tcW w:w="1428" w:type="dxa"/>
            <w:shd w:val="clear" w:color="auto" w:fill="FFFFFF"/>
            <w:noWrap/>
            <w:vAlign w:val="bottom"/>
          </w:tcPr>
          <w:p w:rsidR="00000000" w:rsidRDefault="00000000">
            <w:pPr>
              <w:tabs>
                <w:tab w:val="clear" w:pos="567"/>
              </w:tabs>
              <w:spacing w:before="40"/>
              <w:ind w:right="113"/>
              <w:jc w:val="right"/>
              <w:rPr>
                <w:lang w:eastAsia="ja-JP"/>
              </w:rPr>
            </w:pPr>
            <w:r>
              <w:rPr>
                <w:lang w:eastAsia="ja-JP"/>
              </w:rPr>
              <w:t>31</w:t>
            </w:r>
          </w:p>
        </w:tc>
      </w:tr>
      <w:tr w:rsidR="00000000">
        <w:trPr>
          <w:trHeight w:val="225"/>
          <w:jc w:val="center"/>
        </w:trPr>
        <w:tc>
          <w:tcPr>
            <w:tcW w:w="5881" w:type="dxa"/>
            <w:shd w:val="clear" w:color="auto" w:fill="FFFFFF"/>
            <w:noWrap/>
            <w:vAlign w:val="bottom"/>
          </w:tcPr>
          <w:p w:rsidR="00000000" w:rsidRDefault="00000000">
            <w:pPr>
              <w:tabs>
                <w:tab w:val="left" w:pos="501"/>
              </w:tabs>
              <w:spacing w:before="40"/>
              <w:rPr>
                <w:b/>
                <w:bCs/>
                <w:lang w:eastAsia="ja-JP"/>
              </w:rPr>
            </w:pPr>
            <w:r>
              <w:rPr>
                <w:b/>
                <w:bCs/>
                <w:lang w:val="en-US" w:eastAsia="ja-JP"/>
              </w:rPr>
              <w:tab/>
            </w:r>
            <w:r>
              <w:rPr>
                <w:b/>
                <w:bCs/>
                <w:lang w:eastAsia="ja-JP"/>
              </w:rPr>
              <w:t>Итого</w:t>
            </w:r>
          </w:p>
        </w:tc>
        <w:tc>
          <w:tcPr>
            <w:tcW w:w="1428" w:type="dxa"/>
            <w:shd w:val="clear" w:color="auto" w:fill="FFFFFF"/>
            <w:noWrap/>
            <w:vAlign w:val="bottom"/>
          </w:tcPr>
          <w:p w:rsidR="00000000" w:rsidRDefault="00000000">
            <w:pPr>
              <w:tabs>
                <w:tab w:val="clear" w:pos="567"/>
              </w:tabs>
              <w:spacing w:before="40"/>
              <w:ind w:right="113"/>
              <w:jc w:val="right"/>
              <w:rPr>
                <w:b/>
                <w:bCs/>
                <w:lang w:eastAsia="ja-JP"/>
              </w:rPr>
            </w:pPr>
            <w:r>
              <w:rPr>
                <w:b/>
                <w:bCs/>
                <w:lang w:eastAsia="ja-JP"/>
              </w:rPr>
              <w:t>83</w:t>
            </w:r>
          </w:p>
        </w:tc>
      </w:tr>
    </w:tbl>
    <w:p w:rsidR="00000000" w:rsidRDefault="00000000">
      <w:pPr>
        <w:rPr>
          <w:lang w:val="en-US" w:eastAsia="ja-JP"/>
        </w:rPr>
      </w:pPr>
    </w:p>
    <w:p w:rsidR="00000000" w:rsidRDefault="00000000">
      <w:pPr>
        <w:jc w:val="center"/>
        <w:rPr>
          <w:b/>
          <w:bCs/>
          <w:lang w:val="en-US" w:eastAsia="ja-JP"/>
        </w:rPr>
      </w:pPr>
      <w:r>
        <w:rPr>
          <w:b/>
          <w:bCs/>
          <w:lang w:eastAsia="ja-JP"/>
        </w:rPr>
        <w:t>2.  Проекты в области сотрудничества в разбивке</w:t>
      </w:r>
    </w:p>
    <w:p w:rsidR="00000000" w:rsidRDefault="00000000">
      <w:pPr>
        <w:jc w:val="center"/>
        <w:rPr>
          <w:b/>
          <w:bCs/>
          <w:lang w:eastAsia="ja-JP"/>
        </w:rPr>
      </w:pPr>
      <w:r>
        <w:rPr>
          <w:b/>
          <w:bCs/>
          <w:lang w:eastAsia="ja-JP"/>
        </w:rPr>
        <w:t>по их состоянию и контексту</w:t>
      </w:r>
    </w:p>
    <w:p w:rsidR="00000000" w:rsidRDefault="00000000">
      <w:pPr>
        <w:jc w:val="center"/>
        <w:rPr>
          <w:i/>
          <w:iCs/>
          <w:lang w:eastAsia="ja-JP"/>
        </w:rPr>
      </w:pPr>
      <w:r>
        <w:rPr>
          <w:i/>
          <w:iCs/>
          <w:lang w:eastAsia="ja-JP"/>
        </w:rPr>
        <w:t>(по состоянию на октябрь 2004 года)</w:t>
      </w:r>
    </w:p>
    <w:p w:rsidR="00000000" w:rsidRDefault="00000000">
      <w:pPr>
        <w:jc w:val="center"/>
        <w:rPr>
          <w:lang w:eastAsia="ja-JP"/>
        </w:rPr>
      </w:pPr>
    </w:p>
    <w:tbl>
      <w:tblPr>
        <w:tblW w:w="7312" w:type="dxa"/>
        <w:jc w:val="center"/>
        <w:tblInd w:w="-2039" w:type="dxa"/>
        <w:tblCellMar>
          <w:left w:w="70" w:type="dxa"/>
          <w:right w:w="70" w:type="dxa"/>
        </w:tblCellMar>
        <w:tblLook w:val="0000" w:firstRow="0" w:lastRow="0" w:firstColumn="0" w:lastColumn="0" w:noHBand="0" w:noVBand="0"/>
      </w:tblPr>
      <w:tblGrid>
        <w:gridCol w:w="5880"/>
        <w:gridCol w:w="1432"/>
      </w:tblGrid>
      <w:tr w:rsidR="00000000">
        <w:trPr>
          <w:cantSplit/>
          <w:trHeight w:val="225"/>
          <w:jc w:val="center"/>
        </w:trPr>
        <w:tc>
          <w:tcPr>
            <w:tcW w:w="7312"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b/>
                <w:bCs/>
                <w:lang w:eastAsia="ja-JP"/>
              </w:rPr>
            </w:pPr>
            <w:r>
              <w:rPr>
                <w:b/>
                <w:bCs/>
                <w:lang w:eastAsia="ja-JP"/>
              </w:rPr>
              <w:t>Проекты</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lang w:eastAsia="ja-JP"/>
              </w:rPr>
            </w:pPr>
            <w:r>
              <w:rPr>
                <w:lang w:eastAsia="ja-JP"/>
              </w:rPr>
              <w:t>Предварительные проекты</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s>
              <w:spacing w:before="40"/>
              <w:ind w:right="113"/>
              <w:jc w:val="right"/>
              <w:rPr>
                <w:lang w:eastAsia="ja-JP"/>
              </w:rPr>
            </w:pPr>
            <w:r>
              <w:rPr>
                <w:lang w:eastAsia="ja-JP"/>
              </w:rPr>
              <w:t>377</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lang w:eastAsia="ja-JP"/>
              </w:rPr>
            </w:pPr>
            <w:r>
              <w:rPr>
                <w:lang w:eastAsia="ja-JP"/>
              </w:rPr>
              <w:t>Утвержденные проекты</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s>
              <w:spacing w:before="40"/>
              <w:ind w:right="113"/>
              <w:jc w:val="right"/>
              <w:rPr>
                <w:lang w:eastAsia="ja-JP"/>
              </w:rPr>
            </w:pPr>
            <w:r>
              <w:rPr>
                <w:lang w:eastAsia="ja-JP"/>
              </w:rPr>
              <w:t>169</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b/>
                <w:bCs/>
                <w:lang w:eastAsia="ja-JP"/>
              </w:rPr>
            </w:pPr>
            <w:r>
              <w:rPr>
                <w:b/>
                <w:bCs/>
                <w:lang w:eastAsia="ja-JP"/>
              </w:rPr>
              <w:t>Реализация</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s>
              <w:spacing w:before="40"/>
              <w:ind w:right="113"/>
              <w:jc w:val="right"/>
              <w:rPr>
                <w:b/>
                <w:bCs/>
                <w:lang w:eastAsia="ja-JP"/>
              </w:rPr>
            </w:pPr>
            <w:r>
              <w:rPr>
                <w:b/>
                <w:bCs/>
                <w:lang w:eastAsia="ja-JP"/>
              </w:rPr>
              <w:t>621</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lang w:eastAsia="ja-JP"/>
              </w:rPr>
            </w:pPr>
            <w:r>
              <w:rPr>
                <w:lang w:eastAsia="ja-JP"/>
              </w:rPr>
              <w:t>Завершена</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s>
              <w:spacing w:before="40"/>
              <w:ind w:right="113"/>
              <w:jc w:val="right"/>
              <w:rPr>
                <w:lang w:eastAsia="ja-JP"/>
              </w:rPr>
            </w:pPr>
            <w:r>
              <w:rPr>
                <w:lang w:eastAsia="ja-JP"/>
              </w:rPr>
              <w:t>259</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lang w:eastAsia="ja-JP"/>
              </w:rPr>
            </w:pPr>
            <w:r>
              <w:rPr>
                <w:lang w:eastAsia="ja-JP"/>
              </w:rPr>
              <w:t>Прекращена</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s>
              <w:spacing w:before="40"/>
              <w:ind w:right="113"/>
              <w:jc w:val="right"/>
              <w:rPr>
                <w:lang w:eastAsia="ja-JP"/>
              </w:rPr>
            </w:pPr>
            <w:r>
              <w:rPr>
                <w:lang w:eastAsia="ja-JP"/>
              </w:rPr>
              <w:t>233</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b/>
                <w:bCs/>
                <w:lang w:eastAsia="ja-JP"/>
              </w:rPr>
            </w:pPr>
            <w:r>
              <w:rPr>
                <w:b/>
                <w:bCs/>
                <w:lang w:val="en-US" w:eastAsia="ja-JP"/>
              </w:rPr>
              <w:tab/>
            </w:r>
            <w:r>
              <w:rPr>
                <w:b/>
                <w:bCs/>
                <w:lang w:eastAsia="ja-JP"/>
              </w:rPr>
              <w:t>Итого</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s>
              <w:spacing w:before="40"/>
              <w:ind w:right="113"/>
              <w:jc w:val="right"/>
              <w:rPr>
                <w:b/>
                <w:bCs/>
                <w:lang w:eastAsia="ja-JP"/>
              </w:rPr>
            </w:pPr>
            <w:r>
              <w:rPr>
                <w:b/>
                <w:bCs/>
                <w:lang w:eastAsia="ja-JP"/>
              </w:rPr>
              <w:t>1 659</w:t>
            </w:r>
          </w:p>
        </w:tc>
      </w:tr>
      <w:tr w:rsidR="00000000">
        <w:trPr>
          <w:trHeight w:val="225"/>
          <w:jc w:val="center"/>
        </w:trPr>
        <w:tc>
          <w:tcPr>
            <w:tcW w:w="7312"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b/>
                <w:bCs/>
                <w:lang w:eastAsia="ja-JP"/>
              </w:rPr>
            </w:pPr>
            <w:r>
              <w:rPr>
                <w:b/>
                <w:bCs/>
                <w:lang w:eastAsia="ja-JP"/>
              </w:rPr>
              <w:t>Разовые мероприятия</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lang w:eastAsia="ja-JP"/>
              </w:rPr>
            </w:pPr>
            <w:r>
              <w:rPr>
                <w:lang w:eastAsia="ja-JP"/>
              </w:rPr>
              <w:t>На стадии разработки</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s>
              <w:spacing w:before="40"/>
              <w:ind w:right="113"/>
              <w:jc w:val="right"/>
              <w:rPr>
                <w:lang w:eastAsia="ja-JP"/>
              </w:rPr>
            </w:pPr>
            <w:r>
              <w:rPr>
                <w:lang w:eastAsia="ja-JP"/>
              </w:rPr>
              <w:t>137</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lang w:eastAsia="ja-JP"/>
              </w:rPr>
            </w:pPr>
            <w:r>
              <w:rPr>
                <w:lang w:eastAsia="ja-JP"/>
              </w:rPr>
              <w:t>Утверждены</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s>
              <w:spacing w:before="40"/>
              <w:ind w:right="113"/>
              <w:jc w:val="right"/>
              <w:rPr>
                <w:lang w:eastAsia="ja-JP"/>
              </w:rPr>
            </w:pPr>
            <w:r>
              <w:rPr>
                <w:lang w:eastAsia="ja-JP"/>
              </w:rPr>
              <w:t>92</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b/>
                <w:bCs/>
                <w:lang w:eastAsia="ja-JP"/>
              </w:rPr>
            </w:pPr>
            <w:r>
              <w:rPr>
                <w:b/>
                <w:bCs/>
                <w:lang w:eastAsia="ja-JP"/>
              </w:rPr>
              <w:t>Реализация</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s>
              <w:spacing w:before="40"/>
              <w:ind w:right="113"/>
              <w:jc w:val="right"/>
              <w:rPr>
                <w:b/>
                <w:bCs/>
                <w:lang w:eastAsia="ja-JP"/>
              </w:rPr>
            </w:pPr>
            <w:r>
              <w:rPr>
                <w:b/>
                <w:bCs/>
                <w:lang w:eastAsia="ja-JP"/>
              </w:rPr>
              <w:t>111</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lang w:eastAsia="ja-JP"/>
              </w:rPr>
            </w:pPr>
            <w:r>
              <w:rPr>
                <w:lang w:eastAsia="ja-JP"/>
              </w:rPr>
              <w:t>Завершена</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s>
              <w:spacing w:before="40"/>
              <w:ind w:right="113"/>
              <w:jc w:val="right"/>
              <w:rPr>
                <w:lang w:eastAsia="ja-JP"/>
              </w:rPr>
            </w:pPr>
            <w:r>
              <w:rPr>
                <w:lang w:eastAsia="ja-JP"/>
              </w:rPr>
              <w:t>166</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lang w:eastAsia="ja-JP"/>
              </w:rPr>
            </w:pPr>
            <w:r>
              <w:rPr>
                <w:lang w:eastAsia="ja-JP"/>
              </w:rPr>
              <w:t>Прекращена</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s>
              <w:spacing w:before="40"/>
              <w:ind w:right="113"/>
              <w:jc w:val="right"/>
              <w:rPr>
                <w:lang w:eastAsia="ja-JP"/>
              </w:rPr>
            </w:pPr>
            <w:r>
              <w:rPr>
                <w:lang w:eastAsia="ja-JP"/>
              </w:rPr>
              <w:t>129</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before="40"/>
              <w:rPr>
                <w:b/>
                <w:bCs/>
                <w:lang w:eastAsia="ja-JP"/>
              </w:rPr>
            </w:pPr>
            <w:r>
              <w:rPr>
                <w:b/>
                <w:bCs/>
                <w:lang w:val="en-US" w:eastAsia="ja-JP"/>
              </w:rPr>
              <w:tab/>
            </w:r>
            <w:r>
              <w:rPr>
                <w:b/>
                <w:bCs/>
                <w:lang w:eastAsia="ja-JP"/>
              </w:rPr>
              <w:t>Итого</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s>
              <w:spacing w:before="40"/>
              <w:ind w:right="113"/>
              <w:jc w:val="right"/>
              <w:rPr>
                <w:b/>
                <w:bCs/>
                <w:lang w:eastAsia="ja-JP"/>
              </w:rPr>
            </w:pPr>
            <w:r>
              <w:rPr>
                <w:b/>
                <w:bCs/>
                <w:lang w:eastAsia="ja-JP"/>
              </w:rPr>
              <w:t>635</w:t>
            </w:r>
          </w:p>
        </w:tc>
      </w:tr>
      <w:tr w:rsidR="00000000">
        <w:trPr>
          <w:trHeight w:val="225"/>
          <w:jc w:val="center"/>
        </w:trPr>
        <w:tc>
          <w:tcPr>
            <w:tcW w:w="7312"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pageBreakBefore/>
              <w:rPr>
                <w:b/>
                <w:bCs/>
                <w:lang w:eastAsia="ja-JP"/>
              </w:rPr>
            </w:pPr>
            <w:r>
              <w:rPr>
                <w:b/>
                <w:bCs/>
                <w:lang w:eastAsia="ja-JP"/>
              </w:rPr>
              <w:t>Проекты и разовые мероприятия</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На стадии разработки</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565"/>
              </w:tabs>
              <w:ind w:right="113"/>
              <w:jc w:val="right"/>
              <w:rPr>
                <w:lang w:eastAsia="ja-JP"/>
              </w:rPr>
            </w:pPr>
            <w:r>
              <w:rPr>
                <w:lang w:eastAsia="ja-JP"/>
              </w:rPr>
              <w:t>514</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Утверждены</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565"/>
              </w:tabs>
              <w:ind w:right="113"/>
              <w:jc w:val="right"/>
              <w:rPr>
                <w:lang w:eastAsia="ja-JP"/>
              </w:rPr>
            </w:pPr>
            <w:r>
              <w:rPr>
                <w:lang w:eastAsia="ja-JP"/>
              </w:rPr>
              <w:t>261</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rPr>
                <w:b/>
                <w:bCs/>
                <w:lang w:eastAsia="ja-JP"/>
              </w:rPr>
            </w:pPr>
            <w:r>
              <w:rPr>
                <w:b/>
                <w:bCs/>
                <w:lang w:eastAsia="ja-JP"/>
              </w:rPr>
              <w:t>Реализация</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565"/>
              </w:tabs>
              <w:ind w:right="113"/>
              <w:jc w:val="right"/>
              <w:rPr>
                <w:b/>
                <w:bCs/>
                <w:lang w:eastAsia="ja-JP"/>
              </w:rPr>
            </w:pPr>
            <w:r>
              <w:rPr>
                <w:b/>
                <w:bCs/>
                <w:lang w:eastAsia="ja-JP"/>
              </w:rPr>
              <w:t>732</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Завершена</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565"/>
              </w:tabs>
              <w:ind w:right="113"/>
              <w:jc w:val="right"/>
              <w:rPr>
                <w:lang w:eastAsia="ja-JP"/>
              </w:rPr>
            </w:pPr>
            <w:r>
              <w:rPr>
                <w:lang w:eastAsia="ja-JP"/>
              </w:rPr>
              <w:t>425</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Прекращена</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565"/>
              </w:tabs>
              <w:ind w:right="113"/>
              <w:jc w:val="right"/>
              <w:rPr>
                <w:lang w:eastAsia="ja-JP"/>
              </w:rPr>
            </w:pPr>
            <w:r>
              <w:rPr>
                <w:lang w:eastAsia="ja-JP"/>
              </w:rPr>
              <w:t>362</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rPr>
                <w:b/>
                <w:bCs/>
                <w:lang w:eastAsia="ja-JP"/>
              </w:rPr>
            </w:pPr>
            <w:r>
              <w:rPr>
                <w:b/>
                <w:bCs/>
                <w:lang w:val="en-US" w:eastAsia="ja-JP"/>
              </w:rPr>
              <w:tab/>
            </w:r>
            <w:r>
              <w:rPr>
                <w:b/>
                <w:bCs/>
                <w:lang w:eastAsia="ja-JP"/>
              </w:rPr>
              <w:t>Итого</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565"/>
              </w:tabs>
              <w:ind w:right="113"/>
              <w:jc w:val="right"/>
              <w:rPr>
                <w:b/>
                <w:bCs/>
                <w:lang w:eastAsia="ja-JP"/>
              </w:rPr>
            </w:pPr>
            <w:r>
              <w:rPr>
                <w:b/>
                <w:bCs/>
                <w:lang w:eastAsia="ja-JP"/>
              </w:rPr>
              <w:t>2 294</w:t>
            </w:r>
          </w:p>
        </w:tc>
      </w:tr>
      <w:tr w:rsidR="00000000">
        <w:trPr>
          <w:trHeight w:val="225"/>
          <w:jc w:val="center"/>
        </w:trPr>
        <w:tc>
          <w:tcPr>
            <w:tcW w:w="5880" w:type="dxa"/>
            <w:tcBorders>
              <w:top w:val="single" w:sz="4" w:space="0" w:color="auto"/>
              <w:left w:val="single" w:sz="4" w:space="0" w:color="auto"/>
              <w:bottom w:val="single" w:sz="4" w:space="0" w:color="auto"/>
              <w:right w:val="nil"/>
            </w:tcBorders>
            <w:shd w:val="clear" w:color="auto" w:fill="FFFFFF"/>
            <w:noWrap/>
            <w:vAlign w:val="bottom"/>
          </w:tcPr>
          <w:p w:rsidR="00000000" w:rsidRDefault="00000000">
            <w:pPr>
              <w:rPr>
                <w:b/>
                <w:bCs/>
                <w:lang w:eastAsia="ja-JP"/>
              </w:rPr>
            </w:pPr>
            <w:r>
              <w:rPr>
                <w:b/>
                <w:bCs/>
                <w:lang w:eastAsia="ja-JP"/>
              </w:rPr>
              <w:t>Проекты и разовые мероприятия в разбивке по видам</w:t>
            </w:r>
          </w:p>
        </w:tc>
        <w:tc>
          <w:tcPr>
            <w:tcW w:w="1432"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jc w:val="center"/>
              <w:rPr>
                <w:b/>
                <w:bCs/>
                <w:lang w:eastAsia="ja-JP"/>
              </w:rPr>
            </w:pP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Двусторонние</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565"/>
              </w:tabs>
              <w:ind w:right="113"/>
              <w:jc w:val="right"/>
              <w:rPr>
                <w:lang w:eastAsia="ja-JP"/>
              </w:rPr>
            </w:pPr>
            <w:r>
              <w:rPr>
                <w:lang w:eastAsia="ja-JP"/>
              </w:rPr>
              <w:t>508</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Многосторонние</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565"/>
              </w:tabs>
              <w:ind w:right="113"/>
              <w:jc w:val="right"/>
              <w:rPr>
                <w:lang w:eastAsia="ja-JP"/>
              </w:rPr>
            </w:pPr>
            <w:r>
              <w:rPr>
                <w:lang w:eastAsia="ja-JP"/>
              </w:rPr>
              <w:t>133</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Региональные</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565"/>
              </w:tabs>
              <w:ind w:right="113"/>
              <w:jc w:val="right"/>
              <w:rPr>
                <w:lang w:eastAsia="ja-JP"/>
              </w:rPr>
            </w:pPr>
            <w:r>
              <w:rPr>
                <w:lang w:eastAsia="ja-JP"/>
              </w:rPr>
              <w:t>84</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Трехсторонние</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565"/>
              </w:tabs>
              <w:ind w:right="113"/>
              <w:jc w:val="right"/>
              <w:rPr>
                <w:lang w:eastAsia="ja-JP"/>
              </w:rPr>
            </w:pPr>
            <w:r>
              <w:rPr>
                <w:lang w:eastAsia="ja-JP"/>
              </w:rPr>
              <w:t>7</w:t>
            </w:r>
          </w:p>
        </w:tc>
      </w:tr>
      <w:tr w:rsidR="00000000">
        <w:trPr>
          <w:trHeight w:val="225"/>
          <w:jc w:val="center"/>
        </w:trPr>
        <w:tc>
          <w:tcPr>
            <w:tcW w:w="588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rPr>
                <w:b/>
                <w:bCs/>
                <w:lang w:eastAsia="ja-JP"/>
              </w:rPr>
            </w:pPr>
            <w:r>
              <w:rPr>
                <w:b/>
                <w:bCs/>
                <w:lang w:val="en-US" w:eastAsia="ja-JP"/>
              </w:rPr>
              <w:tab/>
            </w:r>
            <w:r>
              <w:rPr>
                <w:b/>
                <w:bCs/>
                <w:lang w:eastAsia="ja-JP"/>
              </w:rPr>
              <w:t>Итого</w:t>
            </w:r>
          </w:p>
        </w:tc>
        <w:tc>
          <w:tcPr>
            <w:tcW w:w="143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565"/>
              </w:tabs>
              <w:ind w:right="113"/>
              <w:jc w:val="right"/>
              <w:rPr>
                <w:b/>
                <w:bCs/>
                <w:lang w:eastAsia="ja-JP"/>
              </w:rPr>
            </w:pPr>
            <w:r>
              <w:rPr>
                <w:b/>
                <w:bCs/>
                <w:lang w:eastAsia="ja-JP"/>
              </w:rPr>
              <w:t>732</w:t>
            </w:r>
          </w:p>
        </w:tc>
      </w:tr>
    </w:tbl>
    <w:p w:rsidR="00000000" w:rsidRDefault="00000000"/>
    <w:p w:rsidR="00000000" w:rsidRDefault="00000000">
      <w:pPr>
        <w:jc w:val="center"/>
        <w:rPr>
          <w:b/>
          <w:bCs/>
          <w:lang w:val="en-US" w:eastAsia="ja-JP"/>
        </w:rPr>
      </w:pPr>
      <w:r>
        <w:rPr>
          <w:b/>
          <w:bCs/>
        </w:rPr>
        <w:t xml:space="preserve">3.  </w:t>
      </w:r>
      <w:r>
        <w:rPr>
          <w:b/>
          <w:bCs/>
          <w:lang w:eastAsia="ja-JP"/>
        </w:rPr>
        <w:t>Реализация проектов в области сотрудничества в разбивке</w:t>
      </w:r>
    </w:p>
    <w:p w:rsidR="00000000" w:rsidRDefault="00000000">
      <w:pPr>
        <w:jc w:val="center"/>
        <w:rPr>
          <w:b/>
          <w:bCs/>
        </w:rPr>
      </w:pPr>
      <w:r>
        <w:rPr>
          <w:b/>
          <w:bCs/>
          <w:lang w:eastAsia="ja-JP"/>
        </w:rPr>
        <w:t>по</w:t>
      </w:r>
      <w:r>
        <w:rPr>
          <w:b/>
          <w:bCs/>
        </w:rPr>
        <w:t xml:space="preserve"> странам/организациям/форумам</w:t>
      </w:r>
    </w:p>
    <w:p w:rsidR="00000000" w:rsidRDefault="00000000">
      <w:pPr>
        <w:jc w:val="center"/>
        <w:rPr>
          <w:i/>
          <w:iCs/>
        </w:rPr>
      </w:pPr>
      <w:r>
        <w:rPr>
          <w:i/>
          <w:iCs/>
          <w:lang w:eastAsia="ja-JP"/>
        </w:rPr>
        <w:t>(по состоянию на октябрь 2004 года)</w:t>
      </w:r>
    </w:p>
    <w:p w:rsidR="00000000" w:rsidRDefault="00000000"/>
    <w:tbl>
      <w:tblPr>
        <w:tblW w:w="7505" w:type="dxa"/>
        <w:jc w:val="center"/>
        <w:tblInd w:w="-4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
        <w:gridCol w:w="6261"/>
        <w:gridCol w:w="1231"/>
        <w:gridCol w:w="7"/>
      </w:tblGrid>
      <w:tr w:rsidR="00000000">
        <w:trPr>
          <w:gridBefore w:val="1"/>
          <w:wBefore w:w="6" w:type="dxa"/>
          <w:trHeight w:val="225"/>
          <w:jc w:val="center"/>
        </w:trPr>
        <w:tc>
          <w:tcPr>
            <w:tcW w:w="7499" w:type="dxa"/>
            <w:gridSpan w:val="3"/>
            <w:tcBorders>
              <w:top w:val="single" w:sz="4" w:space="0" w:color="auto"/>
              <w:bottom w:val="single" w:sz="4" w:space="0" w:color="auto"/>
            </w:tcBorders>
            <w:shd w:val="clear" w:color="auto" w:fill="FFFFFF"/>
            <w:noWrap/>
            <w:vAlign w:val="bottom"/>
          </w:tcPr>
          <w:p w:rsidR="00000000" w:rsidRDefault="00000000">
            <w:pPr>
              <w:rPr>
                <w:b/>
                <w:bCs/>
                <w:lang w:eastAsia="ja-JP"/>
              </w:rPr>
            </w:pPr>
            <w:r>
              <w:rPr>
                <w:b/>
                <w:bCs/>
                <w:lang w:eastAsia="ja-JP"/>
              </w:rPr>
              <w:t>Европа</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Германия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41</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Испания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15</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Финляндия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Франция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16</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Соединенное Королевство</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Италия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24</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Швеция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0</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Португалия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2</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Европейский союз</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23</w:t>
            </w:r>
          </w:p>
        </w:tc>
      </w:tr>
      <w:tr w:rsidR="00000000">
        <w:trPr>
          <w:gridAfter w:val="1"/>
          <w:wAfter w:w="7" w:type="dxa"/>
          <w:trHeight w:val="225"/>
          <w:jc w:val="center"/>
        </w:trPr>
        <w:tc>
          <w:tcPr>
            <w:tcW w:w="6267" w:type="dxa"/>
            <w:gridSpan w:val="2"/>
            <w:tcBorders>
              <w:top w:val="single" w:sz="4" w:space="0" w:color="auto"/>
              <w:bottom w:val="nil"/>
              <w:right w:val="single" w:sz="4" w:space="0" w:color="auto"/>
            </w:tcBorders>
            <w:shd w:val="clear" w:color="auto" w:fill="FFFFFF"/>
            <w:noWrap/>
            <w:vAlign w:val="bottom"/>
          </w:tcPr>
          <w:p w:rsidR="00000000" w:rsidRDefault="00000000">
            <w:pPr>
              <w:rPr>
                <w:b/>
                <w:bCs/>
                <w:lang w:eastAsia="ja-JP"/>
              </w:rPr>
            </w:pPr>
            <w:r>
              <w:rPr>
                <w:b/>
                <w:bCs/>
                <w:lang w:eastAsia="ja-JP"/>
              </w:rPr>
              <w:tab/>
              <w:t>Итого</w:t>
            </w:r>
          </w:p>
        </w:tc>
        <w:tc>
          <w:tcPr>
            <w:tcW w:w="1231" w:type="dxa"/>
            <w:tcBorders>
              <w:top w:val="single" w:sz="4" w:space="0" w:color="auto"/>
              <w:left w:val="single" w:sz="4" w:space="0" w:color="auto"/>
              <w:bottom w:val="nil"/>
            </w:tcBorders>
            <w:shd w:val="clear" w:color="auto" w:fill="FFFFFF"/>
            <w:noWrap/>
            <w:vAlign w:val="bottom"/>
          </w:tcPr>
          <w:p w:rsidR="00000000" w:rsidRDefault="00000000">
            <w:pPr>
              <w:ind w:right="113"/>
              <w:jc w:val="right"/>
              <w:rPr>
                <w:b/>
                <w:bCs/>
                <w:lang w:eastAsia="ja-JP"/>
              </w:rPr>
            </w:pPr>
            <w:r>
              <w:rPr>
                <w:b/>
                <w:bCs/>
                <w:lang w:eastAsia="ja-JP"/>
              </w:rPr>
              <w:t>123</w:t>
            </w:r>
          </w:p>
        </w:tc>
      </w:tr>
      <w:tr w:rsidR="00000000">
        <w:trPr>
          <w:gridBefore w:val="1"/>
          <w:wBefore w:w="6" w:type="dxa"/>
          <w:trHeight w:val="225"/>
          <w:jc w:val="center"/>
        </w:trPr>
        <w:tc>
          <w:tcPr>
            <w:tcW w:w="7499" w:type="dxa"/>
            <w:gridSpan w:val="3"/>
            <w:tcBorders>
              <w:top w:val="single" w:sz="4" w:space="0" w:color="auto"/>
              <w:bottom w:val="single" w:sz="4" w:space="0" w:color="auto"/>
            </w:tcBorders>
            <w:shd w:val="clear" w:color="auto" w:fill="FFFFFF"/>
            <w:noWrap/>
            <w:vAlign w:val="bottom"/>
          </w:tcPr>
          <w:p w:rsidR="00000000" w:rsidRDefault="00000000">
            <w:pPr>
              <w:rPr>
                <w:b/>
                <w:bCs/>
                <w:lang w:eastAsia="ja-JP"/>
              </w:rPr>
            </w:pPr>
            <w:r>
              <w:rPr>
                <w:b/>
                <w:bCs/>
                <w:lang w:eastAsia="ja-JP"/>
              </w:rPr>
              <w:t>Центральная и Восточная Европа</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Венгрия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7</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Польша</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3</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Чешская Республика</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3</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Российская Федерация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3</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b/>
                <w:bCs/>
                <w:lang w:eastAsia="ja-JP"/>
              </w:rPr>
            </w:pPr>
            <w:r>
              <w:rPr>
                <w:b/>
                <w:bCs/>
                <w:lang w:eastAsia="ja-JP"/>
              </w:rPr>
              <w:tab/>
              <w:t>Итого</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b/>
                <w:bCs/>
                <w:lang w:eastAsia="ja-JP"/>
              </w:rPr>
            </w:pPr>
            <w:r>
              <w:rPr>
                <w:b/>
                <w:bCs/>
                <w:lang w:eastAsia="ja-JP"/>
              </w:rPr>
              <w:t>16</w:t>
            </w:r>
          </w:p>
        </w:tc>
      </w:tr>
      <w:tr w:rsidR="00000000">
        <w:trPr>
          <w:gridBefore w:val="1"/>
          <w:wBefore w:w="6" w:type="dxa"/>
          <w:trHeight w:val="225"/>
          <w:jc w:val="center"/>
        </w:trPr>
        <w:tc>
          <w:tcPr>
            <w:tcW w:w="7499" w:type="dxa"/>
            <w:gridSpan w:val="3"/>
            <w:tcBorders>
              <w:top w:val="single" w:sz="4" w:space="0" w:color="auto"/>
              <w:bottom w:val="single" w:sz="4" w:space="0" w:color="auto"/>
            </w:tcBorders>
            <w:shd w:val="clear" w:color="auto" w:fill="FFFFFF"/>
            <w:noWrap/>
            <w:vAlign w:val="bottom"/>
          </w:tcPr>
          <w:p w:rsidR="00000000" w:rsidRDefault="00000000">
            <w:pPr>
              <w:pageBreakBefore/>
              <w:rPr>
                <w:b/>
                <w:bCs/>
                <w:lang w:eastAsia="ja-JP"/>
              </w:rPr>
            </w:pPr>
            <w:r>
              <w:rPr>
                <w:b/>
                <w:bCs/>
                <w:lang w:eastAsia="ja-JP"/>
              </w:rPr>
              <w:t xml:space="preserve">Азиатско-тихоокеанский регион </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Австралия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Япония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44</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Китай</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Корея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3</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Индия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5</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Новая Зеландия</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b/>
                <w:bCs/>
                <w:lang w:eastAsia="ja-JP"/>
              </w:rPr>
            </w:pPr>
            <w:r>
              <w:rPr>
                <w:b/>
                <w:bCs/>
                <w:lang w:eastAsia="ja-JP"/>
              </w:rPr>
              <w:tab/>
              <w:t>Итого</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b/>
                <w:bCs/>
                <w:lang w:eastAsia="ja-JP"/>
              </w:rPr>
            </w:pPr>
            <w:r>
              <w:rPr>
                <w:b/>
                <w:bCs/>
                <w:lang w:eastAsia="ja-JP"/>
              </w:rPr>
              <w:t>55</w:t>
            </w:r>
          </w:p>
        </w:tc>
      </w:tr>
      <w:tr w:rsidR="00000000">
        <w:trPr>
          <w:gridBefore w:val="1"/>
          <w:wBefore w:w="6" w:type="dxa"/>
          <w:trHeight w:val="225"/>
          <w:jc w:val="center"/>
        </w:trPr>
        <w:tc>
          <w:tcPr>
            <w:tcW w:w="7499" w:type="dxa"/>
            <w:gridSpan w:val="3"/>
            <w:tcBorders>
              <w:top w:val="single" w:sz="4" w:space="0" w:color="auto"/>
              <w:bottom w:val="single" w:sz="4" w:space="0" w:color="auto"/>
            </w:tcBorders>
            <w:shd w:val="clear" w:color="auto" w:fill="FFFFFF"/>
            <w:noWrap/>
            <w:vAlign w:val="bottom"/>
          </w:tcPr>
          <w:p w:rsidR="00000000" w:rsidRDefault="00000000">
            <w:pPr>
              <w:rPr>
                <w:b/>
                <w:bCs/>
                <w:lang w:eastAsia="ja-JP"/>
              </w:rPr>
            </w:pPr>
            <w:r>
              <w:rPr>
                <w:b/>
                <w:bCs/>
                <w:lang w:eastAsia="ja-JP"/>
              </w:rPr>
              <w:t>Северная Америка</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Канада</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10</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Соединенные Штаты Америки</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28</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Мексика</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b/>
                <w:bCs/>
                <w:lang w:eastAsia="ja-JP"/>
              </w:rPr>
            </w:pPr>
            <w:r>
              <w:rPr>
                <w:b/>
                <w:bCs/>
                <w:lang w:eastAsia="ja-JP"/>
              </w:rPr>
              <w:tab/>
              <w:t>Итого</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b/>
                <w:bCs/>
                <w:lang w:eastAsia="ja-JP"/>
              </w:rPr>
            </w:pPr>
            <w:r>
              <w:rPr>
                <w:b/>
                <w:bCs/>
                <w:lang w:eastAsia="ja-JP"/>
              </w:rPr>
              <w:t>39</w:t>
            </w:r>
          </w:p>
        </w:tc>
      </w:tr>
      <w:tr w:rsidR="00000000">
        <w:trPr>
          <w:gridBefore w:val="1"/>
          <w:wBefore w:w="6" w:type="dxa"/>
          <w:trHeight w:val="225"/>
          <w:jc w:val="center"/>
        </w:trPr>
        <w:tc>
          <w:tcPr>
            <w:tcW w:w="7499" w:type="dxa"/>
            <w:gridSpan w:val="3"/>
            <w:tcBorders>
              <w:top w:val="single" w:sz="4" w:space="0" w:color="auto"/>
              <w:bottom w:val="single" w:sz="4" w:space="0" w:color="auto"/>
            </w:tcBorders>
            <w:shd w:val="clear" w:color="auto" w:fill="FFFFFF"/>
            <w:noWrap/>
            <w:vAlign w:val="bottom"/>
          </w:tcPr>
          <w:p w:rsidR="00000000" w:rsidRDefault="00000000">
            <w:pPr>
              <w:keepNext/>
              <w:rPr>
                <w:b/>
                <w:bCs/>
                <w:lang w:eastAsia="ja-JP"/>
              </w:rPr>
            </w:pPr>
            <w:r>
              <w:rPr>
                <w:b/>
                <w:bCs/>
                <w:lang w:eastAsia="ja-JP"/>
              </w:rPr>
              <w:t>Африка и Ближний Восток</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Израиль</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Иран</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w:t>
            </w:r>
          </w:p>
        </w:tc>
      </w:tr>
      <w:tr w:rsidR="00000000">
        <w:trPr>
          <w:gridAfter w:val="1"/>
          <w:wAfter w:w="7" w:type="dxa"/>
          <w:trHeight w:val="225"/>
          <w:jc w:val="center"/>
        </w:trPr>
        <w:tc>
          <w:tcPr>
            <w:tcW w:w="6267" w:type="dxa"/>
            <w:gridSpan w:val="2"/>
            <w:tcBorders>
              <w:top w:val="single" w:sz="4" w:space="0" w:color="auto"/>
              <w:bottom w:val="nil"/>
              <w:right w:val="single" w:sz="4" w:space="0" w:color="auto"/>
            </w:tcBorders>
            <w:shd w:val="clear" w:color="auto" w:fill="FFFFFF"/>
            <w:noWrap/>
            <w:vAlign w:val="bottom"/>
          </w:tcPr>
          <w:p w:rsidR="00000000" w:rsidRDefault="00000000">
            <w:pPr>
              <w:rPr>
                <w:b/>
                <w:bCs/>
                <w:lang w:eastAsia="ja-JP"/>
              </w:rPr>
            </w:pPr>
            <w:r>
              <w:rPr>
                <w:b/>
                <w:bCs/>
                <w:lang w:eastAsia="ja-JP"/>
              </w:rPr>
              <w:tab/>
              <w:t>Итого</w:t>
            </w:r>
          </w:p>
        </w:tc>
        <w:tc>
          <w:tcPr>
            <w:tcW w:w="1231" w:type="dxa"/>
            <w:tcBorders>
              <w:top w:val="single" w:sz="4" w:space="0" w:color="auto"/>
              <w:left w:val="single" w:sz="4" w:space="0" w:color="auto"/>
              <w:bottom w:val="nil"/>
            </w:tcBorders>
            <w:shd w:val="clear" w:color="auto" w:fill="FFFFFF"/>
            <w:noWrap/>
            <w:vAlign w:val="bottom"/>
          </w:tcPr>
          <w:p w:rsidR="00000000" w:rsidRDefault="00000000">
            <w:pPr>
              <w:ind w:right="113"/>
              <w:jc w:val="right"/>
              <w:rPr>
                <w:b/>
                <w:bCs/>
                <w:lang w:eastAsia="ja-JP"/>
              </w:rPr>
            </w:pPr>
            <w:r>
              <w:rPr>
                <w:b/>
                <w:bCs/>
                <w:lang w:eastAsia="ja-JP"/>
              </w:rPr>
              <w:t>2</w:t>
            </w:r>
          </w:p>
        </w:tc>
      </w:tr>
      <w:tr w:rsidR="00000000">
        <w:trPr>
          <w:gridBefore w:val="1"/>
          <w:wBefore w:w="6" w:type="dxa"/>
          <w:trHeight w:val="225"/>
          <w:jc w:val="center"/>
        </w:trPr>
        <w:tc>
          <w:tcPr>
            <w:tcW w:w="7499" w:type="dxa"/>
            <w:gridSpan w:val="3"/>
            <w:tcBorders>
              <w:top w:val="single" w:sz="4" w:space="0" w:color="auto"/>
              <w:bottom w:val="single" w:sz="4" w:space="0" w:color="auto"/>
            </w:tcBorders>
            <w:shd w:val="clear" w:color="auto" w:fill="FFFFFF"/>
            <w:noWrap/>
            <w:vAlign w:val="bottom"/>
          </w:tcPr>
          <w:p w:rsidR="00000000" w:rsidRDefault="00000000">
            <w:pPr>
              <w:rPr>
                <w:b/>
                <w:bCs/>
                <w:lang w:eastAsia="ja-JP"/>
              </w:rPr>
            </w:pPr>
            <w:r>
              <w:rPr>
                <w:b/>
                <w:bCs/>
                <w:lang w:eastAsia="ja-JP"/>
              </w:rPr>
              <w:t>Международные организации и форумы</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ЮНФПА</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6</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ФАО</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14</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МФСР</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2</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ГЭФ</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8</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МАГАТЭ</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26</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ИМО</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ВОЗ/ПАОЗ</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11</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ВМО</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ЮНИДО</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4</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ПРООН</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43</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ЮНИСЕФ</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val="en-GB" w:eastAsia="ja-JP"/>
              </w:rPr>
            </w:pPr>
            <w:r>
              <w:rPr>
                <w:lang w:val="en-GB" w:eastAsia="ja-JP"/>
              </w:rPr>
              <w:t>14</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ОАГ</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val="en-GB" w:eastAsia="ja-JP"/>
              </w:rPr>
            </w:pPr>
            <w:r>
              <w:rPr>
                <w:lang w:val="en-GB" w:eastAsia="ja-JP"/>
              </w:rPr>
              <w:t>8</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lang w:eastAsia="ja-JP"/>
              </w:rPr>
            </w:pPr>
            <w:r>
              <w:rPr>
                <w:lang w:eastAsia="ja-JP"/>
              </w:rPr>
              <w:t>ИЛКЕ</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val="en-GB" w:eastAsia="ja-JP"/>
              </w:rPr>
            </w:pPr>
            <w:r>
              <w:rPr>
                <w:lang w:val="en-GB" w:eastAsia="ja-JP"/>
              </w:rPr>
              <w:t>2</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spacing w:before="40" w:line="216" w:lineRule="auto"/>
              <w:rPr>
                <w:lang w:eastAsia="ja-JP"/>
              </w:rPr>
            </w:pPr>
            <w:r>
              <w:rPr>
                <w:lang w:eastAsia="ja-JP"/>
              </w:rPr>
              <w:t>Региональный учебный центр космической науки и техники для Латинской Америки и Карибского бассейна</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3</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spacing w:before="40" w:line="216" w:lineRule="auto"/>
              <w:rPr>
                <w:lang w:eastAsia="ja-JP"/>
              </w:rPr>
            </w:pPr>
            <w:r>
              <w:rPr>
                <w:lang w:eastAsia="ja-JP"/>
              </w:rPr>
              <w:t>МОТ</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spacing w:before="40" w:line="216" w:lineRule="auto"/>
              <w:rPr>
                <w:lang w:eastAsia="ja-JP"/>
              </w:rPr>
            </w:pPr>
            <w:r>
              <w:rPr>
                <w:lang w:eastAsia="ja-JP"/>
              </w:rPr>
              <w:t>Общее пространство высшего образования Латинской Америки, Карибского бассейна и Европейского союза</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15</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spacing w:before="40" w:line="216" w:lineRule="auto"/>
              <w:rPr>
                <w:lang w:eastAsia="ja-JP"/>
              </w:rPr>
            </w:pPr>
            <w:r>
              <w:rPr>
                <w:lang w:eastAsia="ja-JP"/>
              </w:rPr>
              <w:t>Г-3</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6</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spacing w:before="40" w:line="216" w:lineRule="auto"/>
              <w:rPr>
                <w:lang w:eastAsia="ja-JP"/>
              </w:rPr>
            </w:pPr>
            <w:r>
              <w:rPr>
                <w:lang w:eastAsia="ja-JP"/>
              </w:rPr>
              <w:t>Иберо-американская встреча на высшем уровне</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lang w:eastAsia="ja-JP"/>
              </w:rPr>
            </w:pPr>
            <w:r>
              <w:rPr>
                <w:lang w:eastAsia="ja-JP"/>
              </w:rPr>
              <w:t>20</w:t>
            </w:r>
          </w:p>
        </w:tc>
      </w:tr>
      <w:tr w:rsidR="00000000">
        <w:trPr>
          <w:gridAfter w:val="1"/>
          <w:wAfter w:w="7" w:type="dxa"/>
          <w:trHeight w:val="225"/>
          <w:jc w:val="center"/>
        </w:trPr>
        <w:tc>
          <w:tcPr>
            <w:tcW w:w="6267" w:type="dxa"/>
            <w:gridSpan w:val="2"/>
            <w:tcBorders>
              <w:top w:val="single" w:sz="4" w:space="0" w:color="auto"/>
              <w:bottom w:val="single" w:sz="4" w:space="0" w:color="auto"/>
              <w:right w:val="single" w:sz="4" w:space="0" w:color="auto"/>
            </w:tcBorders>
            <w:shd w:val="clear" w:color="auto" w:fill="FFFFFF"/>
            <w:noWrap/>
            <w:vAlign w:val="bottom"/>
          </w:tcPr>
          <w:p w:rsidR="00000000" w:rsidRDefault="00000000">
            <w:pPr>
              <w:rPr>
                <w:b/>
                <w:bCs/>
                <w:lang w:eastAsia="ja-JP"/>
              </w:rPr>
            </w:pPr>
            <w:r>
              <w:rPr>
                <w:b/>
                <w:bCs/>
                <w:lang w:eastAsia="ja-JP"/>
              </w:rPr>
              <w:tab/>
              <w:t>Итого</w:t>
            </w:r>
          </w:p>
        </w:tc>
        <w:tc>
          <w:tcPr>
            <w:tcW w:w="1231" w:type="dxa"/>
            <w:tcBorders>
              <w:top w:val="single" w:sz="4" w:space="0" w:color="auto"/>
              <w:left w:val="single" w:sz="4" w:space="0" w:color="auto"/>
              <w:bottom w:val="single" w:sz="4" w:space="0" w:color="auto"/>
            </w:tcBorders>
            <w:shd w:val="clear" w:color="auto" w:fill="FFFFFF"/>
            <w:noWrap/>
            <w:vAlign w:val="bottom"/>
          </w:tcPr>
          <w:p w:rsidR="00000000" w:rsidRDefault="00000000">
            <w:pPr>
              <w:ind w:right="113"/>
              <w:jc w:val="right"/>
              <w:rPr>
                <w:b/>
                <w:bCs/>
                <w:lang w:eastAsia="ja-JP"/>
              </w:rPr>
            </w:pPr>
            <w:r>
              <w:rPr>
                <w:b/>
                <w:bCs/>
                <w:lang w:eastAsia="ja-JP"/>
              </w:rPr>
              <w:t>185</w:t>
            </w:r>
          </w:p>
        </w:tc>
      </w:tr>
    </w:tbl>
    <w:p w:rsidR="00000000" w:rsidRDefault="00000000">
      <w:pPr>
        <w:spacing w:line="240" w:lineRule="auto"/>
        <w:jc w:val="center"/>
        <w:rPr>
          <w:b/>
          <w:bCs/>
          <w:lang w:eastAsia="ja-JP"/>
        </w:rPr>
      </w:pPr>
      <w:r>
        <w:rPr>
          <w:b/>
          <w:bCs/>
          <w:lang w:eastAsia="ja-JP"/>
        </w:rPr>
        <w:t>4.  Реализация проектов в области сотрудничества в разбивке по</w:t>
      </w:r>
      <w:r>
        <w:rPr>
          <w:b/>
          <w:bCs/>
        </w:rPr>
        <w:t xml:space="preserve"> странам/организациям/форумам</w:t>
      </w:r>
    </w:p>
    <w:p w:rsidR="00000000" w:rsidRDefault="00000000">
      <w:pPr>
        <w:spacing w:line="240" w:lineRule="auto"/>
        <w:jc w:val="center"/>
        <w:rPr>
          <w:i/>
          <w:iCs/>
          <w:lang w:eastAsia="ja-JP"/>
        </w:rPr>
      </w:pPr>
      <w:r>
        <w:rPr>
          <w:i/>
          <w:iCs/>
          <w:lang w:eastAsia="ja-JP"/>
        </w:rPr>
        <w:t>(по состоянию на октябрь 2004 года)</w:t>
      </w:r>
    </w:p>
    <w:p w:rsidR="00000000" w:rsidRDefault="00000000">
      <w:pPr>
        <w:spacing w:line="216" w:lineRule="auto"/>
      </w:pPr>
    </w:p>
    <w:tbl>
      <w:tblPr>
        <w:tblW w:w="7269" w:type="dxa"/>
        <w:jc w:val="center"/>
        <w:tblInd w:w="-675" w:type="dxa"/>
        <w:tblCellMar>
          <w:left w:w="70" w:type="dxa"/>
          <w:right w:w="70" w:type="dxa"/>
        </w:tblCellMar>
        <w:tblLook w:val="0000" w:firstRow="0" w:lastRow="0" w:firstColumn="0" w:lastColumn="0" w:noHBand="0" w:noVBand="0"/>
      </w:tblPr>
      <w:tblGrid>
        <w:gridCol w:w="6197"/>
        <w:gridCol w:w="1072"/>
      </w:tblGrid>
      <w:tr w:rsidR="00000000">
        <w:trPr>
          <w:cantSplit/>
          <w:trHeight w:val="225"/>
          <w:jc w:val="center"/>
        </w:trPr>
        <w:tc>
          <w:tcPr>
            <w:tcW w:w="7269"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rPr>
                <w:lang w:eastAsia="ja-JP"/>
              </w:rPr>
            </w:pPr>
            <w:r>
              <w:rPr>
                <w:b/>
                <w:bCs/>
                <w:lang w:eastAsia="ja-JP"/>
              </w:rPr>
              <w:t>Центральная Америка</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18"/>
              <w:rPr>
                <w:lang w:eastAsia="ja-JP"/>
              </w:rPr>
            </w:pPr>
            <w:r>
              <w:rPr>
                <w:lang w:eastAsia="ja-JP"/>
              </w:rPr>
              <w:t>РСА</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7</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18"/>
              <w:rPr>
                <w:lang w:eastAsia="ja-JP"/>
              </w:rPr>
            </w:pPr>
            <w:r>
              <w:rPr>
                <w:lang w:eastAsia="ja-JP"/>
              </w:rPr>
              <w:t>Белиз</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9</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18"/>
              <w:rPr>
                <w:lang w:eastAsia="ja-JP"/>
              </w:rPr>
            </w:pPr>
            <w:r>
              <w:rPr>
                <w:lang w:eastAsia="ja-JP"/>
              </w:rPr>
              <w:t>Коста-Рика</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val="en-GB" w:eastAsia="ja-JP"/>
              </w:rPr>
            </w:pPr>
            <w:r>
              <w:rPr>
                <w:lang w:val="en-GB" w:eastAsia="ja-JP"/>
              </w:rPr>
              <w:t>35</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18"/>
              <w:rPr>
                <w:lang w:val="en-GB" w:eastAsia="ja-JP"/>
              </w:rPr>
            </w:pPr>
            <w:r>
              <w:rPr>
                <w:lang w:val="en-GB" w:eastAsia="ja-JP"/>
              </w:rPr>
              <w:t>CA-3</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val="en-GB" w:eastAsia="ja-JP"/>
              </w:rPr>
            </w:pPr>
            <w:r>
              <w:rPr>
                <w:lang w:val="en-GB" w:eastAsia="ja-JP"/>
              </w:rPr>
              <w:t>0</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18"/>
              <w:rPr>
                <w:lang w:val="en-GB" w:eastAsia="ja-JP"/>
              </w:rPr>
            </w:pPr>
            <w:r>
              <w:rPr>
                <w:lang w:val="en-GB" w:eastAsia="ja-JP"/>
              </w:rPr>
              <w:t xml:space="preserve">CA-8 </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val="en-GB" w:eastAsia="ja-JP"/>
              </w:rPr>
            </w:pPr>
            <w:r>
              <w:rPr>
                <w:lang w:val="en-GB" w:eastAsia="ja-JP"/>
              </w:rPr>
              <w:t>1</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18"/>
              <w:rPr>
                <w:lang w:val="en-GB" w:eastAsia="ja-JP"/>
              </w:rPr>
            </w:pPr>
            <w:r>
              <w:rPr>
                <w:lang w:val="en-GB" w:eastAsia="ja-JP"/>
              </w:rPr>
              <w:t xml:space="preserve">CA-7 </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19</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18"/>
              <w:rPr>
                <w:lang w:eastAsia="ja-JP"/>
              </w:rPr>
            </w:pPr>
            <w:r>
              <w:rPr>
                <w:lang w:eastAsia="ja-JP"/>
              </w:rPr>
              <w:t>Сальвадор</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17</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18"/>
              <w:rPr>
                <w:lang w:eastAsia="ja-JP"/>
              </w:rPr>
            </w:pPr>
            <w:r>
              <w:rPr>
                <w:lang w:eastAsia="ja-JP"/>
              </w:rPr>
              <w:t>Гватемала</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25</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18"/>
              <w:rPr>
                <w:lang w:eastAsia="ja-JP"/>
              </w:rPr>
            </w:pPr>
            <w:r>
              <w:rPr>
                <w:lang w:eastAsia="ja-JP"/>
              </w:rPr>
              <w:t>Гондурас</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22</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18"/>
              <w:rPr>
                <w:lang w:eastAsia="ja-JP"/>
              </w:rPr>
            </w:pPr>
            <w:r>
              <w:rPr>
                <w:lang w:eastAsia="ja-JP"/>
              </w:rPr>
              <w:t>Никарагуа</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39</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18"/>
              <w:rPr>
                <w:lang w:eastAsia="ja-JP"/>
              </w:rPr>
            </w:pPr>
            <w:r>
              <w:rPr>
                <w:lang w:eastAsia="ja-JP"/>
              </w:rPr>
              <w:t>Панама</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17</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rPr>
                <w:b/>
                <w:bCs/>
                <w:lang w:eastAsia="ja-JP"/>
              </w:rPr>
            </w:pPr>
            <w:r>
              <w:rPr>
                <w:b/>
                <w:bCs/>
                <w:lang w:eastAsia="ja-JP"/>
              </w:rPr>
              <w:tab/>
              <w:t>Итого</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b/>
                <w:bCs/>
                <w:lang w:eastAsia="ja-JP"/>
              </w:rPr>
            </w:pPr>
            <w:r>
              <w:rPr>
                <w:b/>
                <w:bCs/>
                <w:lang w:eastAsia="ja-JP"/>
              </w:rPr>
              <w:t>191</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spacing w:line="264" w:lineRule="auto"/>
              <w:rPr>
                <w:b/>
                <w:bCs/>
                <w:lang w:eastAsia="ja-JP"/>
              </w:rPr>
            </w:pPr>
            <w:r>
              <w:rPr>
                <w:b/>
                <w:bCs/>
                <w:lang w:eastAsia="ja-JP"/>
              </w:rPr>
              <w:t>Карибский бассейн</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tabs>
                <w:tab w:val="clear" w:pos="567"/>
                <w:tab w:val="decimal" w:pos="356"/>
              </w:tabs>
              <w:spacing w:line="264" w:lineRule="auto"/>
              <w:ind w:left="170" w:right="17"/>
              <w:jc w:val="right"/>
              <w:rPr>
                <w:lang w:eastAsia="ja-JP"/>
              </w:rPr>
            </w:pP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spacing w:line="264" w:lineRule="auto"/>
              <w:rPr>
                <w:lang w:eastAsia="ja-JP"/>
              </w:rPr>
            </w:pPr>
            <w:r>
              <w:rPr>
                <w:lang w:eastAsia="ja-JP"/>
              </w:rPr>
              <w:t>Багамские Острова</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tabs>
                <w:tab w:val="clear" w:pos="567"/>
                <w:tab w:val="decimal" w:pos="356"/>
              </w:tabs>
              <w:spacing w:line="264" w:lineRule="auto"/>
              <w:ind w:left="170" w:right="17"/>
              <w:jc w:val="right"/>
              <w:rPr>
                <w:lang w:eastAsia="ja-JP"/>
              </w:rPr>
            </w:pPr>
            <w:r>
              <w:rPr>
                <w:lang w:eastAsia="ja-JP"/>
              </w:rPr>
              <w:t>2</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spacing w:line="264" w:lineRule="auto"/>
              <w:rPr>
                <w:lang w:eastAsia="ja-JP"/>
              </w:rPr>
            </w:pPr>
            <w:r>
              <w:rPr>
                <w:lang w:eastAsia="ja-JP"/>
              </w:rPr>
              <w:t>КАРИКОМ</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tabs>
                <w:tab w:val="clear" w:pos="567"/>
                <w:tab w:val="decimal" w:pos="356"/>
              </w:tabs>
              <w:spacing w:line="264" w:lineRule="auto"/>
              <w:ind w:left="170" w:right="17"/>
              <w:jc w:val="right"/>
              <w:rPr>
                <w:lang w:eastAsia="ja-JP"/>
              </w:rPr>
            </w:pPr>
            <w:r>
              <w:rPr>
                <w:lang w:eastAsia="ja-JP"/>
              </w:rPr>
              <w:t>4</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spacing w:line="264" w:lineRule="auto"/>
              <w:rPr>
                <w:lang w:eastAsia="ja-JP"/>
              </w:rPr>
            </w:pPr>
            <w:r>
              <w:rPr>
                <w:lang w:eastAsia="ja-JP"/>
              </w:rPr>
              <w:t>Куба</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tabs>
                <w:tab w:val="clear" w:pos="567"/>
                <w:tab w:val="decimal" w:pos="356"/>
              </w:tabs>
              <w:spacing w:line="264" w:lineRule="auto"/>
              <w:ind w:left="170" w:right="17"/>
              <w:jc w:val="right"/>
              <w:rPr>
                <w:lang w:eastAsia="ja-JP"/>
              </w:rPr>
            </w:pPr>
            <w:r>
              <w:rPr>
                <w:lang w:eastAsia="ja-JP"/>
              </w:rPr>
              <w:t>66</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rPr>
                <w:lang w:eastAsia="ja-JP"/>
              </w:rPr>
            </w:pPr>
            <w:r>
              <w:rPr>
                <w:lang w:eastAsia="ja-JP"/>
              </w:rPr>
              <w:t>Гаити</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0</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rPr>
                <w:lang w:eastAsia="ja-JP"/>
              </w:rPr>
            </w:pPr>
            <w:r>
              <w:rPr>
                <w:lang w:eastAsia="ja-JP"/>
              </w:rPr>
              <w:t>Ямайка</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16</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rPr>
                <w:b/>
                <w:bCs/>
                <w:i/>
                <w:iCs/>
                <w:lang w:eastAsia="ja-JP"/>
              </w:rPr>
            </w:pPr>
            <w:r>
              <w:rPr>
                <w:lang w:eastAsia="ja-JP"/>
              </w:rPr>
              <w:t>Карибский регион</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0</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rPr>
                <w:lang w:eastAsia="ja-JP"/>
              </w:rPr>
            </w:pPr>
            <w:r>
              <w:rPr>
                <w:lang w:eastAsia="ja-JP"/>
              </w:rPr>
              <w:t>Тринидад и Тобаго</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0</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rPr>
                <w:lang w:eastAsia="ja-JP"/>
              </w:rPr>
            </w:pPr>
            <w:r>
              <w:rPr>
                <w:lang w:eastAsia="ja-JP"/>
              </w:rPr>
              <w:t>Доминиканская Республика</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clear" w:pos="567"/>
                <w:tab w:val="decimal" w:pos="356"/>
              </w:tabs>
              <w:spacing w:line="264" w:lineRule="auto"/>
              <w:ind w:left="170" w:right="17"/>
              <w:jc w:val="right"/>
              <w:rPr>
                <w:lang w:eastAsia="ja-JP"/>
              </w:rPr>
            </w:pPr>
            <w:r>
              <w:rPr>
                <w:lang w:eastAsia="ja-JP"/>
              </w:rPr>
              <w:t>5</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rPr>
                <w:b/>
                <w:bCs/>
                <w:lang w:eastAsia="ja-JP"/>
              </w:rPr>
            </w:pPr>
            <w:r>
              <w:rPr>
                <w:b/>
                <w:bCs/>
                <w:lang w:eastAsia="ja-JP"/>
              </w:rPr>
              <w:tab/>
              <w:t>Итого</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b/>
                <w:bCs/>
                <w:lang w:eastAsia="ja-JP"/>
              </w:rPr>
            </w:pPr>
            <w:r>
              <w:rPr>
                <w:b/>
                <w:bCs/>
                <w:lang w:eastAsia="ja-JP"/>
              </w:rPr>
              <w:t>93</w:t>
            </w:r>
          </w:p>
        </w:tc>
      </w:tr>
      <w:tr w:rsidR="00000000">
        <w:trPr>
          <w:cantSplit/>
          <w:trHeight w:val="225"/>
          <w:jc w:val="center"/>
        </w:trPr>
        <w:tc>
          <w:tcPr>
            <w:tcW w:w="7269"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rPr>
                <w:b/>
                <w:bCs/>
                <w:lang w:eastAsia="ja-JP"/>
              </w:rPr>
            </w:pPr>
            <w:r>
              <w:rPr>
                <w:b/>
                <w:bCs/>
                <w:lang w:eastAsia="ja-JP"/>
              </w:rPr>
              <w:t>Южная Америка</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32"/>
              <w:rPr>
                <w:lang w:eastAsia="ja-JP"/>
              </w:rPr>
            </w:pPr>
            <w:r>
              <w:rPr>
                <w:lang w:eastAsia="ja-JP"/>
              </w:rPr>
              <w:t>Аргентина</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lang w:eastAsia="ja-JP"/>
              </w:rPr>
            </w:pPr>
            <w:r>
              <w:rPr>
                <w:lang w:eastAsia="ja-JP"/>
              </w:rPr>
              <w:t>2</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32"/>
              <w:rPr>
                <w:lang w:eastAsia="ja-JP"/>
              </w:rPr>
            </w:pPr>
            <w:r>
              <w:rPr>
                <w:lang w:eastAsia="ja-JP"/>
              </w:rPr>
              <w:t>Боливия</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lang w:eastAsia="ja-JP"/>
              </w:rPr>
            </w:pPr>
            <w:r>
              <w:rPr>
                <w:lang w:eastAsia="ja-JP"/>
              </w:rPr>
              <w:t>0</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32"/>
              <w:rPr>
                <w:lang w:eastAsia="ja-JP"/>
              </w:rPr>
            </w:pPr>
            <w:r>
              <w:rPr>
                <w:lang w:eastAsia="ja-JP"/>
              </w:rPr>
              <w:t>Бразилия</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lang w:eastAsia="ja-JP"/>
              </w:rPr>
            </w:pPr>
            <w:r>
              <w:rPr>
                <w:lang w:eastAsia="ja-JP"/>
              </w:rPr>
              <w:t>3</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32"/>
              <w:rPr>
                <w:lang w:eastAsia="ja-JP"/>
              </w:rPr>
            </w:pPr>
            <w:r>
              <w:rPr>
                <w:lang w:eastAsia="ja-JP"/>
              </w:rPr>
              <w:t>Чили</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lang w:eastAsia="ja-JP"/>
              </w:rPr>
            </w:pPr>
            <w:r>
              <w:rPr>
                <w:lang w:eastAsia="ja-JP"/>
              </w:rPr>
              <w:t>2</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32"/>
              <w:rPr>
                <w:lang w:eastAsia="ja-JP"/>
              </w:rPr>
            </w:pPr>
            <w:r>
              <w:rPr>
                <w:lang w:eastAsia="ja-JP"/>
              </w:rPr>
              <w:t>Колумбия</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lang w:eastAsia="ja-JP"/>
              </w:rPr>
            </w:pPr>
            <w:r>
              <w:rPr>
                <w:lang w:eastAsia="ja-JP"/>
              </w:rPr>
              <w:t>2</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32"/>
              <w:rPr>
                <w:lang w:eastAsia="ja-JP"/>
              </w:rPr>
            </w:pPr>
            <w:r>
              <w:rPr>
                <w:lang w:eastAsia="ja-JP"/>
              </w:rPr>
              <w:t>Парагвай</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lang w:eastAsia="ja-JP"/>
              </w:rPr>
            </w:pPr>
            <w:r>
              <w:rPr>
                <w:lang w:eastAsia="ja-JP"/>
              </w:rPr>
              <w:t>4</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32"/>
              <w:rPr>
                <w:lang w:eastAsia="ja-JP"/>
              </w:rPr>
            </w:pPr>
            <w:r>
              <w:rPr>
                <w:lang w:eastAsia="ja-JP"/>
              </w:rPr>
              <w:t>Перу</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lang w:eastAsia="ja-JP"/>
              </w:rPr>
            </w:pPr>
            <w:r>
              <w:rPr>
                <w:lang w:eastAsia="ja-JP"/>
              </w:rPr>
              <w:t>12</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32"/>
              <w:rPr>
                <w:lang w:eastAsia="ja-JP"/>
              </w:rPr>
            </w:pPr>
            <w:r>
              <w:rPr>
                <w:lang w:eastAsia="ja-JP"/>
              </w:rPr>
              <w:t>Уругвай</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lang w:eastAsia="ja-JP"/>
              </w:rPr>
            </w:pPr>
            <w:r>
              <w:rPr>
                <w:lang w:eastAsia="ja-JP"/>
              </w:rPr>
              <w:t>2</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32"/>
              <w:rPr>
                <w:lang w:eastAsia="ja-JP"/>
              </w:rPr>
            </w:pPr>
            <w:r>
              <w:rPr>
                <w:lang w:eastAsia="ja-JP"/>
              </w:rPr>
              <w:t>Венесуэла</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lang w:eastAsia="ja-JP"/>
              </w:rPr>
            </w:pPr>
            <w:r>
              <w:rPr>
                <w:lang w:eastAsia="ja-JP"/>
              </w:rPr>
              <w:t>1</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ind w:left="32"/>
              <w:rPr>
                <w:lang w:eastAsia="ja-JP"/>
              </w:rPr>
            </w:pPr>
            <w:r>
              <w:rPr>
                <w:lang w:eastAsia="ja-JP"/>
              </w:rPr>
              <w:t>Без указания</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lang w:eastAsia="ja-JP"/>
              </w:rPr>
            </w:pPr>
            <w:r>
              <w:rPr>
                <w:lang w:eastAsia="ja-JP"/>
              </w:rPr>
              <w:t>0</w:t>
            </w:r>
          </w:p>
        </w:tc>
      </w:tr>
      <w:tr w:rsidR="00000000">
        <w:trPr>
          <w:trHeight w:val="225"/>
          <w:jc w:val="center"/>
        </w:trPr>
        <w:tc>
          <w:tcPr>
            <w:tcW w:w="619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spacing w:line="264" w:lineRule="auto"/>
              <w:rPr>
                <w:b/>
                <w:bCs/>
                <w:lang w:eastAsia="ja-JP"/>
              </w:rPr>
            </w:pPr>
            <w:r>
              <w:rPr>
                <w:b/>
                <w:bCs/>
                <w:lang w:eastAsia="ja-JP"/>
              </w:rPr>
              <w:tab/>
              <w:t>Итого</w:t>
            </w:r>
          </w:p>
        </w:tc>
        <w:tc>
          <w:tcPr>
            <w:tcW w:w="1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b/>
                <w:bCs/>
                <w:lang w:eastAsia="ja-JP"/>
              </w:rPr>
            </w:pPr>
            <w:r>
              <w:rPr>
                <w:b/>
                <w:bCs/>
                <w:lang w:eastAsia="ja-JP"/>
              </w:rPr>
              <w:t>28</w:t>
            </w:r>
          </w:p>
        </w:tc>
      </w:tr>
      <w:tr w:rsidR="00000000">
        <w:trPr>
          <w:trHeight w:val="240"/>
          <w:jc w:val="center"/>
        </w:trPr>
        <w:tc>
          <w:tcPr>
            <w:tcW w:w="6197" w:type="dxa"/>
            <w:tcBorders>
              <w:top w:val="single" w:sz="4" w:space="0" w:color="auto"/>
              <w:left w:val="single" w:sz="4" w:space="0" w:color="auto"/>
              <w:bottom w:val="single" w:sz="4" w:space="0" w:color="auto"/>
              <w:right w:val="nil"/>
            </w:tcBorders>
            <w:shd w:val="clear" w:color="auto" w:fill="FFFFFF"/>
            <w:noWrap/>
            <w:vAlign w:val="bottom"/>
          </w:tcPr>
          <w:p w:rsidR="00000000" w:rsidRDefault="00000000">
            <w:pPr>
              <w:tabs>
                <w:tab w:val="left" w:pos="820"/>
              </w:tabs>
              <w:spacing w:line="264" w:lineRule="auto"/>
              <w:rPr>
                <w:b/>
                <w:bCs/>
                <w:lang w:eastAsia="ja-JP"/>
              </w:rPr>
            </w:pPr>
            <w:r>
              <w:rPr>
                <w:b/>
                <w:bCs/>
                <w:lang w:eastAsia="ja-JP"/>
              </w:rPr>
              <w:tab/>
              <w:t>Всего</w:t>
            </w:r>
          </w:p>
        </w:tc>
        <w:tc>
          <w:tcPr>
            <w:tcW w:w="1072"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tabs>
                <w:tab w:val="decimal" w:pos="356"/>
              </w:tabs>
              <w:spacing w:line="264" w:lineRule="auto"/>
              <w:ind w:left="113"/>
              <w:jc w:val="right"/>
              <w:rPr>
                <w:b/>
                <w:bCs/>
                <w:lang w:eastAsia="ja-JP"/>
              </w:rPr>
            </w:pPr>
            <w:r>
              <w:rPr>
                <w:b/>
                <w:bCs/>
                <w:lang w:eastAsia="ja-JP"/>
              </w:rPr>
              <w:t>732</w:t>
            </w:r>
          </w:p>
        </w:tc>
      </w:tr>
    </w:tbl>
    <w:p w:rsidR="00000000" w:rsidRDefault="00000000">
      <w:pPr>
        <w:spacing w:line="264" w:lineRule="auto"/>
        <w:rPr>
          <w:lang w:eastAsia="ja-JP"/>
        </w:rPr>
      </w:pPr>
    </w:p>
    <w:p w:rsidR="00000000" w:rsidRDefault="00000000">
      <w:pPr>
        <w:jc w:val="center"/>
        <w:rPr>
          <w:b/>
          <w:bCs/>
          <w:lang w:eastAsia="ja-JP"/>
        </w:rPr>
      </w:pPr>
      <w:r>
        <w:rPr>
          <w:b/>
          <w:bCs/>
          <w:lang w:eastAsia="ja-JP"/>
        </w:rPr>
        <w:br w:type="page"/>
        <w:t>5.  Реализация проектов в области сотрудничества в разбивке по</w:t>
      </w:r>
      <w:r>
        <w:rPr>
          <w:b/>
          <w:bCs/>
        </w:rPr>
        <w:t xml:space="preserve"> секторам </w:t>
      </w:r>
    </w:p>
    <w:p w:rsidR="00000000" w:rsidRDefault="00000000">
      <w:pPr>
        <w:jc w:val="center"/>
        <w:rPr>
          <w:i/>
          <w:iCs/>
          <w:lang w:eastAsia="ja-JP"/>
        </w:rPr>
      </w:pPr>
      <w:r>
        <w:rPr>
          <w:i/>
          <w:iCs/>
          <w:lang w:eastAsia="ja-JP"/>
        </w:rPr>
        <w:t>(по состоянию на октябрь 2004 года)</w:t>
      </w:r>
    </w:p>
    <w:p w:rsidR="00000000" w:rsidRDefault="00000000"/>
    <w:tbl>
      <w:tblPr>
        <w:tblW w:w="7329" w:type="dxa"/>
        <w:jc w:val="center"/>
        <w:tblInd w:w="-40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903"/>
        <w:gridCol w:w="1426"/>
      </w:tblGrid>
      <w:tr w:rsidR="00000000">
        <w:trPr>
          <w:cantSplit/>
          <w:trHeight w:val="225"/>
          <w:jc w:val="center"/>
        </w:trPr>
        <w:tc>
          <w:tcPr>
            <w:tcW w:w="7329" w:type="dxa"/>
            <w:gridSpan w:val="2"/>
            <w:tcBorders>
              <w:top w:val="single" w:sz="4" w:space="0" w:color="auto"/>
              <w:bottom w:val="single" w:sz="4" w:space="0" w:color="auto"/>
            </w:tcBorders>
            <w:shd w:val="clear" w:color="auto" w:fill="FFFFFF"/>
            <w:noWrap/>
            <w:vAlign w:val="bottom"/>
          </w:tcPr>
          <w:p w:rsidR="00000000" w:rsidRDefault="00000000">
            <w:pPr>
              <w:keepNext/>
              <w:rPr>
                <w:b/>
                <w:bCs/>
                <w:lang w:eastAsia="ja-JP"/>
              </w:rPr>
            </w:pPr>
            <w:r>
              <w:rPr>
                <w:b/>
                <w:bCs/>
                <w:lang w:eastAsia="ja-JP"/>
              </w:rPr>
              <w:t>Сектора</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Сельское хозяйство</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52</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Наука</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75</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Торговля</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4</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Связь</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4</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Культура и искусство</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50</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 xml:space="preserve">Административное управление </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13</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Социальное развитие</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53</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Образование</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146</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Энергетика</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35</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Статистика, география и информатика</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9</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Финансы и государственное имущество</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1</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Животноводство</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10</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Промышленность</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20</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Окружающая среда</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73</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Горнорудная промышленность</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1</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Рыболовство</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19</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Внешняя политика</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8</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Внутренняя политика</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14</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 xml:space="preserve">Предотвращение стихийных бедствий и обеспечение готовности к ним </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12</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Социальное обеспечение</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2</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Природные ресурсы</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21</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Здравоохранение</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65</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Разные сектора</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1</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Техника и технология</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32</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Труд</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4</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Транспорт</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7</w:t>
            </w:r>
          </w:p>
        </w:tc>
      </w:tr>
      <w:tr w:rsidR="00000000">
        <w:trPr>
          <w:trHeight w:val="225"/>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lang w:eastAsia="ja-JP"/>
              </w:rPr>
            </w:pPr>
            <w:r>
              <w:rPr>
                <w:lang w:eastAsia="ja-JP"/>
              </w:rPr>
              <w:t>Туризм</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lang w:eastAsia="ja-JP"/>
              </w:rPr>
            </w:pPr>
            <w:r>
              <w:rPr>
                <w:lang w:eastAsia="ja-JP"/>
              </w:rPr>
              <w:t>1</w:t>
            </w:r>
          </w:p>
        </w:tc>
      </w:tr>
      <w:tr w:rsidR="00000000">
        <w:trPr>
          <w:trHeight w:val="240"/>
          <w:jc w:val="center"/>
        </w:trPr>
        <w:tc>
          <w:tcPr>
            <w:tcW w:w="5903" w:type="dxa"/>
            <w:tcBorders>
              <w:top w:val="single" w:sz="4" w:space="0" w:color="auto"/>
              <w:bottom w:val="single" w:sz="4" w:space="0" w:color="auto"/>
              <w:right w:val="single" w:sz="4" w:space="0" w:color="auto"/>
            </w:tcBorders>
            <w:shd w:val="clear" w:color="auto" w:fill="FFFFFF"/>
            <w:noWrap/>
            <w:vAlign w:val="bottom"/>
          </w:tcPr>
          <w:p w:rsidR="00000000" w:rsidRDefault="00000000">
            <w:pPr>
              <w:ind w:left="52"/>
              <w:rPr>
                <w:b/>
                <w:bCs/>
                <w:lang w:eastAsia="ja-JP"/>
              </w:rPr>
            </w:pPr>
            <w:r>
              <w:rPr>
                <w:b/>
                <w:bCs/>
                <w:lang w:eastAsia="ja-JP"/>
              </w:rPr>
              <w:tab/>
              <w:t>Итого</w:t>
            </w:r>
          </w:p>
        </w:tc>
        <w:tc>
          <w:tcPr>
            <w:tcW w:w="1426" w:type="dxa"/>
            <w:tcBorders>
              <w:top w:val="single" w:sz="4" w:space="0" w:color="auto"/>
              <w:left w:val="single" w:sz="4" w:space="0" w:color="auto"/>
              <w:bottom w:val="single" w:sz="4" w:space="0" w:color="auto"/>
            </w:tcBorders>
            <w:shd w:val="clear" w:color="auto" w:fill="FFFFFF"/>
            <w:noWrap/>
            <w:vAlign w:val="bottom"/>
          </w:tcPr>
          <w:p w:rsidR="00000000" w:rsidRDefault="00000000">
            <w:pPr>
              <w:tabs>
                <w:tab w:val="clear" w:pos="1134"/>
                <w:tab w:val="decimal" w:pos="348"/>
              </w:tabs>
              <w:ind w:left="227" w:right="191"/>
              <w:jc w:val="right"/>
              <w:rPr>
                <w:b/>
                <w:bCs/>
                <w:lang w:eastAsia="ja-JP"/>
              </w:rPr>
            </w:pPr>
            <w:r>
              <w:rPr>
                <w:b/>
                <w:bCs/>
                <w:lang w:eastAsia="ja-JP"/>
              </w:rPr>
              <w:t>732</w:t>
            </w:r>
          </w:p>
        </w:tc>
      </w:tr>
    </w:tbl>
    <w:p w:rsidR="00000000" w:rsidRDefault="00000000"/>
    <w:p w:rsidR="00000000" w:rsidRDefault="00000000">
      <w:pPr>
        <w:rPr>
          <w:b/>
          <w:bCs/>
        </w:rPr>
      </w:pPr>
      <w:r>
        <w:rPr>
          <w:b/>
          <w:bCs/>
        </w:rPr>
        <w:br w:type="page"/>
        <w:t xml:space="preserve">Пункт 71 </w:t>
      </w:r>
      <w:r>
        <w:rPr>
          <w:b/>
          <w:bCs/>
          <w:lang w:val="en-US"/>
        </w:rPr>
        <w:t>b</w:t>
      </w:r>
      <w:r>
        <w:rPr>
          <w:b/>
          <w:bCs/>
        </w:rPr>
        <w:t>)</w:t>
      </w:r>
    </w:p>
    <w:p w:rsidR="00000000" w:rsidRDefault="00000000"/>
    <w:p w:rsidR="00000000" w:rsidRDefault="00000000">
      <w:r>
        <w:t>915.</w:t>
      </w:r>
      <w:r>
        <w:tab/>
        <w:t>Национальный совет по науке и технике (Конасит) имеет ряд двухсторонних соглашений о сотрудничестве с правительственными учреждениями, научно-исследовательскими институтами и центрами НИОКР различных стран.  Кроме того, поддерживается практика ведения переговоров с целью расширения и диверсификации уже существующих договоров, сфер охвата и заинтересованных ведомств.</w:t>
      </w:r>
    </w:p>
    <w:p w:rsidR="00000000" w:rsidRDefault="00000000"/>
    <w:p w:rsidR="00000000" w:rsidRDefault="00000000">
      <w:r>
        <w:t>916.</w:t>
      </w:r>
      <w:r>
        <w:tab/>
        <w:t>В контексте задачи комплексного развития ОАГ активно поддерживает научно-техническое развитие в странах континента путем финансовой поддержки проектов, связанных с научными исследованиями и технологическими инновациями.  Тем самым она стимулирует подготовку и формирование национальных научных кадров, способствует укреплению инфраструктуры и материальной базы соответствующих учреждений;  кроме того, ОАГ стимулирует и поощряет связи и обмен специалистами:</w:t>
      </w:r>
    </w:p>
    <w:p w:rsidR="00000000" w:rsidRDefault="00000000"/>
    <w:p w:rsidR="00000000" w:rsidRDefault="00000000">
      <w:pPr>
        <w:numPr>
          <w:ilvl w:val="0"/>
          <w:numId w:val="489"/>
        </w:numPr>
        <w:tabs>
          <w:tab w:val="clear" w:pos="1068"/>
        </w:tabs>
        <w:ind w:left="1134" w:hanging="567"/>
      </w:pPr>
      <w:r>
        <w:t>Иберо-американская программа по науке и технике в целях развития (СИТЕД)</w:t>
      </w:r>
      <w:r>
        <w:rPr>
          <w:lang w:val="en-US"/>
        </w:rPr>
        <w:t> </w:t>
      </w:r>
      <w:r>
        <w:t>- это созданная в 1984 году посредством подписания рамочного межведомственного соглашения многосторонняя программа, объединяющая 21 страну.  В ее работе в качестве наблюдателей участвуют такие международные организации, как МАБР, ЭКЛАК, ОАГ и ЮНЕСКО.  Цель программы заключается в укреплении и расширении научно-технического сотрудничества между исследовательскими группами при университетах, центрами научных исследований и технических разработок и инновационными предприятиями в совместных поисках весомых результатов на благо экономик и социального развития иберо-американских стран;</w:t>
      </w:r>
    </w:p>
    <w:p w:rsidR="00000000" w:rsidRDefault="00000000"/>
    <w:p w:rsidR="00000000" w:rsidRDefault="00000000">
      <w:pPr>
        <w:numPr>
          <w:ilvl w:val="0"/>
          <w:numId w:val="489"/>
        </w:numPr>
        <w:tabs>
          <w:tab w:val="clear" w:pos="1068"/>
        </w:tabs>
        <w:ind w:left="1134" w:hanging="567"/>
      </w:pPr>
      <w:r>
        <w:t>Латиноамериканский физический центр (КЛАФ).  Центр является региональной международной структурой, в которой участвуют 22 страны Латинской Америки, Центральной Америки и Карибского бассейна.  Начиная с 1993 года, в Мексике действует отделение КЛАФ - КЛАФМ.  Перед Физическим центром и его мексиканским филиалом стоит задача ускоренного развития физики как науки в Латинской Америке;</w:t>
      </w:r>
    </w:p>
    <w:p w:rsidR="00000000" w:rsidRDefault="00000000">
      <w:pPr>
        <w:ind w:left="708"/>
      </w:pPr>
    </w:p>
    <w:p w:rsidR="00000000" w:rsidRDefault="00000000">
      <w:pPr>
        <w:numPr>
          <w:ilvl w:val="0"/>
          <w:numId w:val="489"/>
        </w:numPr>
        <w:tabs>
          <w:tab w:val="clear" w:pos="1068"/>
        </w:tabs>
        <w:ind w:left="1134" w:hanging="567"/>
      </w:pPr>
      <w:r>
        <w:t>Международный центр научных исследований проблем развития (МЦИР) является самостоятельной государственной организацией, созданной парламентом Канады для стимулирования и поддержки различных исследований на благо развивающихся стран.  Задача Центра заключается</w:t>
      </w:r>
    </w:p>
    <w:p w:rsidR="00000000" w:rsidRDefault="00000000">
      <w:pPr>
        <w:ind w:left="1134" w:hanging="927"/>
      </w:pPr>
      <w:r>
        <w:br w:type="page"/>
      </w:r>
      <w:r>
        <w:tab/>
      </w:r>
      <w:r>
        <w:tab/>
        <w:t>в укреплении и расширении сотрудничества между различными исследовательскими коллективами среди ученых, в правительственных структурах и в частном секторе;</w:t>
      </w:r>
    </w:p>
    <w:p w:rsidR="00000000" w:rsidRDefault="00000000">
      <w:pPr>
        <w:ind w:left="708"/>
      </w:pPr>
    </w:p>
    <w:p w:rsidR="00000000" w:rsidRDefault="00000000">
      <w:pPr>
        <w:numPr>
          <w:ilvl w:val="0"/>
          <w:numId w:val="489"/>
        </w:numPr>
        <w:tabs>
          <w:tab w:val="clear" w:pos="1068"/>
        </w:tabs>
        <w:ind w:left="1134" w:hanging="567"/>
      </w:pPr>
      <w:r>
        <w:t>Латиноамериканская сеть биологических исследований (РЕЛАБ).  Эта сеть, будучи латиноамериканской региональной структурой, призвана развивать биологическую науку в регионе.  Перед РЕЛАБ стоят следующие цели:</w:t>
      </w:r>
    </w:p>
    <w:p w:rsidR="00000000" w:rsidRDefault="00000000">
      <w:pPr>
        <w:ind w:left="348"/>
      </w:pPr>
    </w:p>
    <w:p w:rsidR="00000000" w:rsidRDefault="00000000">
      <w:pPr>
        <w:ind w:left="1701" w:hanging="1353"/>
      </w:pPr>
      <w:r>
        <w:tab/>
      </w:r>
      <w:r>
        <w:tab/>
        <w:t>-</w:t>
      </w:r>
      <w:r>
        <w:tab/>
        <w:t>ускорить научно-техническое развитие стран-участниц в области биологии;</w:t>
      </w:r>
    </w:p>
    <w:p w:rsidR="00000000" w:rsidRDefault="00000000">
      <w:pPr>
        <w:ind w:left="348"/>
      </w:pPr>
    </w:p>
    <w:p w:rsidR="00000000" w:rsidRDefault="00000000">
      <w:pPr>
        <w:ind w:left="1701" w:hanging="1353"/>
      </w:pPr>
      <w:r>
        <w:tab/>
      </w:r>
      <w:r>
        <w:tab/>
        <w:t>-</w:t>
      </w:r>
      <w:r>
        <w:tab/>
        <w:t>активизировать научные исследования по биологической тематике, связанные с развитием и повышением благосостояния народов региона;</w:t>
      </w:r>
    </w:p>
    <w:p w:rsidR="00000000" w:rsidRDefault="00000000">
      <w:pPr>
        <w:ind w:left="348"/>
      </w:pPr>
    </w:p>
    <w:p w:rsidR="00000000" w:rsidRDefault="00000000">
      <w:pPr>
        <w:ind w:left="1701" w:hanging="1353"/>
      </w:pPr>
      <w:r>
        <w:tab/>
      </w:r>
      <w:r>
        <w:tab/>
        <w:t>-</w:t>
      </w:r>
      <w:r>
        <w:tab/>
        <w:t>стимулировать научно-техническое сотрудничество участвующих стран посредством объединения усилий ученых-биологов в области проведения исследований и подготовки кадров;</w:t>
      </w:r>
    </w:p>
    <w:p w:rsidR="00000000" w:rsidRDefault="00000000"/>
    <w:p w:rsidR="00000000" w:rsidRDefault="00000000">
      <w:pPr>
        <w:numPr>
          <w:ilvl w:val="0"/>
          <w:numId w:val="489"/>
        </w:numPr>
        <w:tabs>
          <w:tab w:val="clear" w:pos="1068"/>
        </w:tabs>
        <w:ind w:left="1134" w:hanging="567"/>
      </w:pPr>
      <w:r>
        <w:t>Международный научный фонд (МНФ).  Эта неправительственная организация со штаб-квартирой в Швеции оказывает финансовую поддержку молодым ученым развивающихся стран в их исследовательских работах.  Фонд выделяет ежегодные гранты в размере до 12 000 долл. США;  такие гранты могут предоставляться дважды;</w:t>
      </w:r>
    </w:p>
    <w:p w:rsidR="00000000" w:rsidRDefault="00000000">
      <w:pPr>
        <w:ind w:left="708"/>
      </w:pPr>
    </w:p>
    <w:p w:rsidR="00000000" w:rsidRDefault="00000000">
      <w:pPr>
        <w:numPr>
          <w:ilvl w:val="0"/>
          <w:numId w:val="489"/>
        </w:numPr>
        <w:tabs>
          <w:tab w:val="clear" w:pos="1068"/>
        </w:tabs>
        <w:ind w:left="1134" w:hanging="567"/>
      </w:pPr>
      <w:r>
        <w:t>Международный центр генной инженерии и биотехнологии (МЦГИБ) - многосторонняя автономная структура, созданная в 1982 году, участие в работе которой подтвердили 24 развивающиеся государства.  Штаб-квартира Центра находится в Италии.  Центр призван сообщать импульс развитию стран-участниц посредством налаживания сотрудничества в областях, связанных с генной инженерией и биотехнологией, на основе разработок Центра;</w:t>
      </w:r>
    </w:p>
    <w:p w:rsidR="00000000" w:rsidRDefault="00000000">
      <w:pPr>
        <w:ind w:left="708"/>
      </w:pPr>
    </w:p>
    <w:p w:rsidR="00000000" w:rsidRDefault="00000000">
      <w:pPr>
        <w:numPr>
          <w:ilvl w:val="0"/>
          <w:numId w:val="489"/>
        </w:numPr>
        <w:tabs>
          <w:tab w:val="clear" w:pos="1068"/>
        </w:tabs>
        <w:ind w:left="1134" w:hanging="567"/>
      </w:pPr>
      <w:r>
        <w:t>Академия наук стран третьего мира (ТВАС) и Сеть научных организаций стран третьего мира (ТВИНСО).  Эти структуры финансируются итальянским правительством и странами-членами.  Их штаб-квартиры находятся в Италии.  Они призваны стимулировать научное сотрудничество между развивающимися странами по самым различным направлениям и в самых разнообразных областях научных знаний.</w:t>
      </w:r>
    </w:p>
    <w:p w:rsidR="00000000" w:rsidRDefault="00000000"/>
    <w:p w:rsidR="00000000" w:rsidRDefault="00000000">
      <w:r>
        <w:t>917.</w:t>
      </w:r>
      <w:r>
        <w:tab/>
        <w:t xml:space="preserve">Что касается сферы культуры, то ответ идентичен содержащемуся в подпункте </w:t>
      </w:r>
      <w:r>
        <w:rPr>
          <w:lang w:val="en-US"/>
        </w:rPr>
        <w:t>i</w:t>
      </w:r>
      <w:r>
        <w:t xml:space="preserve">) пункта 1 и в подпункте </w:t>
      </w:r>
      <w:r>
        <w:rPr>
          <w:lang w:val="en-US"/>
        </w:rPr>
        <w:t>b</w:t>
      </w:r>
      <w:r>
        <w:t>) пункта 5.</w:t>
      </w:r>
    </w:p>
    <w:p w:rsidR="00000000" w:rsidRDefault="00000000">
      <w:pPr>
        <w:rPr>
          <w:lang w:val="en-US"/>
        </w:rPr>
      </w:pPr>
    </w:p>
    <w:p w:rsidR="00000000" w:rsidRDefault="00000000">
      <w:r>
        <w:t>918.</w:t>
      </w:r>
      <w:r>
        <w:tab/>
        <w:t>Со своей стороны, Национальный институт авторского права постоянно проводит различные мероприятия, направленные на развитие творческих процессов и поддержание авторских коллективов.  В этих мероприятиях принимают участие выдающиеся и известные национальные и зарубежные деятели культуры.</w:t>
      </w:r>
    </w:p>
    <w:p w:rsidR="00000000" w:rsidRDefault="00000000"/>
    <w:p w:rsidR="00000000" w:rsidRDefault="00000000">
      <w:pPr>
        <w:rPr>
          <w:b/>
          <w:bCs/>
        </w:rPr>
      </w:pPr>
      <w:r>
        <w:rPr>
          <w:b/>
          <w:bCs/>
        </w:rPr>
        <w:tab/>
        <w:t>Трудности</w:t>
      </w:r>
    </w:p>
    <w:p w:rsidR="00000000" w:rsidRDefault="00000000"/>
    <w:p w:rsidR="00000000" w:rsidRDefault="00000000">
      <w:r>
        <w:t>919.</w:t>
      </w:r>
      <w:r>
        <w:tab/>
        <w:t>Ощущается потребность в более серьезной материальной поддержке исследователей со стороны Конакульта и Конасит для более активного участия национальных научных кадров с докладами и рефератами в работе различных международных научных семинаров, симпозиумов и форумов.</w:t>
      </w:r>
    </w:p>
    <w:p w:rsidR="00000000" w:rsidRDefault="00000000"/>
    <w:p w:rsidR="00000000" w:rsidRDefault="00000000">
      <w:pPr>
        <w:rPr>
          <w:b/>
          <w:bCs/>
        </w:rPr>
      </w:pPr>
      <w:r>
        <w:rPr>
          <w:b/>
          <w:bCs/>
        </w:rPr>
        <w:t>Пункт 72</w:t>
      </w:r>
    </w:p>
    <w:p w:rsidR="00000000" w:rsidRDefault="00000000"/>
    <w:p w:rsidR="00000000" w:rsidRDefault="00000000">
      <w:r>
        <w:t>920.</w:t>
      </w:r>
      <w:r>
        <w:tab/>
        <w:t>По утверждению Конакульта и Конасит, никаких изменений, отрицательно повлиявших на осуществление соответствующих прав, не происходило.</w:t>
      </w:r>
    </w:p>
    <w:p w:rsidR="00000000" w:rsidRDefault="00000000"/>
    <w:p w:rsidR="00000000" w:rsidRDefault="00000000">
      <w:r>
        <w:rPr>
          <w:b/>
          <w:bCs/>
        </w:rPr>
        <w:t>Пункт 73</w:t>
      </w:r>
    </w:p>
    <w:p w:rsidR="00000000" w:rsidRDefault="00000000"/>
    <w:p w:rsidR="00000000" w:rsidRDefault="00000000">
      <w:r>
        <w:t>921.</w:t>
      </w:r>
      <w:r>
        <w:tab/>
        <w:t>Мексика подписала три конвенции в этой области, однако поскольку они пока еще не вступили в силу или находятся в процессе ратификации, то соответствующие доклады правительством страны не представлялись.</w:t>
      </w:r>
    </w:p>
    <w:p w:rsidR="00000000" w:rsidRDefault="00000000"/>
    <w:p w:rsidR="00000000" w:rsidRDefault="00000000">
      <w:r>
        <w:rPr>
          <w:b/>
          <w:bCs/>
        </w:rPr>
        <w:t>Пункт 74</w:t>
      </w:r>
    </w:p>
    <w:p w:rsidR="00000000" w:rsidRDefault="00000000"/>
    <w:p w:rsidR="00000000" w:rsidRDefault="00000000">
      <w:r>
        <w:t>922.</w:t>
      </w:r>
      <w:r>
        <w:tab/>
        <w:t>Хотя работа в этом направлении ведется, Мексика пока еще не располагает точной и четкой методикой установления культурных показателей, а посему в этой области ей требуется международная помощь.</w:t>
      </w:r>
    </w:p>
    <w:p w:rsidR="00000000" w:rsidRDefault="00000000"/>
    <w:p w:rsidR="00000000" w:rsidRDefault="00000000">
      <w:r>
        <w:t>923.</w:t>
      </w:r>
      <w:r>
        <w:tab/>
        <w:t xml:space="preserve">С другой стороны, Конакульта принял участие в подготовительных совещаниях по разработке под эгидой Организации Объединенных Наций по вопросам образования, науки и культуры (ЮНЕСКО) </w:t>
      </w:r>
      <w:r>
        <w:rPr>
          <w:i/>
          <w:iCs/>
        </w:rPr>
        <w:t>Международной конвенции об охране нематериального культурного наследия</w:t>
      </w:r>
      <w:r>
        <w:t>, которая было подписана в Париже, Франция, 17 октября 2003 года.  Следует отметить, что в настоящее время данный документ находится в процессе его ратификации со стороны правительства Мексики.</w:t>
      </w:r>
    </w:p>
    <w:p w:rsidR="00000000" w:rsidRDefault="00000000"/>
    <w:p w:rsidR="00000000" w:rsidRDefault="00000000">
      <w:r>
        <w:br w:type="page"/>
        <w:t>924.</w:t>
      </w:r>
      <w:r>
        <w:tab/>
        <w:t xml:space="preserve">Важно также указать, что Конакульта в лице НИЭИ принимал активное участие в деятельности по разработке </w:t>
      </w:r>
      <w:r>
        <w:rPr>
          <w:i/>
          <w:iCs/>
        </w:rPr>
        <w:t>Конвенции</w:t>
      </w:r>
      <w:r>
        <w:t xml:space="preserve"> </w:t>
      </w:r>
      <w:r>
        <w:rPr>
          <w:i/>
          <w:iCs/>
        </w:rPr>
        <w:t>об охране подводного культурного наследия</w:t>
      </w:r>
      <w:r>
        <w:t>, которая было принята в Париже, Франция, 2 ноября 2001 года в ходе 31-й сессии Генеральной конференции ЮНЕСКО, проходившей 15 октября - 3 ноября 2001 года.  Данный документ также находится в процессе ратификации со стороны Мексики.</w:t>
      </w:r>
    </w:p>
    <w:p w:rsidR="00000000" w:rsidRDefault="00000000"/>
    <w:p w:rsidR="00000000" w:rsidRDefault="00000000">
      <w:r>
        <w:t>925.</w:t>
      </w:r>
      <w:r>
        <w:tab/>
        <w:t xml:space="preserve">К вышесказанному можно добавить, что в настоящее время ведется разработка </w:t>
      </w:r>
      <w:r>
        <w:rPr>
          <w:i/>
          <w:iCs/>
        </w:rPr>
        <w:t>конвенции ЮНЕСКО о культурном разнообразии</w:t>
      </w:r>
      <w:r>
        <w:t>;  начало этой деятельности было положено на 32-й сессии Генеральной конференции ЮНЕСКО, состоявшейся 29</w:t>
      </w:r>
      <w:r>
        <w:rPr>
          <w:lang w:val="en-US"/>
        </w:rPr>
        <w:t> </w:t>
      </w:r>
      <w:r>
        <w:t>сентября</w:t>
      </w:r>
      <w:r>
        <w:rPr>
          <w:lang w:val="en-US"/>
        </w:rPr>
        <w:t> </w:t>
      </w:r>
      <w:r>
        <w:t>- 17 октября 2003 года.</w:t>
      </w:r>
    </w:p>
    <w:p w:rsidR="00000000" w:rsidRDefault="00000000"/>
    <w:p w:rsidR="00000000" w:rsidRDefault="00000000">
      <w:r>
        <w:t>926.</w:t>
      </w:r>
      <w:r>
        <w:tab/>
        <w:t>Для целей разработки соответствующего проекта конвенции Секретариатом ЮНЕСКО по делам культуры 17-20 декабря 2003 года было организовано совещание с участием 15 экспертов из Австралии, Аргентины, Барбадоса, Венгрии, Ганы, Германии, Египта, Индии, Канады, Ливана, Российской Федерации, Сенегала, Соединенных Штатов, Франции и Японии.  Следует отметить, что Конакульта пристально следит за ходом этой работы, которая должна завершиться принятием указанной конвенции, и уже высказал свои замечания и комментарии на этот счет.</w:t>
      </w:r>
    </w:p>
    <w:p w:rsidR="00000000" w:rsidRDefault="00000000"/>
    <w:p w:rsidR="00000000" w:rsidRDefault="00000000">
      <w:r>
        <w:t>927.</w:t>
      </w:r>
      <w:r>
        <w:tab/>
        <w:t>Кроме того, различные подразделения Конакульта принимали активное участие в работе целого ряда многосторонних форумов и международных организаций, тем самым способствуя признанию и популяризации мексиканской культуры в глобальном масштабе.  В этой связи следует особо отметить причастность к деятельности ЮНЕСКО, Европейского Союза, Международного совета по охране памятников и исторических мест (МСОПИ), а также Международного центра по изучению вопросов сохранения и восстановления культурных ценностей (ИККРОМ).</w:t>
      </w:r>
    </w:p>
    <w:p w:rsidR="00000000" w:rsidRDefault="00000000"/>
    <w:p w:rsidR="00000000" w:rsidRDefault="00000000">
      <w:r>
        <w:t>928.</w:t>
      </w:r>
      <w:r>
        <w:tab/>
        <w:t>С другой стороны, говоря о двухстороннем сотрудничестве, следует отметить, что в 1998-2003 годах подразделения Конакульта неизменно поддерживали мексиканские делегации в деле их активного участия в периодически созываемых заседаниях Смешанной комиссии.  Предпринимались попытки установления и укрепления контактов с подобными подразделениями из других стран, выдвигались предложения для включения нашей страны в работу соответствующих программ образовательного и культурного сотрудничества.</w:t>
      </w:r>
    </w:p>
    <w:p w:rsidR="00000000" w:rsidRDefault="00000000"/>
    <w:p w:rsidR="00000000" w:rsidRDefault="00000000">
      <w:r>
        <w:t>929.</w:t>
      </w:r>
      <w:r>
        <w:tab/>
        <w:t>Следует, в частности, отметить, то содействие, которое Конакульта оказывал странам Центральной Америки и Карибского бассейна, посылая туда мексиканских экспертов для непосредственного участия в работах по сохранению и реставрации культурного и художественного наследия этих стран.  При этом применялись следующие формы сотрудничества:  технические консультации, проведение семинаров, конференций, рабочих совещаний, организация курсов и студий с целью подготовки местных специалистов в деле повышения уровня культуры, поддержки народных промыслов и культур коренных народностей, в изучении наскальных рисунков, организации музейного дела, в артистической подготовке, изучении ремесел и т.д.</w:t>
      </w:r>
    </w:p>
    <w:p w:rsidR="00000000" w:rsidRDefault="00000000"/>
    <w:p w:rsidR="00000000" w:rsidRDefault="00000000">
      <w:r>
        <w:t>930.</w:t>
      </w:r>
      <w:r>
        <w:tab/>
        <w:t>Что касается сотрудничества ученых в области исследований, то в тот же период с 1998 по 2003 годы в нашей стране постоянной поддержкой пользовались программы аспирантур, стипендий и грантов, выделяемых как правительством и иностранными институтами и учреждениями, так и различными международными организациями.</w:t>
      </w:r>
    </w:p>
    <w:p w:rsidR="00000000" w:rsidRDefault="00000000"/>
    <w:p w:rsidR="00000000" w:rsidRDefault="00000000">
      <w:r>
        <w:t>931.</w:t>
      </w:r>
      <w:r>
        <w:tab/>
        <w:t>Например, в июне 1997 года при содействии мексиканского отдела Всемирного банка и правительства Мексики был запущен проект "Образ коренных народов Мексики".  К числу основных целей осуществления этой программы относились предоставление в распоряжение управляющих проектами Всемирного банка и правительственных ведомств блока базовой информации и, как следствие, существенное сокращение расходов на сбор и оценку данных социального и индивидуального характера.  Кроме того, изыскивались возможные способы передачи статистической и аналитической информации в распоряжение заинтересованных сторон, включая неправительственные организации (НПО), исследователей, ученых и общины коренных народов.  В дополнение к региональным и национальным профильным срезам командой ученых-географов из НАУМ и из тогдашнего Национального института коренных народов (ИНИ) был создан банк справочных данных по географии с включением информации по демографии, социальной экономике, культуре и экологии применительно к коренным народам.  Была создана смешанная правительственная рабочая группа (ПРГ) для работы в различных направлениях.</w:t>
      </w:r>
    </w:p>
    <w:p w:rsidR="00000000" w:rsidRDefault="00000000"/>
    <w:p w:rsidR="00000000" w:rsidRDefault="00000000">
      <w:r>
        <w:t>932.</w:t>
      </w:r>
      <w:r>
        <w:tab/>
        <w:t>Кроме того, Конакульта в лице Главного управления народной культуры и культуры коренных народов и ЮНЕСКО заключили соглашение о техническом сотрудничестве в осуществлении проекта "Культурное возрождение", который, по существу, стал вкладом коренных общин штатов Чьяпас, Герреро и Оахака в дело сохранения, обогащения и развития своей древней культуры.  Для целей реализации этого проекта в 2003 году были подготовлены 360 общинных пропагандистов, призванных отслеживать динамику культурных тенденций в своих общинах и стимулировать их культурное возрождение.  Около 100 человек из числа технического персонала и представителей смежных организаций присоединились к этой программе, причем хотя они и не участвовали в основной работе студий и семинаров, но приобрели опыт для ведения пропагандистской деятельности в собственных общинах.</w:t>
      </w:r>
    </w:p>
    <w:p w:rsidR="00000000" w:rsidRDefault="00000000"/>
    <w:p w:rsidR="00000000" w:rsidRDefault="00000000">
      <w:r>
        <w:t>933.</w:t>
      </w:r>
      <w:r>
        <w:tab/>
        <w:t>Был учрежден Международный день родного языка, объявленный в поддержку международной инициативы по защите языков, которая вытекает из Всеобщей декларации лингвистических прав, принятой ЮНЕСКО в 1996 году.  Как следствие, 18 ноября 1999 года была принята резолюция, признающая важность сохранения культурного и языкового наследия человечества и рекомендующая странам-членам ЮНЕСКО содействовать созданию общественного, интеллектуального и коммуникативного климата в поддержку многоязычия во всем мире.  В этой связи в 1980 году - в контексте регионального технического совещания по вопросам двуязычного и межкультурного образования, созванного по инициативе Межамериканского института коренных народов, ЮНЕСКО и Регионального центра фундаментального образования для стран Латинской Америки (КРЕФАЛ) - была подписана Патскуаровская декларация о праве на родной язык.  В 2000 году Организация писателей на языках коренных народов опубликовала Декларацию об этническом, языковом и культурном многообразии Мексики.</w:t>
      </w:r>
    </w:p>
    <w:p w:rsidR="00000000" w:rsidRDefault="00000000"/>
    <w:p w:rsidR="00000000" w:rsidRDefault="00000000">
      <w:r>
        <w:t>934.</w:t>
      </w:r>
      <w:r>
        <w:tab/>
        <w:t>Недавно в ответ на запросы со стороны коренных народов федеральное правительство утвердило ряд важнейших постановлений и проектов, направленных на поддержку и развитие их языков.  Среди этих постановлений и проектов, по своей национальной значимости, выделяются декрет о создании Главного координационного совета по вопросам межкультурного двуязычного образования, а также проект Национального института языков коренных народов, начатый в 2001 году.</w:t>
      </w:r>
    </w:p>
    <w:p w:rsidR="00000000" w:rsidRDefault="00000000"/>
    <w:p w:rsidR="00000000" w:rsidRDefault="00000000">
      <w:pPr>
        <w:jc w:val="center"/>
        <w:rPr>
          <w:b/>
          <w:bCs/>
          <w:lang w:val="en-US"/>
        </w:rPr>
      </w:pPr>
      <w:r>
        <w:rPr>
          <w:b/>
          <w:bCs/>
          <w:lang w:val="en-US"/>
        </w:rPr>
        <w:t>III</w:t>
      </w:r>
      <w:r>
        <w:rPr>
          <w:b/>
          <w:bCs/>
        </w:rPr>
        <w:t>.</w:t>
      </w:r>
      <w:r>
        <w:rPr>
          <w:b/>
          <w:bCs/>
        </w:rPr>
        <w:tab/>
        <w:t>ОТВЕТЫ НА ЗАКЛЮЧИТЕЛЬНЫЕ ЗАМЕЧАНИЯ</w:t>
      </w:r>
    </w:p>
    <w:p w:rsidR="00000000" w:rsidRDefault="00000000">
      <w:pPr>
        <w:jc w:val="center"/>
        <w:rPr>
          <w:b/>
          <w:bCs/>
        </w:rPr>
      </w:pPr>
      <w:r>
        <w:rPr>
          <w:b/>
          <w:bCs/>
        </w:rPr>
        <w:t>И РЕКОМЕНДАЦИИ</w:t>
      </w:r>
    </w:p>
    <w:p w:rsidR="00000000" w:rsidRDefault="00000000"/>
    <w:p w:rsidR="00000000" w:rsidRDefault="00000000">
      <w:pPr>
        <w:rPr>
          <w:bCs/>
        </w:rPr>
      </w:pPr>
      <w:r>
        <w:t>935.</w:t>
      </w:r>
      <w:r>
        <w:tab/>
        <w:t xml:space="preserve">Следующий ниже раздел подготовлен в свете заключительных замечаний по третьему периодическому докладу Мексики, утвержденных Комитетом по экономическим, социальным и культурным правам </w:t>
      </w:r>
      <w:r>
        <w:rPr>
          <w:bCs/>
        </w:rPr>
        <w:t>(</w:t>
      </w:r>
      <w:r>
        <w:rPr>
          <w:bCs/>
          <w:lang w:val="en-US"/>
        </w:rPr>
        <w:t>E</w:t>
      </w:r>
      <w:r>
        <w:rPr>
          <w:bCs/>
        </w:rPr>
        <w:t>/</w:t>
      </w:r>
      <w:r>
        <w:rPr>
          <w:bCs/>
          <w:lang w:val="en-US"/>
        </w:rPr>
        <w:t>C</w:t>
      </w:r>
      <w:r>
        <w:rPr>
          <w:bCs/>
        </w:rPr>
        <w:t>.12/1/</w:t>
      </w:r>
      <w:r>
        <w:rPr>
          <w:bCs/>
          <w:lang w:val="en-US"/>
        </w:rPr>
        <w:t>Add</w:t>
      </w:r>
      <w:r>
        <w:rPr>
          <w:bCs/>
        </w:rPr>
        <w:t>.41), и имеет целью информировать данный Комитет о том, в какой мере правительство Мексики учло высказанные замечания и рекомендации.</w:t>
      </w:r>
    </w:p>
    <w:p w:rsidR="00000000" w:rsidRDefault="00000000">
      <w:pPr>
        <w:rPr>
          <w:bCs/>
        </w:rPr>
      </w:pPr>
    </w:p>
    <w:p w:rsidR="00000000" w:rsidRDefault="00000000">
      <w:pPr>
        <w:ind w:left="567" w:hanging="567"/>
        <w:rPr>
          <w:b/>
          <w:bCs/>
          <w:i/>
          <w:iCs/>
        </w:rPr>
      </w:pPr>
      <w:r>
        <w:rPr>
          <w:b/>
          <w:bCs/>
        </w:rPr>
        <w:tab/>
      </w:r>
      <w:r>
        <w:rPr>
          <w:b/>
          <w:bCs/>
          <w:i/>
          <w:iCs/>
        </w:rPr>
        <w:t>15.</w:t>
      </w:r>
      <w:r>
        <w:rPr>
          <w:b/>
          <w:bCs/>
          <w:i/>
          <w:iCs/>
        </w:rPr>
        <w:tab/>
        <w:t>Комитет выражает обеспокоенность по поводу недостаточного характера усилий, предпринятых государством-участником с целью учета заключительных замечаний и конкретных рекомендаций, принятых после рассмотрения его предыдущего доклада.</w:t>
      </w:r>
    </w:p>
    <w:p w:rsidR="00000000" w:rsidRDefault="00000000"/>
    <w:p w:rsidR="00000000" w:rsidRDefault="00000000">
      <w:r>
        <w:t>936.</w:t>
      </w:r>
      <w:r>
        <w:tab/>
        <w:t>Мексика заявляет о своей твердой решимости добиваться выполнения взятых ею международных обязательств, особенно связанных с признанием, поощрением и защитой прав человека, в частности прав, закрепленных в Международном пакте об экономических и социальных правах, исходя из которых соответствующий Комитет и высказывает свои рекомендации.  Представление настоящего доклада, а также принимаемые законодательные, институциональные и административные шаги и меры, равно как текущая практика имеют целью подтвердить истинность и искренность таких намерений.</w:t>
      </w:r>
    </w:p>
    <w:p w:rsidR="00000000" w:rsidRDefault="00000000"/>
    <w:p w:rsidR="00000000" w:rsidRDefault="00000000">
      <w:pPr>
        <w:ind w:left="567" w:hanging="567"/>
        <w:rPr>
          <w:b/>
          <w:bCs/>
          <w:i/>
          <w:iCs/>
        </w:rPr>
      </w:pPr>
      <w:r>
        <w:rPr>
          <w:b/>
          <w:bCs/>
        </w:rPr>
        <w:tab/>
      </w:r>
      <w:r>
        <w:rPr>
          <w:b/>
          <w:bCs/>
          <w:i/>
          <w:iCs/>
        </w:rPr>
        <w:t>16.</w:t>
      </w:r>
      <w:r>
        <w:rPr>
          <w:b/>
          <w:bCs/>
          <w:i/>
          <w:iCs/>
        </w:rPr>
        <w:tab/>
        <w:t>Комитет озабочен тем, что за рассматриваемый период государством-участником был достигнут очень незначительный прогресс, несмотря на его усилия по сокращению масштабов нищеты.  Он встревожен увеличением числа лиц, живущих в условиях нищеты и крайней нищеты.  Комитет считает, что, если не будут приняты надлежащие меры для устранения структурных причин нищеты, не удастся достичь более справедливого распределения богатства между различными группами общества, между штатами и между сельскими и городскими районами.</w:t>
      </w:r>
    </w:p>
    <w:p w:rsidR="00000000" w:rsidRDefault="00000000"/>
    <w:p w:rsidR="00000000" w:rsidRDefault="00000000">
      <w:r>
        <w:t>937.</w:t>
      </w:r>
      <w:r>
        <w:tab/>
        <w:t>Что касается данной обеспокоенности, то соответствующая информация фигурирует в ответе на рекомендацию, высказанную в пункте 30 замечаний.</w:t>
      </w:r>
    </w:p>
    <w:p w:rsidR="00000000" w:rsidRDefault="00000000"/>
    <w:p w:rsidR="00000000" w:rsidRDefault="00000000">
      <w:pPr>
        <w:ind w:left="567" w:hanging="567"/>
        <w:rPr>
          <w:b/>
          <w:bCs/>
          <w:i/>
          <w:iCs/>
        </w:rPr>
      </w:pPr>
      <w:r>
        <w:rPr>
          <w:b/>
          <w:bCs/>
        </w:rPr>
        <w:tab/>
      </w:r>
      <w:r>
        <w:rPr>
          <w:b/>
          <w:bCs/>
          <w:i/>
          <w:iCs/>
        </w:rPr>
        <w:t>17.</w:t>
      </w:r>
      <w:r>
        <w:rPr>
          <w:b/>
          <w:bCs/>
          <w:i/>
          <w:iCs/>
        </w:rPr>
        <w:tab/>
        <w:t>Комитет также выражает обеспокоенность по поводу несбалансированного подхода, используемого государством-участником для решения различных экономических и социальных проблем, с которыми сталкиваются наиболее маргинальные и уязвимые слои мексиканского общества.</w:t>
      </w:r>
    </w:p>
    <w:p w:rsidR="00000000" w:rsidRDefault="00000000"/>
    <w:p w:rsidR="00000000" w:rsidRDefault="00000000">
      <w:r>
        <w:t>938.</w:t>
      </w:r>
      <w:r>
        <w:tab/>
        <w:t>Средства, отводимые федеральным правительством на социальные нужды, неизменно выделялись в приоритетном порядке и в нарастающем объеме на цели социального развития, о чем свидетельствуют данные за последние годы.  Так, если в 1998 году на цели социального развития из бюджета было выделено 600 583,0 млн. песо, то в 2003 году соответствующие бюджетные ассигнования составили 681 955,6 млн. песо;  это эквивалентно 57,86% и 61,6% от общего объема запланированных расходов.</w:t>
      </w:r>
    </w:p>
    <w:p w:rsidR="00000000" w:rsidRDefault="00000000"/>
    <w:p w:rsidR="00000000" w:rsidRDefault="00000000">
      <w:pPr>
        <w:ind w:left="567" w:hanging="567"/>
        <w:rPr>
          <w:b/>
          <w:bCs/>
          <w:i/>
          <w:iCs/>
        </w:rPr>
      </w:pPr>
      <w:r>
        <w:rPr>
          <w:b/>
          <w:bCs/>
        </w:rPr>
        <w:tab/>
      </w:r>
      <w:r>
        <w:rPr>
          <w:b/>
          <w:bCs/>
          <w:i/>
          <w:iCs/>
        </w:rPr>
        <w:t>18.</w:t>
      </w:r>
      <w:r>
        <w:rPr>
          <w:b/>
          <w:bCs/>
          <w:i/>
          <w:iCs/>
        </w:rPr>
        <w:tab/>
        <w:t>Комитет обеспокоен сохраняющимся бедственным положением групп коренного населения, в частности в штатах Чьяпас, Герреро, Веракрус и Оахака, которые имеют ограниченный доступ, в частности, к медицинским услугам, образованию, трудоустройству, адекватному питанию и жилью.</w:t>
      </w:r>
    </w:p>
    <w:p w:rsidR="00000000" w:rsidRDefault="00000000"/>
    <w:p w:rsidR="00000000" w:rsidRDefault="00000000">
      <w:r>
        <w:t>939.</w:t>
      </w:r>
      <w:r>
        <w:tab/>
        <w:t>В целях охвата этих и других районов расселения коренных народов федеральное правительство осуществляет целый ряд различных программ, среди которых следует особо отметить следующие:  программа "Возможности", которая призвана в первую очередь оказывать содействие семьям, которые живут в условиях крайней нищеты, в целях развития способностей их членов, а также создания новых путей достижения ими более высокого уровня благосостояния;  и программа совместных социальных инвестиций, которая направлена на стимулирование взаимной ответственности между правительственной властью на всех ее трех уровнях и соответствующими "агентами" за всестороннее социальное развитие тех слоев населения, которые живут в условиях бедности, отчуждения, маргинализации, дискриминации по признаку пола и социальной уязвимости.</w:t>
      </w:r>
    </w:p>
    <w:p w:rsidR="00000000" w:rsidRDefault="00000000"/>
    <w:p w:rsidR="00000000" w:rsidRDefault="00000000">
      <w:pPr>
        <w:ind w:left="567" w:hanging="567"/>
        <w:rPr>
          <w:b/>
          <w:bCs/>
          <w:i/>
          <w:iCs/>
          <w:lang w:val="en-US"/>
        </w:rPr>
      </w:pPr>
      <w:r>
        <w:rPr>
          <w:b/>
          <w:bCs/>
        </w:rPr>
        <w:tab/>
      </w:r>
      <w:r>
        <w:rPr>
          <w:b/>
          <w:bCs/>
          <w:i/>
          <w:iCs/>
        </w:rPr>
        <w:t>19.</w:t>
      </w:r>
      <w:r>
        <w:rPr>
          <w:b/>
          <w:bCs/>
          <w:i/>
          <w:iCs/>
        </w:rPr>
        <w:tab/>
        <w:t>Комитет считает, что проблема коррупции также оказывает негативное влияние на полное осуществление экономических, социальных и культурных прав.  Поэтому Комитет не удовлетворен информацией, представленной государством-участником о мерах, принятых с целью л</w:t>
      </w:r>
    </w:p>
    <w:p w:rsidR="00000000" w:rsidRDefault="00000000">
      <w:pPr>
        <w:ind w:left="567" w:hanging="567"/>
        <w:rPr>
          <w:b/>
          <w:bCs/>
          <w:i/>
          <w:iCs/>
        </w:rPr>
      </w:pPr>
      <w:r>
        <w:rPr>
          <w:b/>
          <w:bCs/>
          <w:i/>
          <w:iCs/>
        </w:rPr>
        <w:t>иквидации последствий этой серьезной проблемы в отношении прав, гарантируемых Пактом.</w:t>
      </w:r>
    </w:p>
    <w:p w:rsidR="00000000" w:rsidRDefault="00000000"/>
    <w:p w:rsidR="00000000" w:rsidRDefault="00000000">
      <w:r>
        <w:t>940.</w:t>
      </w:r>
      <w:r>
        <w:tab/>
        <w:t>Правительство Мексики сознает, что добиться закрепления демократических преобразований может лишь при условии формирования гражданской культуры, основанной на таких ценностях, как честность, уважение к закону, подотчетность и законность.</w:t>
      </w:r>
    </w:p>
    <w:p w:rsidR="00000000" w:rsidRDefault="00000000"/>
    <w:p w:rsidR="00000000" w:rsidRDefault="00000000">
      <w:r>
        <w:t>941.</w:t>
      </w:r>
      <w:r>
        <w:tab/>
        <w:t>Одним из основных зол, исходящих от коррупции, является недоверие граждан к институтам власти и чиновничеству.</w:t>
      </w:r>
    </w:p>
    <w:p w:rsidR="00000000" w:rsidRDefault="00000000"/>
    <w:p w:rsidR="00000000" w:rsidRDefault="00000000">
      <w:r>
        <w:t>942.</w:t>
      </w:r>
      <w:r>
        <w:tab/>
        <w:t>Прозрачность в работе правительственных структур, ответственность руководителей за свою публичную деятельность и участие гражданского общества в борьбе с коррупцией - вот те принципы, которые приобретают особую значимость в качестве основы демократии, политической стабильности и экономического роста.</w:t>
      </w:r>
    </w:p>
    <w:p w:rsidR="00000000" w:rsidRDefault="00000000"/>
    <w:p w:rsidR="00000000" w:rsidRDefault="00000000">
      <w:r>
        <w:t>943.</w:t>
      </w:r>
      <w:r>
        <w:tab/>
        <w:t>В целях борьбы с коррупцией Мексика стремится к повышению эффективность и качества работы правительства, к транспарентности во всех сферах и областях жизнедеятельности мексиканского общества.</w:t>
      </w:r>
    </w:p>
    <w:p w:rsidR="00000000" w:rsidRDefault="00000000"/>
    <w:p w:rsidR="00000000" w:rsidRDefault="00000000">
      <w:r>
        <w:t>944.</w:t>
      </w:r>
      <w:r>
        <w:tab/>
        <w:t>В 2003 году вступил в действие федеральный закон об открытости государственной публичной информации и о доступе к ней, который коренным образом меняет характер взаимоотношений между обществом и государством.  Раньше информация, исходившая из государственных органов, распространялась исключительно по усмотрению государственного чиновника.</w:t>
      </w:r>
    </w:p>
    <w:p w:rsidR="00000000" w:rsidRDefault="00000000"/>
    <w:p w:rsidR="00000000" w:rsidRDefault="00000000">
      <w:r>
        <w:br w:type="page"/>
        <w:t>945.</w:t>
      </w:r>
      <w:r>
        <w:tab/>
        <w:t>По новому закону вся правительственная информация является публичной.  Закон обязывает государство с предельной ясностью отчитываться в своих действиях перед гражданами, которые следят за исполнением закона.  В таких условиях чиновник вынужден действовать со всей ответственностью.</w:t>
      </w:r>
    </w:p>
    <w:p w:rsidR="00000000" w:rsidRDefault="00000000"/>
    <w:p w:rsidR="00000000" w:rsidRDefault="00000000">
      <w:r>
        <w:t>946.</w:t>
      </w:r>
      <w:r>
        <w:tab/>
        <w:t>При таком положении дел обеспечиваются более благоприятные условия для производственной деятельности и капиталовложений, постепенно сокращаются возможности совершения скрытых коммерческих сделок, расширяется поток информации о коммерческих предложениях, государственных закупках и программах поддержки производства.  Кроме того, поощряется общественная оценка результатов деятельности правительства и его возможностей, причем без лишних посредников, что способствует решительному укреплению демократии в стране.</w:t>
      </w:r>
    </w:p>
    <w:p w:rsidR="00000000" w:rsidRDefault="00000000"/>
    <w:p w:rsidR="00000000" w:rsidRDefault="00000000">
      <w:r>
        <w:t>947.</w:t>
      </w:r>
      <w:r>
        <w:tab/>
        <w:t>Стоит заметить, что имеется законодательная инициатива о передаче функции наложения взысканий от министерства по делам государственного управления органам административной юстиции.  Это позволит усовершенствовать процедуру наложения взысканий на государственных чиновников, придав ей более справедливый характер.</w:t>
      </w:r>
    </w:p>
    <w:p w:rsidR="00000000" w:rsidRDefault="00000000"/>
    <w:p w:rsidR="00000000" w:rsidRDefault="00000000">
      <w:r>
        <w:t>948.</w:t>
      </w:r>
      <w:r>
        <w:tab/>
        <w:t>Реализуемая Национальная программа борьбы с коррупцией, повышения транспарентности и укрепления административных органов Мексики не только воспитывает в гражданах дух открытости и честности, но и вовлекла все мексиканское общество в борьбу с коррупцией.  Обществу были предложены инструменты, обостряющие восприятие гражданами ущерба, который наносит коррупция, и подчеркивающие необходимость противодействия этому злу.</w:t>
      </w:r>
    </w:p>
    <w:p w:rsidR="00000000" w:rsidRDefault="00000000"/>
    <w:p w:rsidR="00000000" w:rsidRDefault="00000000">
      <w:r>
        <w:t>949.</w:t>
      </w:r>
      <w:r>
        <w:tab/>
        <w:t>Правительство провело целый ряд информационно-просветительских кампаний, направленных на популяризацию среди студентов высшей школы кодекса честного и этичного поведения гражданина.</w:t>
      </w:r>
    </w:p>
    <w:p w:rsidR="00000000" w:rsidRDefault="00000000"/>
    <w:p w:rsidR="00000000" w:rsidRDefault="00000000">
      <w:r>
        <w:t>950.</w:t>
      </w:r>
      <w:r>
        <w:tab/>
        <w:t>С помощью массового выпуска короткометражных рекламно-пропагандистских материалов для телевидения и кино, широких тиражей листовок и прочей печатной продукции, а также подготовки радиопередач были организованы национальные компании против коррупции и за воспитание системы ценностей.</w:t>
      </w:r>
    </w:p>
    <w:p w:rsidR="00000000" w:rsidRDefault="00000000"/>
    <w:p w:rsidR="00000000" w:rsidRDefault="00000000">
      <w:r>
        <w:t>951.</w:t>
      </w:r>
      <w:r>
        <w:tab/>
        <w:t>Среди детей, подростков, школьников и студентов проводились конкурсы, направленные на привитие молодым людям стойкого чувства неприятия коррупции.</w:t>
      </w:r>
    </w:p>
    <w:p w:rsidR="00000000" w:rsidRDefault="00000000"/>
    <w:p w:rsidR="00000000" w:rsidRDefault="00000000">
      <w:r>
        <w:br w:type="page"/>
        <w:t>952.</w:t>
      </w:r>
      <w:r>
        <w:tab/>
        <w:t>С привлечением самостоятельных государственных органов велась работа по составлению индексов коррупции в различных областях в целях оценки ситуации в зонах коррупционного риска;  благодаря этому удалось своевременно принимать меры по изживанию этого негативного явления.</w:t>
      </w:r>
    </w:p>
    <w:p w:rsidR="00000000" w:rsidRDefault="00000000"/>
    <w:p w:rsidR="00000000" w:rsidRDefault="00000000">
      <w:r>
        <w:t>953.</w:t>
      </w:r>
      <w:r>
        <w:tab/>
        <w:t>4 декабря 2000 года в "Федеральном официальном вестнике" было опубликовано постановление об учреждении Межведомственной комиссии по транспарентности власти и борьбе с коррупцией (МКТБК), имеющей своей целью координировать усилия по предупреждению коррупции и борьбе с ней, а также способствовать повышению транспарентности в работе правительственных структур.  К концу 2003 года эта Комиссия выпустила 20 постановлений для их исполнения федеральными органами власти:</w:t>
      </w:r>
    </w:p>
    <w:p w:rsidR="00000000" w:rsidRDefault="00000000"/>
    <w:p w:rsidR="00000000" w:rsidRDefault="00000000">
      <w:pPr>
        <w:numPr>
          <w:ilvl w:val="0"/>
          <w:numId w:val="490"/>
        </w:numPr>
        <w:tabs>
          <w:tab w:val="clear" w:pos="1068"/>
        </w:tabs>
        <w:ind w:left="1148" w:hanging="602"/>
      </w:pPr>
      <w:r>
        <w:t>О введении программы поощрения честности и добросовестности среди государственных служащих;</w:t>
      </w:r>
    </w:p>
    <w:p w:rsidR="00000000" w:rsidRDefault="00000000">
      <w:pPr>
        <w:ind w:left="1148" w:hanging="602"/>
      </w:pPr>
    </w:p>
    <w:p w:rsidR="00000000" w:rsidRDefault="00000000">
      <w:pPr>
        <w:numPr>
          <w:ilvl w:val="0"/>
          <w:numId w:val="490"/>
        </w:numPr>
        <w:tabs>
          <w:tab w:val="clear" w:pos="1068"/>
        </w:tabs>
        <w:ind w:left="1148" w:hanging="602"/>
      </w:pPr>
      <w:r>
        <w:t>О широком распространении общественной информации через Интернет во исполнение закона об открытости государственной публичной информации и о доступе к ней;</w:t>
      </w:r>
    </w:p>
    <w:p w:rsidR="00000000" w:rsidRDefault="00000000">
      <w:pPr>
        <w:ind w:left="1148" w:hanging="602"/>
      </w:pPr>
    </w:p>
    <w:p w:rsidR="00000000" w:rsidRDefault="00000000">
      <w:pPr>
        <w:numPr>
          <w:ilvl w:val="0"/>
          <w:numId w:val="490"/>
        </w:numPr>
        <w:tabs>
          <w:tab w:val="clear" w:pos="1068"/>
        </w:tabs>
        <w:ind w:left="1148" w:hanging="602"/>
      </w:pPr>
      <w:r>
        <w:t>О введении программы более четкого внутреннего регулирования;</w:t>
      </w:r>
    </w:p>
    <w:p w:rsidR="00000000" w:rsidRDefault="00000000">
      <w:pPr>
        <w:ind w:left="1148" w:hanging="602"/>
      </w:pPr>
    </w:p>
    <w:p w:rsidR="00000000" w:rsidRDefault="00000000">
      <w:pPr>
        <w:numPr>
          <w:ilvl w:val="0"/>
          <w:numId w:val="490"/>
        </w:numPr>
        <w:tabs>
          <w:tab w:val="clear" w:pos="1068"/>
        </w:tabs>
        <w:ind w:left="1148" w:hanging="602"/>
      </w:pPr>
      <w:r>
        <w:t>О введении практики проверки;</w:t>
      </w:r>
    </w:p>
    <w:p w:rsidR="00000000" w:rsidRDefault="00000000">
      <w:pPr>
        <w:ind w:left="1148" w:hanging="602"/>
      </w:pPr>
    </w:p>
    <w:p w:rsidR="00000000" w:rsidRDefault="00000000">
      <w:pPr>
        <w:numPr>
          <w:ilvl w:val="0"/>
          <w:numId w:val="490"/>
        </w:numPr>
        <w:tabs>
          <w:tab w:val="clear" w:pos="1068"/>
        </w:tabs>
        <w:ind w:left="1148" w:hanging="602"/>
      </w:pPr>
      <w:r>
        <w:t>О разработке и широком внедрении кодекса поведения;</w:t>
      </w:r>
    </w:p>
    <w:p w:rsidR="00000000" w:rsidRDefault="00000000">
      <w:pPr>
        <w:ind w:left="1148" w:hanging="602"/>
      </w:pPr>
    </w:p>
    <w:p w:rsidR="00000000" w:rsidRDefault="00000000">
      <w:pPr>
        <w:numPr>
          <w:ilvl w:val="0"/>
          <w:numId w:val="490"/>
        </w:numPr>
        <w:tabs>
          <w:tab w:val="clear" w:pos="1068"/>
        </w:tabs>
        <w:ind w:left="1148" w:hanging="602"/>
      </w:pPr>
      <w:r>
        <w:t>О введении программы привития ценностей;</w:t>
      </w:r>
    </w:p>
    <w:p w:rsidR="00000000" w:rsidRDefault="00000000">
      <w:pPr>
        <w:ind w:left="186"/>
      </w:pPr>
    </w:p>
    <w:p w:rsidR="00000000" w:rsidRDefault="00000000">
      <w:pPr>
        <w:numPr>
          <w:ilvl w:val="0"/>
          <w:numId w:val="490"/>
        </w:numPr>
        <w:tabs>
          <w:tab w:val="clear" w:pos="1068"/>
        </w:tabs>
        <w:ind w:left="1148" w:hanging="602"/>
      </w:pPr>
      <w:r>
        <w:t>О создании строгих механизмов подбора кадров;</w:t>
      </w:r>
    </w:p>
    <w:p w:rsidR="00000000" w:rsidRDefault="00000000">
      <w:pPr>
        <w:ind w:left="186"/>
      </w:pPr>
    </w:p>
    <w:p w:rsidR="00000000" w:rsidRDefault="00000000">
      <w:pPr>
        <w:numPr>
          <w:ilvl w:val="0"/>
          <w:numId w:val="490"/>
        </w:numPr>
        <w:tabs>
          <w:tab w:val="clear" w:pos="1068"/>
        </w:tabs>
        <w:ind w:left="1148" w:hanging="602"/>
      </w:pPr>
      <w:r>
        <w:t>О введении набора ценностных оценок при приеме на административную службу;</w:t>
      </w:r>
    </w:p>
    <w:p w:rsidR="00000000" w:rsidRDefault="00000000">
      <w:pPr>
        <w:ind w:left="186"/>
      </w:pPr>
    </w:p>
    <w:p w:rsidR="00000000" w:rsidRDefault="00000000">
      <w:pPr>
        <w:numPr>
          <w:ilvl w:val="0"/>
          <w:numId w:val="490"/>
        </w:numPr>
        <w:tabs>
          <w:tab w:val="clear" w:pos="1068"/>
        </w:tabs>
        <w:ind w:left="1148" w:hanging="602"/>
      </w:pPr>
      <w:r>
        <w:t>О пересмотре оплаты труда в коррупционно опасных секторах административной службы;</w:t>
      </w:r>
    </w:p>
    <w:p w:rsidR="00000000" w:rsidRDefault="00000000">
      <w:pPr>
        <w:ind w:left="708"/>
      </w:pPr>
    </w:p>
    <w:p w:rsidR="00000000" w:rsidRDefault="00000000">
      <w:pPr>
        <w:numPr>
          <w:ilvl w:val="0"/>
          <w:numId w:val="490"/>
        </w:numPr>
        <w:tabs>
          <w:tab w:val="clear" w:pos="1068"/>
        </w:tabs>
        <w:ind w:left="1148" w:hanging="602"/>
      </w:pPr>
      <w:r>
        <w:t>О широком распространении результатов Национальной программы борьбы с коррупцией, повышения транспарентности и укрепления административных органов;</w:t>
      </w:r>
    </w:p>
    <w:p w:rsidR="00000000" w:rsidRDefault="00000000">
      <w:pPr>
        <w:ind w:left="708"/>
      </w:pPr>
    </w:p>
    <w:p w:rsidR="00000000" w:rsidRDefault="00000000">
      <w:pPr>
        <w:numPr>
          <w:ilvl w:val="0"/>
          <w:numId w:val="490"/>
        </w:numPr>
        <w:tabs>
          <w:tab w:val="clear" w:pos="1068"/>
        </w:tabs>
        <w:ind w:left="1148" w:hanging="602"/>
      </w:pPr>
      <w:r>
        <w:t>О внешнем участии в проверке условий предстоящих конкурсов;</w:t>
      </w:r>
    </w:p>
    <w:p w:rsidR="00000000" w:rsidRDefault="00000000">
      <w:pPr>
        <w:ind w:left="708"/>
      </w:pPr>
    </w:p>
    <w:p w:rsidR="00000000" w:rsidRDefault="00000000">
      <w:pPr>
        <w:numPr>
          <w:ilvl w:val="0"/>
          <w:numId w:val="490"/>
        </w:numPr>
        <w:tabs>
          <w:tab w:val="clear" w:pos="1068"/>
        </w:tabs>
        <w:ind w:left="1148" w:hanging="602"/>
      </w:pPr>
      <w:r>
        <w:t>О проведении конкурсов с привлечением электронных средств;</w:t>
      </w:r>
    </w:p>
    <w:p w:rsidR="00000000" w:rsidRDefault="00000000">
      <w:pPr>
        <w:ind w:left="708"/>
      </w:pPr>
    </w:p>
    <w:p w:rsidR="00000000" w:rsidRDefault="00000000">
      <w:pPr>
        <w:numPr>
          <w:ilvl w:val="0"/>
          <w:numId w:val="490"/>
        </w:numPr>
        <w:tabs>
          <w:tab w:val="clear" w:pos="1068"/>
        </w:tabs>
        <w:ind w:left="1148" w:hanging="602"/>
      </w:pPr>
      <w:r>
        <w:t>Об оценке участников критических процедур;</w:t>
      </w:r>
    </w:p>
    <w:p w:rsidR="00000000" w:rsidRDefault="00000000">
      <w:pPr>
        <w:ind w:left="708"/>
      </w:pPr>
    </w:p>
    <w:p w:rsidR="00000000" w:rsidRDefault="00000000">
      <w:pPr>
        <w:numPr>
          <w:ilvl w:val="0"/>
          <w:numId w:val="490"/>
        </w:numPr>
        <w:tabs>
          <w:tab w:val="clear" w:pos="1068"/>
        </w:tabs>
        <w:ind w:left="1148" w:hanging="602"/>
      </w:pPr>
      <w:r>
        <w:t>О принятии публичных обязательств, относящихся к транспарентности собственной работы;</w:t>
      </w:r>
    </w:p>
    <w:p w:rsidR="00000000" w:rsidRDefault="00000000">
      <w:pPr>
        <w:ind w:left="708"/>
      </w:pPr>
    </w:p>
    <w:p w:rsidR="00000000" w:rsidRDefault="00000000">
      <w:pPr>
        <w:numPr>
          <w:ilvl w:val="0"/>
          <w:numId w:val="490"/>
        </w:numPr>
        <w:tabs>
          <w:tab w:val="clear" w:pos="1068"/>
        </w:tabs>
        <w:ind w:left="1148" w:hanging="602"/>
      </w:pPr>
      <w:r>
        <w:t>Об совершенствовании работы с гражданами;</w:t>
      </w:r>
    </w:p>
    <w:p w:rsidR="00000000" w:rsidRDefault="00000000">
      <w:pPr>
        <w:ind w:left="708"/>
      </w:pPr>
    </w:p>
    <w:p w:rsidR="00000000" w:rsidRDefault="00000000">
      <w:pPr>
        <w:numPr>
          <w:ilvl w:val="0"/>
          <w:numId w:val="490"/>
        </w:numPr>
        <w:tabs>
          <w:tab w:val="clear" w:pos="1068"/>
        </w:tabs>
        <w:ind w:left="1148" w:hanging="602"/>
      </w:pPr>
      <w:r>
        <w:t>Об осуществлении формальных процедур с помощью электронных средств;</w:t>
      </w:r>
    </w:p>
    <w:p w:rsidR="00000000" w:rsidRDefault="00000000">
      <w:pPr>
        <w:ind w:left="708"/>
      </w:pPr>
    </w:p>
    <w:p w:rsidR="00000000" w:rsidRDefault="00000000">
      <w:pPr>
        <w:numPr>
          <w:ilvl w:val="0"/>
          <w:numId w:val="490"/>
        </w:numPr>
        <w:tabs>
          <w:tab w:val="clear" w:pos="1068"/>
        </w:tabs>
        <w:ind w:left="1148" w:hanging="602"/>
      </w:pPr>
      <w:r>
        <w:t>О создании подкомиссии по доступу к государственной публичной информации;</w:t>
      </w:r>
    </w:p>
    <w:p w:rsidR="00000000" w:rsidRDefault="00000000">
      <w:pPr>
        <w:ind w:left="708"/>
      </w:pPr>
    </w:p>
    <w:p w:rsidR="00000000" w:rsidRDefault="00000000">
      <w:pPr>
        <w:numPr>
          <w:ilvl w:val="0"/>
          <w:numId w:val="490"/>
        </w:numPr>
        <w:tabs>
          <w:tab w:val="clear" w:pos="1068"/>
        </w:tabs>
        <w:ind w:left="1148" w:hanging="602"/>
      </w:pPr>
      <w:r>
        <w:t>О создании подкомиссии по совершенствованию индекса восприятия коррупции и эффективности работы государственных органов;</w:t>
      </w:r>
    </w:p>
    <w:p w:rsidR="00000000" w:rsidRDefault="00000000">
      <w:pPr>
        <w:ind w:left="708"/>
      </w:pPr>
    </w:p>
    <w:p w:rsidR="00000000" w:rsidRDefault="00000000">
      <w:pPr>
        <w:numPr>
          <w:ilvl w:val="0"/>
          <w:numId w:val="490"/>
        </w:numPr>
        <w:tabs>
          <w:tab w:val="clear" w:pos="1068"/>
        </w:tabs>
        <w:ind w:left="1148" w:hanging="602"/>
      </w:pPr>
      <w:r>
        <w:t>О разработке необходимых мер по выполнению рекомендаций Конвенции ОЭСР о борьбе с подкупом иностранных государственных должностных лиц в международных коммерческих сделках.</w:t>
      </w:r>
    </w:p>
    <w:p w:rsidR="00000000" w:rsidRDefault="00000000"/>
    <w:p w:rsidR="00000000" w:rsidRDefault="00000000">
      <w:r>
        <w:t>954.</w:t>
      </w:r>
      <w:r>
        <w:tab/>
        <w:t>Что касается этических ценностей, то 161 структура федеральной власти охвачена Оперативными программами по транспарентности власти и борьбе с коррупцией (ОПТБК) и работает над созданием инструментов для усиления этических норм и ценностей государственных служащих.  Из них:</w:t>
      </w:r>
    </w:p>
    <w:p w:rsidR="00000000" w:rsidRDefault="00000000"/>
    <w:p w:rsidR="00000000" w:rsidRDefault="00000000">
      <w:pPr>
        <w:numPr>
          <w:ilvl w:val="0"/>
          <w:numId w:val="490"/>
        </w:numPr>
        <w:tabs>
          <w:tab w:val="clear" w:pos="1068"/>
        </w:tabs>
        <w:ind w:left="1148" w:hanging="602"/>
      </w:pPr>
      <w:r>
        <w:t>70% административных учреждений располагают строгими механизмами отбора работников,</w:t>
      </w:r>
    </w:p>
    <w:p w:rsidR="00000000" w:rsidRDefault="00000000">
      <w:pPr>
        <w:ind w:left="708"/>
      </w:pPr>
    </w:p>
    <w:p w:rsidR="00000000" w:rsidRDefault="00000000">
      <w:pPr>
        <w:numPr>
          <w:ilvl w:val="0"/>
          <w:numId w:val="490"/>
        </w:numPr>
        <w:tabs>
          <w:tab w:val="clear" w:pos="1068"/>
        </w:tabs>
        <w:ind w:left="1148" w:hanging="602"/>
      </w:pPr>
      <w:r>
        <w:t>65% административных учреждений имеют кодекс поведения,</w:t>
      </w:r>
    </w:p>
    <w:p w:rsidR="00000000" w:rsidRDefault="00000000">
      <w:pPr>
        <w:ind w:left="708"/>
      </w:pPr>
    </w:p>
    <w:p w:rsidR="00000000" w:rsidRDefault="00000000">
      <w:pPr>
        <w:numPr>
          <w:ilvl w:val="0"/>
          <w:numId w:val="490"/>
        </w:numPr>
        <w:tabs>
          <w:tab w:val="clear" w:pos="1068"/>
        </w:tabs>
        <w:ind w:left="1148" w:hanging="602"/>
      </w:pPr>
      <w:r>
        <w:t>38% располагают программами воспитания ценностей, и</w:t>
      </w:r>
    </w:p>
    <w:p w:rsidR="00000000" w:rsidRDefault="00000000">
      <w:pPr>
        <w:ind w:left="708"/>
      </w:pPr>
    </w:p>
    <w:p w:rsidR="00000000" w:rsidRDefault="00000000">
      <w:pPr>
        <w:numPr>
          <w:ilvl w:val="0"/>
          <w:numId w:val="490"/>
        </w:numPr>
        <w:tabs>
          <w:tab w:val="clear" w:pos="1068"/>
        </w:tabs>
        <w:ind w:left="1148" w:hanging="602"/>
      </w:pPr>
      <w:r>
        <w:t>28% ввели программы поощрения честности и добросовестности среди своих работников.</w:t>
      </w:r>
    </w:p>
    <w:p w:rsidR="00000000" w:rsidRDefault="00000000"/>
    <w:p w:rsidR="00000000" w:rsidRDefault="00000000">
      <w:r>
        <w:t>955.</w:t>
      </w:r>
      <w:r>
        <w:tab/>
        <w:t>Эти вселяющие оптимизм результаты позволяют с доверием относиться к работникам государственного аппарата и продолжать движение в направлении привития норм поведения на базе тех ценностей, которые гражданское общество рассчитывает видеть у государственных служащих.</w:t>
      </w:r>
    </w:p>
    <w:p w:rsidR="00000000" w:rsidRDefault="00000000"/>
    <w:p w:rsidR="00000000" w:rsidRDefault="00000000">
      <w:r>
        <w:t>956.</w:t>
      </w:r>
      <w:r>
        <w:tab/>
        <w:t>В 2003 году была проведена оценка ОПТБК с использованием т.н. индикатора отслеживания прозрачности власти, который позволяет всесторонне оценить усилия властных структур в деле повышения транспарентности власти и ее антикоррупционности.  Этот индикатор позволил наметить задачи президентской стратегии "Честное и транспарентное правительство".</w:t>
      </w:r>
    </w:p>
    <w:p w:rsidR="00000000" w:rsidRDefault="00000000"/>
    <w:p w:rsidR="00000000" w:rsidRDefault="00000000">
      <w:r>
        <w:t>957.</w:t>
      </w:r>
      <w:r>
        <w:tab/>
        <w:t>Основные направления этой стратегии:</w:t>
      </w:r>
    </w:p>
    <w:p w:rsidR="00000000" w:rsidRDefault="00000000"/>
    <w:p w:rsidR="00000000" w:rsidRDefault="00000000">
      <w:pPr>
        <w:numPr>
          <w:ilvl w:val="0"/>
          <w:numId w:val="492"/>
        </w:numPr>
        <w:tabs>
          <w:tab w:val="clear" w:pos="1068"/>
        </w:tabs>
        <w:ind w:left="1134" w:hanging="567"/>
      </w:pPr>
      <w:r>
        <w:t>общее улучшение процессов и услуг государственных органов;</w:t>
      </w:r>
    </w:p>
    <w:p w:rsidR="00000000" w:rsidRDefault="00000000">
      <w:pPr>
        <w:ind w:left="708"/>
      </w:pPr>
    </w:p>
    <w:p w:rsidR="00000000" w:rsidRDefault="00000000">
      <w:pPr>
        <w:numPr>
          <w:ilvl w:val="0"/>
          <w:numId w:val="492"/>
        </w:numPr>
        <w:tabs>
          <w:tab w:val="clear" w:pos="1068"/>
        </w:tabs>
        <w:ind w:left="1134" w:hanging="567"/>
      </w:pPr>
      <w:r>
        <w:t>повышение профессионального уровня чиновника;</w:t>
      </w:r>
    </w:p>
    <w:p w:rsidR="00000000" w:rsidRDefault="00000000">
      <w:pPr>
        <w:ind w:left="708"/>
      </w:pPr>
    </w:p>
    <w:p w:rsidR="00000000" w:rsidRDefault="00000000">
      <w:pPr>
        <w:numPr>
          <w:ilvl w:val="0"/>
          <w:numId w:val="492"/>
        </w:numPr>
        <w:tabs>
          <w:tab w:val="clear" w:pos="1068"/>
        </w:tabs>
        <w:ind w:left="1134" w:hanging="567"/>
      </w:pPr>
      <w:r>
        <w:t>введение более совершенных систем контроля;</w:t>
      </w:r>
    </w:p>
    <w:p w:rsidR="00000000" w:rsidRDefault="00000000">
      <w:pPr>
        <w:ind w:left="708"/>
      </w:pPr>
    </w:p>
    <w:p w:rsidR="00000000" w:rsidRDefault="00000000">
      <w:pPr>
        <w:numPr>
          <w:ilvl w:val="0"/>
          <w:numId w:val="492"/>
        </w:numPr>
        <w:tabs>
          <w:tab w:val="clear" w:pos="1068"/>
        </w:tabs>
        <w:ind w:left="1134" w:hanging="567"/>
      </w:pPr>
      <w:r>
        <w:t>применение санкций во всех случаях неправильного поведения;</w:t>
      </w:r>
    </w:p>
    <w:p w:rsidR="00000000" w:rsidRDefault="00000000">
      <w:pPr>
        <w:ind w:left="708"/>
      </w:pPr>
    </w:p>
    <w:p w:rsidR="00000000" w:rsidRDefault="00000000">
      <w:pPr>
        <w:numPr>
          <w:ilvl w:val="0"/>
          <w:numId w:val="492"/>
        </w:numPr>
        <w:tabs>
          <w:tab w:val="clear" w:pos="1068"/>
        </w:tabs>
        <w:ind w:left="1134" w:hanging="567"/>
      </w:pPr>
      <w:r>
        <w:t>придание нового качества и прозрачности работе государственных служащих;</w:t>
      </w:r>
    </w:p>
    <w:p w:rsidR="00000000" w:rsidRDefault="00000000">
      <w:pPr>
        <w:ind w:left="708"/>
      </w:pPr>
    </w:p>
    <w:p w:rsidR="00000000" w:rsidRDefault="00000000">
      <w:pPr>
        <w:numPr>
          <w:ilvl w:val="0"/>
          <w:numId w:val="492"/>
        </w:numPr>
        <w:tabs>
          <w:tab w:val="clear" w:pos="1068"/>
        </w:tabs>
        <w:ind w:left="1134" w:hanging="567"/>
      </w:pPr>
      <w:r>
        <w:t>нахождение взаимопонимания с обществом и стимулирование воспитания новой социальной культуры в духе борьбы с коррупцией.</w:t>
      </w:r>
    </w:p>
    <w:p w:rsidR="00000000" w:rsidRDefault="00000000"/>
    <w:p w:rsidR="00000000" w:rsidRDefault="00000000">
      <w:r>
        <w:t>958.</w:t>
      </w:r>
      <w:r>
        <w:tab/>
        <w:t>За период с сентября 2002 по август 2003 года было принято 845 правовых актов, проанализированы и подготовлены 134 законопроекта, положения, декрета, постановления и циркуляра, а также проведены 9 юридических исследований, из которых следует выделить следующие:</w:t>
      </w:r>
    </w:p>
    <w:p w:rsidR="00000000" w:rsidRDefault="00000000"/>
    <w:p w:rsidR="00000000" w:rsidRDefault="00000000">
      <w:r>
        <w:t>959.</w:t>
      </w:r>
      <w:r>
        <w:tab/>
        <w:t>Закон о закупках, аренде и услугах в государственном секторе.  Были проведены международные тендеры (85% выигрышей по тендерам достались национальным предприятиям).  Уточняются критерии оценки.</w:t>
      </w:r>
    </w:p>
    <w:p w:rsidR="00000000" w:rsidRDefault="00000000"/>
    <w:p w:rsidR="00000000" w:rsidRDefault="00000000">
      <w:r>
        <w:t>960.</w:t>
      </w:r>
      <w:r>
        <w:tab/>
        <w:t>Закон об общественных работах.  С обязательной публикацией предварительных условий подряда работ в Интернете.</w:t>
      </w:r>
    </w:p>
    <w:p w:rsidR="00000000" w:rsidRDefault="00000000"/>
    <w:p w:rsidR="00000000" w:rsidRDefault="00000000">
      <w:r>
        <w:t>961.</w:t>
      </w:r>
      <w:r>
        <w:tab/>
        <w:t>Федеральный закон о транспарентности.  К 16 октября 2003 года в подразделения и ведомства федеральной администрации поступило в общей сложности 18 762 запроса на информацию, на которые было дано 15 703 ответа.</w:t>
      </w:r>
    </w:p>
    <w:p w:rsidR="00000000" w:rsidRDefault="00000000"/>
    <w:p w:rsidR="00000000" w:rsidRDefault="00000000">
      <w:r>
        <w:t>962.</w:t>
      </w:r>
      <w:r>
        <w:tab/>
        <w:t>Кроме того, крупным шагом в деле борьбы с коррупцией и важным инструментом повышения профессионализма и эффективности государства и его органов стал закон о профессиональной карьерной службе.  Этот закон позволяет обеспечить преемственность государственных программ и гарантирует доступ к вершинам иерархии государственных служащих для подготовленных и достойных людей, а также гарантирует равенство возможностей и учет личных заслуг, рассматривая их в качестве критерия отбора.</w:t>
      </w:r>
    </w:p>
    <w:p w:rsidR="00000000" w:rsidRDefault="00000000"/>
    <w:p w:rsidR="00000000" w:rsidRDefault="00000000">
      <w:r>
        <w:t>963.</w:t>
      </w:r>
      <w:r>
        <w:tab/>
        <w:t>С этой целью была разработана концептуальная модель профессиональной карьерной службы (ПКС), которая, в свою очередь, стала ключевым элементом в деле установления и выполнения приоритетных задач стратегического планирования.  Все это позволило унифицировать организационное понимание проекта в его стратегическом, системном, но прежде всего общем смысле.</w:t>
      </w:r>
    </w:p>
    <w:p w:rsidR="00000000" w:rsidRDefault="00000000"/>
    <w:p w:rsidR="00000000" w:rsidRDefault="00000000">
      <w:r>
        <w:t>964.</w:t>
      </w:r>
      <w:r>
        <w:tab/>
        <w:t>Была определена модель требований, которые будут предъявляться к кандидатам на профессиональную карьерную службу, в качестве основы для всех подсистем, охваченных законом.  На этом основании 12 декабря 2003 года был учрежден Внутренний устав министерства по делам государственного управления, на основании которого создан отдел профессиональной службы и людских ресурсов при федеральной государственной администрации.  Отдел призван руководить работой по внедрению профессиональной карьерной службы, действуя в координации с децентрализованными подразделениями и структурами этой администрации.</w:t>
      </w:r>
    </w:p>
    <w:p w:rsidR="00000000" w:rsidRDefault="00000000"/>
    <w:p w:rsidR="00000000" w:rsidRDefault="00000000">
      <w:r>
        <w:t>965.</w:t>
      </w:r>
      <w:r>
        <w:tab/>
        <w:t>2 апреля 2004 года в "Федеральном официальном вестнике" был опубликован текст закона о порядке применения закона о профессиональной карьерной службе в подразделениях федеральной государственной администрации, что, по сути дела, означает введение профессиональной карьерной службы в практику.  Иными словами, отныне никто не сможет занимать определенные государственные административные должности (начиная с рассыльного и кончая генеральным директором) в обход открытого и публичного конкурса, в ходе которого кандидаты, отвечающие всем предъявляемым требованиям, пройдут еще и оценочный отбор для занятия вакантной должности.</w:t>
      </w:r>
    </w:p>
    <w:p w:rsidR="00000000" w:rsidRDefault="00000000"/>
    <w:p w:rsidR="00000000" w:rsidRDefault="00000000">
      <w:r>
        <w:t>966.</w:t>
      </w:r>
      <w:r>
        <w:tab/>
        <w:t>В настоящее время при децентрализованных подразделениях и структурах федеральной государственной администрации работают 83 технических комитета профессионального отбора.</w:t>
      </w:r>
    </w:p>
    <w:p w:rsidR="00000000" w:rsidRDefault="00000000"/>
    <w:p w:rsidR="00000000" w:rsidRDefault="00000000">
      <w:r>
        <w:t>967.</w:t>
      </w:r>
      <w:r>
        <w:tab/>
        <w:t>Кроме того, в качестве инструмента или механизма подготовки государственных служащих была разработана концепция @Campus, которая, безусловно, будет принята на вооружение университетами и высшими учебными заведениями нашей страны.</w:t>
      </w:r>
    </w:p>
    <w:p w:rsidR="00000000" w:rsidRDefault="00000000"/>
    <w:p w:rsidR="00000000" w:rsidRDefault="00000000">
      <w:r>
        <w:t>968.</w:t>
      </w:r>
      <w:r>
        <w:tab/>
        <w:t>С января по декабрь 2003 года были отмечены 5 784 случая улучшения в работе государственных органов власти, что на 61,6% больше по сравнению с тем же периодом предыдущего года.  Была также проведена 3 341 контрольная проверка, что означает увеличение с 13 до 33% объема работы органов внутреннего контроля (ОВК).</w:t>
      </w:r>
    </w:p>
    <w:p w:rsidR="00000000" w:rsidRDefault="00000000"/>
    <w:p w:rsidR="00000000" w:rsidRDefault="00000000">
      <w:r>
        <w:t>969.</w:t>
      </w:r>
      <w:r>
        <w:tab/>
        <w:t>Кроме того, разработаны, опубликованы и введены в действие 11 руководств, в которых сводятся воедино соответствующие методики и наиболее передовые подходы, предназначенные для работников органов внутреннего контроля.  Раньше таких памяток не имелось.</w:t>
      </w:r>
    </w:p>
    <w:p w:rsidR="00000000" w:rsidRDefault="00000000"/>
    <w:p w:rsidR="00000000" w:rsidRDefault="00000000">
      <w:r>
        <w:t>970.</w:t>
      </w:r>
      <w:r>
        <w:tab/>
        <w:t>В четвертом квартале 2003 года началась разработка Единой модели функционирования органов по надзору и контролю (МИДО), которая вступает в силу с 2004 года.  Этот документ станет единым руководством для оценки эффективности деятельности более 200 органов внутреннего контроля, комиссаров и общественных уполномоченных, позволяющим направлять их работу на достижение результата по пяти следующим показателям:</w:t>
      </w:r>
    </w:p>
    <w:p w:rsidR="00000000" w:rsidRDefault="00000000"/>
    <w:p w:rsidR="00000000" w:rsidRDefault="00000000">
      <w:r>
        <w:tab/>
        <w:t>-</w:t>
      </w:r>
      <w:r>
        <w:tab/>
        <w:t>показатель снижения коррупционных рисков;</w:t>
      </w:r>
    </w:p>
    <w:p w:rsidR="00000000" w:rsidRDefault="00000000"/>
    <w:p w:rsidR="00000000" w:rsidRDefault="00000000">
      <w:r>
        <w:tab/>
        <w:t>-</w:t>
      </w:r>
      <w:r>
        <w:tab/>
        <w:t>показатель снижения рисков непрозрачности властных структур;</w:t>
      </w:r>
    </w:p>
    <w:p w:rsidR="00000000" w:rsidRDefault="00000000"/>
    <w:p w:rsidR="00000000" w:rsidRDefault="00000000">
      <w:r>
        <w:tab/>
        <w:t>-</w:t>
      </w:r>
      <w:r>
        <w:tab/>
        <w:t>показатель институциональной эффективности;</w:t>
      </w:r>
    </w:p>
    <w:p w:rsidR="00000000" w:rsidRDefault="00000000"/>
    <w:p w:rsidR="00000000" w:rsidRDefault="00000000">
      <w:r>
        <w:tab/>
        <w:t>-</w:t>
      </w:r>
      <w:r>
        <w:tab/>
        <w:t>показатель эффективности в работе;</w:t>
      </w:r>
    </w:p>
    <w:p w:rsidR="00000000" w:rsidRDefault="00000000"/>
    <w:p w:rsidR="00000000" w:rsidRDefault="00000000">
      <w:pPr>
        <w:ind w:left="1134" w:hanging="1134"/>
      </w:pPr>
      <w:r>
        <w:tab/>
        <w:t>-</w:t>
      </w:r>
      <w:r>
        <w:tab/>
        <w:t>показатель восприятия успехов подразделений и ведомств со стороны органов надзора и контроля.</w:t>
      </w:r>
    </w:p>
    <w:p w:rsidR="00000000" w:rsidRDefault="00000000"/>
    <w:p w:rsidR="00000000" w:rsidRDefault="00000000">
      <w:r>
        <w:t>971.</w:t>
      </w:r>
      <w:r>
        <w:tab/>
        <w:t xml:space="preserve">Эта модель позволит упорядочить и качественно оценивать работу органов по надзору и контролю в соответствии с целями и задачами, стоящими перед министерством по делам государственного управления (МДГУ) и вытекающими из нормативно-институциональных изменений последних лет.  Очевидна также направленность последних на обеспечение транспарентности, честности и эффективности властных структур. В 2004 году предполагается задействовать Единую модель функционирования </w:t>
      </w:r>
    </w:p>
    <w:p w:rsidR="00000000" w:rsidRDefault="00000000">
      <w:r>
        <w:br w:type="page"/>
        <w:t>органов по надзору и контролю (МИДО) в полугодичных оценках и с помощью этих оценок скорректировать деятельность этих органов в направлении достижения поставленных задач.</w:t>
      </w:r>
    </w:p>
    <w:p w:rsidR="00000000" w:rsidRDefault="00000000"/>
    <w:p w:rsidR="00000000" w:rsidRDefault="00000000">
      <w:r>
        <w:t>972.</w:t>
      </w:r>
      <w:r>
        <w:tab/>
        <w:t>В течение 2003 года органы внутреннего контроля федерального правительства провели 4 452 аудиторские проверки в структурных звеньях повышенного риска, в основном в тех, которые заняты закупками и общественными работами;  проверкой были охвачены 296 подразделений и ведомств федеральной государственной администрации.  Эта цифра соответствовала 98,6% запрограммированных на год проверок.  Тем не менее, данный показатель оказался на 23,9% ниже числа аудиторских проверок, проведенных в 2002 году.  Такое снижение объясняется превентивным характером проверок, уделением особого внимания в ходе проверок анализу и росту качества внутреннего контроля в государственных административных структурах и подразделениях, а также выполнением дополнительных фискальных функций.  Кроме того, произошло заметное сокращение штатов во властных структурах, вызванное бюджетными ограничениями, введенными МФГК, и выполнением программы добровольного выхода на пенсию.</w:t>
      </w:r>
    </w:p>
    <w:p w:rsidR="00000000" w:rsidRDefault="00000000"/>
    <w:p w:rsidR="00000000" w:rsidRDefault="00000000">
      <w:r>
        <w:t>973.</w:t>
      </w:r>
      <w:r>
        <w:tab/>
        <w:t>В 2002 году на контрольные мероприятия было затрачено около 3 231,3 млн. песо.  Они позволили вернуть в казну 5 328,6 млн. песо, в 1,6 раза больше расходов на проверки против 1,1 раза в 2001 году.  В 2003 году в казну были возвращены 5 288,1 млн. песо, а на контрольные проверки затрачено 3 528,5 млн. песо, что дало коэффициент 1,5, практически такой же, как и в 2002 году.</w:t>
      </w:r>
    </w:p>
    <w:p w:rsidR="00000000" w:rsidRDefault="00000000"/>
    <w:p w:rsidR="00000000" w:rsidRDefault="00000000">
      <w:r>
        <w:t>974.</w:t>
      </w:r>
      <w:r>
        <w:tab/>
        <w:t>В течение 2003 года были приняты к исполнению 19 434 замечания, из них 69,3% приходились на проблемные вопросы, оставшиеся с 2002 года, а 46,8% - на недочеты, выявленные в 2003 году.</w:t>
      </w:r>
    </w:p>
    <w:p w:rsidR="00000000" w:rsidRDefault="00000000"/>
    <w:p w:rsidR="00000000" w:rsidRDefault="00000000">
      <w:r>
        <w:t>975.</w:t>
      </w:r>
      <w:r>
        <w:tab/>
        <w:t>За период с июля по декабрь 2003 года были проведены 53 ревизии.  Эта цифра на 41,5% превышает аналогичный показатель предыдущего года.  По итогам этих инспекций было выявлено 236 недочетов, устранение которых принесло в казну 4 232 млн. песо.  При этом было отмечено снижение показателя экономического эффекта от одного выявленного нарушения, который с 19,37 млн. песо в 2002 году снизился до 17,93 млн. во втором полугодии 2003 года.</w:t>
      </w:r>
    </w:p>
    <w:p w:rsidR="00000000" w:rsidRDefault="00000000"/>
    <w:p w:rsidR="00000000" w:rsidRDefault="00000000">
      <w:r>
        <w:t>976.</w:t>
      </w:r>
      <w:r>
        <w:tab/>
        <w:t xml:space="preserve">По итогам проведенных во втором полугодии 2003 года прямых ревизий были выявлены 5 случаев нарушений на общую сумму 56 млн. песо, что - по сравнению с 592 млн. песо, полученными по 47 случаям нарушений за период с июля по декабрь </w:t>
      </w:r>
    </w:p>
    <w:p w:rsidR="00000000" w:rsidRDefault="00000000">
      <w:r>
        <w:br w:type="page"/>
        <w:t>2002 года - составило более чем десятикратное уменьшение.  Из общей суммы средств, возвращенных в казну за второе полугодие 2003 года, 19 млн. песо проходили по графе "нанесение вреда", а 37 млн. - по графе "причинение ущерба".</w:t>
      </w:r>
    </w:p>
    <w:p w:rsidR="00000000" w:rsidRDefault="00000000"/>
    <w:p w:rsidR="00000000" w:rsidRDefault="00000000">
      <w:r>
        <w:t>977.</w:t>
      </w:r>
      <w:r>
        <w:tab/>
      </w:r>
      <w:r>
        <w:rPr>
          <w:i/>
        </w:rPr>
        <w:t>Пояснительное замечание:</w:t>
      </w:r>
      <w:r>
        <w:t xml:space="preserve">  Согласно результатам аудиторских проверок и ревизий, по выявленным недочетам и случаям нарушений, приходящимся на первый квартал 2003 года, отмечена следующая разница в поступлениях в казну:  7 334 млн. песо взысканных средств приходилось на поступления по выявленным недочетам и 557 млн. песо - на поступления по выявленным нарушениям.</w:t>
      </w:r>
    </w:p>
    <w:p w:rsidR="00000000" w:rsidRDefault="00000000"/>
    <w:p w:rsidR="00000000" w:rsidRDefault="00000000">
      <w:r>
        <w:t>978.</w:t>
      </w:r>
      <w:r>
        <w:tab/>
        <w:t>Приведенные данные почерпнуты из отчетов о проверках за 2002 и 2003 финансовые годы, проведенных Государственной ревизионной службой;  эти же данные содержатся в итоговом отчете от 1 октября 2003 года.</w:t>
      </w:r>
    </w:p>
    <w:p w:rsidR="00000000" w:rsidRDefault="00000000"/>
    <w:p w:rsidR="00000000" w:rsidRDefault="00000000">
      <w:r>
        <w:t>979.</w:t>
      </w:r>
      <w:r>
        <w:tab/>
        <w:t>Говоря о программе внешнего аудита на 2003 финансовый год, следует сказать, что была применена новая процедура подбора внешнего аудитора по принципу особой скрупулезности в выявлении финансового состояния структур и органов федеральной государственной администрации.  Эта процедура основывается на предварительном приглашении - применительно к каждому из проверяемых ведомств - трех аудиторских фирм с последующим выбором одной из них.  Данный новый способ подбора аудитора, несомненно, способствовал росту транспарентности в деятельности приглашаемых компаний внешнего аудита.  В предыдущие отчетные периоды такие компании просто назначались для проведения проверки без всякого отбора.</w:t>
      </w:r>
    </w:p>
    <w:p w:rsidR="00000000" w:rsidRDefault="00000000"/>
    <w:p w:rsidR="00000000" w:rsidRDefault="00000000">
      <w:r>
        <w:t>980.</w:t>
      </w:r>
      <w:r>
        <w:tab/>
        <w:t>Частью мероприятий 2003 года стал анализ 278 экспертных оценок по финансовым отчетам за 2002 финансовый год;  180 из них (64,5%) получили положительный отзыв, 63 (23%) получили отзыв с оговорками, 1 (0,5%) получила отрицательную оценку и в 34 (12%) случаях аналитики воздержались в своих оценках.</w:t>
      </w:r>
    </w:p>
    <w:p w:rsidR="00000000" w:rsidRDefault="00000000"/>
    <w:p w:rsidR="00000000" w:rsidRDefault="00000000">
      <w:r>
        <w:t>981.</w:t>
      </w:r>
      <w:r>
        <w:tab/>
        <w:t>За тот же период были получены и проанализированы 44 отчета об аудиторских проверках проектов и программ, финансировавшихся международными финансовыми учреждениями, из которых все 100% получили положительный отзыв о чистоте сделки, о чем должен быть представлен соответствующий доклад министерства труда и социального обеспечения.</w:t>
      </w:r>
    </w:p>
    <w:p w:rsidR="00000000" w:rsidRDefault="00000000"/>
    <w:p w:rsidR="00000000" w:rsidRDefault="00000000">
      <w:r>
        <w:br w:type="page"/>
        <w:t>982.</w:t>
      </w:r>
      <w:r>
        <w:tab/>
        <w:t>Следует отметить, что за отчетный аудиторский период были представлены 2 012 замечаний о нарушениях и недочетах на общую сумму в 16 364 млн. песо, согласно отчетам органов внутреннего контроля, поданным в действующую при данном министерстве Службу контроля и оценки деятельности административных структур в рамках системы периодического информирования.</w:t>
      </w:r>
    </w:p>
    <w:p w:rsidR="00000000" w:rsidRDefault="00000000"/>
    <w:p w:rsidR="00000000" w:rsidRDefault="00000000">
      <w:r>
        <w:t>983.</w:t>
      </w:r>
      <w:r>
        <w:tab/>
        <w:t>С другой стороны, в 2003 году были проведены 929 проверок по линии министерства по делам государственного управления и 1 524 проверки по линии других ведомств, что в первом случае на 26,37%, а во втором - на 2,69% больше по сравнению с числом проверок, проведенных в 2002 году.</w:t>
      </w:r>
    </w:p>
    <w:p w:rsidR="00000000" w:rsidRDefault="00000000"/>
    <w:p w:rsidR="00000000" w:rsidRDefault="00000000">
      <w:r>
        <w:t>984.</w:t>
      </w:r>
      <w:r>
        <w:tab/>
        <w:t>За тот же период было проведено 22 оперативных мероприятия, что на 24,14% меньше, чем за предыдущий год.  По итогам этих мероприятий против предполагаемых нарушителей было возбуждено 25 административных и 10 уголовных дел, которые завершились наложением на 15 чиновников административных взысканий и привлечением 17 государственных должностных лиц к уголовной ответственности.</w:t>
      </w:r>
    </w:p>
    <w:p w:rsidR="00000000" w:rsidRDefault="00000000"/>
    <w:p w:rsidR="00000000" w:rsidRDefault="00000000">
      <w:r>
        <w:t>985.</w:t>
      </w:r>
      <w:r>
        <w:tab/>
        <w:t>В 2003 году 4 155 нарушителей из числа государственных служащих были привлечены к административной ответственности.  Было вынесено 846 решений о денежных взысканиях на общую сумму 860,08 млн. песо.  Общая сумма денежных взысканий в пользу государства по фискальным искам составила 15,39 млн. песо.</w:t>
      </w:r>
    </w:p>
    <w:p w:rsidR="00000000" w:rsidRDefault="00000000"/>
    <w:p w:rsidR="00000000" w:rsidRDefault="00000000">
      <w:r>
        <w:t>986.</w:t>
      </w:r>
      <w:r>
        <w:tab/>
        <w:t>За тот же период в Генеральную прокуратуру Республики (ГПР) поступило 9 жалоб за возможные преступные деяния на 27 государственных служащих и 6 частных лиц.</w:t>
      </w:r>
    </w:p>
    <w:p w:rsidR="00000000" w:rsidRDefault="00000000"/>
    <w:p w:rsidR="00000000" w:rsidRDefault="00000000">
      <w:r>
        <w:t>987.</w:t>
      </w:r>
      <w:r>
        <w:tab/>
        <w:t>Совместно со следственными органами по 91 уголовному делу в 2003 году было привлечено 33 подозреваемых, выдано 18 ордеров на арест, а также были приняты решения о заключении под стражу 23 подозреваемых.  Суды вынесли 3 обвинительных приговора за совершение преступлений.  Следует отметить, что общая сумма штрафов в пользу государства составила 41 968 песо, а взысканий в счет возмещения нанесенных убытков - 2 658 млн. песо.</w:t>
      </w:r>
    </w:p>
    <w:p w:rsidR="00000000" w:rsidRDefault="00000000"/>
    <w:p w:rsidR="00000000" w:rsidRDefault="00000000">
      <w:r>
        <w:t>988.</w:t>
      </w:r>
      <w:r>
        <w:tab/>
        <w:t>В 2002 году к ответственности за нарушение законов о закупках, аренде и общественных услугах, Закона об общественных работах и связанных с ними услугах, а также Общего закона о государственном имуществе было привлечено в общей сложности 83 человека.  В 2003 же году было вынесено в общей сложности 56 административных решений, что на 32,53% меньше, нежели в 2002 году.  Сумма штрафов за такие нарушения составила 3 739 млн. песо.</w:t>
      </w:r>
    </w:p>
    <w:p w:rsidR="00000000" w:rsidRDefault="00000000"/>
    <w:p w:rsidR="00000000" w:rsidRDefault="00000000">
      <w:r>
        <w:t>989.</w:t>
      </w:r>
      <w:r>
        <w:tab/>
        <w:t>К 31 декабря 2003 года в подразделения и ведомства федеральной государственной  администрации поступило в общей сложности 24 740 запросов на информацию, на которые было дано 21 530 (87,03%) ответов;  266 ответов были отрицательными.  Кроме того, было подано 636 апелляций о несогласии с действиями администрации.</w:t>
      </w:r>
    </w:p>
    <w:p w:rsidR="00000000" w:rsidRDefault="00000000"/>
    <w:p w:rsidR="00000000" w:rsidRDefault="00000000">
      <w:r>
        <w:t>990.</w:t>
      </w:r>
      <w:r>
        <w:tab/>
        <w:t>Согласно данным Единой системы запросов информации (СИСИ), опубликованным на Интернет-страничке ИФАИ, по состоянию на 31 декабря 2003 года 39 государственных ведомств и структур получили более сотни запросов на информацию, в то время как 41 ведомство получило от 50 до 100 запросов, 134 - от 10 до 50, а 18 - менее 10 запросов на информацию.</w:t>
      </w:r>
    </w:p>
    <w:p w:rsidR="00000000" w:rsidRDefault="00000000"/>
    <w:p w:rsidR="00000000" w:rsidRDefault="00000000">
      <w:r>
        <w:t>991.</w:t>
      </w:r>
      <w:r>
        <w:tab/>
        <w:t>В течение 2003 года проводились различные мероприятия, среди которых следует отметить получение - по каналам Электронной системы обработки обращений граждан - 69 326 просьб и ходатайств, и это не считая тех, что регистрировались органами внутреннего контроля, региональными отделениями по надзору, центральными надзорными органами и по линии Системы обслуживания граждан по телефону (САКТЕЛ).  В 36 355 случаях была оказана непосредственная помощь, что на 21,83% больше по сравнению с 2002 годом.</w:t>
      </w:r>
    </w:p>
    <w:p w:rsidR="00000000" w:rsidRDefault="00000000"/>
    <w:p w:rsidR="00000000" w:rsidRDefault="00000000">
      <w:r>
        <w:t>992.</w:t>
      </w:r>
      <w:r>
        <w:tab/>
        <w:t>Кроме того, Электронная система приема жалоб сообщила о регистрации в общей сложности 3 587 случаев несогласия граждан с действиями администрации, что на 24,77% больше, чем в предыдущем году.  В 2003 были зарегистрированы 284 534 заявления, что на 2,19% меньше, нежели в 2002 году.</w:t>
      </w:r>
    </w:p>
    <w:p w:rsidR="00000000" w:rsidRDefault="00000000"/>
    <w:p w:rsidR="00000000" w:rsidRDefault="00000000">
      <w:r>
        <w:t>993.</w:t>
      </w:r>
      <w:r>
        <w:tab/>
        <w:t>В рамках действующих соглашений о координации действий между федеральным правительством и правительствами субъектов федерации за период с января по декабрь 2003 года была проведена 421 проверка порядка использования федеральных государственных средств, что составляет 165%, если брать в сравнении с 255 проверками, имевшими место за весь предыдущий год.</w:t>
      </w:r>
    </w:p>
    <w:p w:rsidR="00000000" w:rsidRDefault="00000000"/>
    <w:p w:rsidR="00000000" w:rsidRDefault="00000000">
      <w:r>
        <w:t>994.</w:t>
      </w:r>
      <w:r>
        <w:tab/>
        <w:t>В период с января по декабрь 2003 года были проведены 250 ревизий различных федеральных программ с финансовой проверкой 63 824 объектов на общую сумму 9 700 млн. песо.  В результате в 2003 году в федеральный бюджет было взыскано 108,9 млн. песо.</w:t>
      </w:r>
    </w:p>
    <w:p w:rsidR="00000000" w:rsidRDefault="00000000"/>
    <w:p w:rsidR="00000000" w:rsidRDefault="00000000">
      <w:r>
        <w:t>995.</w:t>
      </w:r>
      <w:r>
        <w:tab/>
        <w:t>Все эти действия сообщили новый импульс участию граждан посредством усиления и/или введения Комплексной системы общественного контроля во всех трех ветвях правительственной власти.  В этой связи был подтвержден курс на координацию действий и сотрудничество между федеративными образованиями и центром, что проявилось в подписании с контрольными органами администраций штатов по надзору за финансовой деятельностью местных административных структур 31 рабочей программы.  Также были согласованы рабочие планы со структурами, ответственными за выполнение 7 социальных программ.</w:t>
      </w:r>
    </w:p>
    <w:p w:rsidR="00000000" w:rsidRDefault="00000000"/>
    <w:p w:rsidR="00000000" w:rsidRDefault="00000000">
      <w:r>
        <w:t>996.</w:t>
      </w:r>
      <w:r>
        <w:tab/>
        <w:t>В том же году - с подключением штатов Наярит и Мичоакан, а также представительства от федерального округа к проекту "Муниципии - за прозрачность власти" - прошла серия семинаров по вопросам обеспечения или повышения транспарентности в работе, общественного контроля и участия граждан в этом процессе.  В семинарах приняли участие государственные служащие из 247 муниципий.  С учетом прочих мероприятий, удалось охватить 13 федеративных образований и 344 муниципий, что составляет в общей сложности 14% всех национальных структур.</w:t>
      </w:r>
    </w:p>
    <w:p w:rsidR="00000000" w:rsidRDefault="00000000"/>
    <w:p w:rsidR="00000000" w:rsidRDefault="00000000">
      <w:r>
        <w:t>997.</w:t>
      </w:r>
      <w:r>
        <w:tab/>
        <w:t>В качестве мер по усилению нормативной базы в части федерального ресурса и ее применению в штатах и муниципиях был проведен анализ предложений по совершенствованию юридических режимов 5 штатов;  была предоставлена консультативная и техническая помощь в объединении 22 жалоб в одно уголовное дело, а 70 дел были приняты к производству.  Работники Генеральной прокуратуры проработали в управлениях штатов Чьяпас, Коауила, Гуанахуато, Идальго, Наярит, Пуэбла, Сонора и Юкатан вопрос о передаче дел в федеральные органы.  Кроме того, поступило 294 жалобы в суды общей юрисдикции по делам о неправомерном использовании федеральных средств, которые предлагаются для передачи на федеральный уровень, а также 110 жалоб, поданных на федеральный уровень.  Всего в производство поступило 404 дела.</w:t>
      </w:r>
    </w:p>
    <w:p w:rsidR="00000000" w:rsidRDefault="00000000"/>
    <w:p w:rsidR="00000000" w:rsidRDefault="00000000">
      <w:r>
        <w:t>998.</w:t>
      </w:r>
      <w:r>
        <w:tab/>
        <w:t>Министерство по делам государственного управления совместно с Генеральной прокуратурой и Национальным институтом уголовного права (ИНАСИПЕ) разработали курс "Совершенствование перечисления, регулирования и использования федеральных ресурсов".  В течение 2003 года этот курс четырежды был прочитан на региональном уровне;  его прослушали 192 государственных служащих из штатов Нижняя Калифорния, Южная Нижняя Калифорния, Кампече, Чьяпас, Дуранго, Гуанахуато, Халиско, Оахака, Пуэбла, Кинтана-Роо, Синалоа, Сонора, Табаско, Юкатан и Сакатекас.  Каждый курс продолжался 40 часов.  В ходе этого курса вниманию слушателей было предложено справочное пособие "Как возбуждать уголовное дело", знакомящее соответствующих государственных сотрудников с порядком обращения в суд по таким делам.</w:t>
      </w:r>
    </w:p>
    <w:p w:rsidR="00000000" w:rsidRDefault="00000000"/>
    <w:p w:rsidR="00000000" w:rsidRDefault="00000000">
      <w:r>
        <w:t>999.</w:t>
      </w:r>
      <w:r>
        <w:tab/>
        <w:t>В конце 2003 финансового года была проведена внешняя аудиторская проверка использования займа МБР 1161/</w:t>
      </w:r>
      <w:r>
        <w:rPr>
          <w:lang w:val="en-US"/>
        </w:rPr>
        <w:t>OC</w:t>
      </w:r>
      <w:r>
        <w:t>-</w:t>
      </w:r>
      <w:r>
        <w:rPr>
          <w:lang w:val="en-US"/>
        </w:rPr>
        <w:t>ME</w:t>
      </w:r>
      <w:r>
        <w:t xml:space="preserve"> (за 2002 финансовый год).  За счет этого займа частично финансировалась Программа поддержки служб водоснабжения и ассенизации сельских общин, которая получила положительный отзыв со стороны внешних аудиторов.</w:t>
      </w:r>
    </w:p>
    <w:p w:rsidR="00000000" w:rsidRDefault="00000000">
      <w:pPr>
        <w:tabs>
          <w:tab w:val="left" w:pos="748"/>
        </w:tabs>
      </w:pPr>
      <w:r>
        <w:t>1000.</w:t>
      </w:r>
      <w:r>
        <w:tab/>
      </w:r>
      <w:r>
        <w:tab/>
        <w:t>На портале министерства по делам государственного управления была помещена переработанная публикация "Правила осуществления федеральных программ", а также выдержки из этих правил;  была добавлена информация относительно формата правил, общих направлений и порядка объявления общественно значимых программ.</w:t>
      </w:r>
    </w:p>
    <w:p w:rsidR="00000000" w:rsidRDefault="00000000">
      <w:pPr>
        <w:tabs>
          <w:tab w:val="left" w:pos="748"/>
        </w:tabs>
      </w:pPr>
    </w:p>
    <w:p w:rsidR="00000000" w:rsidRDefault="00000000">
      <w:pPr>
        <w:tabs>
          <w:tab w:val="left" w:pos="748"/>
        </w:tabs>
      </w:pPr>
      <w:r>
        <w:t>1001.</w:t>
      </w:r>
      <w:r>
        <w:tab/>
      </w:r>
      <w:r>
        <w:tab/>
        <w:t>С целью повышения квалификации работников контрольных органов штатов в 2003 году были организованы 24 учебных курса, в том числе по следующим темам:  Закон о закупках, аренде и общественных услугах, Закон об общественных работах и порядок оформления и представления статистических данных для проведения аудиторских проверок.  В работе этих курсов приняли участие 923 работника государственного аппарата.</w:t>
      </w:r>
    </w:p>
    <w:p w:rsidR="00000000" w:rsidRDefault="00000000">
      <w:pPr>
        <w:tabs>
          <w:tab w:val="left" w:pos="748"/>
        </w:tabs>
      </w:pPr>
    </w:p>
    <w:p w:rsidR="00000000" w:rsidRDefault="00000000">
      <w:pPr>
        <w:tabs>
          <w:tab w:val="left" w:pos="748"/>
        </w:tabs>
      </w:pPr>
      <w:r>
        <w:t>1002.</w:t>
      </w:r>
      <w:r>
        <w:tab/>
      </w:r>
      <w:r>
        <w:tab/>
        <w:t>В 2003 году было подписано 35 соглашений о сотрудничестве с различными общественными и частными организациями, призванных стимулировать на постоянной и систематической основе изучение, анализ и обсуждение вопросов, связанных с коррупцией, а также задействование средств и механизмов, способствующих обеспечению последовательности, честности и транспарентности в работе.  Подписание этих соглашений на 100% закрыло объем запланированных на этот год подобных мероприятий.</w:t>
      </w:r>
    </w:p>
    <w:p w:rsidR="00000000" w:rsidRDefault="00000000">
      <w:pPr>
        <w:tabs>
          <w:tab w:val="left" w:pos="748"/>
        </w:tabs>
      </w:pPr>
    </w:p>
    <w:p w:rsidR="00000000" w:rsidRDefault="00000000">
      <w:pPr>
        <w:tabs>
          <w:tab w:val="left" w:pos="748"/>
        </w:tabs>
      </w:pPr>
      <w:r>
        <w:t>1003.</w:t>
      </w:r>
      <w:r>
        <w:tab/>
      </w:r>
      <w:r>
        <w:tab/>
        <w:t>В рамках соглашения о сотрудничестве с мексиканским Национальным автономным университетом и при содействии Фонда институционального развития Всемирного банка была создана лаборатория для изучения, анализа и документирования коррупционных процессов, которая, в частности, сосредоточит свое внимание на разработке показателей в вопросах закупок, с тем чтобы демонстрировать наилучшие примеры такого рода деятельности в практике подразделений и ведомств федерального подчинения.</w:t>
      </w:r>
    </w:p>
    <w:p w:rsidR="00000000" w:rsidRDefault="00000000">
      <w:pPr>
        <w:tabs>
          <w:tab w:val="left" w:pos="748"/>
        </w:tabs>
      </w:pPr>
    </w:p>
    <w:p w:rsidR="00000000" w:rsidRDefault="00000000">
      <w:pPr>
        <w:tabs>
          <w:tab w:val="left" w:pos="748"/>
        </w:tabs>
      </w:pPr>
      <w:r>
        <w:t>1004.</w:t>
      </w:r>
      <w:r>
        <w:tab/>
      </w:r>
      <w:r>
        <w:tab/>
        <w:t>При участии Национальной ассоциации университетов и высших учебных заведений (НАУВУЗ) и министерства просвещения был подготовлен материал "Этика, социальная ответственность и транспарентность", который, начиная с января 2003 года, распространялся в 138 учреждениях высшей школы, входящих в эту Ассоциацию, а также в различных других средних и высших учебных заведениях, с целью включения данного материала в их учебные программы.</w:t>
      </w:r>
    </w:p>
    <w:p w:rsidR="00000000" w:rsidRDefault="00000000">
      <w:pPr>
        <w:tabs>
          <w:tab w:val="left" w:pos="748"/>
        </w:tabs>
      </w:pPr>
    </w:p>
    <w:p w:rsidR="00000000" w:rsidRDefault="00000000">
      <w:pPr>
        <w:tabs>
          <w:tab w:val="left" w:pos="748"/>
        </w:tabs>
      </w:pPr>
      <w:r>
        <w:t>1005.</w:t>
      </w:r>
      <w:r>
        <w:tab/>
      </w:r>
      <w:r>
        <w:tab/>
        <w:t>С целью воспитания граждан в духе непримиримости по отношению к коррупции Мексиканский институт кинематографии и Национальный совет по культуре и искусству подготовили четыре короткометражных фильма под общим названием "Киноминуты против коррупции".</w:t>
      </w:r>
    </w:p>
    <w:p w:rsidR="00000000" w:rsidRDefault="00000000">
      <w:pPr>
        <w:tabs>
          <w:tab w:val="left" w:pos="748"/>
        </w:tabs>
      </w:pPr>
      <w:r>
        <w:t>1006.</w:t>
      </w:r>
      <w:r>
        <w:tab/>
      </w:r>
      <w:r>
        <w:tab/>
        <w:t>В порядке достижения целей Конвенции Организации американских государств (ОАГ) о борьбе с коррупцией были подписаны соглашения о техническом сотрудничестве и помощи в области предупреждения коррупции и повышения транспарентности с Парагваем, Аргентиной и Канадой.</w:t>
      </w:r>
    </w:p>
    <w:p w:rsidR="00000000" w:rsidRDefault="00000000">
      <w:pPr>
        <w:tabs>
          <w:tab w:val="left" w:pos="748"/>
        </w:tabs>
      </w:pPr>
    </w:p>
    <w:p w:rsidR="00000000" w:rsidRDefault="00000000">
      <w:pPr>
        <w:tabs>
          <w:tab w:val="left" w:pos="748"/>
        </w:tabs>
      </w:pPr>
      <w:r>
        <w:t>1007.</w:t>
      </w:r>
      <w:r>
        <w:tab/>
      </w:r>
      <w:r>
        <w:tab/>
        <w:t>Совместно с правительствами Аргентины, Канады, Пуэрто-Рико, Соединенных Штатов Америки, Уругвая и Чили была создана сеть государственных учреждений по должностной этике в странах американского континента.</w:t>
      </w:r>
    </w:p>
    <w:p w:rsidR="00000000" w:rsidRDefault="00000000">
      <w:pPr>
        <w:tabs>
          <w:tab w:val="left" w:pos="748"/>
        </w:tabs>
      </w:pPr>
    </w:p>
    <w:p w:rsidR="00000000" w:rsidRDefault="00000000">
      <w:pPr>
        <w:tabs>
          <w:tab w:val="left" w:pos="748"/>
        </w:tabs>
      </w:pPr>
      <w:r>
        <w:t>1008.</w:t>
      </w:r>
      <w:r>
        <w:tab/>
      </w:r>
      <w:r>
        <w:tab/>
        <w:t>В рамках Конвенции Организации экономического сотрудничества и развития о борьбе с подкупом иностранных государственных должностных лиц в международных коммерческих сделках Мексика в начале 2004 года провела второй этап оценки прогресса в деле борьбы с коррупцией.</w:t>
      </w:r>
    </w:p>
    <w:p w:rsidR="00000000" w:rsidRDefault="00000000">
      <w:pPr>
        <w:tabs>
          <w:tab w:val="left" w:pos="748"/>
        </w:tabs>
      </w:pPr>
    </w:p>
    <w:p w:rsidR="00000000" w:rsidRDefault="00000000">
      <w:pPr>
        <w:tabs>
          <w:tab w:val="left" w:pos="748"/>
        </w:tabs>
      </w:pPr>
      <w:r>
        <w:t>1009.</w:t>
      </w:r>
      <w:r>
        <w:tab/>
      </w:r>
      <w:r>
        <w:tab/>
        <w:t>Следует отметить, что в последние годы развернулся широкий процесс переговоров по Конвенции Организации Объединенных Наций против коррупции.</w:t>
      </w:r>
    </w:p>
    <w:p w:rsidR="00000000" w:rsidRDefault="00000000">
      <w:pPr>
        <w:tabs>
          <w:tab w:val="left" w:pos="748"/>
        </w:tabs>
      </w:pPr>
    </w:p>
    <w:p w:rsidR="00000000" w:rsidRDefault="00000000">
      <w:pPr>
        <w:tabs>
          <w:tab w:val="left" w:pos="748"/>
        </w:tabs>
      </w:pPr>
      <w:r>
        <w:t>1010.</w:t>
      </w:r>
      <w:r>
        <w:tab/>
      </w:r>
      <w:r>
        <w:tab/>
        <w:t>В апреле 2004 года сенат Республики ратифицировал Конвенцию, и 20 июля министр иностранных дел передал ратификационную грамоту на хранение в штаб-квартиру Организации Объединенных Наций в Нью-Йорке.  Конвенция вступает в силу после ее ратификации 30 странами.  К настоящему моменту ее подписали 111 стран, шесть из которых уже ратифицировали ее.</w:t>
      </w:r>
    </w:p>
    <w:p w:rsidR="00000000" w:rsidRDefault="00000000">
      <w:pPr>
        <w:tabs>
          <w:tab w:val="left" w:pos="748"/>
        </w:tabs>
      </w:pPr>
    </w:p>
    <w:p w:rsidR="00000000" w:rsidRDefault="00000000">
      <w:pPr>
        <w:tabs>
          <w:tab w:val="left" w:pos="748"/>
        </w:tabs>
      </w:pPr>
      <w:r>
        <w:t>1011.</w:t>
      </w:r>
      <w:r>
        <w:tab/>
      </w:r>
      <w:r>
        <w:tab/>
        <w:t>В сентябре 2002 года министерство по делам государственного управления запустило новый Интернет-портал "Норматека", где в одном месте собраны все законодательные акты и административные распоряжения, регулирующие деятельность подразделений и структур федеральной государственной администрации.  К декабрю 2003 года на этом электронном портале было зарегистрировано свыше 247 000 заходов.</w:t>
      </w:r>
    </w:p>
    <w:p w:rsidR="00000000" w:rsidRDefault="00000000">
      <w:pPr>
        <w:tabs>
          <w:tab w:val="left" w:pos="748"/>
        </w:tabs>
      </w:pPr>
    </w:p>
    <w:p w:rsidR="00000000" w:rsidRDefault="00000000">
      <w:pPr>
        <w:tabs>
          <w:tab w:val="left" w:pos="748"/>
        </w:tabs>
      </w:pPr>
      <w:r>
        <w:t>1012.</w:t>
      </w:r>
      <w:r>
        <w:tab/>
      </w:r>
      <w:r>
        <w:tab/>
        <w:t>В марте 2003 года начался процесс создания внутренних "норматек" в 44 подразделениях и структурах федерального подчинения, с которыми были заключены соответствующие соглашения.</w:t>
      </w:r>
    </w:p>
    <w:p w:rsidR="00000000" w:rsidRDefault="00000000">
      <w:pPr>
        <w:tabs>
          <w:tab w:val="left" w:pos="748"/>
        </w:tabs>
      </w:pPr>
    </w:p>
    <w:p w:rsidR="00000000" w:rsidRDefault="00000000">
      <w:pPr>
        <w:tabs>
          <w:tab w:val="left" w:pos="748"/>
        </w:tabs>
      </w:pPr>
      <w:r>
        <w:t>1013.</w:t>
      </w:r>
      <w:r>
        <w:tab/>
      </w:r>
      <w:r>
        <w:tab/>
        <w:t>К 31 декабря более 86% учреждений, подписавших такие соглашения, успешно выполнили свои обязательства.</w:t>
      </w:r>
    </w:p>
    <w:p w:rsidR="00000000" w:rsidRDefault="00000000">
      <w:pPr>
        <w:tabs>
          <w:tab w:val="left" w:pos="748"/>
        </w:tabs>
      </w:pPr>
    </w:p>
    <w:p w:rsidR="00000000" w:rsidRDefault="00000000">
      <w:pPr>
        <w:tabs>
          <w:tab w:val="left" w:pos="748"/>
        </w:tabs>
      </w:pPr>
      <w:r>
        <w:t>1014.</w:t>
      </w:r>
      <w:r>
        <w:tab/>
      </w:r>
      <w:r>
        <w:tab/>
        <w:t>Что касается комитетов по обеспечению более четкого внутреннего регулирования (КОМЕРИ), то к 31 декабря 2003 года 32 учреждения из состава федеральной государственной администрации уже приняли на вооружение средства упрощения административных действий.  К концу декабря того же года по линии КОМЕРИ и с применением критериев транспарентности и совершенствования административных процедур были приняты примерно 250 решений и резолюций.</w:t>
      </w:r>
    </w:p>
    <w:p w:rsidR="00000000" w:rsidRDefault="00000000">
      <w:pPr>
        <w:tabs>
          <w:tab w:val="left" w:pos="748"/>
        </w:tabs>
      </w:pPr>
    </w:p>
    <w:p w:rsidR="00000000" w:rsidRDefault="00000000">
      <w:pPr>
        <w:tabs>
          <w:tab w:val="left" w:pos="748"/>
        </w:tabs>
      </w:pPr>
      <w:r>
        <w:t>1015.</w:t>
      </w:r>
      <w:r>
        <w:tab/>
      </w:r>
      <w:r>
        <w:tab/>
        <w:t>Внедрение системы КОМПРАНЕТ позволило стандартизировать подряд более 4 000 закупочных предприятий и заказчиков на общественные работы, причем на уровне как федеральной государственной администрации, так и администраций штатов и муниципалитетов.</w:t>
      </w:r>
    </w:p>
    <w:p w:rsidR="00000000" w:rsidRDefault="00000000">
      <w:pPr>
        <w:tabs>
          <w:tab w:val="left" w:pos="748"/>
        </w:tabs>
      </w:pPr>
    </w:p>
    <w:p w:rsidR="00000000" w:rsidRDefault="00000000">
      <w:pPr>
        <w:tabs>
          <w:tab w:val="left" w:pos="748"/>
        </w:tabs>
      </w:pPr>
      <w:r>
        <w:t>1016.</w:t>
      </w:r>
      <w:r>
        <w:tab/>
      </w:r>
      <w:r>
        <w:tab/>
        <w:t>В силу прозрачности заключаемых сделок и низкой коррупционной емкости, за время работы действующей администрации широкое распространение получило проведение электронных торгов.  Делается все возможное для привлечения как можно большего числа закупочных предприятий и подрядных организаций к электронной форме торгов и тендеров.</w:t>
      </w:r>
    </w:p>
    <w:p w:rsidR="00000000" w:rsidRDefault="00000000">
      <w:pPr>
        <w:tabs>
          <w:tab w:val="left" w:pos="748"/>
        </w:tabs>
      </w:pPr>
    </w:p>
    <w:p w:rsidR="00000000" w:rsidRDefault="00000000">
      <w:pPr>
        <w:tabs>
          <w:tab w:val="left" w:pos="748"/>
        </w:tabs>
      </w:pPr>
      <w:r>
        <w:t>1017.</w:t>
      </w:r>
      <w:r>
        <w:tab/>
      </w:r>
      <w:r>
        <w:tab/>
        <w:t>Электронная система государственных закупок (КОМПРАНЕТ) превратилась в мощный инструмент обеспечения транспарентности и подотчетности, который, без сомнения, работает на благо укрепления демократии.</w:t>
      </w:r>
    </w:p>
    <w:p w:rsidR="00000000" w:rsidRDefault="00000000">
      <w:pPr>
        <w:tabs>
          <w:tab w:val="left" w:pos="748"/>
        </w:tabs>
      </w:pPr>
    </w:p>
    <w:p w:rsidR="00000000" w:rsidRDefault="00000000">
      <w:pPr>
        <w:tabs>
          <w:tab w:val="left" w:pos="748"/>
        </w:tabs>
      </w:pPr>
      <w:r>
        <w:t>1018.</w:t>
      </w:r>
      <w:r>
        <w:tab/>
      </w:r>
      <w:r>
        <w:tab/>
        <w:t>В настоящее время свыше 40 000 предприятий прибегают к услугам КОМПРАНЕТа для ознакомления с соответствующими данными, получения информации об условиях проведения торгов и тендеров и произведения расчетов с банками.</w:t>
      </w:r>
    </w:p>
    <w:p w:rsidR="00000000" w:rsidRDefault="00000000">
      <w:pPr>
        <w:tabs>
          <w:tab w:val="left" w:pos="748"/>
        </w:tabs>
      </w:pPr>
    </w:p>
    <w:p w:rsidR="00000000" w:rsidRDefault="00000000">
      <w:pPr>
        <w:tabs>
          <w:tab w:val="left" w:pos="748"/>
        </w:tabs>
      </w:pPr>
      <w:r>
        <w:t>1019.</w:t>
      </w:r>
      <w:r>
        <w:tab/>
      </w:r>
      <w:r>
        <w:tab/>
        <w:t>Учитывая характер и объем выставляемой на сайте информации, эти предприятия обращаются в КОМПРАНЕТ главным образом для просмотра баз данных по более чем 8 000 ежемесячно объявляемым торгам.  Многие поставщики также используют эту страничку в Интернете для получения справочной информации и других документов.  Кроме того, на сайт КОМПРАНЕТ ежедневно заходят 20 200 абонентов и пользователей.</w:t>
      </w:r>
    </w:p>
    <w:p w:rsidR="00000000" w:rsidRDefault="00000000"/>
    <w:p w:rsidR="00000000" w:rsidRDefault="00000000">
      <w:pPr>
        <w:tabs>
          <w:tab w:val="left" w:pos="748"/>
        </w:tabs>
      </w:pPr>
      <w:r>
        <w:t>1020.</w:t>
      </w:r>
      <w:r>
        <w:tab/>
      </w:r>
      <w:r>
        <w:tab/>
        <w:t>Постепенно растет число сертифицированных поставщиков и подрядчиков, принимающих участие в электронных торгах.</w:t>
      </w:r>
    </w:p>
    <w:p w:rsidR="00000000" w:rsidRDefault="00000000">
      <w:pPr>
        <w:tabs>
          <w:tab w:val="left" w:pos="748"/>
        </w:tabs>
      </w:pPr>
    </w:p>
    <w:p w:rsidR="00000000" w:rsidRDefault="00000000">
      <w:pPr>
        <w:tabs>
          <w:tab w:val="left" w:pos="748"/>
        </w:tabs>
      </w:pPr>
      <w:r>
        <w:t>1021.</w:t>
      </w:r>
      <w:r>
        <w:tab/>
      </w:r>
      <w:r>
        <w:tab/>
        <w:t xml:space="preserve">В январе 2002 года вступила в действие Система электронного выполнения официальных формальностей (ТРАМИТАНЕТ), цель которой состоит в том, чтобы </w:t>
      </w:r>
      <w:r>
        <w:rPr>
          <w:lang w:val="en-US"/>
        </w:rPr>
        <w:t>c</w:t>
      </w:r>
      <w:r>
        <w:t xml:space="preserve"> любого компьютера можно было иметь доступ к правительственному порталу.  Отныне граждане могут оперативно ознакомиться с предъявляемыми требованиями, выяснить адрес соответствующих федеральных ведомств, порядок и сроки оформления документов и выполнить более 40 официальных формальностей в электронной форме.</w:t>
      </w:r>
    </w:p>
    <w:p w:rsidR="00000000" w:rsidRDefault="00000000">
      <w:pPr>
        <w:tabs>
          <w:tab w:val="left" w:pos="748"/>
        </w:tabs>
      </w:pPr>
    </w:p>
    <w:p w:rsidR="00000000" w:rsidRDefault="00000000">
      <w:pPr>
        <w:tabs>
          <w:tab w:val="left" w:pos="748"/>
        </w:tabs>
      </w:pPr>
      <w:r>
        <w:t>1022.</w:t>
      </w:r>
      <w:r>
        <w:tab/>
      </w:r>
      <w:r>
        <w:tab/>
        <w:t>На Интернет-портале ТРАМИТАНЕТ можно получить информацию о более чем 5 647 различных процедурах.  С апреля 2004 года 67 процедурных операций можно осуществить с помощью электронных средств.</w:t>
      </w:r>
    </w:p>
    <w:p w:rsidR="00000000" w:rsidRDefault="00000000">
      <w:pPr>
        <w:tabs>
          <w:tab w:val="left" w:pos="748"/>
        </w:tabs>
      </w:pPr>
    </w:p>
    <w:p w:rsidR="00000000" w:rsidRDefault="00000000">
      <w:pPr>
        <w:tabs>
          <w:tab w:val="left" w:pos="748"/>
        </w:tabs>
      </w:pPr>
      <w:r>
        <w:t>1023.</w:t>
      </w:r>
      <w:r>
        <w:tab/>
      </w:r>
      <w:r>
        <w:tab/>
        <w:t>Наиболее важными процедурами стали запросы, записи и выписки из единого регистра населения (ЕРН), а также извещения о внесении в реестр Мексиканского института социального обеспечения (МИСО), по линии которого охвачены уже 5 996 425 человек.</w:t>
      </w:r>
    </w:p>
    <w:p w:rsidR="00000000" w:rsidRDefault="00000000">
      <w:pPr>
        <w:tabs>
          <w:tab w:val="left" w:pos="748"/>
        </w:tabs>
      </w:pPr>
    </w:p>
    <w:p w:rsidR="00000000" w:rsidRDefault="00000000">
      <w:pPr>
        <w:tabs>
          <w:tab w:val="left" w:pos="748"/>
        </w:tabs>
      </w:pPr>
      <w:r>
        <w:t>1024.</w:t>
      </w:r>
      <w:r>
        <w:tab/>
      </w:r>
      <w:r>
        <w:tab/>
        <w:t>Несмотря на сложность проекта ДЕКЛАРАНЕТ, вызванную неоднородностью компьютерного оборудования, которым оснащены подразделения и ведомства федеральной государственной администрации, а также невысокой технической культурой чиновников, с момента запуска этого проекта в мае 2002 года как обязательного инструмента в работе административного работника более 95% государственных служащих представили свои декларации о доходах с помощью Интернета, используя электронную подпись.  С мая 2002 по апрель 2004 года по Интернету было получено 560 505 деклараций.</w:t>
      </w:r>
    </w:p>
    <w:p w:rsidR="00000000" w:rsidRDefault="00000000">
      <w:pPr>
        <w:tabs>
          <w:tab w:val="left" w:pos="748"/>
        </w:tabs>
      </w:pPr>
    </w:p>
    <w:p w:rsidR="00000000" w:rsidRDefault="00000000">
      <w:pPr>
        <w:tabs>
          <w:tab w:val="left" w:pos="748"/>
        </w:tabs>
      </w:pPr>
      <w:r>
        <w:t>1025.</w:t>
      </w:r>
      <w:r>
        <w:tab/>
      </w:r>
      <w:r>
        <w:tab/>
        <w:t>На май 2003 года было получено 210 520 налоговых деклараций.  Несмотря на схожесть с аналогичными данными за 2002 год, в нынешнем году были дополнительно включены пять новых видов услуг:  восстановление архива предыдущей декларации, восстановление предыдущего сертификата, отзыв сертификатов, обращение к отозванному сертификату и обращение к формату условий полученных услуг, что практически удвоило количество операций.</w:t>
      </w:r>
    </w:p>
    <w:p w:rsidR="00000000" w:rsidRDefault="00000000">
      <w:pPr>
        <w:tabs>
          <w:tab w:val="left" w:pos="748"/>
        </w:tabs>
      </w:pPr>
    </w:p>
    <w:p w:rsidR="00000000" w:rsidRDefault="00000000">
      <w:pPr>
        <w:tabs>
          <w:tab w:val="left" w:pos="748"/>
        </w:tabs>
      </w:pPr>
      <w:r>
        <w:t>1026.</w:t>
      </w:r>
      <w:r>
        <w:tab/>
      </w:r>
      <w:r>
        <w:tab/>
        <w:t>С момента появления в Интернете странички "Система запроса информации" (СИСИ) ее посетили более 40 000 человек, что говорит о большом интересе к ней граждан, использующих данную систему в качестве важного средства удовлетворения своих информационных запросов.</w:t>
      </w:r>
    </w:p>
    <w:p w:rsidR="00000000" w:rsidRDefault="00000000">
      <w:pPr>
        <w:tabs>
          <w:tab w:val="left" w:pos="748"/>
        </w:tabs>
      </w:pPr>
    </w:p>
    <w:p w:rsidR="00000000" w:rsidRDefault="00000000">
      <w:pPr>
        <w:tabs>
          <w:tab w:val="left" w:pos="748"/>
        </w:tabs>
      </w:pPr>
      <w:r>
        <w:t>1027.</w:t>
      </w:r>
      <w:r>
        <w:tab/>
      </w:r>
      <w:r>
        <w:tab/>
        <w:t xml:space="preserve">Интернет-портал "Гражданин" на сайте </w:t>
      </w:r>
      <w:hyperlink r:id="rId183" w:history="1">
        <w:r>
          <w:rPr>
            <w:rStyle w:val="Hyperlink"/>
          </w:rPr>
          <w:t>www.gob.mx</w:t>
        </w:r>
      </w:hyperlink>
      <w:r>
        <w:t xml:space="preserve"> является действенным подспорьем федеральному закону о транспарентности, ибо он служит своего рода посредником между административными структурами и гражданами, снабжая последних информацией о работе государственных ведомств посредством самого массового и доступного средства связи, каким является Интернет.  Это средство общения с властными структурами стало средоточием процедур и услуг, предоставляемых правительством в интересах граждан.  Оно дает возможность для широкого участия граждан в принятии решений, отслеживании проблем, получения ответов на запросы, так как предоставляет простому гражданину свою трибуну в виде форумов, чатов и опросов.</w:t>
      </w:r>
    </w:p>
    <w:p w:rsidR="00000000" w:rsidRDefault="00000000">
      <w:r>
        <w:t>1028.</w:t>
      </w:r>
      <w:r>
        <w:tab/>
        <w:t xml:space="preserve">  Задачи и перспективы на 2004 год:</w:t>
      </w:r>
    </w:p>
    <w:p w:rsidR="00000000" w:rsidRDefault="00000000"/>
    <w:p w:rsidR="00000000" w:rsidRDefault="00000000">
      <w:pPr>
        <w:rPr>
          <w:b/>
        </w:rPr>
      </w:pPr>
      <w:r>
        <w:rPr>
          <w:b/>
        </w:rPr>
        <w:tab/>
        <w:t>Общие положения</w:t>
      </w:r>
    </w:p>
    <w:p w:rsidR="00000000" w:rsidRDefault="00000000">
      <w:pPr>
        <w:rPr>
          <w:b/>
        </w:rPr>
      </w:pPr>
    </w:p>
    <w:p w:rsidR="00000000" w:rsidRDefault="00000000">
      <w:pPr>
        <w:numPr>
          <w:ilvl w:val="0"/>
          <w:numId w:val="520"/>
        </w:numPr>
        <w:tabs>
          <w:tab w:val="clear" w:pos="720"/>
          <w:tab w:val="clear" w:pos="1701"/>
        </w:tabs>
        <w:ind w:left="1134" w:hanging="567"/>
      </w:pPr>
      <w:r>
        <w:t>Упрочить базу данных в целях предоставления обязательного открытого доступа к информации в соответствии с федеральным законом об открытости правительственной публичной информации и о доступности к ней.</w:t>
      </w:r>
    </w:p>
    <w:p w:rsidR="00000000" w:rsidRDefault="00000000">
      <w:pPr>
        <w:ind w:left="1134" w:hanging="567"/>
      </w:pPr>
    </w:p>
    <w:p w:rsidR="00000000" w:rsidRDefault="00000000">
      <w:pPr>
        <w:numPr>
          <w:ilvl w:val="0"/>
          <w:numId w:val="520"/>
        </w:numPr>
        <w:tabs>
          <w:tab w:val="clear" w:pos="720"/>
          <w:tab w:val="clear" w:pos="1701"/>
        </w:tabs>
        <w:ind w:left="1134" w:hanging="567"/>
      </w:pPr>
      <w:r>
        <w:t>В соответствии с условиями и сроками, определенными в законе о профессиональной карьерной службе в федеральной государственной администрации, завершить разработку Системы профессиональной карьерной службы и ввести ее в действие.</w:t>
      </w:r>
    </w:p>
    <w:p w:rsidR="00000000" w:rsidRDefault="00000000">
      <w:pPr>
        <w:ind w:left="1134" w:hanging="567"/>
      </w:pPr>
    </w:p>
    <w:p w:rsidR="00000000" w:rsidRDefault="00000000">
      <w:pPr>
        <w:numPr>
          <w:ilvl w:val="0"/>
          <w:numId w:val="520"/>
        </w:numPr>
        <w:tabs>
          <w:tab w:val="clear" w:pos="720"/>
          <w:tab w:val="clear" w:pos="1701"/>
        </w:tabs>
        <w:ind w:left="1134" w:hanging="567"/>
      </w:pPr>
      <w:r>
        <w:t>Продолжить подготовку персонала органов внутреннего контроля, с тем чтобы закрепить новый подход к работе этих органов.</w:t>
      </w:r>
    </w:p>
    <w:p w:rsidR="00000000" w:rsidRDefault="00000000">
      <w:pPr>
        <w:ind w:left="708"/>
      </w:pPr>
    </w:p>
    <w:p w:rsidR="00000000" w:rsidRDefault="00000000">
      <w:pPr>
        <w:numPr>
          <w:ilvl w:val="0"/>
          <w:numId w:val="520"/>
        </w:numPr>
        <w:tabs>
          <w:tab w:val="clear" w:pos="720"/>
          <w:tab w:val="clear" w:pos="1701"/>
        </w:tabs>
        <w:ind w:left="1134" w:hanging="567"/>
      </w:pPr>
      <w:r>
        <w:t>Способствовать более широкому вовлечению граждан в дело вскрытия случаев сращивания интересов чиновников и борьбы с этим явлением.</w:t>
      </w:r>
    </w:p>
    <w:p w:rsidR="00000000" w:rsidRDefault="00000000">
      <w:pPr>
        <w:ind w:left="708"/>
      </w:pPr>
    </w:p>
    <w:p w:rsidR="00000000" w:rsidRDefault="00000000">
      <w:pPr>
        <w:numPr>
          <w:ilvl w:val="0"/>
          <w:numId w:val="520"/>
        </w:numPr>
        <w:tabs>
          <w:tab w:val="clear" w:pos="720"/>
          <w:tab w:val="clear" w:pos="1701"/>
        </w:tabs>
        <w:ind w:left="1134" w:hanging="567"/>
      </w:pPr>
      <w:r>
        <w:t>В рамках Программы упорядочения и упрощения административных процедур выявлять и изживать трудноразрешимые процедурные моменты в деятельности органов власти на федеральном, региональном, муниципальном уровнях и на уровне штатов.</w:t>
      </w:r>
    </w:p>
    <w:p w:rsidR="00000000" w:rsidRDefault="00000000">
      <w:pPr>
        <w:ind w:left="708"/>
      </w:pPr>
    </w:p>
    <w:p w:rsidR="00000000" w:rsidRDefault="00000000">
      <w:pPr>
        <w:numPr>
          <w:ilvl w:val="0"/>
          <w:numId w:val="520"/>
        </w:numPr>
        <w:tabs>
          <w:tab w:val="clear" w:pos="720"/>
          <w:tab w:val="clear" w:pos="1701"/>
        </w:tabs>
        <w:ind w:left="1134" w:hanging="567"/>
      </w:pPr>
      <w:r>
        <w:t>Изменить нормы учета и списания движимого имущества в учреждениях федеральной административной власти в соответствии с положениями Общего закона о государственном имуществе в целях обеспечения большей ясности, в том что касается нормативной базы, и предотвращения случаев бесконтрольного разбазаривания вышедшего из строя движимого имущества учреждений.</w:t>
      </w:r>
    </w:p>
    <w:p w:rsidR="00000000" w:rsidRDefault="00000000">
      <w:pPr>
        <w:ind w:left="708"/>
      </w:pPr>
    </w:p>
    <w:p w:rsidR="00000000" w:rsidRDefault="00000000">
      <w:pPr>
        <w:numPr>
          <w:ilvl w:val="0"/>
          <w:numId w:val="520"/>
        </w:numPr>
        <w:tabs>
          <w:tab w:val="clear" w:pos="720"/>
          <w:tab w:val="clear" w:pos="1701"/>
        </w:tabs>
        <w:ind w:left="1134" w:hanging="567"/>
      </w:pPr>
      <w:r>
        <w:t>Выпустить новые регламенты к закону о закупках, аренде и общественных услугах, а также к закону об общественных работах и связанных с ними услугах, приведя эти регламенты в соответствие с законами с внесенными в них изменениями.</w:t>
      </w:r>
    </w:p>
    <w:p w:rsidR="00000000" w:rsidRDefault="00000000">
      <w:pPr>
        <w:ind w:left="708"/>
      </w:pPr>
    </w:p>
    <w:p w:rsidR="00000000" w:rsidRDefault="00000000">
      <w:pPr>
        <w:numPr>
          <w:ilvl w:val="0"/>
          <w:numId w:val="520"/>
        </w:numPr>
        <w:tabs>
          <w:tab w:val="clear" w:pos="720"/>
          <w:tab w:val="clear" w:pos="1701"/>
        </w:tabs>
        <w:ind w:left="1134" w:hanging="567"/>
      </w:pPr>
      <w:r>
        <w:t>Путем прямых предписаний добиваться, чтобы учреждения и организации страховали имущество граждан без необходимости прибегать к услугам посторонних советников и посредников.</w:t>
      </w:r>
    </w:p>
    <w:p w:rsidR="00000000" w:rsidRDefault="00000000">
      <w:pPr>
        <w:numPr>
          <w:ilvl w:val="0"/>
          <w:numId w:val="520"/>
        </w:numPr>
        <w:tabs>
          <w:tab w:val="clear" w:pos="720"/>
          <w:tab w:val="clear" w:pos="1701"/>
        </w:tabs>
        <w:ind w:left="1134" w:hanging="567"/>
      </w:pPr>
      <w:r>
        <w:t>В целях улучшения процедуры прохождения жалоб и принятия решений по ним продолжить применение принципов транспарентности и законности в действии системы жалоб, связанных с вопросами закупок, подрядов и общественных работ.</w:t>
      </w:r>
    </w:p>
    <w:p w:rsidR="00000000" w:rsidRDefault="00000000">
      <w:pPr>
        <w:ind w:left="708"/>
      </w:pPr>
    </w:p>
    <w:p w:rsidR="00000000" w:rsidRDefault="00000000">
      <w:pPr>
        <w:numPr>
          <w:ilvl w:val="0"/>
          <w:numId w:val="520"/>
        </w:numPr>
        <w:tabs>
          <w:tab w:val="clear" w:pos="720"/>
          <w:tab w:val="clear" w:pos="1701"/>
        </w:tabs>
        <w:ind w:left="1134" w:hanging="567"/>
      </w:pPr>
      <w:r>
        <w:t>В целях более эффективного использования ресурсов и существенного улучшения предоставляемых услуг учредить во всех сферах общего руководства и имущественных отношений систему управления качеством на основе сертификации по стандарту ИСО 9000.</w:t>
      </w:r>
    </w:p>
    <w:p w:rsidR="00000000" w:rsidRDefault="00000000">
      <w:pPr>
        <w:tabs>
          <w:tab w:val="clear" w:pos="1701"/>
        </w:tabs>
        <w:ind w:left="207"/>
      </w:pPr>
    </w:p>
    <w:p w:rsidR="00000000" w:rsidRDefault="00000000">
      <w:pPr>
        <w:numPr>
          <w:ilvl w:val="0"/>
          <w:numId w:val="520"/>
        </w:numPr>
        <w:tabs>
          <w:tab w:val="clear" w:pos="720"/>
          <w:tab w:val="clear" w:pos="1701"/>
        </w:tabs>
        <w:ind w:left="1134" w:hanging="567"/>
      </w:pPr>
      <w:r>
        <w:t>Для успешного вливания в интеграционные процессы мы должны быть готовы к вызовам, которые ставит перед нами процесс глобализации, а также осуществить необходимые изменения, направленные на решение проблемы коррупции на континенте, и принять совместные обязательства, касающиеся целостности и транспарентности.</w:t>
      </w:r>
    </w:p>
    <w:p w:rsidR="00000000" w:rsidRDefault="00000000"/>
    <w:p w:rsidR="00000000" w:rsidRDefault="00000000">
      <w:pPr>
        <w:ind w:left="1068" w:hanging="1068"/>
        <w:rPr>
          <w:b/>
        </w:rPr>
      </w:pPr>
      <w:r>
        <w:rPr>
          <w:b/>
        </w:rPr>
        <w:tab/>
        <w:t>Профессиональное правительство</w:t>
      </w:r>
    </w:p>
    <w:p w:rsidR="00000000" w:rsidRDefault="00000000">
      <w:pPr>
        <w:ind w:left="1068"/>
      </w:pPr>
    </w:p>
    <w:p w:rsidR="00000000" w:rsidRDefault="00000000">
      <w:pPr>
        <w:numPr>
          <w:ilvl w:val="0"/>
          <w:numId w:val="520"/>
        </w:numPr>
        <w:tabs>
          <w:tab w:val="clear" w:pos="720"/>
          <w:tab w:val="clear" w:pos="1701"/>
        </w:tabs>
        <w:ind w:left="1134" w:hanging="567"/>
      </w:pPr>
      <w:r>
        <w:t>Разработана и опубликована Специальная программа профессиональной карьерной службы на 2004-2006 годы, дающая всем подразделениям государственных структур вектор приложения своих усилий и руководство к действию.  Цель этой программы - внедрение профессиональной карьерной службы.</w:t>
      </w:r>
    </w:p>
    <w:p w:rsidR="00000000" w:rsidRDefault="00000000">
      <w:pPr>
        <w:ind w:left="708"/>
      </w:pPr>
    </w:p>
    <w:p w:rsidR="00000000" w:rsidRDefault="00000000">
      <w:pPr>
        <w:numPr>
          <w:ilvl w:val="0"/>
          <w:numId w:val="520"/>
        </w:numPr>
        <w:tabs>
          <w:tab w:val="clear" w:pos="720"/>
          <w:tab w:val="clear" w:pos="1701"/>
        </w:tabs>
        <w:ind w:left="1134" w:hanging="567"/>
      </w:pPr>
      <w:r>
        <w:t>После опубликования регламента к закону о ПКС, разбросанные по стране подразделения и структуры должны обеспечить занятие вакантных должностей исключительно на основе публичных и открытых конкурсов.  С этой целью в 2004 году должна быть введена в действие подсистема зачисления на ПКС.</w:t>
      </w:r>
    </w:p>
    <w:p w:rsidR="00000000" w:rsidRDefault="00000000">
      <w:pPr>
        <w:ind w:left="708"/>
      </w:pPr>
    </w:p>
    <w:p w:rsidR="00000000" w:rsidRDefault="00000000">
      <w:pPr>
        <w:numPr>
          <w:ilvl w:val="0"/>
          <w:numId w:val="520"/>
        </w:numPr>
        <w:tabs>
          <w:tab w:val="clear" w:pos="720"/>
          <w:tab w:val="clear" w:pos="1701"/>
        </w:tabs>
        <w:ind w:left="1134" w:hanging="567"/>
      </w:pPr>
      <w:r>
        <w:t>Следует провести серьезную работу по пересмотру и обновлению штатных расписаний, формированию механизмов оценки, контроля и прозрачности в рамках системы профессиональной карьерной службы.  С этой целью следует подготовить концептуальную модель подсистемы оценки прохождения службы путем постановки внутриведомственных задач.</w:t>
      </w:r>
    </w:p>
    <w:p w:rsidR="00000000" w:rsidRDefault="00000000">
      <w:pPr>
        <w:ind w:left="708"/>
      </w:pPr>
    </w:p>
    <w:p w:rsidR="00000000" w:rsidRDefault="00000000">
      <w:pPr>
        <w:numPr>
          <w:ilvl w:val="0"/>
          <w:numId w:val="520"/>
        </w:numPr>
        <w:tabs>
          <w:tab w:val="clear" w:pos="720"/>
          <w:tab w:val="clear" w:pos="1701"/>
        </w:tabs>
        <w:ind w:left="1134" w:hanging="567"/>
      </w:pPr>
      <w:r>
        <w:t>Подсистема отсева должна надежно предупреждать попадание на должность кандидатов, которые, будучи на профессиональной карьерной службе, будут допускать непростительные ошибки.</w:t>
      </w:r>
    </w:p>
    <w:p w:rsidR="00000000" w:rsidRDefault="00000000">
      <w:pPr>
        <w:ind w:left="708"/>
      </w:pPr>
    </w:p>
    <w:p w:rsidR="00000000" w:rsidRDefault="00000000">
      <w:pPr>
        <w:numPr>
          <w:ilvl w:val="0"/>
          <w:numId w:val="520"/>
        </w:numPr>
        <w:tabs>
          <w:tab w:val="clear" w:pos="720"/>
          <w:tab w:val="clear" w:pos="1701"/>
        </w:tabs>
        <w:ind w:left="1134" w:hanging="567"/>
      </w:pPr>
      <w:r>
        <w:t>В 2005 году степень зрелости системы должна соответствовать минимальным задачам, например, в вопросе планирования кадровой политики.  В этой связи штатное расписание должно работать на 100 процентов.</w:t>
      </w:r>
    </w:p>
    <w:p w:rsidR="00000000" w:rsidRDefault="00000000">
      <w:pPr>
        <w:ind w:left="708"/>
      </w:pPr>
    </w:p>
    <w:p w:rsidR="00000000" w:rsidRDefault="00000000">
      <w:pPr>
        <w:numPr>
          <w:ilvl w:val="0"/>
          <w:numId w:val="520"/>
        </w:numPr>
        <w:tabs>
          <w:tab w:val="clear" w:pos="720"/>
          <w:tab w:val="clear" w:pos="1701"/>
        </w:tabs>
        <w:ind w:left="1134" w:hanging="567"/>
      </w:pPr>
      <w:r>
        <w:t>Наконец, предусматривается, что к 2006 году все подсистемы будут работать в полном объеме или находиться в готовности к работе на 100 процентов.</w:t>
      </w:r>
    </w:p>
    <w:p w:rsidR="00000000" w:rsidRDefault="00000000">
      <w:pPr>
        <w:ind w:left="708"/>
      </w:pPr>
    </w:p>
    <w:p w:rsidR="00000000" w:rsidRDefault="00000000">
      <w:pPr>
        <w:rPr>
          <w:b/>
        </w:rPr>
      </w:pPr>
      <w:r>
        <w:rPr>
          <w:b/>
        </w:rPr>
        <w:tab/>
        <w:t xml:space="preserve">Качественное правительство </w:t>
      </w:r>
    </w:p>
    <w:p w:rsidR="00000000" w:rsidRDefault="00000000">
      <w:pPr>
        <w:rPr>
          <w:b/>
        </w:rPr>
      </w:pPr>
    </w:p>
    <w:p w:rsidR="00000000" w:rsidRDefault="00000000">
      <w:pPr>
        <w:numPr>
          <w:ilvl w:val="0"/>
          <w:numId w:val="520"/>
        </w:numPr>
        <w:tabs>
          <w:tab w:val="clear" w:pos="720"/>
          <w:tab w:val="clear" w:pos="1701"/>
        </w:tabs>
        <w:ind w:left="1134" w:hanging="567"/>
      </w:pPr>
      <w:r>
        <w:t>С помощью этой программы предполагается упростить, улучшить и в некоторых случаях исключить процедуры и услуги сильного общественного резонанса, а также те процедуры внутри федерального правительства, которые сдерживают производительность предприятий и граждан.  Планируется ввести параметр административного качества 172 процедур в различных областях.</w:t>
      </w:r>
    </w:p>
    <w:p w:rsidR="00000000" w:rsidRDefault="00000000">
      <w:pPr>
        <w:ind w:left="708"/>
      </w:pPr>
    </w:p>
    <w:p w:rsidR="00000000" w:rsidRDefault="00000000">
      <w:pPr>
        <w:numPr>
          <w:ilvl w:val="0"/>
          <w:numId w:val="520"/>
        </w:numPr>
        <w:tabs>
          <w:tab w:val="clear" w:pos="720"/>
          <w:tab w:val="clear" w:pos="1701"/>
        </w:tabs>
        <w:ind w:left="1134" w:hanging="567"/>
      </w:pPr>
      <w:r>
        <w:t>Кроме того, планируется поднять эффективность четырех программ социальной поддержки сильного общественного резонанса путем улучшения и упрощения правил, а также порядка проведения по инстанциям.</w:t>
      </w:r>
    </w:p>
    <w:p w:rsidR="00000000" w:rsidRDefault="00000000">
      <w:pPr>
        <w:ind w:left="708"/>
      </w:pPr>
    </w:p>
    <w:p w:rsidR="00000000" w:rsidRDefault="00000000">
      <w:pPr>
        <w:rPr>
          <w:b/>
        </w:rPr>
      </w:pPr>
      <w:r>
        <w:rPr>
          <w:b/>
        </w:rPr>
        <w:tab/>
        <w:t>Цифровое государственное управление</w:t>
      </w:r>
    </w:p>
    <w:p w:rsidR="00000000" w:rsidRDefault="00000000">
      <w:pPr>
        <w:rPr>
          <w:b/>
        </w:rPr>
      </w:pPr>
    </w:p>
    <w:p w:rsidR="00000000" w:rsidRDefault="00000000">
      <w:pPr>
        <w:numPr>
          <w:ilvl w:val="0"/>
          <w:numId w:val="520"/>
        </w:numPr>
        <w:tabs>
          <w:tab w:val="clear" w:pos="720"/>
          <w:tab w:val="clear" w:pos="1701"/>
        </w:tabs>
        <w:ind w:left="1134" w:hanging="567"/>
      </w:pPr>
      <w:r>
        <w:t>Эта программа призвана создать условия 280 закупочным компаниям или компаниям, занятым в общественных работах, для участия в электронных торгах, сертифицировать 1 500 поставщиков и подрядчиков, давая им возможность участия в электронных торгах.</w:t>
      </w:r>
    </w:p>
    <w:p w:rsidR="00000000" w:rsidRDefault="00000000"/>
    <w:p w:rsidR="00000000" w:rsidRDefault="00000000">
      <w:pPr>
        <w:tabs>
          <w:tab w:val="left" w:pos="748"/>
        </w:tabs>
        <w:ind w:left="567" w:hanging="567"/>
        <w:rPr>
          <w:b/>
          <w:bCs/>
          <w:i/>
          <w:iCs/>
        </w:rPr>
      </w:pPr>
      <w:r>
        <w:rPr>
          <w:b/>
          <w:bCs/>
          <w:i/>
          <w:iCs/>
        </w:rPr>
        <w:tab/>
        <w:t>20.</w:t>
      </w:r>
      <w:r>
        <w:rPr>
          <w:b/>
          <w:bCs/>
          <w:i/>
          <w:iCs/>
        </w:rPr>
        <w:tab/>
        <w:t>Комитет выражает сожаление по поводу того, что, несмотря на позитивный рост макроэкономических показателей в Мексике, в особенности резкое снижение уровня инфляции, Национальная комиссия по определению минимального размера заработной платы не скорректировала уровень минимальной зарплаты в сторону повышения.  В настоящее время для приобретения установленного законом минимального набора основных продуктов питания требуется около пяти минимальных зарплат, что противоречит положениям статьи 7 a) ii) Пакта, закрепленным в национальном законодательстве (статья 123.VI Конституции Мексики).</w:t>
      </w:r>
    </w:p>
    <w:p w:rsidR="00000000" w:rsidRDefault="00000000">
      <w:pPr>
        <w:tabs>
          <w:tab w:val="left" w:pos="748"/>
        </w:tabs>
        <w:ind w:left="567" w:hanging="567"/>
        <w:rPr>
          <w:b/>
          <w:bCs/>
        </w:rPr>
      </w:pPr>
    </w:p>
    <w:p w:rsidR="00000000" w:rsidRDefault="00000000">
      <w:pPr>
        <w:tabs>
          <w:tab w:val="left" w:pos="748"/>
        </w:tabs>
      </w:pPr>
      <w:r>
        <w:br w:type="page"/>
        <w:t>1029.</w:t>
      </w:r>
      <w:r>
        <w:tab/>
      </w:r>
      <w:r>
        <w:tab/>
        <w:t>Невзирая на то, что темпы экономического роста оказались ниже ожидаемых и не достигли уровня, требуемого для обеспечения устойчивого наращивания экономического потенциала страны, минимальная заработная плата увеличилась в реальном выражении на 4,7%.  В таблице ниже приводятся соответствующие данные в разбивке по географическим зонам.</w:t>
      </w:r>
    </w:p>
    <w:p w:rsidR="00000000" w:rsidRDefault="00000000">
      <w:pPr>
        <w:tabs>
          <w:tab w:val="left" w:pos="748"/>
        </w:tabs>
      </w:pPr>
    </w:p>
    <w:tbl>
      <w:tblPr>
        <w:tblW w:w="907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6"/>
        <w:gridCol w:w="3314"/>
        <w:gridCol w:w="3431"/>
      </w:tblGrid>
      <w:tr w:rsidR="00000000">
        <w:tblPrEx>
          <w:tblCellMar>
            <w:top w:w="0" w:type="dxa"/>
            <w:bottom w:w="0" w:type="dxa"/>
          </w:tblCellMar>
        </w:tblPrEx>
        <w:trPr>
          <w:jc w:val="center"/>
        </w:trPr>
        <w:tc>
          <w:tcPr>
            <w:tcW w:w="2326" w:type="dxa"/>
            <w:vAlign w:val="center"/>
          </w:tcPr>
          <w:p w:rsidR="00000000" w:rsidRDefault="00000000">
            <w:pPr>
              <w:keepNext/>
              <w:tabs>
                <w:tab w:val="left" w:pos="748"/>
              </w:tabs>
              <w:spacing w:before="80" w:line="216" w:lineRule="auto"/>
              <w:jc w:val="center"/>
              <w:rPr>
                <w:i/>
                <w:iCs/>
                <w:sz w:val="18"/>
              </w:rPr>
            </w:pPr>
            <w:r>
              <w:rPr>
                <w:i/>
                <w:iCs/>
                <w:sz w:val="18"/>
              </w:rPr>
              <w:t xml:space="preserve">Географическая зона </w:t>
            </w:r>
          </w:p>
        </w:tc>
        <w:tc>
          <w:tcPr>
            <w:tcW w:w="3314" w:type="dxa"/>
            <w:vAlign w:val="center"/>
          </w:tcPr>
          <w:p w:rsidR="00000000" w:rsidRDefault="00000000">
            <w:pPr>
              <w:keepNext/>
              <w:tabs>
                <w:tab w:val="left" w:pos="748"/>
              </w:tabs>
              <w:spacing w:before="80" w:line="216" w:lineRule="auto"/>
              <w:jc w:val="center"/>
              <w:rPr>
                <w:i/>
                <w:iCs/>
                <w:sz w:val="18"/>
              </w:rPr>
            </w:pPr>
            <w:r>
              <w:rPr>
                <w:i/>
                <w:iCs/>
                <w:sz w:val="18"/>
              </w:rPr>
              <w:t>Динамика заработной платы за шестилетний период</w:t>
            </w:r>
          </w:p>
          <w:p w:rsidR="00000000" w:rsidRDefault="00000000">
            <w:pPr>
              <w:keepNext/>
              <w:tabs>
                <w:tab w:val="left" w:pos="748"/>
              </w:tabs>
              <w:spacing w:before="80" w:line="216" w:lineRule="auto"/>
              <w:jc w:val="center"/>
              <w:rPr>
                <w:i/>
                <w:iCs/>
                <w:sz w:val="18"/>
              </w:rPr>
            </w:pPr>
            <w:r>
              <w:rPr>
                <w:i/>
                <w:iCs/>
                <w:sz w:val="18"/>
              </w:rPr>
              <w:t xml:space="preserve"> (в %)</w:t>
            </w:r>
          </w:p>
        </w:tc>
        <w:tc>
          <w:tcPr>
            <w:tcW w:w="3431" w:type="dxa"/>
            <w:vAlign w:val="center"/>
          </w:tcPr>
          <w:p w:rsidR="00000000" w:rsidRDefault="00000000">
            <w:pPr>
              <w:keepNext/>
              <w:tabs>
                <w:tab w:val="left" w:pos="748"/>
              </w:tabs>
              <w:spacing w:before="80" w:line="216" w:lineRule="auto"/>
              <w:jc w:val="center"/>
              <w:rPr>
                <w:i/>
                <w:iCs/>
                <w:sz w:val="18"/>
              </w:rPr>
            </w:pPr>
            <w:r>
              <w:rPr>
                <w:i/>
                <w:iCs/>
                <w:sz w:val="18"/>
              </w:rPr>
              <w:t>Трудящиеся, получающие минимальную заработную плату</w:t>
            </w:r>
          </w:p>
          <w:p w:rsidR="00000000" w:rsidRDefault="00000000">
            <w:pPr>
              <w:keepNext/>
              <w:tabs>
                <w:tab w:val="left" w:pos="748"/>
              </w:tabs>
              <w:spacing w:before="80" w:line="216" w:lineRule="auto"/>
              <w:jc w:val="center"/>
              <w:rPr>
                <w:i/>
                <w:iCs/>
                <w:sz w:val="18"/>
                <w:lang w:val="en-US"/>
              </w:rPr>
            </w:pPr>
            <w:r>
              <w:rPr>
                <w:i/>
                <w:iCs/>
                <w:sz w:val="18"/>
              </w:rPr>
              <w:t xml:space="preserve"> </w:t>
            </w:r>
            <w:r>
              <w:rPr>
                <w:i/>
                <w:iCs/>
                <w:sz w:val="18"/>
                <w:lang w:val="en-US"/>
              </w:rPr>
              <w:t>(</w:t>
            </w:r>
            <w:r>
              <w:rPr>
                <w:i/>
                <w:iCs/>
                <w:sz w:val="18"/>
              </w:rPr>
              <w:t>в</w:t>
            </w:r>
            <w:r>
              <w:rPr>
                <w:i/>
                <w:iCs/>
                <w:sz w:val="18"/>
                <w:lang w:val="en-US"/>
              </w:rPr>
              <w:t xml:space="preserve"> %)</w:t>
            </w:r>
          </w:p>
        </w:tc>
      </w:tr>
      <w:tr w:rsidR="00000000">
        <w:tblPrEx>
          <w:tblCellMar>
            <w:top w:w="0" w:type="dxa"/>
            <w:bottom w:w="0" w:type="dxa"/>
          </w:tblCellMar>
        </w:tblPrEx>
        <w:trPr>
          <w:jc w:val="center"/>
        </w:trPr>
        <w:tc>
          <w:tcPr>
            <w:tcW w:w="2326" w:type="dxa"/>
          </w:tcPr>
          <w:p w:rsidR="00000000" w:rsidRDefault="00000000">
            <w:pPr>
              <w:tabs>
                <w:tab w:val="left" w:pos="748"/>
              </w:tabs>
              <w:spacing w:before="80" w:line="216" w:lineRule="auto"/>
              <w:jc w:val="center"/>
              <w:rPr>
                <w:sz w:val="18"/>
                <w:lang w:val="en-US"/>
              </w:rPr>
            </w:pPr>
            <w:r>
              <w:rPr>
                <w:sz w:val="18"/>
                <w:lang w:val="en-US"/>
              </w:rPr>
              <w:t>"A"</w:t>
            </w:r>
          </w:p>
        </w:tc>
        <w:tc>
          <w:tcPr>
            <w:tcW w:w="3314" w:type="dxa"/>
          </w:tcPr>
          <w:p w:rsidR="00000000" w:rsidRDefault="00000000">
            <w:pPr>
              <w:tabs>
                <w:tab w:val="left" w:pos="748"/>
              </w:tabs>
              <w:spacing w:before="80" w:line="216" w:lineRule="auto"/>
              <w:jc w:val="center"/>
              <w:rPr>
                <w:sz w:val="18"/>
                <w:lang w:val="en-US"/>
              </w:rPr>
            </w:pPr>
            <w:r>
              <w:rPr>
                <w:sz w:val="18"/>
                <w:lang w:val="en-US"/>
              </w:rPr>
              <w:t>1,3</w:t>
            </w:r>
          </w:p>
        </w:tc>
        <w:tc>
          <w:tcPr>
            <w:tcW w:w="3431" w:type="dxa"/>
          </w:tcPr>
          <w:p w:rsidR="00000000" w:rsidRDefault="00000000">
            <w:pPr>
              <w:tabs>
                <w:tab w:val="left" w:pos="748"/>
              </w:tabs>
              <w:spacing w:before="80" w:line="216" w:lineRule="auto"/>
              <w:jc w:val="center"/>
              <w:rPr>
                <w:sz w:val="18"/>
                <w:lang w:val="en-US"/>
              </w:rPr>
            </w:pPr>
            <w:r>
              <w:rPr>
                <w:sz w:val="18"/>
                <w:lang w:val="en-US"/>
              </w:rPr>
              <w:t>37,7</w:t>
            </w:r>
          </w:p>
        </w:tc>
      </w:tr>
      <w:tr w:rsidR="00000000">
        <w:tblPrEx>
          <w:tblCellMar>
            <w:top w:w="0" w:type="dxa"/>
            <w:bottom w:w="0" w:type="dxa"/>
          </w:tblCellMar>
        </w:tblPrEx>
        <w:trPr>
          <w:jc w:val="center"/>
        </w:trPr>
        <w:tc>
          <w:tcPr>
            <w:tcW w:w="2326" w:type="dxa"/>
          </w:tcPr>
          <w:p w:rsidR="00000000" w:rsidRDefault="00000000">
            <w:pPr>
              <w:tabs>
                <w:tab w:val="left" w:pos="748"/>
              </w:tabs>
              <w:spacing w:before="80" w:line="216" w:lineRule="auto"/>
              <w:jc w:val="center"/>
              <w:rPr>
                <w:sz w:val="18"/>
                <w:lang w:val="en-US"/>
              </w:rPr>
            </w:pPr>
            <w:r>
              <w:rPr>
                <w:sz w:val="18"/>
                <w:lang w:val="en-US"/>
              </w:rPr>
              <w:t>"B"</w:t>
            </w:r>
          </w:p>
        </w:tc>
        <w:tc>
          <w:tcPr>
            <w:tcW w:w="3314" w:type="dxa"/>
          </w:tcPr>
          <w:p w:rsidR="00000000" w:rsidRDefault="00000000">
            <w:pPr>
              <w:tabs>
                <w:tab w:val="left" w:pos="748"/>
              </w:tabs>
              <w:spacing w:before="80" w:line="216" w:lineRule="auto"/>
              <w:jc w:val="center"/>
              <w:rPr>
                <w:sz w:val="18"/>
              </w:rPr>
            </w:pPr>
            <w:r>
              <w:rPr>
                <w:sz w:val="18"/>
              </w:rPr>
              <w:t>5,8</w:t>
            </w:r>
          </w:p>
        </w:tc>
        <w:tc>
          <w:tcPr>
            <w:tcW w:w="3431" w:type="dxa"/>
          </w:tcPr>
          <w:p w:rsidR="00000000" w:rsidRDefault="00000000">
            <w:pPr>
              <w:tabs>
                <w:tab w:val="left" w:pos="748"/>
              </w:tabs>
              <w:spacing w:before="80" w:line="216" w:lineRule="auto"/>
              <w:jc w:val="center"/>
              <w:rPr>
                <w:sz w:val="18"/>
              </w:rPr>
            </w:pPr>
            <w:r>
              <w:rPr>
                <w:sz w:val="18"/>
              </w:rPr>
              <w:t>13,3</w:t>
            </w:r>
          </w:p>
        </w:tc>
      </w:tr>
      <w:tr w:rsidR="00000000">
        <w:tblPrEx>
          <w:tblCellMar>
            <w:top w:w="0" w:type="dxa"/>
            <w:bottom w:w="0" w:type="dxa"/>
          </w:tblCellMar>
        </w:tblPrEx>
        <w:trPr>
          <w:trHeight w:val="306"/>
          <w:jc w:val="center"/>
        </w:trPr>
        <w:tc>
          <w:tcPr>
            <w:tcW w:w="2326" w:type="dxa"/>
          </w:tcPr>
          <w:p w:rsidR="00000000" w:rsidRDefault="00000000">
            <w:pPr>
              <w:tabs>
                <w:tab w:val="left" w:pos="748"/>
              </w:tabs>
              <w:spacing w:before="80" w:line="216" w:lineRule="auto"/>
              <w:jc w:val="center"/>
              <w:rPr>
                <w:sz w:val="18"/>
              </w:rPr>
            </w:pPr>
            <w:r>
              <w:rPr>
                <w:sz w:val="18"/>
              </w:rPr>
              <w:t>"C"</w:t>
            </w:r>
          </w:p>
        </w:tc>
        <w:tc>
          <w:tcPr>
            <w:tcW w:w="3314" w:type="dxa"/>
          </w:tcPr>
          <w:p w:rsidR="00000000" w:rsidRDefault="00000000">
            <w:pPr>
              <w:tabs>
                <w:tab w:val="left" w:pos="748"/>
              </w:tabs>
              <w:spacing w:before="80" w:line="216" w:lineRule="auto"/>
              <w:jc w:val="center"/>
              <w:rPr>
                <w:sz w:val="18"/>
              </w:rPr>
            </w:pPr>
            <w:r>
              <w:rPr>
                <w:sz w:val="18"/>
              </w:rPr>
              <w:t>9,3</w:t>
            </w:r>
          </w:p>
        </w:tc>
        <w:tc>
          <w:tcPr>
            <w:tcW w:w="3431" w:type="dxa"/>
          </w:tcPr>
          <w:p w:rsidR="00000000" w:rsidRDefault="00000000">
            <w:pPr>
              <w:tabs>
                <w:tab w:val="left" w:pos="748"/>
              </w:tabs>
              <w:spacing w:before="80" w:line="216" w:lineRule="auto"/>
              <w:jc w:val="center"/>
              <w:rPr>
                <w:sz w:val="18"/>
              </w:rPr>
            </w:pPr>
            <w:r>
              <w:rPr>
                <w:sz w:val="18"/>
              </w:rPr>
              <w:t>49,0</w:t>
            </w:r>
          </w:p>
        </w:tc>
      </w:tr>
    </w:tbl>
    <w:p w:rsidR="00000000" w:rsidRDefault="00000000">
      <w:pPr>
        <w:tabs>
          <w:tab w:val="left" w:pos="748"/>
        </w:tabs>
      </w:pPr>
    </w:p>
    <w:p w:rsidR="00000000" w:rsidRDefault="00000000">
      <w:pPr>
        <w:tabs>
          <w:tab w:val="left" w:pos="748"/>
        </w:tabs>
      </w:pPr>
      <w:r>
        <w:t>1030.</w:t>
      </w:r>
      <w:r>
        <w:tab/>
      </w:r>
      <w:r>
        <w:tab/>
        <w:t>Несмотря на весьма скромные общеэкономические показатели, инфляция в стране пошла на спад, причем нынешнему правительству - в отличие от четырех предыдущих и за сопоставимый период времени - постепенно удалось добиться восстановления покупательной способности минимальной заработной платы.</w:t>
      </w:r>
    </w:p>
    <w:p w:rsidR="00000000" w:rsidRDefault="00000000">
      <w:pPr>
        <w:tabs>
          <w:tab w:val="left" w:pos="748"/>
        </w:tabs>
      </w:pPr>
    </w:p>
    <w:p w:rsidR="00000000" w:rsidRDefault="00000000">
      <w:pPr>
        <w:tabs>
          <w:tab w:val="left" w:pos="748"/>
        </w:tabs>
      </w:pPr>
      <w:r>
        <w:t>1031.</w:t>
      </w:r>
      <w:r>
        <w:tab/>
      </w:r>
      <w:r>
        <w:tab/>
        <w:t>Важно также указать, что Национальной комиссией по определению минимального размера заработной платы был принят ряд мер по нивелированию в национальном масштабе ставок оплаты труда с целью повышения уровня дохода трудящихся.  При этом Советом представителей Комиссии было решено ввести коррективы применительно к трем географическим зонам, на которые для целей установления минимального размера заработной платы делится территория Мексики.</w:t>
      </w:r>
    </w:p>
    <w:p w:rsidR="00000000" w:rsidRDefault="00000000">
      <w:pPr>
        <w:tabs>
          <w:tab w:val="left" w:pos="748"/>
        </w:tabs>
      </w:pPr>
    </w:p>
    <w:p w:rsidR="00000000" w:rsidRDefault="00000000">
      <w:pPr>
        <w:tabs>
          <w:tab w:val="left" w:pos="748"/>
        </w:tabs>
      </w:pPr>
      <w:r>
        <w:t>1032.</w:t>
      </w:r>
      <w:r>
        <w:tab/>
      </w:r>
      <w:r>
        <w:tab/>
        <w:t>Как следствие и в целях продолжения процесса постепенного нивелирования общенациональной ставки заработной платы, Совет представителей принял решение сократить существующий разрыв в минимальной оплате труда между географическими зонами "А" и "В" с 4,30% до 3,45%, а между зонами "А" и "С" - с 8,31% до 7,43%.</w:t>
      </w:r>
    </w:p>
    <w:p w:rsidR="00000000" w:rsidRDefault="00000000">
      <w:pPr>
        <w:tabs>
          <w:tab w:val="left" w:pos="748"/>
        </w:tabs>
      </w:pPr>
    </w:p>
    <w:p w:rsidR="00000000" w:rsidRDefault="00000000">
      <w:pPr>
        <w:tabs>
          <w:tab w:val="left" w:pos="748"/>
        </w:tabs>
      </w:pPr>
      <w:r>
        <w:t>1033.</w:t>
      </w:r>
      <w:r>
        <w:tab/>
      </w:r>
      <w:r>
        <w:tab/>
        <w:t>Благодаря этому процессу, при нынешней администрации удалось сократить разрыв между географическими зонами "А" и "С" на 8,47 процентных пункта:  с 15,90% в 2000 году до 7,43% в 2004 году.  Что касается географических зон "А" и "В", то разрыв между ними составил 4,52 процентных пункта, между тем как в 2000 году он исчислялся в 7,98%, а к 2004 году сократился до 3,45%.</w:t>
      </w:r>
    </w:p>
    <w:p w:rsidR="00000000" w:rsidRDefault="00000000">
      <w:pPr>
        <w:tabs>
          <w:tab w:val="left" w:pos="748"/>
        </w:tabs>
      </w:pPr>
    </w:p>
    <w:p w:rsidR="00000000" w:rsidRDefault="00000000">
      <w:pPr>
        <w:tabs>
          <w:tab w:val="left" w:pos="748"/>
        </w:tabs>
        <w:ind w:left="567" w:hanging="567"/>
        <w:rPr>
          <w:i/>
          <w:iCs/>
        </w:rPr>
      </w:pPr>
      <w:r>
        <w:rPr>
          <w:b/>
          <w:bCs/>
        </w:rPr>
        <w:br w:type="page"/>
      </w:r>
      <w:r>
        <w:rPr>
          <w:b/>
          <w:bCs/>
          <w:i/>
          <w:iCs/>
        </w:rPr>
        <w:tab/>
        <w:t>21.</w:t>
      </w:r>
      <w:r>
        <w:rPr>
          <w:b/>
          <w:bCs/>
          <w:i/>
          <w:iCs/>
        </w:rPr>
        <w:tab/>
        <w:t>Комитет серьезно обеспокоен положением женщин, работающих на ряде предприятий, принадлежащих иностранным компаниям ("maquiladoras"), некоторые из которых заставляют проходить тесты на беременность для приема на работу, а также через регулярные интервалы времени в период работы, и которых увольняют, если тесты оказываются позитивными.</w:t>
      </w:r>
    </w:p>
    <w:p w:rsidR="00000000" w:rsidRDefault="00000000">
      <w:pPr>
        <w:tabs>
          <w:tab w:val="left" w:pos="748"/>
        </w:tabs>
        <w:ind w:left="567" w:hanging="567"/>
      </w:pPr>
    </w:p>
    <w:p w:rsidR="00000000" w:rsidRDefault="00000000">
      <w:pPr>
        <w:tabs>
          <w:tab w:val="left" w:pos="748"/>
        </w:tabs>
      </w:pPr>
      <w:r>
        <w:t>1034.</w:t>
      </w:r>
      <w:r>
        <w:tab/>
      </w:r>
      <w:r>
        <w:tab/>
        <w:t>Министерство труда и социального обеспечения (МТСО) на постоянной основе проводит кампанию по ликвидации дискриминации в отношении женщин в сфере занятости и организует программы подготовки по учету гендерного аспекта.  В рамках таких конструктивных действий следует выделить следующие:</w:t>
      </w:r>
    </w:p>
    <w:p w:rsidR="00000000" w:rsidRDefault="00000000">
      <w:pPr>
        <w:tabs>
          <w:tab w:val="left" w:pos="748"/>
        </w:tabs>
      </w:pPr>
    </w:p>
    <w:p w:rsidR="00000000" w:rsidRDefault="00000000">
      <w:pPr>
        <w:tabs>
          <w:tab w:val="left" w:pos="748"/>
        </w:tabs>
        <w:ind w:left="1134" w:hanging="1134"/>
      </w:pPr>
      <w:r>
        <w:tab/>
        <w:t>1)</w:t>
      </w:r>
      <w:r>
        <w:tab/>
        <w:t>подписание с различными компаниями, правительствами штатов и женскими ассоциациями 13 соглашений о запрещении практики требования от устраивающихся на работу женщин справок, подтверждающих отсутствие беременности, о семейных обязанностях и об условиях грудного вскармливания на производстве,</w:t>
      </w:r>
    </w:p>
    <w:p w:rsidR="00000000" w:rsidRDefault="00000000">
      <w:pPr>
        <w:tabs>
          <w:tab w:val="left" w:pos="748"/>
        </w:tabs>
      </w:pPr>
    </w:p>
    <w:p w:rsidR="00000000" w:rsidRDefault="00000000">
      <w:pPr>
        <w:tabs>
          <w:tab w:val="left" w:pos="748"/>
        </w:tabs>
        <w:ind w:left="1134" w:hanging="1134"/>
      </w:pPr>
      <w:r>
        <w:tab/>
        <w:t>2)</w:t>
      </w:r>
      <w:r>
        <w:tab/>
        <w:t>популяризацию трудовых прав женщин посредством радиовещательных программ, наглядной агитации, распространения прокламаций по правам и обязанностям и т.д. и</w:t>
      </w:r>
    </w:p>
    <w:p w:rsidR="00000000" w:rsidRDefault="00000000">
      <w:pPr>
        <w:tabs>
          <w:tab w:val="left" w:pos="748"/>
        </w:tabs>
        <w:ind w:left="1134" w:hanging="1134"/>
      </w:pPr>
    </w:p>
    <w:p w:rsidR="00000000" w:rsidRDefault="00000000">
      <w:pPr>
        <w:tabs>
          <w:tab w:val="left" w:pos="748"/>
        </w:tabs>
        <w:ind w:left="1134" w:hanging="1134"/>
      </w:pPr>
      <w:r>
        <w:tab/>
        <w:t>3)</w:t>
      </w:r>
      <w:r>
        <w:tab/>
        <w:t xml:space="preserve">проведение двух мероприятий:  </w:t>
      </w:r>
      <w:r>
        <w:rPr>
          <w:i/>
          <w:iCs/>
        </w:rPr>
        <w:t>первой Национальной встречи трудящихся женщин</w:t>
      </w:r>
      <w:r>
        <w:t xml:space="preserve"> и </w:t>
      </w:r>
      <w:r>
        <w:rPr>
          <w:i/>
          <w:iCs/>
        </w:rPr>
        <w:t>симпозиума на тему "Защита материнства:  за профсоюзное движение на условиях гендерного равенства и против сексуальных преследований и насилия в сфере труда"</w:t>
      </w:r>
      <w:r>
        <w:t>.</w:t>
      </w:r>
    </w:p>
    <w:p w:rsidR="00000000" w:rsidRDefault="00000000">
      <w:pPr>
        <w:tabs>
          <w:tab w:val="left" w:pos="748"/>
        </w:tabs>
        <w:ind w:left="1134" w:hanging="1134"/>
      </w:pPr>
    </w:p>
    <w:p w:rsidR="00000000" w:rsidRDefault="00000000">
      <w:pPr>
        <w:tabs>
          <w:tab w:val="left" w:pos="748"/>
        </w:tabs>
      </w:pPr>
      <w:r>
        <w:t>1035.</w:t>
      </w:r>
      <w:r>
        <w:tab/>
      </w:r>
      <w:r>
        <w:tab/>
        <w:t>Кроме того, ожидают своего утверждения соответствующие поправки к различным статьям Политической конституции Мексиканских Соединенных Штатов, а также закону о социальном обеспечении и Федеральному закону о труде, суть которых сводится к тому, чтобы исключить возможность предъявления работодателями или хозяевами к устраивающимся на работу женщинам требования об отсутствии беременности в качестве непременного условия трудоустройства.</w:t>
      </w:r>
    </w:p>
    <w:p w:rsidR="00000000" w:rsidRDefault="00000000">
      <w:pPr>
        <w:tabs>
          <w:tab w:val="left" w:pos="748"/>
        </w:tabs>
      </w:pPr>
    </w:p>
    <w:p w:rsidR="00000000" w:rsidRDefault="00000000">
      <w:pPr>
        <w:tabs>
          <w:tab w:val="left" w:pos="748"/>
        </w:tabs>
        <w:ind w:left="567" w:hanging="567"/>
        <w:rPr>
          <w:b/>
          <w:bCs/>
          <w:i/>
          <w:iCs/>
        </w:rPr>
      </w:pPr>
      <w:r>
        <w:rPr>
          <w:b/>
          <w:bCs/>
          <w:i/>
          <w:iCs/>
        </w:rPr>
        <w:tab/>
        <w:t>22.</w:t>
      </w:r>
      <w:r>
        <w:rPr>
          <w:b/>
          <w:bCs/>
          <w:i/>
          <w:iCs/>
        </w:rPr>
        <w:tab/>
        <w:t>Комитет выражает сожаление по поводу того, что государство-участник не обязуется повысить минимальный возраст для приема на работу детей с 14 до 16 лет, поскольку 16 лет соответствуют возрасту, когда обычно завершается начальное образование.</w:t>
      </w:r>
    </w:p>
    <w:p w:rsidR="00000000" w:rsidRDefault="00000000">
      <w:pPr>
        <w:tabs>
          <w:tab w:val="left" w:pos="748"/>
        </w:tabs>
        <w:ind w:left="567" w:hanging="567"/>
        <w:rPr>
          <w:b/>
          <w:bCs/>
        </w:rPr>
      </w:pPr>
    </w:p>
    <w:p w:rsidR="00000000" w:rsidRDefault="00000000">
      <w:pPr>
        <w:tabs>
          <w:tab w:val="left" w:pos="748"/>
        </w:tabs>
      </w:pPr>
      <w:r>
        <w:t>1036.</w:t>
      </w:r>
      <w:r>
        <w:tab/>
      </w:r>
      <w:r>
        <w:tab/>
        <w:t>В 2000 году в статью 4 Конституции Мексики были внесены изменения, призванные закрепить в Основном законе страны принцип уважения и защиты прав детей.  В измененной редакции эта статья гласит следующее:  "…  Долг родителей - соблюдать право детей на удовлетворение своих потребностей, на физическое и умственное развитие.  Закон определяет для защиты детей средства, которые должны предоставляться государственными учреждениями".</w:t>
      </w:r>
    </w:p>
    <w:p w:rsidR="00000000" w:rsidRDefault="00000000">
      <w:pPr>
        <w:tabs>
          <w:tab w:val="left" w:pos="748"/>
        </w:tabs>
      </w:pPr>
    </w:p>
    <w:p w:rsidR="00000000" w:rsidRDefault="00000000">
      <w:pPr>
        <w:tabs>
          <w:tab w:val="left" w:pos="748"/>
        </w:tabs>
      </w:pPr>
      <w:r>
        <w:t>1037.</w:t>
      </w:r>
      <w:r>
        <w:tab/>
      </w:r>
      <w:r>
        <w:tab/>
        <w:t>Федеральный закон о труде запрещает прием на работу лиц моложе 14 лет и регулирует вопросы использования труда несовершеннолетних старше 14 лет, которые предоставляют свои услуги в личном качестве и подчиняются работодателю.  В статье 154 Федерального свода правил безопасности и гигиены труда перечисляются работы в опасных или вредных условиях, на которых запрещено использовать труд лиц в возрасте от 14 до 16 лет.</w:t>
      </w:r>
    </w:p>
    <w:p w:rsidR="00000000" w:rsidRDefault="00000000">
      <w:pPr>
        <w:tabs>
          <w:tab w:val="left" w:pos="748"/>
        </w:tabs>
      </w:pPr>
    </w:p>
    <w:p w:rsidR="00000000" w:rsidRDefault="00000000">
      <w:pPr>
        <w:tabs>
          <w:tab w:val="left" w:pos="748"/>
        </w:tabs>
      </w:pPr>
      <w:r>
        <w:t>1038.</w:t>
      </w:r>
      <w:r>
        <w:tab/>
      </w:r>
      <w:r>
        <w:tab/>
        <w:t>Статьей 22 федерального закона о труде полностью запрещается использование труда лиц в возрасте от 14 до 16 лет, которые не получили обязательного образования, за исключением случаев, определяемых соответствующим органом, когда, по его мнению, трудовая деятельность не нарушает процесс обучения.</w:t>
      </w:r>
    </w:p>
    <w:p w:rsidR="00000000" w:rsidRDefault="00000000">
      <w:pPr>
        <w:tabs>
          <w:tab w:val="left" w:pos="748"/>
        </w:tabs>
      </w:pPr>
    </w:p>
    <w:p w:rsidR="00000000" w:rsidRDefault="00000000">
      <w:pPr>
        <w:tabs>
          <w:tab w:val="left" w:pos="748"/>
        </w:tabs>
        <w:ind w:left="567" w:hanging="567"/>
        <w:rPr>
          <w:b/>
          <w:bCs/>
          <w:i/>
          <w:iCs/>
        </w:rPr>
      </w:pPr>
      <w:r>
        <w:rPr>
          <w:b/>
          <w:bCs/>
          <w:i/>
          <w:iCs/>
        </w:rPr>
        <w:tab/>
        <w:t>23.</w:t>
      </w:r>
      <w:r>
        <w:rPr>
          <w:b/>
          <w:bCs/>
          <w:i/>
          <w:iCs/>
        </w:rPr>
        <w:tab/>
        <w:t>Комитет выражает сожаление по поводу отсутствия планов, предусматривающих снятие оговорки государства-участника к статье 8 Пакта, хотя право на создание профсоюзов и право на забастовку провозглашены в Конституции Мексики и соответствующих подзаконных актах.  Комитет выражает сожаление, в частности, по поводу того факта, что в государственном секторе профсоюзное движение не основано на принципе плюрализма и что должностные лица профсоюзов не избираются путем прямого голосования.</w:t>
      </w:r>
    </w:p>
    <w:p w:rsidR="00000000" w:rsidRDefault="00000000">
      <w:pPr>
        <w:tabs>
          <w:tab w:val="left" w:pos="748"/>
        </w:tabs>
        <w:ind w:left="567" w:hanging="567"/>
        <w:rPr>
          <w:b/>
          <w:bCs/>
        </w:rPr>
      </w:pPr>
    </w:p>
    <w:p w:rsidR="00000000" w:rsidRDefault="00000000">
      <w:pPr>
        <w:tabs>
          <w:tab w:val="left" w:pos="748"/>
        </w:tabs>
      </w:pPr>
      <w:r>
        <w:t>1039.</w:t>
      </w:r>
      <w:r>
        <w:tab/>
      </w:r>
      <w:r>
        <w:tab/>
        <w:t xml:space="preserve">Мексика присоединилась к данному Пакту при том понимании, что его статья 8 будет применяться в Мексиканских Соединенных Штатах в соответствии с закрепленными в Политической конституции и соответствующих подзаконных актах условиями и режимами реализации закрепленного в ней права. </w:t>
      </w:r>
    </w:p>
    <w:p w:rsidR="00000000" w:rsidRDefault="00000000">
      <w:pPr>
        <w:tabs>
          <w:tab w:val="left" w:pos="748"/>
        </w:tabs>
      </w:pPr>
    </w:p>
    <w:p w:rsidR="00000000" w:rsidRDefault="00000000">
      <w:pPr>
        <w:tabs>
          <w:tab w:val="left" w:pos="748"/>
        </w:tabs>
      </w:pPr>
      <w:r>
        <w:t>1040.</w:t>
      </w:r>
      <w:r>
        <w:tab/>
      </w:r>
      <w:r>
        <w:tab/>
        <w:t>В статье 8 Пакта говориться, что государства-участники обязуются обеспечить, среди прочего, право каждого человека создавать профессиональные союзы и вступать в таковые по своему выбору, причем пользование указанным правом не подлежит никаким ограничениям, кроме тех, которые предусматриваются законом и которые необходимы в демократическом обществе в интересах государственной безопасности или общественного порядка или для ограждения прав и свобод других.</w:t>
      </w:r>
    </w:p>
    <w:p w:rsidR="00000000" w:rsidRDefault="00000000">
      <w:pPr>
        <w:tabs>
          <w:tab w:val="left" w:pos="748"/>
        </w:tabs>
      </w:pPr>
      <w:r>
        <w:t>1041.</w:t>
      </w:r>
      <w:r>
        <w:tab/>
      </w:r>
      <w:r>
        <w:tab/>
        <w:t>Принцип свободного объединения государственных служащих в профсоюзы закреплен в Политической конституции Мексиканских Соединенных Штатов.  В этой связи и с учетом ограничений, налагаемых Федеральным законом о государственных служащих на осуществление части В статьи 123 Конституции, Верховный суд вынес заключение № 43/1999, согласно которому законодательная норма о праве иметь при правительственных структурах единственный профсоюз служащих (статья 68 указанного закона) нарушает социальную гарантию свободного объединения в профсоюзы, закрепленную в пункте Х части В статьи 123 Конституции.</w:t>
      </w:r>
    </w:p>
    <w:p w:rsidR="00000000" w:rsidRDefault="00000000">
      <w:pPr>
        <w:tabs>
          <w:tab w:val="left" w:pos="748"/>
        </w:tabs>
      </w:pPr>
    </w:p>
    <w:p w:rsidR="00000000" w:rsidRDefault="00000000">
      <w:pPr>
        <w:tabs>
          <w:tab w:val="left" w:pos="748"/>
        </w:tabs>
      </w:pPr>
      <w:r>
        <w:t>1042.</w:t>
      </w:r>
      <w:r>
        <w:tab/>
      </w:r>
      <w:r>
        <w:tab/>
        <w:t>Суды и компетентные административные органы обязаны в своей практике руководствоваться критерием, установленным решением № 43/1999 Верховного суда страны, как того требует статья 94 Политической конституции Мексиканских Соединенных Штатов и статья 192 закона об ампаро.  Во исполнение данного решения и согласно установленному критерию, компетентные органы предоставили право регистрации профсоюзным организациям при тех ведомствах, где уже существует другой профсоюз, как, например:</w:t>
      </w:r>
    </w:p>
    <w:p w:rsidR="00000000" w:rsidRDefault="00000000">
      <w:pPr>
        <w:tabs>
          <w:tab w:val="left" w:pos="748"/>
        </w:tabs>
      </w:pPr>
    </w:p>
    <w:p w:rsidR="00000000" w:rsidRDefault="00000000">
      <w:r>
        <w:tab/>
        <w:t>1.</w:t>
      </w:r>
      <w:r>
        <w:tab/>
        <w:t>Профсоюз работников административных налоговых служб;</w:t>
      </w:r>
    </w:p>
    <w:p w:rsidR="00000000" w:rsidRDefault="00000000"/>
    <w:p w:rsidR="00000000" w:rsidRDefault="00000000">
      <w:pPr>
        <w:ind w:left="1134" w:hanging="1134"/>
      </w:pPr>
      <w:r>
        <w:tab/>
        <w:t>2.</w:t>
      </w:r>
      <w:r>
        <w:tab/>
        <w:t>Единый национальный профсоюз трудящихся водного хозяйства и рыболовства при министерстве сельского хозяйства, животноводства, сельского развития, рыболовства и по вопросам продовольствия;</w:t>
      </w:r>
    </w:p>
    <w:p w:rsidR="00000000" w:rsidRDefault="00000000"/>
    <w:p w:rsidR="00000000" w:rsidRDefault="00000000">
      <w:pPr>
        <w:ind w:left="1134" w:hanging="1134"/>
      </w:pPr>
      <w:r>
        <w:tab/>
        <w:t>3.</w:t>
      </w:r>
      <w:r>
        <w:tab/>
        <w:t>Единый профсоюз демократических служащих министерства по охране окружающей среды и природных ресурсов;</w:t>
      </w:r>
    </w:p>
    <w:p w:rsidR="00000000" w:rsidRDefault="00000000"/>
    <w:p w:rsidR="00000000" w:rsidRDefault="00000000">
      <w:pPr>
        <w:ind w:left="1134" w:hanging="1134"/>
      </w:pPr>
      <w:r>
        <w:tab/>
        <w:t>4.</w:t>
      </w:r>
      <w:r>
        <w:tab/>
        <w:t>Профсоюз работников транспорта и путей сообщения (правительство Федерального округа);</w:t>
      </w:r>
    </w:p>
    <w:p w:rsidR="00000000" w:rsidRDefault="00000000">
      <w:pPr>
        <w:ind w:left="1134" w:hanging="1134"/>
      </w:pPr>
    </w:p>
    <w:p w:rsidR="00000000" w:rsidRDefault="00000000">
      <w:pPr>
        <w:ind w:left="1134" w:hanging="1134"/>
      </w:pPr>
      <w:r>
        <w:tab/>
        <w:t>5.</w:t>
      </w:r>
      <w:r>
        <w:tab/>
        <w:t>Демократический профсоюз работников Генеральной прокуратуры Федерального округа;</w:t>
      </w:r>
    </w:p>
    <w:p w:rsidR="00000000" w:rsidRDefault="00000000"/>
    <w:p w:rsidR="00000000" w:rsidRDefault="00000000">
      <w:pPr>
        <w:ind w:left="1134" w:hanging="1134"/>
      </w:pPr>
      <w:r>
        <w:tab/>
        <w:t>6.</w:t>
      </w:r>
      <w:r>
        <w:tab/>
        <w:t>Профсоюз работников КОРЕНА "Большой круг свободных рабочих" (правительство Федерального округа);</w:t>
      </w:r>
    </w:p>
    <w:p w:rsidR="00000000" w:rsidRDefault="00000000"/>
    <w:p w:rsidR="00000000" w:rsidRDefault="00000000">
      <w:pPr>
        <w:ind w:left="1134" w:hanging="1134"/>
      </w:pPr>
      <w:r>
        <w:tab/>
        <w:t>7.</w:t>
      </w:r>
      <w:r>
        <w:tab/>
        <w:t>Единый национальный профсоюз работников Национального института статистики, географии и информатики;</w:t>
      </w:r>
    </w:p>
    <w:p w:rsidR="00000000" w:rsidRDefault="00000000"/>
    <w:p w:rsidR="00000000" w:rsidRDefault="00000000">
      <w:r>
        <w:tab/>
        <w:t>8.</w:t>
      </w:r>
      <w:r>
        <w:tab/>
        <w:t>Национальный профсоюз работников Генеральной прокуратуры Республики.</w:t>
      </w:r>
    </w:p>
    <w:p w:rsidR="00000000" w:rsidRDefault="00000000">
      <w:pPr>
        <w:tabs>
          <w:tab w:val="left" w:pos="748"/>
        </w:tabs>
        <w:rPr>
          <w:b/>
          <w:bCs/>
        </w:rPr>
      </w:pPr>
      <w:r>
        <w:t>1043.</w:t>
      </w:r>
      <w:r>
        <w:tab/>
      </w:r>
      <w:r>
        <w:tab/>
        <w:t>В рамках программы мексиканского правительства "Новая трудовая культура" готовится реформа трудового законодательства, призванная способствовать профессиональной подготовке трудящихся, их активному участию и справедливой оплате их труда.</w:t>
      </w:r>
    </w:p>
    <w:p w:rsidR="00000000" w:rsidRDefault="00000000">
      <w:pPr>
        <w:tabs>
          <w:tab w:val="left" w:pos="748"/>
        </w:tabs>
      </w:pPr>
    </w:p>
    <w:p w:rsidR="00000000" w:rsidRDefault="00000000">
      <w:pPr>
        <w:tabs>
          <w:tab w:val="left" w:pos="748"/>
        </w:tabs>
      </w:pPr>
      <w:r>
        <w:t>1044.</w:t>
      </w:r>
      <w:r>
        <w:tab/>
      </w:r>
      <w:r>
        <w:tab/>
        <w:t>С этой целью был организован "круглый стол" в поддержку принятия решения о внесении изменений в федеральный закон о труде, где организации трудящихся и работодателей Мексики - при посредничестве правительства - после многих дней напряженной работы смогли согласовать проект изменений к федеральному закону о труде, в котором, помимо прочих фундаментальных тем, затронут вопрос о свободе объединения в профсоюзы и о полном признании права на коллективные переговоры.</w:t>
      </w:r>
    </w:p>
    <w:p w:rsidR="00000000" w:rsidRDefault="00000000">
      <w:pPr>
        <w:tabs>
          <w:tab w:val="left" w:pos="748"/>
        </w:tabs>
      </w:pPr>
    </w:p>
    <w:p w:rsidR="00000000" w:rsidRDefault="00000000">
      <w:pPr>
        <w:tabs>
          <w:tab w:val="left" w:pos="748"/>
        </w:tabs>
        <w:rPr>
          <w:b/>
          <w:bCs/>
        </w:rPr>
      </w:pPr>
      <w:r>
        <w:t>1045.</w:t>
      </w:r>
      <w:r>
        <w:tab/>
      </w:r>
      <w:r>
        <w:tab/>
        <w:t>12 декабря 2002 года этот проект был выдвинут в качестве законодательной инициативы законодателями от трех крупных политических партий страны (Институционно-революционной партии (ИРП), Партии национальное действие (ПНД) и Мексиканской экологической зеленой партии (МЭЗП)).</w:t>
      </w:r>
    </w:p>
    <w:p w:rsidR="00000000" w:rsidRDefault="00000000">
      <w:pPr>
        <w:tabs>
          <w:tab w:val="left" w:pos="748"/>
        </w:tabs>
      </w:pPr>
    </w:p>
    <w:p w:rsidR="00000000" w:rsidRDefault="00000000">
      <w:pPr>
        <w:tabs>
          <w:tab w:val="left" w:pos="748"/>
        </w:tabs>
        <w:rPr>
          <w:szCs w:val="22"/>
        </w:rPr>
      </w:pPr>
      <w:r>
        <w:t>1046.</w:t>
      </w:r>
      <w:r>
        <w:tab/>
      </w:r>
      <w:r>
        <w:tab/>
      </w:r>
      <w:r>
        <w:rPr>
          <w:szCs w:val="22"/>
        </w:rPr>
        <w:t>В части проекта, касающейся свободы объединения в профсоюзы и полного признания права на коллективные переговоры, законодательная инициатива предполагает внесение изменений в федеральный закон о труде с предоставлением возможности выбора руководства профсоюзов и определения числа членов такого руководства путем тайного или прямого голосования, что в большей степени согласуется с действующими сегодня в стране демократическими принципами и нормами.</w:t>
      </w:r>
    </w:p>
    <w:p w:rsidR="00000000" w:rsidRDefault="00000000">
      <w:pPr>
        <w:tabs>
          <w:tab w:val="left" w:pos="748"/>
        </w:tabs>
      </w:pPr>
    </w:p>
    <w:p w:rsidR="00000000" w:rsidRDefault="00000000">
      <w:pPr>
        <w:tabs>
          <w:tab w:val="left" w:pos="748"/>
        </w:tabs>
      </w:pPr>
      <w:r>
        <w:t>1047.</w:t>
      </w:r>
      <w:r>
        <w:tab/>
      </w:r>
      <w:r>
        <w:tab/>
        <w:t>Инициатива по внесению изменений в федеральный закон о труде будет рассмотрена органами законодательной власти Мексики на предмет ее возможного утверждения.</w:t>
      </w:r>
    </w:p>
    <w:p w:rsidR="00000000" w:rsidRDefault="00000000">
      <w:pPr>
        <w:tabs>
          <w:tab w:val="left" w:pos="748"/>
        </w:tabs>
      </w:pPr>
    </w:p>
    <w:p w:rsidR="00000000" w:rsidRDefault="00000000">
      <w:pPr>
        <w:tabs>
          <w:tab w:val="left" w:pos="748"/>
        </w:tabs>
        <w:ind w:left="567" w:hanging="567"/>
        <w:rPr>
          <w:b/>
          <w:bCs/>
          <w:i/>
          <w:iCs/>
        </w:rPr>
      </w:pPr>
      <w:r>
        <w:rPr>
          <w:b/>
          <w:bCs/>
          <w:i/>
          <w:iCs/>
        </w:rPr>
        <w:tab/>
        <w:t>24.</w:t>
      </w:r>
      <w:r>
        <w:rPr>
          <w:b/>
          <w:bCs/>
          <w:i/>
          <w:iCs/>
        </w:rPr>
        <w:tab/>
        <w:t>Комитет выражает обеспокоенность по поводу приватизации системы социального обеспечения, что может лишить возможности получения определенных льгот тех лиц, которые не в состоянии отчислять взносы в пенсионный фонд, к числу которых относятся безработные, лица, работающие в течение неполного рабочего дня, малооплачиваемые трудящиеся и лица, работающие в неформальном секторе.</w:t>
      </w:r>
    </w:p>
    <w:p w:rsidR="00000000" w:rsidRDefault="00000000">
      <w:pPr>
        <w:tabs>
          <w:tab w:val="left" w:pos="748"/>
        </w:tabs>
      </w:pPr>
    </w:p>
    <w:p w:rsidR="00000000" w:rsidRDefault="00000000">
      <w:pPr>
        <w:tabs>
          <w:tab w:val="left" w:pos="748"/>
        </w:tabs>
        <w:rPr>
          <w:szCs w:val="22"/>
        </w:rPr>
      </w:pPr>
      <w:r>
        <w:t>1048.</w:t>
      </w:r>
      <w:r>
        <w:tab/>
      </w:r>
      <w:r>
        <w:tab/>
      </w:r>
      <w:r>
        <w:rPr>
          <w:szCs w:val="22"/>
        </w:rPr>
        <w:t>Реформы, которым за последнее десятилетие подверглась пенсионная система по линии Мексиканского института социального обеспечения (с утверждением, в частности, в августе сего года изменений применительно к пенсионному обеспечению будущего контингента МИСО), равно как и реформы, намечаемые по линии Института по вопросам социального обеспечения и социального обслуживания государственных служащих (ИСОСОГС), никоим образом не предусматривают и не предполагают каких-либо попыток приватизации.</w:t>
      </w:r>
    </w:p>
    <w:p w:rsidR="00000000" w:rsidRDefault="00000000">
      <w:pPr>
        <w:tabs>
          <w:tab w:val="left" w:pos="748"/>
        </w:tabs>
      </w:pPr>
    </w:p>
    <w:p w:rsidR="00000000" w:rsidRDefault="00000000">
      <w:pPr>
        <w:tabs>
          <w:tab w:val="left" w:pos="748"/>
        </w:tabs>
        <w:rPr>
          <w:b/>
          <w:bCs/>
        </w:rPr>
      </w:pPr>
      <w:r>
        <w:t>1049.</w:t>
      </w:r>
      <w:r>
        <w:tab/>
      </w:r>
      <w:r>
        <w:tab/>
        <w:t xml:space="preserve">Это было четко оговорено как в соответствующих </w:t>
      </w:r>
      <w:r>
        <w:rPr>
          <w:szCs w:val="22"/>
        </w:rPr>
        <w:t>законодательных инициативах, так и процессе обсуждений и принятия решений со стороны законодателей обеих палат Национального конгресса.  О том же самом свидетельствуют официальные правительственные заявления, равно как заявления МИСО и ИСОСОГС, а также крупнейших профсоюзных объединений страны.</w:t>
      </w:r>
    </w:p>
    <w:p w:rsidR="00000000" w:rsidRDefault="00000000">
      <w:pPr>
        <w:tabs>
          <w:tab w:val="left" w:pos="748"/>
        </w:tabs>
      </w:pPr>
    </w:p>
    <w:p w:rsidR="00000000" w:rsidRDefault="00000000">
      <w:pPr>
        <w:tabs>
          <w:tab w:val="left" w:pos="748"/>
        </w:tabs>
      </w:pPr>
      <w:r>
        <w:t>1050.</w:t>
      </w:r>
      <w:r>
        <w:tab/>
      </w:r>
      <w:r>
        <w:tab/>
        <w:t>Как уже упоминалось выше, система медицинского страхования населения позволяет лицам, проживающим в бедности и в условиях крайней нищеты, рассчитывать на защиту со стороны государства.</w:t>
      </w:r>
    </w:p>
    <w:p w:rsidR="00000000" w:rsidRDefault="00000000">
      <w:pPr>
        <w:tabs>
          <w:tab w:val="left" w:pos="748"/>
        </w:tabs>
      </w:pPr>
    </w:p>
    <w:p w:rsidR="00000000" w:rsidRDefault="00000000">
      <w:pPr>
        <w:tabs>
          <w:tab w:val="left" w:pos="748"/>
        </w:tabs>
      </w:pPr>
      <w:r>
        <w:t>1051.</w:t>
      </w:r>
      <w:r>
        <w:tab/>
      </w:r>
      <w:r>
        <w:tab/>
        <w:t>Кроме того, помощь неимущим слоям населения, не охватываемым программами социального обеспечения, оказывается по линии других правительственных структур, как, например, Национальная система КРС и Национальная система здравоохранения.</w:t>
      </w:r>
    </w:p>
    <w:p w:rsidR="00000000" w:rsidRDefault="00000000">
      <w:pPr>
        <w:tabs>
          <w:tab w:val="left" w:pos="748"/>
        </w:tabs>
      </w:pPr>
    </w:p>
    <w:p w:rsidR="00000000" w:rsidRDefault="00000000">
      <w:pPr>
        <w:tabs>
          <w:tab w:val="left" w:pos="748"/>
        </w:tabs>
        <w:ind w:left="567" w:hanging="567"/>
        <w:rPr>
          <w:b/>
          <w:bCs/>
          <w:i/>
          <w:iCs/>
        </w:rPr>
      </w:pPr>
      <w:r>
        <w:rPr>
          <w:b/>
          <w:bCs/>
          <w:i/>
          <w:iCs/>
        </w:rPr>
        <w:tab/>
        <w:t>25.</w:t>
      </w:r>
      <w:r>
        <w:rPr>
          <w:b/>
          <w:bCs/>
          <w:i/>
          <w:iCs/>
        </w:rPr>
        <w:tab/>
        <w:t>Комитет обеспокоен присутствием многочисленных военных и полувоенных формирований на территории общин коренного населения в Чьяпасе и в других штатах данного региона и, в частности, утверждениями организаций гражданского общества о том, что эти формирования вмешиваются в процессы наблюдения и осуществления программ развития и программ распределения экономической и социальной помощи, а также отсутствием консультаций с заинтересованными общинами.</w:t>
      </w:r>
    </w:p>
    <w:p w:rsidR="00000000" w:rsidRDefault="00000000">
      <w:pPr>
        <w:tabs>
          <w:tab w:val="left" w:pos="748"/>
        </w:tabs>
      </w:pPr>
    </w:p>
    <w:p w:rsidR="00000000" w:rsidRDefault="00000000">
      <w:pPr>
        <w:tabs>
          <w:tab w:val="left" w:pos="748"/>
        </w:tabs>
      </w:pPr>
      <w:r>
        <w:t>1052.</w:t>
      </w:r>
      <w:r>
        <w:tab/>
      </w:r>
      <w:r>
        <w:tab/>
        <w:t>В Мексике не существует полувоенных формирований.  Следует отметить, что в период 1998-2003 годов мексиканская армия, параллельно с выполнением своих основных функций, содействовала реализации развернутых федеральным правительством программ социального развития, которыми были охвачены 12 802 092 человека.</w:t>
      </w:r>
    </w:p>
    <w:p w:rsidR="00000000" w:rsidRDefault="00000000">
      <w:pPr>
        <w:tabs>
          <w:tab w:val="left" w:pos="748"/>
        </w:tabs>
      </w:pPr>
    </w:p>
    <w:p w:rsidR="00000000" w:rsidRDefault="00000000">
      <w:pPr>
        <w:tabs>
          <w:tab w:val="left" w:pos="748"/>
        </w:tabs>
      </w:pPr>
      <w:r>
        <w:t>1053.</w:t>
      </w:r>
      <w:r>
        <w:tab/>
      </w:r>
      <w:r>
        <w:tab/>
        <w:t>См. также соответствующий ответ на замечание № 44 Комитета.</w:t>
      </w:r>
    </w:p>
    <w:p w:rsidR="00000000" w:rsidRDefault="00000000">
      <w:pPr>
        <w:tabs>
          <w:tab w:val="left" w:pos="748"/>
        </w:tabs>
        <w:rPr>
          <w:i/>
          <w:iCs/>
        </w:rPr>
      </w:pPr>
    </w:p>
    <w:p w:rsidR="00000000" w:rsidRDefault="00000000">
      <w:pPr>
        <w:tabs>
          <w:tab w:val="left" w:pos="748"/>
        </w:tabs>
        <w:ind w:left="567" w:hanging="567"/>
        <w:rPr>
          <w:b/>
          <w:bCs/>
          <w:i/>
          <w:iCs/>
        </w:rPr>
      </w:pPr>
      <w:r>
        <w:rPr>
          <w:b/>
          <w:bCs/>
          <w:i/>
          <w:iCs/>
        </w:rPr>
        <w:tab/>
        <w:t>26.</w:t>
      </w:r>
      <w:r>
        <w:rPr>
          <w:b/>
          <w:bCs/>
          <w:i/>
          <w:iCs/>
        </w:rPr>
        <w:tab/>
        <w:t>Комитет встревожен большим числом случаев бытового насилия, и в частности случаев бытового насилия в отношении женщин.  Комитет также серьезно обеспокоен увеличением числа бездомных детей, несмотря на принимаемые правительством меры с целью решения этой проблемы.</w:t>
      </w:r>
    </w:p>
    <w:p w:rsidR="00000000" w:rsidRDefault="00000000">
      <w:pPr>
        <w:tabs>
          <w:tab w:val="left" w:pos="748"/>
        </w:tabs>
      </w:pPr>
    </w:p>
    <w:p w:rsidR="00000000" w:rsidRDefault="00000000">
      <w:pPr>
        <w:tabs>
          <w:tab w:val="left" w:pos="748"/>
        </w:tabs>
      </w:pPr>
      <w:r>
        <w:t>1054.</w:t>
      </w:r>
      <w:r>
        <w:tab/>
      </w:r>
      <w:r>
        <w:tab/>
        <w:t>Национальная комиссия по правам человека реализует Программу по делам женщин, детей и семьи, имеющую целью обеспечить надлежащее рассмотрение жалоб в связи с нарушениями прав человека женщин и детей, и в то же время содействует принятию законодательных и административных мер, направленных на искоренение всех форм дискриминации и насилия по отношению к ним.</w:t>
      </w:r>
    </w:p>
    <w:p w:rsidR="00000000" w:rsidRDefault="00000000">
      <w:pPr>
        <w:tabs>
          <w:tab w:val="left" w:pos="748"/>
        </w:tabs>
      </w:pPr>
    </w:p>
    <w:p w:rsidR="00000000" w:rsidRDefault="00000000">
      <w:pPr>
        <w:tabs>
          <w:tab w:val="left" w:pos="748"/>
        </w:tabs>
      </w:pPr>
      <w:r>
        <w:t>1055.</w:t>
      </w:r>
      <w:r>
        <w:tab/>
      </w:r>
      <w:r>
        <w:tab/>
      </w:r>
      <w:r>
        <w:rPr>
          <w:szCs w:val="22"/>
        </w:rPr>
        <w:t>С другой стороны, в 2001 году был образован Национальный институт женщины, призванный создавать и развивать культуру равенства и справедливости в условиях свободы от насилия и дискриминации, способную обеспечить комплексное развитие всех мексиканских женщин и дать возможность мужчинам и женщинам в полной мере пользоваться всеми своими правами.</w:t>
      </w:r>
    </w:p>
    <w:p w:rsidR="00000000" w:rsidRDefault="00000000">
      <w:pPr>
        <w:tabs>
          <w:tab w:val="left" w:pos="748"/>
        </w:tabs>
      </w:pPr>
    </w:p>
    <w:p w:rsidR="00000000" w:rsidRDefault="00000000">
      <w:pPr>
        <w:tabs>
          <w:tab w:val="left" w:pos="748"/>
        </w:tabs>
      </w:pPr>
      <w:r>
        <w:t>1056.</w:t>
      </w:r>
      <w:r>
        <w:tab/>
      </w:r>
      <w:r>
        <w:tab/>
      </w:r>
      <w:r>
        <w:rPr>
          <w:szCs w:val="22"/>
        </w:rPr>
        <w:t>В Мексике действует Национальная система всестороннего развития семьи (ВРС), которая через программу предупреждения насилия в семье и жестокого обращения с детьми ведет воспитательную работу, а также подготовку персонала, занятого воспитанием несовершеннолетних и заботой о них в детских садах, школах, лечебных заведениях и прочих детских учреждениях.  Работа с воспитателями направлена на обострение чувства ответственности за жизнь и здоровье ребенка, в духе противодействия насилию в семье.  Также ведется работа с родителями в общинах, направленная на повышение заботы о детях, равно как на повышение качества их воспитания и обучения.</w:t>
      </w:r>
    </w:p>
    <w:p w:rsidR="00000000" w:rsidRDefault="00000000">
      <w:pPr>
        <w:tabs>
          <w:tab w:val="left" w:pos="748"/>
        </w:tabs>
      </w:pPr>
    </w:p>
    <w:p w:rsidR="00000000" w:rsidRDefault="00000000">
      <w:pPr>
        <w:tabs>
          <w:tab w:val="left" w:pos="748"/>
        </w:tabs>
      </w:pPr>
      <w:r>
        <w:t>1057.</w:t>
      </w:r>
      <w:r>
        <w:tab/>
      </w:r>
      <w:r>
        <w:tab/>
        <w:t>Обязательство правительства Мексики заняться решением проблемы беспризорных детей и подростков приобретает форму Национальной программы профилактики и оказания помощи детям и подросткам, под названием "С улицы в жизнь".  Задача программы - "наладить взаимодействие и координацию усилий государства, общества и частных лиц в деле предупреждения беспризорности и оказания помощи беспризорным детям с целью комплексного решения существующей проблемы на среднесрочную и долгосрочную перспективу".</w:t>
      </w:r>
    </w:p>
    <w:p w:rsidR="00000000" w:rsidRDefault="00000000">
      <w:pPr>
        <w:tabs>
          <w:tab w:val="left" w:pos="748"/>
        </w:tabs>
      </w:pPr>
    </w:p>
    <w:p w:rsidR="00000000" w:rsidRDefault="00000000">
      <w:pPr>
        <w:tabs>
          <w:tab w:val="left" w:pos="748"/>
        </w:tabs>
      </w:pPr>
      <w:r>
        <w:t>1058.</w:t>
      </w:r>
      <w:r>
        <w:tab/>
      </w:r>
      <w:r>
        <w:tab/>
        <w:t>Данной программой, в которой принимают участие 83 организации гражданского общества, охватываются восемь штатов и 136 муниципий.  В 2003 году по линии реализуемых в ее рамках 129 конкретных проектов, 11 исследований и 140 программ стипендий были охвачены 36 992 беспризорных ребенка и подростка.</w:t>
      </w:r>
    </w:p>
    <w:p w:rsidR="00000000" w:rsidRDefault="00000000">
      <w:pPr>
        <w:tabs>
          <w:tab w:val="left" w:pos="748"/>
        </w:tabs>
        <w:rPr>
          <w:i/>
          <w:iCs/>
        </w:rPr>
      </w:pPr>
    </w:p>
    <w:p w:rsidR="00000000" w:rsidRDefault="00000000">
      <w:pPr>
        <w:tabs>
          <w:tab w:val="left" w:pos="748"/>
        </w:tabs>
        <w:ind w:left="567" w:hanging="567"/>
        <w:rPr>
          <w:i/>
          <w:iCs/>
        </w:rPr>
      </w:pPr>
      <w:r>
        <w:rPr>
          <w:b/>
          <w:bCs/>
          <w:i/>
          <w:iCs/>
        </w:rPr>
        <w:tab/>
        <w:t>27.</w:t>
      </w:r>
      <w:r>
        <w:rPr>
          <w:b/>
          <w:bCs/>
          <w:i/>
          <w:iCs/>
        </w:rPr>
        <w:tab/>
        <w:t>Комитет выражает сожаление по поводу отсутствия удовлетворительного ответа на его предыдущие заключительные замечания, а также на заданные делегации письменные и устные вопросы, касающиеся принудительных выселений.  До настоящего времени Комитет не получил удовлетворительного ответа на свои вопросы, касающиеся масштабов данной проблемы, а также мер, принятых правительством с целью защиты всех граждан от принудительных выселений.  Кроме того, Комитет по-прежнему выражает обеспокоенность по поводу нехватки жилья и неудовлетворительного состояния значительной части жилого фонда, в особенности в сельских районах, где во многих домах не имеется электричества, адекватной канализации и водопровода.</w:t>
      </w:r>
    </w:p>
    <w:p w:rsidR="00000000" w:rsidRDefault="00000000">
      <w:pPr>
        <w:tabs>
          <w:tab w:val="left" w:pos="748"/>
        </w:tabs>
      </w:pPr>
    </w:p>
    <w:p w:rsidR="00000000" w:rsidRDefault="00000000">
      <w:pPr>
        <w:tabs>
          <w:tab w:val="left" w:pos="748"/>
        </w:tabs>
      </w:pPr>
      <w:r>
        <w:t>1059.</w:t>
      </w:r>
      <w:r>
        <w:tab/>
      </w:r>
      <w:r>
        <w:tab/>
        <w:t xml:space="preserve">См. ответ, касающийся статьи 3, В, </w:t>
      </w:r>
      <w:r>
        <w:rPr>
          <w:lang w:val="en-US"/>
        </w:rPr>
        <w:t>IV</w:t>
      </w:r>
      <w:r>
        <w:t>.</w:t>
      </w:r>
    </w:p>
    <w:p w:rsidR="00000000" w:rsidRDefault="00000000">
      <w:pPr>
        <w:tabs>
          <w:tab w:val="left" w:pos="748"/>
        </w:tabs>
      </w:pPr>
    </w:p>
    <w:p w:rsidR="00000000" w:rsidRDefault="00000000">
      <w:pPr>
        <w:tabs>
          <w:tab w:val="left" w:pos="748"/>
        </w:tabs>
        <w:ind w:left="567" w:hanging="567"/>
        <w:rPr>
          <w:i/>
          <w:iCs/>
        </w:rPr>
      </w:pPr>
      <w:r>
        <w:rPr>
          <w:b/>
          <w:bCs/>
          <w:i/>
          <w:iCs/>
        </w:rPr>
        <w:tab/>
        <w:t>28.</w:t>
      </w:r>
      <w:r>
        <w:rPr>
          <w:b/>
          <w:bCs/>
          <w:i/>
          <w:iCs/>
        </w:rPr>
        <w:tab/>
        <w:t>Комитет обеспокоен сохраняющейся проблемой недоедания, в особенности в сельских районах и среди детей в возрасте до пяти лет.  Комитет также встревожен тем, что болезни, обусловленные недоеданием, входят в число основных причин смертности в Мексике.</w:t>
      </w:r>
    </w:p>
    <w:p w:rsidR="00000000" w:rsidRDefault="00000000">
      <w:pPr>
        <w:tabs>
          <w:tab w:val="left" w:pos="748"/>
        </w:tabs>
      </w:pPr>
    </w:p>
    <w:p w:rsidR="00000000" w:rsidRDefault="00000000">
      <w:pPr>
        <w:tabs>
          <w:tab w:val="left" w:pos="748"/>
        </w:tabs>
      </w:pPr>
      <w:r>
        <w:t>1060.</w:t>
      </w:r>
      <w:r>
        <w:tab/>
      </w:r>
      <w:r>
        <w:tab/>
        <w:t>Учитывая разбросанность и децентрализацию органов власти, перед Национальной системой КРС стоит постоянная задача по укреплению ее руководящей и нормативной роли.  Эта стратегия позволила, среди прочего, выявить, ввести в практику и укрепить альтернативные подходы на базе новой структуры регулирования и оценки схем питания с учетом гендерного признака, а также культурного и этнического многообразия и представленности нескольких поколений.</w:t>
      </w:r>
    </w:p>
    <w:p w:rsidR="00000000" w:rsidRDefault="00000000">
      <w:pPr>
        <w:tabs>
          <w:tab w:val="left" w:pos="748"/>
        </w:tabs>
      </w:pPr>
    </w:p>
    <w:p w:rsidR="00000000" w:rsidRDefault="00000000">
      <w:pPr>
        <w:tabs>
          <w:tab w:val="left" w:pos="748"/>
        </w:tabs>
        <w:rPr>
          <w:b/>
          <w:bCs/>
        </w:rPr>
      </w:pPr>
      <w:r>
        <w:t>1061.</w:t>
      </w:r>
      <w:r>
        <w:tab/>
      </w:r>
      <w:r>
        <w:tab/>
        <w:t>В Мексике программой школьных завтраков охвачены 5,1 млн. мальчиков и девочек, имеющих признаки недоедания и истощения и посещающих государственные учебные заведения дошкольного и начального уровня, расположенные главным образом в местах проживания коренных народов, в сельской местности и на городских окраинах.  Основной упор делается на развитие человека как часть комплексной социальной политики в вопросах здравоохранения, образования, питания и проч.  Школьные завтраки введены в Мексике как для улучшения упитанности детей, так и для привития навыков правильного питания.</w:t>
      </w:r>
    </w:p>
    <w:p w:rsidR="00000000" w:rsidRDefault="00000000">
      <w:pPr>
        <w:tabs>
          <w:tab w:val="left" w:pos="748"/>
        </w:tabs>
      </w:pPr>
    </w:p>
    <w:p w:rsidR="00000000" w:rsidRDefault="00000000">
      <w:pPr>
        <w:tabs>
          <w:tab w:val="left" w:pos="748"/>
        </w:tabs>
      </w:pPr>
      <w:r>
        <w:t>1062.</w:t>
      </w:r>
      <w:r>
        <w:tab/>
      </w:r>
      <w:r>
        <w:tab/>
        <w:t>Программой "Забота о детях в возрасте до пяти лет, относящихся к группе риска", которая реализуется в Мексике с 2003 года, охвачены 87 000 детей в возрасте до пяти лет с признаками истощения или со слабым здоровьем, проживающие в зонах расселения коренных народов, в сельской местности и на городских окраинах, которые не получают продовольственной помощи по линии других программ лечебного питания;  объем финансирования составляет 197 млн. песо.  Этой программой предусмотрены мероприятия по пищевой диете, направленные на работу с родителями и призванные прививать здоровые пищевые навыки.</w:t>
      </w:r>
    </w:p>
    <w:p w:rsidR="00000000" w:rsidRDefault="00000000">
      <w:pPr>
        <w:tabs>
          <w:tab w:val="left" w:pos="748"/>
        </w:tabs>
      </w:pPr>
    </w:p>
    <w:p w:rsidR="00000000" w:rsidRDefault="00000000">
      <w:pPr>
        <w:tabs>
          <w:tab w:val="left" w:pos="748"/>
        </w:tabs>
      </w:pPr>
      <w:r>
        <w:t>1063.</w:t>
      </w:r>
      <w:r>
        <w:tab/>
      </w:r>
      <w:r>
        <w:tab/>
        <w:t>В 1994 и 1999 годах были проведены национальные переписи населения с регистрацией динамики роста детей, которые позволили создать базы данных на уровне штатов и муниципалитетов, подготовить статистические таблицы и составить электронные карты, отмечающие дефицит роста по возрастам, что обеспечивает возможность для пространственно-временного сопоставления.  Эти данные очень важны, так как они позволяют сразу оценить отдачу от реализации различных программ, в том что касается здравоохранения, питания и социального благосостояния.  В нынешнем году предстоит проведение новой переписи, которая позволит провести сравнительный анализ и выявить успехи в деле реализации различных алиментарных программ применительно к динамике роста детей.</w:t>
      </w:r>
    </w:p>
    <w:p w:rsidR="00000000" w:rsidRDefault="00000000">
      <w:pPr>
        <w:tabs>
          <w:tab w:val="left" w:pos="748"/>
        </w:tabs>
      </w:pPr>
    </w:p>
    <w:p w:rsidR="00000000" w:rsidRDefault="00000000">
      <w:pPr>
        <w:tabs>
          <w:tab w:val="left" w:pos="748"/>
        </w:tabs>
        <w:ind w:left="567" w:hanging="567"/>
        <w:rPr>
          <w:b/>
          <w:bCs/>
          <w:i/>
          <w:iCs/>
        </w:rPr>
      </w:pPr>
      <w:r>
        <w:rPr>
          <w:b/>
          <w:bCs/>
          <w:i/>
          <w:iCs/>
        </w:rPr>
        <w:tab/>
        <w:t>29.</w:t>
      </w:r>
      <w:r>
        <w:rPr>
          <w:b/>
          <w:bCs/>
          <w:i/>
          <w:iCs/>
        </w:rPr>
        <w:tab/>
        <w:t>Комитет также с обеспокоенностью отмечает тот факт, что среди наиболее распространенных причин смертности женщин в Мексике четвертое место занимает практика незаконных абортов.</w:t>
      </w:r>
    </w:p>
    <w:p w:rsidR="00000000" w:rsidRDefault="00000000">
      <w:pPr>
        <w:tabs>
          <w:tab w:val="left" w:pos="748"/>
        </w:tabs>
      </w:pPr>
    </w:p>
    <w:p w:rsidR="00000000" w:rsidRDefault="00000000">
      <w:pPr>
        <w:tabs>
          <w:tab w:val="left" w:pos="748"/>
        </w:tabs>
      </w:pPr>
      <w:r>
        <w:t>1064.</w:t>
      </w:r>
      <w:r>
        <w:tab/>
      </w:r>
      <w:r>
        <w:tab/>
        <w:t>В принципе, оценка, согласно которой практика незаконных абортов занимает четвертое место среди причин женской смертности, не совсем точна.  В 2001 году десятью основными причинами смерти женщин в Мексике являлись следующие:  сахарный диабет, ишемическая болезнь сердца, церебрально-сосудистые заболевания, отдельные перинатальные расстройства, хронический интерстициальный пневмонит, цирроз и прочие хронические заболевания печени, острые инфекции нижних дыхательных путей, гипертоническая болезнь, нефрит, нефроз и рак шейки матки.</w:t>
      </w:r>
    </w:p>
    <w:p w:rsidR="00000000" w:rsidRDefault="00000000">
      <w:pPr>
        <w:tabs>
          <w:tab w:val="left" w:pos="748"/>
        </w:tabs>
      </w:pPr>
    </w:p>
    <w:p w:rsidR="00000000" w:rsidRDefault="00000000">
      <w:pPr>
        <w:tabs>
          <w:tab w:val="left" w:pos="748"/>
        </w:tabs>
      </w:pPr>
      <w:r>
        <w:t>1065.</w:t>
      </w:r>
      <w:r>
        <w:tab/>
      </w:r>
      <w:r>
        <w:tab/>
        <w:t>Любого рода аборты, являющиеся одной из причин смертность в период беременности, во время родов и в послеродовой период, не фигурируют в числе 20 основных причин смерти женщин в Мексике.  Не фигурируют они и в числе 10 наиболее распространенных причин смерти среди женщин продуктивного возраста (15 лет -64 года);  для женщин этой возрастной группы пятью основными причинами смерти являются сахарный диабет, ишемическая болезнь сердца, злокачественные опухоли, церебрально-сосудистые заболевания и хронический интерстициальный пневмонит.</w:t>
      </w:r>
    </w:p>
    <w:p w:rsidR="00000000" w:rsidRDefault="00000000">
      <w:pPr>
        <w:tabs>
          <w:tab w:val="left" w:pos="748"/>
        </w:tabs>
      </w:pPr>
    </w:p>
    <w:p w:rsidR="00000000" w:rsidRDefault="00000000">
      <w:pPr>
        <w:tabs>
          <w:tab w:val="left" w:pos="748"/>
        </w:tabs>
      </w:pPr>
      <w:r>
        <w:t>1066.</w:t>
      </w:r>
      <w:r>
        <w:tab/>
      </w:r>
      <w:r>
        <w:tab/>
        <w:t>Осложнения после аборта занимают четвертое место среди причин материнской смертности в Мексике, причем речь идет не только об искусственных абортах, но и всех видах прекращения беременности, в том числе о выкидышах.  Вывести точную цифру, приходящуюся на незаконные аборты, не представляется возможным, поскольку их статистики не имеется.</w:t>
      </w:r>
    </w:p>
    <w:p w:rsidR="00000000" w:rsidRDefault="00000000">
      <w:pPr>
        <w:tabs>
          <w:tab w:val="left" w:pos="748"/>
        </w:tabs>
      </w:pPr>
    </w:p>
    <w:p w:rsidR="00000000" w:rsidRDefault="00000000">
      <w:pPr>
        <w:tabs>
          <w:tab w:val="left" w:pos="748"/>
        </w:tabs>
      </w:pPr>
      <w:r>
        <w:br w:type="page"/>
        <w:t>1067.</w:t>
      </w:r>
      <w:r>
        <w:tab/>
      </w:r>
      <w:r>
        <w:tab/>
        <w:t>В рамках медицинских программ и мероприятий, направленных на уменьшение числа абортов в Мексике, основной акцент делается на предупреждении незапланированной беременности, на уделении более пристального внимания половому воспитанию подростков, на проведении просветительных и информационных кампаний, пропагандирующих выгоды от ответственного, продуманного и осознанного планирования семьи, а также - главным образом - на расширении доступа населения к услугам служб планирования семьи, к дородовому медицинскому обслуживанию и квалифицированной акушерской помощи, что позволяет проводить раннюю диагностику факторов риска и предупреждать возникновение осложнений.</w:t>
      </w:r>
    </w:p>
    <w:p w:rsidR="00000000" w:rsidRDefault="00000000">
      <w:pPr>
        <w:tabs>
          <w:tab w:val="left" w:pos="748"/>
        </w:tabs>
      </w:pPr>
    </w:p>
    <w:p w:rsidR="00000000" w:rsidRDefault="00000000">
      <w:pPr>
        <w:tabs>
          <w:tab w:val="left" w:pos="748"/>
        </w:tabs>
        <w:ind w:left="567" w:hanging="567"/>
        <w:rPr>
          <w:i/>
          <w:iCs/>
        </w:rPr>
      </w:pPr>
      <w:r>
        <w:rPr>
          <w:b/>
          <w:bCs/>
          <w:i/>
          <w:iCs/>
        </w:rPr>
        <w:tab/>
        <w:t>30.</w:t>
      </w:r>
      <w:r>
        <w:rPr>
          <w:b/>
          <w:bCs/>
          <w:i/>
          <w:iCs/>
        </w:rPr>
        <w:tab/>
        <w:t>Комитет рекомендует государству-участнику определить ориентиры, которые способствовали бы оценке Комитетом прогресса, достигнутого в деле борьбы с нищетой.  Комитет был бы признателен государству-участнику за представление в четвертом периодическом докладе оценки прогресса, достигнутого в деле обеспечения более полного осуществления населением Мексики экономических, социальных и культурных прав, с использованием в качестве точки отсчета намеченных ориентиров в сочетании со статистической информацией.</w:t>
      </w:r>
    </w:p>
    <w:p w:rsidR="00000000" w:rsidRDefault="00000000">
      <w:pPr>
        <w:tabs>
          <w:tab w:val="left" w:pos="748"/>
        </w:tabs>
      </w:pPr>
    </w:p>
    <w:p w:rsidR="00000000" w:rsidRDefault="00000000">
      <w:pPr>
        <w:tabs>
          <w:tab w:val="left" w:pos="748"/>
        </w:tabs>
        <w:rPr>
          <w:b/>
          <w:bCs/>
        </w:rPr>
      </w:pPr>
      <w:r>
        <w:t>1068.</w:t>
      </w:r>
      <w:r>
        <w:tab/>
      </w:r>
      <w:r>
        <w:tab/>
        <w:t>Правительство Мексики видит одной из основных своих задач борьбу с бедностью и со структурными причинами, порождающими ее.  Одним из центральных аспектов стратегического курса на преодоление бедности стало признание того факта, что речь идет о многомерном и многоплановом явлении, чья природа выходит за рамки чисто материального порядка.  Именно поэтому с бедностью нельзя справиться, только наращивая экономический потенциал.  Необходимы постоянный и устойчивый экономический подъем при стабильной обстановке, а также более справедливое распределение богатств как непременные условия достижения более высокого уровня жизни.  Удачное сочетание этих факторов позволит расширить возможности обеспечения занятости и получения более высоких доходов самыми неимущими слоями населения.</w:t>
      </w:r>
    </w:p>
    <w:p w:rsidR="00000000" w:rsidRDefault="00000000">
      <w:pPr>
        <w:tabs>
          <w:tab w:val="left" w:pos="748"/>
        </w:tabs>
      </w:pPr>
    </w:p>
    <w:p w:rsidR="00000000" w:rsidRDefault="00000000">
      <w:pPr>
        <w:tabs>
          <w:tab w:val="left" w:pos="748"/>
        </w:tabs>
        <w:rPr>
          <w:b/>
          <w:bCs/>
        </w:rPr>
      </w:pPr>
      <w:r>
        <w:t>1069.</w:t>
      </w:r>
      <w:r>
        <w:tab/>
      </w:r>
      <w:r>
        <w:tab/>
        <w:t>В этой связи Мексика ставит в качестве основной задачи обеспечение достойной жизни для всего населения, создание условий, позволяющих всем мексиканцам включиться в производственную деятельность и социальную жизнь страны на условии равенства возможностей.  При этом человек рассматривается как основа и цель всех государственных начинаний в деле обеспечения комплексного и всестороннего развития, направленных на улучшение условий жизни граждан и призванных таким образом устранить причины, порождающие порочный круг бедности.</w:t>
      </w:r>
    </w:p>
    <w:p w:rsidR="00000000" w:rsidRDefault="00000000">
      <w:pPr>
        <w:tabs>
          <w:tab w:val="left" w:pos="748"/>
        </w:tabs>
      </w:pPr>
    </w:p>
    <w:p w:rsidR="00000000" w:rsidRDefault="00000000">
      <w:pPr>
        <w:tabs>
          <w:tab w:val="left" w:pos="748"/>
        </w:tabs>
      </w:pPr>
      <w:r>
        <w:t>1070.</w:t>
      </w:r>
      <w:r>
        <w:tab/>
      </w:r>
      <w:r>
        <w:tab/>
        <w:t>Помимо усилий, предпринимаемых внутри страны, министерство социального развития (МСР) приняло решение изучить мировой опыт борьбы с бедностью, который можно было бы рассматривать в качестве ориентира в деле разработки социальной политики, создания программ действий и оценки их эффективности.</w:t>
      </w:r>
    </w:p>
    <w:p w:rsidR="00000000" w:rsidRDefault="00000000">
      <w:pPr>
        <w:tabs>
          <w:tab w:val="left" w:pos="748"/>
        </w:tabs>
      </w:pPr>
    </w:p>
    <w:p w:rsidR="00000000" w:rsidRDefault="00000000">
      <w:pPr>
        <w:tabs>
          <w:tab w:val="left" w:pos="748"/>
        </w:tabs>
      </w:pPr>
      <w:r>
        <w:t>1071.</w:t>
      </w:r>
      <w:r>
        <w:tab/>
      </w:r>
      <w:r>
        <w:tab/>
        <w:t xml:space="preserve">Учитывая тот факт, что наша страна не располагала официальным и общепризнанным критерием определения бедности, </w:t>
      </w:r>
      <w:r>
        <w:rPr>
          <w:szCs w:val="22"/>
        </w:rPr>
        <w:t xml:space="preserve">в 2001 году МСР созвало группу авторитетных независимых национальных экспертов, составивших Технический комитет по </w:t>
      </w:r>
      <w:r>
        <w:t xml:space="preserve">определению порога </w:t>
      </w:r>
      <w:r>
        <w:rPr>
          <w:szCs w:val="22"/>
        </w:rPr>
        <w:t>бедности в Мексике.</w:t>
      </w:r>
    </w:p>
    <w:p w:rsidR="00000000" w:rsidRDefault="00000000">
      <w:pPr>
        <w:tabs>
          <w:tab w:val="left" w:pos="748"/>
        </w:tabs>
      </w:pPr>
    </w:p>
    <w:p w:rsidR="00000000" w:rsidRDefault="00000000">
      <w:pPr>
        <w:tabs>
          <w:tab w:val="left" w:pos="748"/>
        </w:tabs>
      </w:pPr>
      <w:r>
        <w:t>1072.</w:t>
      </w:r>
      <w:r>
        <w:tab/>
      </w:r>
      <w:r>
        <w:tab/>
      </w:r>
      <w:r>
        <w:rPr>
          <w:szCs w:val="22"/>
        </w:rPr>
        <w:t xml:space="preserve">Комитет предложил использовать национальные бюджетные обследования домашних хозяйств (НБОД), проведенные Национальным институтом статистики, географии и информатики (НИСГИ), в качестве первичного источника информации для оценки бедности на основе согласованной методики.  Кроме того, Комитет использовал в качестве критерия благосостояния </w:t>
      </w:r>
      <w:r>
        <w:t xml:space="preserve">подушный </w:t>
      </w:r>
      <w:r>
        <w:rPr>
          <w:szCs w:val="22"/>
        </w:rPr>
        <w:t>доход (за вычетом налога) по данным  обследования.</w:t>
      </w:r>
    </w:p>
    <w:p w:rsidR="00000000" w:rsidRDefault="00000000">
      <w:pPr>
        <w:tabs>
          <w:tab w:val="left" w:pos="748"/>
        </w:tabs>
      </w:pPr>
    </w:p>
    <w:p w:rsidR="00000000" w:rsidRDefault="00000000">
      <w:pPr>
        <w:tabs>
          <w:tab w:val="left" w:pos="748"/>
        </w:tabs>
        <w:rPr>
          <w:szCs w:val="22"/>
        </w:rPr>
      </w:pPr>
      <w:r>
        <w:t>1073.</w:t>
      </w:r>
      <w:r>
        <w:tab/>
      </w:r>
      <w:r>
        <w:tab/>
      </w:r>
      <w:r>
        <w:rPr>
          <w:szCs w:val="22"/>
        </w:rPr>
        <w:t>МСР одобрило предложенную Комитетом методику, а посему, следуя критериям Комитета и используя данные НБОД-2000, были определены три критерия группировки населения по уровню дохода:</w:t>
      </w:r>
    </w:p>
    <w:p w:rsidR="00000000" w:rsidRDefault="00000000">
      <w:pPr>
        <w:rPr>
          <w:szCs w:val="22"/>
        </w:rPr>
      </w:pPr>
    </w:p>
    <w:p w:rsidR="00000000" w:rsidRDefault="00000000">
      <w:pPr>
        <w:ind w:left="1134" w:hanging="1134"/>
        <w:rPr>
          <w:szCs w:val="22"/>
        </w:rPr>
      </w:pPr>
      <w:r>
        <w:rPr>
          <w:szCs w:val="22"/>
        </w:rPr>
        <w:tab/>
        <w:t>1.</w:t>
      </w:r>
      <w:r>
        <w:rPr>
          <w:szCs w:val="22"/>
        </w:rPr>
        <w:tab/>
      </w:r>
      <w:r>
        <w:rPr>
          <w:i/>
          <w:iCs/>
          <w:szCs w:val="22"/>
        </w:rPr>
        <w:t xml:space="preserve">Порог бедности по обеспеченности питанием: </w:t>
      </w:r>
      <w:r>
        <w:rPr>
          <w:szCs w:val="22"/>
        </w:rPr>
        <w:t xml:space="preserve"> домохозяйства, в которых </w:t>
      </w:r>
      <w:r>
        <w:t xml:space="preserve">подушный </w:t>
      </w:r>
      <w:r>
        <w:rPr>
          <w:szCs w:val="22"/>
        </w:rPr>
        <w:t>доход меньше суммы, считающейся необходимой для покрытия потребностей в продуктах питания.</w:t>
      </w:r>
    </w:p>
    <w:p w:rsidR="00000000" w:rsidRDefault="00000000">
      <w:pPr>
        <w:ind w:left="1134" w:hanging="1134"/>
        <w:rPr>
          <w:szCs w:val="22"/>
        </w:rPr>
      </w:pPr>
    </w:p>
    <w:p w:rsidR="00000000" w:rsidRDefault="00000000">
      <w:pPr>
        <w:ind w:left="1134" w:hanging="1134"/>
        <w:rPr>
          <w:szCs w:val="22"/>
        </w:rPr>
      </w:pPr>
      <w:r>
        <w:rPr>
          <w:szCs w:val="22"/>
        </w:rPr>
        <w:tab/>
        <w:t>2.</w:t>
      </w:r>
      <w:r>
        <w:rPr>
          <w:szCs w:val="22"/>
        </w:rPr>
        <w:tab/>
      </w:r>
      <w:r>
        <w:rPr>
          <w:i/>
          <w:iCs/>
          <w:szCs w:val="22"/>
        </w:rPr>
        <w:t>Порог бедности по признаку развития возможностей:</w:t>
      </w:r>
      <w:r>
        <w:rPr>
          <w:szCs w:val="22"/>
        </w:rPr>
        <w:t xml:space="preserve">  домохозяйства, в которых </w:t>
      </w:r>
      <w:r>
        <w:t xml:space="preserve">подушный </w:t>
      </w:r>
      <w:r>
        <w:rPr>
          <w:szCs w:val="22"/>
        </w:rPr>
        <w:t>доход меньше суммы, необходимой для покрытия потребностей в питании (определяемых таким же образом, что и по предыдущей группе), помимо дохода, необходимого для оплаты расходов на образование и медицинское обслуживание.</w:t>
      </w:r>
    </w:p>
    <w:p w:rsidR="00000000" w:rsidRDefault="00000000">
      <w:pPr>
        <w:ind w:left="1134" w:hanging="1134"/>
        <w:rPr>
          <w:szCs w:val="22"/>
        </w:rPr>
      </w:pPr>
    </w:p>
    <w:p w:rsidR="00000000" w:rsidRDefault="00000000">
      <w:pPr>
        <w:tabs>
          <w:tab w:val="left" w:pos="748"/>
        </w:tabs>
        <w:ind w:left="1134" w:hanging="1134"/>
      </w:pPr>
      <w:r>
        <w:rPr>
          <w:szCs w:val="22"/>
        </w:rPr>
        <w:tab/>
        <w:t>3.</w:t>
      </w:r>
      <w:r>
        <w:rPr>
          <w:szCs w:val="22"/>
        </w:rPr>
        <w:tab/>
      </w:r>
      <w:r>
        <w:rPr>
          <w:szCs w:val="22"/>
        </w:rPr>
        <w:tab/>
      </w:r>
      <w:r>
        <w:rPr>
          <w:i/>
          <w:iCs/>
          <w:szCs w:val="22"/>
        </w:rPr>
        <w:t xml:space="preserve">Порог бедности по признаку имущественной обеспеченности:  </w:t>
      </w:r>
      <w:r>
        <w:rPr>
          <w:szCs w:val="22"/>
        </w:rPr>
        <w:t xml:space="preserve">домохозяйства, в которых </w:t>
      </w:r>
      <w:r>
        <w:t xml:space="preserve">душевой </w:t>
      </w:r>
      <w:r>
        <w:rPr>
          <w:szCs w:val="22"/>
        </w:rPr>
        <w:t>доход меньше суммы, необходимой для покупки продуктов питания и приобретения таких элементарных товаров и услуг, как здравоохранение, образование, одежда, обувь, жилье и общественный транспорт.</w:t>
      </w:r>
    </w:p>
    <w:p w:rsidR="00000000" w:rsidRDefault="00000000">
      <w:pPr>
        <w:tabs>
          <w:tab w:val="left" w:pos="748"/>
        </w:tabs>
      </w:pPr>
    </w:p>
    <w:p w:rsidR="00000000" w:rsidRDefault="00000000">
      <w:pPr>
        <w:tabs>
          <w:tab w:val="left" w:pos="748"/>
        </w:tabs>
      </w:pPr>
      <w:r>
        <w:t>1074.</w:t>
      </w:r>
      <w:r>
        <w:tab/>
      </w:r>
      <w:r>
        <w:tab/>
      </w:r>
      <w:r>
        <w:rPr>
          <w:szCs w:val="22"/>
        </w:rPr>
        <w:t>В таблице ниже представлены три порога бедности, рассчитанные по данным НБОД</w:t>
      </w:r>
      <w:r>
        <w:rPr>
          <w:szCs w:val="22"/>
        </w:rPr>
        <w:noBreakHyphen/>
        <w:t>2000 и новым данным НБОД</w:t>
      </w:r>
      <w:r>
        <w:rPr>
          <w:szCs w:val="22"/>
        </w:rPr>
        <w:noBreakHyphen/>
        <w:t>2002.</w:t>
      </w:r>
    </w:p>
    <w:p w:rsidR="00000000" w:rsidRDefault="00000000">
      <w:pPr>
        <w:tabs>
          <w:tab w:val="left" w:pos="748"/>
        </w:tabs>
        <w:jc w:val="center"/>
        <w:rPr>
          <w:b/>
          <w:bCs/>
        </w:rPr>
      </w:pPr>
      <w:r>
        <w:rPr>
          <w:b/>
          <w:bCs/>
        </w:rPr>
        <w:t>Таблица 1</w:t>
      </w:r>
    </w:p>
    <w:p w:rsidR="00000000" w:rsidRDefault="00000000">
      <w:pPr>
        <w:tabs>
          <w:tab w:val="left" w:pos="748"/>
        </w:tabs>
        <w:jc w:val="center"/>
        <w:rPr>
          <w:b/>
          <w:bCs/>
        </w:rPr>
      </w:pPr>
    </w:p>
    <w:p w:rsidR="00000000" w:rsidRDefault="00000000">
      <w:pPr>
        <w:tabs>
          <w:tab w:val="left" w:pos="748"/>
        </w:tabs>
        <w:jc w:val="center"/>
        <w:rPr>
          <w:b/>
          <w:bCs/>
        </w:rPr>
      </w:pPr>
      <w:r>
        <w:rPr>
          <w:b/>
          <w:bCs/>
        </w:rPr>
        <w:t>Черты бедности, 2000 и 2002 годы</w:t>
      </w:r>
    </w:p>
    <w:p w:rsidR="00000000" w:rsidRDefault="00000000">
      <w:pPr>
        <w:rPr>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72"/>
        <w:gridCol w:w="1307"/>
        <w:gridCol w:w="1532"/>
        <w:gridCol w:w="1532"/>
        <w:gridCol w:w="1176"/>
        <w:gridCol w:w="1245"/>
      </w:tblGrid>
      <w:tr w:rsidR="00000000">
        <w:tblPrEx>
          <w:tblCellMar>
            <w:top w:w="0" w:type="dxa"/>
            <w:left w:w="0" w:type="dxa"/>
            <w:bottom w:w="0" w:type="dxa"/>
            <w:right w:w="0" w:type="dxa"/>
          </w:tblCellMar>
        </w:tblPrEx>
        <w:trPr>
          <w:cantSplit/>
          <w:trHeight w:val="450"/>
          <w:jc w:val="center"/>
        </w:trPr>
        <w:tc>
          <w:tcPr>
            <w:tcW w:w="1373" w:type="pct"/>
            <w:vMerge w:val="restart"/>
            <w:vAlign w:val="center"/>
          </w:tcPr>
          <w:p w:rsidR="00000000" w:rsidRDefault="00000000">
            <w:pPr>
              <w:tabs>
                <w:tab w:val="left" w:pos="748"/>
              </w:tabs>
              <w:spacing w:before="40"/>
              <w:jc w:val="center"/>
              <w:rPr>
                <w:bCs/>
                <w:i/>
                <w:iCs/>
                <w:sz w:val="18"/>
                <w:szCs w:val="22"/>
              </w:rPr>
            </w:pPr>
            <w:r>
              <w:rPr>
                <w:bCs/>
                <w:i/>
                <w:iCs/>
                <w:sz w:val="18"/>
                <w:szCs w:val="22"/>
              </w:rPr>
              <w:t xml:space="preserve">Вид бедности </w:t>
            </w:r>
          </w:p>
        </w:tc>
        <w:tc>
          <w:tcPr>
            <w:tcW w:w="698" w:type="pct"/>
            <w:vMerge w:val="restart"/>
            <w:vAlign w:val="center"/>
          </w:tcPr>
          <w:p w:rsidR="00000000" w:rsidRDefault="00000000">
            <w:pPr>
              <w:tabs>
                <w:tab w:val="left" w:pos="748"/>
              </w:tabs>
              <w:spacing w:before="40"/>
              <w:jc w:val="center"/>
              <w:rPr>
                <w:bCs/>
                <w:i/>
                <w:iCs/>
                <w:sz w:val="18"/>
                <w:szCs w:val="22"/>
              </w:rPr>
            </w:pPr>
            <w:r>
              <w:rPr>
                <w:i/>
                <w:iCs/>
                <w:sz w:val="18"/>
                <w:szCs w:val="22"/>
              </w:rPr>
              <w:t>Группа населения</w:t>
            </w:r>
          </w:p>
        </w:tc>
        <w:tc>
          <w:tcPr>
            <w:tcW w:w="818" w:type="pct"/>
            <w:vAlign w:val="center"/>
          </w:tcPr>
          <w:p w:rsidR="00000000" w:rsidRDefault="00000000">
            <w:pPr>
              <w:tabs>
                <w:tab w:val="left" w:pos="748"/>
              </w:tabs>
              <w:spacing w:before="40"/>
              <w:jc w:val="center"/>
              <w:rPr>
                <w:bCs/>
                <w:i/>
                <w:iCs/>
                <w:sz w:val="18"/>
                <w:szCs w:val="22"/>
              </w:rPr>
            </w:pPr>
            <w:r>
              <w:rPr>
                <w:bCs/>
                <w:i/>
                <w:iCs/>
                <w:sz w:val="18"/>
                <w:szCs w:val="22"/>
              </w:rPr>
              <w:t>2000 год</w:t>
            </w:r>
          </w:p>
        </w:tc>
        <w:tc>
          <w:tcPr>
            <w:tcW w:w="818" w:type="pct"/>
            <w:vAlign w:val="center"/>
          </w:tcPr>
          <w:p w:rsidR="00000000" w:rsidRDefault="00000000">
            <w:pPr>
              <w:tabs>
                <w:tab w:val="left" w:pos="748"/>
              </w:tabs>
              <w:spacing w:before="40"/>
              <w:jc w:val="center"/>
              <w:rPr>
                <w:bCs/>
                <w:i/>
                <w:iCs/>
                <w:sz w:val="18"/>
                <w:szCs w:val="22"/>
              </w:rPr>
            </w:pPr>
            <w:r>
              <w:rPr>
                <w:bCs/>
                <w:i/>
                <w:iCs/>
                <w:sz w:val="18"/>
                <w:szCs w:val="22"/>
              </w:rPr>
              <w:t>2002 год</w:t>
            </w:r>
          </w:p>
        </w:tc>
        <w:tc>
          <w:tcPr>
            <w:tcW w:w="628" w:type="pct"/>
            <w:vAlign w:val="center"/>
          </w:tcPr>
          <w:p w:rsidR="00000000" w:rsidRDefault="00000000">
            <w:pPr>
              <w:tabs>
                <w:tab w:val="left" w:pos="748"/>
              </w:tabs>
              <w:spacing w:before="40"/>
              <w:jc w:val="center"/>
              <w:rPr>
                <w:bCs/>
                <w:i/>
                <w:iCs/>
                <w:sz w:val="18"/>
                <w:szCs w:val="22"/>
              </w:rPr>
            </w:pPr>
            <w:r>
              <w:rPr>
                <w:bCs/>
                <w:i/>
                <w:iCs/>
                <w:sz w:val="18"/>
                <w:szCs w:val="22"/>
              </w:rPr>
              <w:t>2000 год</w:t>
            </w:r>
            <w:r>
              <w:rPr>
                <w:b/>
                <w:i/>
                <w:iCs/>
                <w:sz w:val="18"/>
                <w:szCs w:val="22"/>
                <w:vertAlign w:val="superscript"/>
              </w:rPr>
              <w:t>*</w:t>
            </w:r>
          </w:p>
        </w:tc>
        <w:tc>
          <w:tcPr>
            <w:tcW w:w="665" w:type="pct"/>
            <w:vAlign w:val="center"/>
          </w:tcPr>
          <w:p w:rsidR="00000000" w:rsidRDefault="00000000">
            <w:pPr>
              <w:tabs>
                <w:tab w:val="left" w:pos="748"/>
              </w:tabs>
              <w:spacing w:before="40"/>
              <w:jc w:val="center"/>
              <w:rPr>
                <w:bCs/>
                <w:i/>
                <w:iCs/>
                <w:sz w:val="18"/>
                <w:szCs w:val="22"/>
              </w:rPr>
            </w:pPr>
            <w:r>
              <w:rPr>
                <w:bCs/>
                <w:i/>
                <w:iCs/>
                <w:sz w:val="18"/>
                <w:szCs w:val="22"/>
              </w:rPr>
              <w:t>2002 год</w:t>
            </w:r>
            <w:r>
              <w:rPr>
                <w:b/>
                <w:i/>
                <w:iCs/>
                <w:sz w:val="18"/>
                <w:szCs w:val="22"/>
                <w:vertAlign w:val="superscript"/>
              </w:rPr>
              <w:t>**</w:t>
            </w:r>
          </w:p>
        </w:tc>
      </w:tr>
      <w:tr w:rsidR="00000000">
        <w:tblPrEx>
          <w:tblCellMar>
            <w:top w:w="0" w:type="dxa"/>
            <w:left w:w="0" w:type="dxa"/>
            <w:bottom w:w="0" w:type="dxa"/>
            <w:right w:w="0" w:type="dxa"/>
          </w:tblCellMar>
        </w:tblPrEx>
        <w:trPr>
          <w:cantSplit/>
          <w:jc w:val="center"/>
        </w:trPr>
        <w:tc>
          <w:tcPr>
            <w:tcW w:w="1373" w:type="pct"/>
            <w:vMerge/>
            <w:vAlign w:val="center"/>
          </w:tcPr>
          <w:p w:rsidR="00000000" w:rsidRDefault="00000000">
            <w:pPr>
              <w:tabs>
                <w:tab w:val="left" w:pos="748"/>
              </w:tabs>
              <w:spacing w:before="40"/>
              <w:jc w:val="center"/>
              <w:rPr>
                <w:bCs/>
                <w:i/>
                <w:iCs/>
                <w:sz w:val="18"/>
                <w:szCs w:val="22"/>
              </w:rPr>
            </w:pPr>
          </w:p>
        </w:tc>
        <w:tc>
          <w:tcPr>
            <w:tcW w:w="698" w:type="pct"/>
            <w:vMerge/>
            <w:vAlign w:val="center"/>
          </w:tcPr>
          <w:p w:rsidR="00000000" w:rsidRDefault="00000000">
            <w:pPr>
              <w:tabs>
                <w:tab w:val="left" w:pos="748"/>
              </w:tabs>
              <w:spacing w:before="40"/>
              <w:jc w:val="center"/>
              <w:rPr>
                <w:bCs/>
                <w:i/>
                <w:iCs/>
                <w:sz w:val="18"/>
                <w:szCs w:val="22"/>
              </w:rPr>
            </w:pPr>
          </w:p>
        </w:tc>
        <w:tc>
          <w:tcPr>
            <w:tcW w:w="1636" w:type="pct"/>
            <w:gridSpan w:val="2"/>
            <w:vAlign w:val="center"/>
          </w:tcPr>
          <w:p w:rsidR="00000000" w:rsidRDefault="00000000">
            <w:pPr>
              <w:tabs>
                <w:tab w:val="left" w:pos="748"/>
              </w:tabs>
              <w:spacing w:before="40"/>
              <w:jc w:val="center"/>
              <w:rPr>
                <w:bCs/>
                <w:i/>
                <w:iCs/>
                <w:sz w:val="18"/>
                <w:szCs w:val="22"/>
              </w:rPr>
            </w:pPr>
            <w:r>
              <w:rPr>
                <w:bCs/>
                <w:i/>
                <w:iCs/>
                <w:sz w:val="18"/>
                <w:szCs w:val="22"/>
              </w:rPr>
              <w:t>(в месяц)</w:t>
            </w:r>
          </w:p>
        </w:tc>
        <w:tc>
          <w:tcPr>
            <w:tcW w:w="1293" w:type="pct"/>
            <w:gridSpan w:val="2"/>
            <w:vAlign w:val="center"/>
          </w:tcPr>
          <w:p w:rsidR="00000000" w:rsidRDefault="00000000">
            <w:pPr>
              <w:tabs>
                <w:tab w:val="left" w:pos="748"/>
              </w:tabs>
              <w:spacing w:before="40"/>
              <w:jc w:val="center"/>
              <w:rPr>
                <w:bCs/>
                <w:i/>
                <w:iCs/>
                <w:sz w:val="18"/>
                <w:szCs w:val="22"/>
              </w:rPr>
            </w:pPr>
            <w:r>
              <w:rPr>
                <w:bCs/>
                <w:i/>
                <w:iCs/>
                <w:sz w:val="18"/>
                <w:szCs w:val="22"/>
              </w:rPr>
              <w:t>(за день)</w:t>
            </w:r>
          </w:p>
        </w:tc>
      </w:tr>
      <w:tr w:rsidR="00000000">
        <w:tblPrEx>
          <w:tblCellMar>
            <w:top w:w="0" w:type="dxa"/>
            <w:left w:w="0" w:type="dxa"/>
            <w:bottom w:w="0" w:type="dxa"/>
            <w:right w:w="0" w:type="dxa"/>
          </w:tblCellMar>
        </w:tblPrEx>
        <w:trPr>
          <w:cantSplit/>
          <w:trHeight w:val="255"/>
          <w:jc w:val="center"/>
        </w:trPr>
        <w:tc>
          <w:tcPr>
            <w:tcW w:w="1373" w:type="pct"/>
            <w:vMerge w:val="restart"/>
            <w:vAlign w:val="center"/>
          </w:tcPr>
          <w:p w:rsidR="00000000" w:rsidRDefault="00000000">
            <w:pPr>
              <w:tabs>
                <w:tab w:val="left" w:pos="748"/>
              </w:tabs>
              <w:spacing w:before="40"/>
              <w:ind w:left="87"/>
              <w:rPr>
                <w:bCs/>
                <w:sz w:val="18"/>
                <w:szCs w:val="22"/>
              </w:rPr>
            </w:pPr>
            <w:r>
              <w:rPr>
                <w:bCs/>
                <w:sz w:val="18"/>
                <w:szCs w:val="22"/>
              </w:rPr>
              <w:t>Питание</w:t>
            </w:r>
          </w:p>
        </w:tc>
        <w:tc>
          <w:tcPr>
            <w:tcW w:w="698" w:type="pct"/>
          </w:tcPr>
          <w:p w:rsidR="00000000" w:rsidRDefault="00000000">
            <w:pPr>
              <w:tabs>
                <w:tab w:val="left" w:pos="748"/>
              </w:tabs>
              <w:spacing w:before="40"/>
              <w:ind w:left="81"/>
              <w:rPr>
                <w:bCs/>
                <w:sz w:val="18"/>
                <w:szCs w:val="22"/>
              </w:rPr>
            </w:pPr>
            <w:r>
              <w:rPr>
                <w:sz w:val="18"/>
                <w:szCs w:val="22"/>
              </w:rPr>
              <w:t xml:space="preserve">Городское </w:t>
            </w:r>
          </w:p>
        </w:tc>
        <w:tc>
          <w:tcPr>
            <w:tcW w:w="818" w:type="pct"/>
            <w:vAlign w:val="bottom"/>
          </w:tcPr>
          <w:p w:rsidR="00000000" w:rsidRDefault="00000000">
            <w:pPr>
              <w:tabs>
                <w:tab w:val="left" w:pos="748"/>
                <w:tab w:val="decimal" w:pos="926"/>
              </w:tabs>
              <w:spacing w:before="40"/>
              <w:jc w:val="center"/>
              <w:rPr>
                <w:bCs/>
                <w:sz w:val="18"/>
                <w:szCs w:val="22"/>
              </w:rPr>
            </w:pPr>
            <w:r>
              <w:rPr>
                <w:bCs/>
                <w:sz w:val="18"/>
                <w:szCs w:val="22"/>
              </w:rPr>
              <w:t>626</w:t>
            </w:r>
          </w:p>
        </w:tc>
        <w:tc>
          <w:tcPr>
            <w:tcW w:w="818" w:type="pct"/>
            <w:vAlign w:val="bottom"/>
          </w:tcPr>
          <w:p w:rsidR="00000000" w:rsidRDefault="00000000">
            <w:pPr>
              <w:tabs>
                <w:tab w:val="left" w:pos="748"/>
                <w:tab w:val="decimal" w:pos="926"/>
              </w:tabs>
              <w:spacing w:before="40"/>
              <w:jc w:val="center"/>
              <w:rPr>
                <w:bCs/>
                <w:sz w:val="18"/>
                <w:szCs w:val="22"/>
              </w:rPr>
            </w:pPr>
            <w:r>
              <w:rPr>
                <w:bCs/>
                <w:sz w:val="18"/>
                <w:szCs w:val="22"/>
              </w:rPr>
              <w:t>672,25</w:t>
            </w:r>
          </w:p>
        </w:tc>
        <w:tc>
          <w:tcPr>
            <w:tcW w:w="628" w:type="pct"/>
            <w:vAlign w:val="bottom"/>
          </w:tcPr>
          <w:p w:rsidR="00000000" w:rsidRDefault="00000000">
            <w:pPr>
              <w:tabs>
                <w:tab w:val="left" w:pos="748"/>
              </w:tabs>
              <w:spacing w:before="40"/>
              <w:jc w:val="center"/>
              <w:rPr>
                <w:bCs/>
                <w:sz w:val="18"/>
                <w:szCs w:val="22"/>
              </w:rPr>
            </w:pPr>
            <w:r>
              <w:rPr>
                <w:bCs/>
                <w:sz w:val="18"/>
                <w:szCs w:val="22"/>
              </w:rPr>
              <w:t>20,87</w:t>
            </w:r>
          </w:p>
        </w:tc>
        <w:tc>
          <w:tcPr>
            <w:tcW w:w="665" w:type="pct"/>
            <w:vAlign w:val="bottom"/>
          </w:tcPr>
          <w:p w:rsidR="00000000" w:rsidRDefault="00000000">
            <w:pPr>
              <w:tabs>
                <w:tab w:val="left" w:pos="748"/>
              </w:tabs>
              <w:spacing w:before="40"/>
              <w:jc w:val="center"/>
              <w:rPr>
                <w:bCs/>
                <w:sz w:val="18"/>
                <w:szCs w:val="22"/>
              </w:rPr>
            </w:pPr>
            <w:r>
              <w:rPr>
                <w:bCs/>
                <w:sz w:val="18"/>
                <w:szCs w:val="22"/>
              </w:rPr>
              <w:t>22,41</w:t>
            </w:r>
          </w:p>
        </w:tc>
      </w:tr>
      <w:tr w:rsidR="00000000">
        <w:tblPrEx>
          <w:tblCellMar>
            <w:top w:w="0" w:type="dxa"/>
            <w:left w:w="0" w:type="dxa"/>
            <w:bottom w:w="0" w:type="dxa"/>
            <w:right w:w="0" w:type="dxa"/>
          </w:tblCellMar>
        </w:tblPrEx>
        <w:trPr>
          <w:cantSplit/>
          <w:trHeight w:val="255"/>
          <w:jc w:val="center"/>
        </w:trPr>
        <w:tc>
          <w:tcPr>
            <w:tcW w:w="1373" w:type="pct"/>
            <w:vMerge/>
            <w:vAlign w:val="center"/>
          </w:tcPr>
          <w:p w:rsidR="00000000" w:rsidRDefault="00000000">
            <w:pPr>
              <w:tabs>
                <w:tab w:val="left" w:pos="748"/>
              </w:tabs>
              <w:spacing w:before="40"/>
              <w:ind w:left="87"/>
              <w:rPr>
                <w:bCs/>
                <w:sz w:val="18"/>
                <w:szCs w:val="22"/>
              </w:rPr>
            </w:pPr>
          </w:p>
        </w:tc>
        <w:tc>
          <w:tcPr>
            <w:tcW w:w="698" w:type="pct"/>
          </w:tcPr>
          <w:p w:rsidR="00000000" w:rsidRDefault="00000000">
            <w:pPr>
              <w:tabs>
                <w:tab w:val="left" w:pos="748"/>
              </w:tabs>
              <w:spacing w:before="40"/>
              <w:ind w:left="81"/>
              <w:rPr>
                <w:bCs/>
                <w:sz w:val="18"/>
                <w:szCs w:val="22"/>
              </w:rPr>
            </w:pPr>
            <w:r>
              <w:rPr>
                <w:sz w:val="18"/>
                <w:szCs w:val="22"/>
              </w:rPr>
              <w:t xml:space="preserve">Сельское </w:t>
            </w:r>
          </w:p>
        </w:tc>
        <w:tc>
          <w:tcPr>
            <w:tcW w:w="818" w:type="pct"/>
            <w:vAlign w:val="bottom"/>
          </w:tcPr>
          <w:p w:rsidR="00000000" w:rsidRDefault="00000000">
            <w:pPr>
              <w:tabs>
                <w:tab w:val="left" w:pos="748"/>
                <w:tab w:val="decimal" w:pos="926"/>
              </w:tabs>
              <w:spacing w:before="40"/>
              <w:jc w:val="center"/>
              <w:rPr>
                <w:bCs/>
                <w:sz w:val="18"/>
                <w:szCs w:val="22"/>
              </w:rPr>
            </w:pPr>
            <w:r>
              <w:rPr>
                <w:bCs/>
                <w:sz w:val="18"/>
                <w:szCs w:val="22"/>
              </w:rPr>
              <w:t>462,96</w:t>
            </w:r>
          </w:p>
        </w:tc>
        <w:tc>
          <w:tcPr>
            <w:tcW w:w="818" w:type="pct"/>
            <w:vAlign w:val="bottom"/>
          </w:tcPr>
          <w:p w:rsidR="00000000" w:rsidRDefault="00000000">
            <w:pPr>
              <w:tabs>
                <w:tab w:val="left" w:pos="748"/>
                <w:tab w:val="decimal" w:pos="926"/>
              </w:tabs>
              <w:spacing w:before="40"/>
              <w:jc w:val="center"/>
              <w:rPr>
                <w:bCs/>
                <w:sz w:val="18"/>
                <w:szCs w:val="22"/>
              </w:rPr>
            </w:pPr>
            <w:r>
              <w:rPr>
                <w:bCs/>
                <w:sz w:val="18"/>
                <w:szCs w:val="22"/>
              </w:rPr>
              <w:t>494,77</w:t>
            </w:r>
          </w:p>
        </w:tc>
        <w:tc>
          <w:tcPr>
            <w:tcW w:w="628" w:type="pct"/>
            <w:vAlign w:val="bottom"/>
          </w:tcPr>
          <w:p w:rsidR="00000000" w:rsidRDefault="00000000">
            <w:pPr>
              <w:tabs>
                <w:tab w:val="left" w:pos="748"/>
              </w:tabs>
              <w:spacing w:before="40"/>
              <w:jc w:val="center"/>
              <w:rPr>
                <w:bCs/>
                <w:sz w:val="18"/>
                <w:szCs w:val="22"/>
              </w:rPr>
            </w:pPr>
            <w:r>
              <w:rPr>
                <w:bCs/>
                <w:sz w:val="18"/>
                <w:szCs w:val="22"/>
              </w:rPr>
              <w:t>15,43</w:t>
            </w:r>
          </w:p>
        </w:tc>
        <w:tc>
          <w:tcPr>
            <w:tcW w:w="665" w:type="pct"/>
            <w:vAlign w:val="bottom"/>
          </w:tcPr>
          <w:p w:rsidR="00000000" w:rsidRDefault="00000000">
            <w:pPr>
              <w:tabs>
                <w:tab w:val="left" w:pos="748"/>
              </w:tabs>
              <w:spacing w:before="40"/>
              <w:jc w:val="center"/>
              <w:rPr>
                <w:bCs/>
                <w:sz w:val="18"/>
                <w:szCs w:val="22"/>
              </w:rPr>
            </w:pPr>
            <w:r>
              <w:rPr>
                <w:bCs/>
                <w:sz w:val="18"/>
                <w:szCs w:val="22"/>
              </w:rPr>
              <w:t>16,49</w:t>
            </w:r>
          </w:p>
        </w:tc>
      </w:tr>
      <w:tr w:rsidR="00000000">
        <w:tblPrEx>
          <w:tblCellMar>
            <w:top w:w="0" w:type="dxa"/>
            <w:left w:w="0" w:type="dxa"/>
            <w:bottom w:w="0" w:type="dxa"/>
            <w:right w:w="0" w:type="dxa"/>
          </w:tblCellMar>
        </w:tblPrEx>
        <w:trPr>
          <w:cantSplit/>
          <w:trHeight w:val="255"/>
          <w:jc w:val="center"/>
        </w:trPr>
        <w:tc>
          <w:tcPr>
            <w:tcW w:w="1373" w:type="pct"/>
            <w:vMerge w:val="restart"/>
            <w:vAlign w:val="center"/>
          </w:tcPr>
          <w:p w:rsidR="00000000" w:rsidRDefault="00000000">
            <w:pPr>
              <w:tabs>
                <w:tab w:val="left" w:pos="748"/>
              </w:tabs>
              <w:spacing w:before="40"/>
              <w:ind w:left="87"/>
              <w:rPr>
                <w:bCs/>
                <w:sz w:val="18"/>
                <w:szCs w:val="22"/>
              </w:rPr>
            </w:pPr>
            <w:r>
              <w:rPr>
                <w:bCs/>
                <w:sz w:val="18"/>
                <w:szCs w:val="22"/>
              </w:rPr>
              <w:t xml:space="preserve">Развитие возможностей </w:t>
            </w:r>
          </w:p>
        </w:tc>
        <w:tc>
          <w:tcPr>
            <w:tcW w:w="698" w:type="pct"/>
          </w:tcPr>
          <w:p w:rsidR="00000000" w:rsidRDefault="00000000">
            <w:pPr>
              <w:tabs>
                <w:tab w:val="left" w:pos="748"/>
              </w:tabs>
              <w:spacing w:before="40"/>
              <w:ind w:left="81"/>
              <w:rPr>
                <w:bCs/>
                <w:sz w:val="18"/>
                <w:szCs w:val="22"/>
              </w:rPr>
            </w:pPr>
            <w:r>
              <w:rPr>
                <w:sz w:val="18"/>
                <w:szCs w:val="22"/>
              </w:rPr>
              <w:t xml:space="preserve">Городское </w:t>
            </w:r>
          </w:p>
        </w:tc>
        <w:tc>
          <w:tcPr>
            <w:tcW w:w="818" w:type="pct"/>
            <w:vAlign w:val="bottom"/>
          </w:tcPr>
          <w:p w:rsidR="00000000" w:rsidRDefault="00000000">
            <w:pPr>
              <w:tabs>
                <w:tab w:val="left" w:pos="748"/>
                <w:tab w:val="decimal" w:pos="926"/>
              </w:tabs>
              <w:spacing w:before="40"/>
              <w:jc w:val="center"/>
              <w:rPr>
                <w:bCs/>
                <w:sz w:val="18"/>
                <w:szCs w:val="22"/>
              </w:rPr>
            </w:pPr>
            <w:r>
              <w:rPr>
                <w:bCs/>
                <w:sz w:val="18"/>
                <w:szCs w:val="22"/>
              </w:rPr>
              <w:t>768,10</w:t>
            </w:r>
          </w:p>
        </w:tc>
        <w:tc>
          <w:tcPr>
            <w:tcW w:w="818" w:type="pct"/>
            <w:vAlign w:val="bottom"/>
          </w:tcPr>
          <w:p w:rsidR="00000000" w:rsidRDefault="00000000">
            <w:pPr>
              <w:tabs>
                <w:tab w:val="left" w:pos="748"/>
                <w:tab w:val="decimal" w:pos="926"/>
              </w:tabs>
              <w:spacing w:before="40"/>
              <w:jc w:val="center"/>
              <w:rPr>
                <w:bCs/>
                <w:sz w:val="18"/>
                <w:szCs w:val="22"/>
              </w:rPr>
            </w:pPr>
            <w:r>
              <w:rPr>
                <w:bCs/>
                <w:sz w:val="18"/>
                <w:szCs w:val="22"/>
              </w:rPr>
              <w:t>792,29</w:t>
            </w:r>
          </w:p>
        </w:tc>
        <w:tc>
          <w:tcPr>
            <w:tcW w:w="628" w:type="pct"/>
            <w:vAlign w:val="bottom"/>
          </w:tcPr>
          <w:p w:rsidR="00000000" w:rsidRDefault="00000000">
            <w:pPr>
              <w:tabs>
                <w:tab w:val="left" w:pos="748"/>
              </w:tabs>
              <w:spacing w:before="40"/>
              <w:jc w:val="center"/>
              <w:rPr>
                <w:bCs/>
                <w:sz w:val="18"/>
                <w:szCs w:val="22"/>
              </w:rPr>
            </w:pPr>
            <w:r>
              <w:rPr>
                <w:bCs/>
                <w:sz w:val="18"/>
                <w:szCs w:val="22"/>
              </w:rPr>
              <w:t>25,60</w:t>
            </w:r>
          </w:p>
        </w:tc>
        <w:tc>
          <w:tcPr>
            <w:tcW w:w="665" w:type="pct"/>
            <w:vAlign w:val="bottom"/>
          </w:tcPr>
          <w:p w:rsidR="00000000" w:rsidRDefault="00000000">
            <w:pPr>
              <w:tabs>
                <w:tab w:val="left" w:pos="748"/>
              </w:tabs>
              <w:spacing w:before="40"/>
              <w:jc w:val="center"/>
              <w:rPr>
                <w:bCs/>
                <w:sz w:val="18"/>
                <w:szCs w:val="22"/>
              </w:rPr>
            </w:pPr>
            <w:r>
              <w:rPr>
                <w:bCs/>
                <w:sz w:val="18"/>
                <w:szCs w:val="22"/>
              </w:rPr>
              <w:t>26,41</w:t>
            </w:r>
          </w:p>
        </w:tc>
      </w:tr>
      <w:tr w:rsidR="00000000">
        <w:tblPrEx>
          <w:tblCellMar>
            <w:top w:w="0" w:type="dxa"/>
            <w:left w:w="0" w:type="dxa"/>
            <w:bottom w:w="0" w:type="dxa"/>
            <w:right w:w="0" w:type="dxa"/>
          </w:tblCellMar>
        </w:tblPrEx>
        <w:trPr>
          <w:cantSplit/>
          <w:trHeight w:val="255"/>
          <w:jc w:val="center"/>
        </w:trPr>
        <w:tc>
          <w:tcPr>
            <w:tcW w:w="1373" w:type="pct"/>
            <w:vMerge/>
            <w:vAlign w:val="center"/>
          </w:tcPr>
          <w:p w:rsidR="00000000" w:rsidRDefault="00000000">
            <w:pPr>
              <w:tabs>
                <w:tab w:val="left" w:pos="748"/>
              </w:tabs>
              <w:spacing w:before="40"/>
              <w:ind w:left="87"/>
              <w:rPr>
                <w:bCs/>
                <w:sz w:val="18"/>
                <w:szCs w:val="22"/>
              </w:rPr>
            </w:pPr>
          </w:p>
        </w:tc>
        <w:tc>
          <w:tcPr>
            <w:tcW w:w="698" w:type="pct"/>
          </w:tcPr>
          <w:p w:rsidR="00000000" w:rsidRDefault="00000000">
            <w:pPr>
              <w:tabs>
                <w:tab w:val="left" w:pos="748"/>
              </w:tabs>
              <w:spacing w:before="40"/>
              <w:ind w:left="81"/>
              <w:rPr>
                <w:bCs/>
                <w:sz w:val="18"/>
                <w:szCs w:val="22"/>
              </w:rPr>
            </w:pPr>
            <w:r>
              <w:rPr>
                <w:sz w:val="18"/>
                <w:szCs w:val="22"/>
              </w:rPr>
              <w:t xml:space="preserve">Сельское </w:t>
            </w:r>
          </w:p>
        </w:tc>
        <w:tc>
          <w:tcPr>
            <w:tcW w:w="818" w:type="pct"/>
            <w:vAlign w:val="bottom"/>
          </w:tcPr>
          <w:p w:rsidR="00000000" w:rsidRDefault="00000000">
            <w:pPr>
              <w:tabs>
                <w:tab w:val="left" w:pos="748"/>
                <w:tab w:val="decimal" w:pos="926"/>
              </w:tabs>
              <w:spacing w:before="40"/>
              <w:jc w:val="center"/>
              <w:rPr>
                <w:bCs/>
                <w:sz w:val="18"/>
                <w:szCs w:val="22"/>
              </w:rPr>
            </w:pPr>
            <w:r>
              <w:rPr>
                <w:bCs/>
                <w:sz w:val="18"/>
                <w:szCs w:val="22"/>
              </w:rPr>
              <w:t>548,53</w:t>
            </w:r>
          </w:p>
        </w:tc>
        <w:tc>
          <w:tcPr>
            <w:tcW w:w="818" w:type="pct"/>
            <w:vAlign w:val="bottom"/>
          </w:tcPr>
          <w:p w:rsidR="00000000" w:rsidRDefault="00000000">
            <w:pPr>
              <w:tabs>
                <w:tab w:val="left" w:pos="748"/>
                <w:tab w:val="decimal" w:pos="926"/>
              </w:tabs>
              <w:spacing w:before="40"/>
              <w:jc w:val="center"/>
              <w:rPr>
                <w:bCs/>
                <w:sz w:val="18"/>
                <w:szCs w:val="22"/>
              </w:rPr>
            </w:pPr>
            <w:r>
              <w:rPr>
                <w:bCs/>
                <w:sz w:val="18"/>
                <w:szCs w:val="22"/>
              </w:rPr>
              <w:t>587,57</w:t>
            </w:r>
          </w:p>
        </w:tc>
        <w:tc>
          <w:tcPr>
            <w:tcW w:w="628" w:type="pct"/>
            <w:vAlign w:val="bottom"/>
          </w:tcPr>
          <w:p w:rsidR="00000000" w:rsidRDefault="00000000">
            <w:pPr>
              <w:tabs>
                <w:tab w:val="left" w:pos="748"/>
              </w:tabs>
              <w:spacing w:before="40"/>
              <w:jc w:val="center"/>
              <w:rPr>
                <w:bCs/>
                <w:sz w:val="18"/>
                <w:szCs w:val="22"/>
              </w:rPr>
            </w:pPr>
            <w:r>
              <w:rPr>
                <w:bCs/>
                <w:sz w:val="18"/>
                <w:szCs w:val="22"/>
              </w:rPr>
              <w:t>18,28</w:t>
            </w:r>
          </w:p>
        </w:tc>
        <w:tc>
          <w:tcPr>
            <w:tcW w:w="665" w:type="pct"/>
            <w:vAlign w:val="bottom"/>
          </w:tcPr>
          <w:p w:rsidR="00000000" w:rsidRDefault="00000000">
            <w:pPr>
              <w:tabs>
                <w:tab w:val="left" w:pos="748"/>
              </w:tabs>
              <w:spacing w:before="40"/>
              <w:jc w:val="center"/>
              <w:rPr>
                <w:bCs/>
                <w:sz w:val="18"/>
                <w:szCs w:val="22"/>
              </w:rPr>
            </w:pPr>
            <w:r>
              <w:rPr>
                <w:bCs/>
                <w:sz w:val="18"/>
                <w:szCs w:val="22"/>
              </w:rPr>
              <w:t>19,59</w:t>
            </w:r>
          </w:p>
        </w:tc>
      </w:tr>
      <w:tr w:rsidR="00000000">
        <w:tblPrEx>
          <w:tblCellMar>
            <w:top w:w="0" w:type="dxa"/>
            <w:left w:w="0" w:type="dxa"/>
            <w:bottom w:w="0" w:type="dxa"/>
            <w:right w:w="0" w:type="dxa"/>
          </w:tblCellMar>
        </w:tblPrEx>
        <w:trPr>
          <w:cantSplit/>
          <w:trHeight w:val="255"/>
          <w:jc w:val="center"/>
        </w:trPr>
        <w:tc>
          <w:tcPr>
            <w:tcW w:w="1373" w:type="pct"/>
            <w:vMerge w:val="restart"/>
            <w:vAlign w:val="center"/>
          </w:tcPr>
          <w:p w:rsidR="00000000" w:rsidRDefault="00000000">
            <w:pPr>
              <w:tabs>
                <w:tab w:val="left" w:pos="748"/>
              </w:tabs>
              <w:spacing w:before="40"/>
              <w:ind w:left="87"/>
              <w:rPr>
                <w:bCs/>
                <w:sz w:val="18"/>
                <w:szCs w:val="22"/>
              </w:rPr>
            </w:pPr>
            <w:r>
              <w:rPr>
                <w:bCs/>
                <w:sz w:val="18"/>
                <w:szCs w:val="22"/>
              </w:rPr>
              <w:t>Имущественная обеспеченность</w:t>
            </w:r>
          </w:p>
        </w:tc>
        <w:tc>
          <w:tcPr>
            <w:tcW w:w="698" w:type="pct"/>
          </w:tcPr>
          <w:p w:rsidR="00000000" w:rsidRDefault="00000000">
            <w:pPr>
              <w:tabs>
                <w:tab w:val="left" w:pos="748"/>
              </w:tabs>
              <w:spacing w:before="40"/>
              <w:ind w:left="81"/>
              <w:rPr>
                <w:bCs/>
                <w:sz w:val="18"/>
                <w:szCs w:val="22"/>
              </w:rPr>
            </w:pPr>
            <w:r>
              <w:rPr>
                <w:sz w:val="18"/>
                <w:szCs w:val="22"/>
              </w:rPr>
              <w:t xml:space="preserve">Городское </w:t>
            </w:r>
          </w:p>
        </w:tc>
        <w:tc>
          <w:tcPr>
            <w:tcW w:w="818" w:type="pct"/>
            <w:vAlign w:val="bottom"/>
          </w:tcPr>
          <w:p w:rsidR="00000000" w:rsidRDefault="00000000">
            <w:pPr>
              <w:tabs>
                <w:tab w:val="left" w:pos="748"/>
                <w:tab w:val="decimal" w:pos="926"/>
              </w:tabs>
              <w:spacing w:before="40"/>
              <w:jc w:val="center"/>
              <w:rPr>
                <w:bCs/>
                <w:sz w:val="18"/>
                <w:szCs w:val="22"/>
              </w:rPr>
            </w:pPr>
            <w:r>
              <w:rPr>
                <w:bCs/>
                <w:sz w:val="18"/>
                <w:szCs w:val="22"/>
              </w:rPr>
              <w:t>1 254,51</w:t>
            </w:r>
          </w:p>
        </w:tc>
        <w:tc>
          <w:tcPr>
            <w:tcW w:w="818" w:type="pct"/>
            <w:vAlign w:val="bottom"/>
          </w:tcPr>
          <w:p w:rsidR="00000000" w:rsidRDefault="00000000">
            <w:pPr>
              <w:tabs>
                <w:tab w:val="left" w:pos="748"/>
                <w:tab w:val="decimal" w:pos="926"/>
              </w:tabs>
              <w:spacing w:before="40"/>
              <w:jc w:val="center"/>
              <w:rPr>
                <w:bCs/>
                <w:sz w:val="18"/>
                <w:szCs w:val="22"/>
              </w:rPr>
            </w:pPr>
            <w:r>
              <w:rPr>
                <w:bCs/>
                <w:sz w:val="18"/>
                <w:szCs w:val="22"/>
              </w:rPr>
              <w:t>1 366,85</w:t>
            </w:r>
          </w:p>
        </w:tc>
        <w:tc>
          <w:tcPr>
            <w:tcW w:w="628" w:type="pct"/>
            <w:vAlign w:val="bottom"/>
          </w:tcPr>
          <w:p w:rsidR="00000000" w:rsidRDefault="00000000">
            <w:pPr>
              <w:tabs>
                <w:tab w:val="left" w:pos="748"/>
              </w:tabs>
              <w:spacing w:before="40"/>
              <w:jc w:val="center"/>
              <w:rPr>
                <w:bCs/>
                <w:sz w:val="18"/>
                <w:szCs w:val="22"/>
              </w:rPr>
            </w:pPr>
            <w:r>
              <w:rPr>
                <w:bCs/>
                <w:sz w:val="18"/>
                <w:szCs w:val="22"/>
              </w:rPr>
              <w:t>41,82</w:t>
            </w:r>
          </w:p>
        </w:tc>
        <w:tc>
          <w:tcPr>
            <w:tcW w:w="665" w:type="pct"/>
            <w:vAlign w:val="bottom"/>
          </w:tcPr>
          <w:p w:rsidR="00000000" w:rsidRDefault="00000000">
            <w:pPr>
              <w:tabs>
                <w:tab w:val="left" w:pos="748"/>
              </w:tabs>
              <w:spacing w:before="40"/>
              <w:jc w:val="center"/>
              <w:rPr>
                <w:bCs/>
                <w:sz w:val="18"/>
                <w:szCs w:val="22"/>
              </w:rPr>
            </w:pPr>
            <w:r>
              <w:rPr>
                <w:bCs/>
                <w:sz w:val="18"/>
                <w:szCs w:val="22"/>
              </w:rPr>
              <w:t>45,56</w:t>
            </w:r>
          </w:p>
        </w:tc>
      </w:tr>
      <w:tr w:rsidR="00000000">
        <w:tblPrEx>
          <w:tblCellMar>
            <w:top w:w="0" w:type="dxa"/>
            <w:left w:w="0" w:type="dxa"/>
            <w:bottom w:w="0" w:type="dxa"/>
            <w:right w:w="0" w:type="dxa"/>
          </w:tblCellMar>
        </w:tblPrEx>
        <w:trPr>
          <w:cantSplit/>
          <w:trHeight w:val="270"/>
          <w:jc w:val="center"/>
        </w:trPr>
        <w:tc>
          <w:tcPr>
            <w:tcW w:w="1373" w:type="pct"/>
            <w:vMerge/>
          </w:tcPr>
          <w:p w:rsidR="00000000" w:rsidRDefault="00000000">
            <w:pPr>
              <w:tabs>
                <w:tab w:val="left" w:pos="748"/>
              </w:tabs>
              <w:spacing w:before="40"/>
              <w:rPr>
                <w:bCs/>
                <w:sz w:val="18"/>
                <w:szCs w:val="22"/>
              </w:rPr>
            </w:pPr>
          </w:p>
        </w:tc>
        <w:tc>
          <w:tcPr>
            <w:tcW w:w="698" w:type="pct"/>
          </w:tcPr>
          <w:p w:rsidR="00000000" w:rsidRDefault="00000000">
            <w:pPr>
              <w:tabs>
                <w:tab w:val="left" w:pos="748"/>
              </w:tabs>
              <w:spacing w:before="40"/>
              <w:ind w:left="81"/>
              <w:rPr>
                <w:bCs/>
                <w:sz w:val="18"/>
                <w:szCs w:val="22"/>
              </w:rPr>
            </w:pPr>
            <w:r>
              <w:rPr>
                <w:sz w:val="18"/>
                <w:szCs w:val="22"/>
              </w:rPr>
              <w:t xml:space="preserve">Сельское </w:t>
            </w:r>
          </w:p>
        </w:tc>
        <w:tc>
          <w:tcPr>
            <w:tcW w:w="818" w:type="pct"/>
            <w:vAlign w:val="bottom"/>
          </w:tcPr>
          <w:p w:rsidR="00000000" w:rsidRDefault="00000000">
            <w:pPr>
              <w:tabs>
                <w:tab w:val="left" w:pos="748"/>
                <w:tab w:val="decimal" w:pos="926"/>
              </w:tabs>
              <w:spacing w:before="40"/>
              <w:jc w:val="center"/>
              <w:rPr>
                <w:bCs/>
                <w:sz w:val="18"/>
                <w:szCs w:val="22"/>
              </w:rPr>
            </w:pPr>
            <w:r>
              <w:rPr>
                <w:bCs/>
                <w:sz w:val="18"/>
                <w:szCs w:val="22"/>
              </w:rPr>
              <w:t>843,28</w:t>
            </w:r>
          </w:p>
        </w:tc>
        <w:tc>
          <w:tcPr>
            <w:tcW w:w="818" w:type="pct"/>
            <w:vAlign w:val="bottom"/>
          </w:tcPr>
          <w:p w:rsidR="00000000" w:rsidRDefault="00000000">
            <w:pPr>
              <w:tabs>
                <w:tab w:val="left" w:pos="748"/>
                <w:tab w:val="decimal" w:pos="926"/>
              </w:tabs>
              <w:spacing w:before="40"/>
              <w:jc w:val="center"/>
              <w:rPr>
                <w:bCs/>
                <w:sz w:val="18"/>
                <w:szCs w:val="22"/>
              </w:rPr>
            </w:pPr>
            <w:r>
              <w:rPr>
                <w:bCs/>
                <w:sz w:val="18"/>
                <w:szCs w:val="22"/>
              </w:rPr>
              <w:t>946,94</w:t>
            </w:r>
          </w:p>
        </w:tc>
        <w:tc>
          <w:tcPr>
            <w:tcW w:w="628" w:type="pct"/>
            <w:vAlign w:val="bottom"/>
          </w:tcPr>
          <w:p w:rsidR="00000000" w:rsidRDefault="00000000">
            <w:pPr>
              <w:tabs>
                <w:tab w:val="left" w:pos="748"/>
              </w:tabs>
              <w:spacing w:before="40"/>
              <w:jc w:val="center"/>
              <w:rPr>
                <w:bCs/>
                <w:sz w:val="18"/>
                <w:szCs w:val="22"/>
              </w:rPr>
            </w:pPr>
            <w:r>
              <w:rPr>
                <w:bCs/>
                <w:sz w:val="18"/>
                <w:szCs w:val="22"/>
              </w:rPr>
              <w:t>28,11</w:t>
            </w:r>
          </w:p>
        </w:tc>
        <w:tc>
          <w:tcPr>
            <w:tcW w:w="665" w:type="pct"/>
            <w:vAlign w:val="bottom"/>
          </w:tcPr>
          <w:p w:rsidR="00000000" w:rsidRDefault="00000000">
            <w:pPr>
              <w:tabs>
                <w:tab w:val="left" w:pos="748"/>
              </w:tabs>
              <w:spacing w:before="40"/>
              <w:jc w:val="center"/>
              <w:rPr>
                <w:bCs/>
                <w:sz w:val="18"/>
                <w:szCs w:val="22"/>
              </w:rPr>
            </w:pPr>
            <w:r>
              <w:rPr>
                <w:bCs/>
                <w:sz w:val="18"/>
                <w:szCs w:val="22"/>
              </w:rPr>
              <w:t>31,56</w:t>
            </w:r>
          </w:p>
        </w:tc>
      </w:tr>
    </w:tbl>
    <w:p w:rsidR="00000000" w:rsidRDefault="00000000">
      <w:pPr>
        <w:tabs>
          <w:tab w:val="left" w:pos="748"/>
        </w:tabs>
        <w:spacing w:before="40"/>
        <w:rPr>
          <w:i/>
          <w:iCs/>
          <w:sz w:val="18"/>
        </w:rPr>
      </w:pPr>
    </w:p>
    <w:p w:rsidR="00000000" w:rsidRDefault="00000000">
      <w:pPr>
        <w:tabs>
          <w:tab w:val="left" w:pos="748"/>
        </w:tabs>
        <w:spacing w:line="216" w:lineRule="auto"/>
        <w:rPr>
          <w:sz w:val="18"/>
        </w:rPr>
      </w:pPr>
      <w:r>
        <w:rPr>
          <w:i/>
          <w:iCs/>
          <w:sz w:val="18"/>
        </w:rPr>
        <w:t xml:space="preserve">Источник:  </w:t>
      </w:r>
      <w:r>
        <w:rPr>
          <w:sz w:val="18"/>
          <w:szCs w:val="22"/>
        </w:rPr>
        <w:t>НБОД</w:t>
      </w:r>
      <w:r>
        <w:rPr>
          <w:sz w:val="18"/>
          <w:szCs w:val="22"/>
        </w:rPr>
        <w:noBreakHyphen/>
        <w:t>2000 и НБОД</w:t>
      </w:r>
      <w:r>
        <w:rPr>
          <w:sz w:val="18"/>
          <w:szCs w:val="22"/>
        </w:rPr>
        <w:noBreakHyphen/>
        <w:t>2002</w:t>
      </w:r>
      <w:r>
        <w:rPr>
          <w:sz w:val="18"/>
        </w:rPr>
        <w:t>.</w:t>
      </w:r>
    </w:p>
    <w:p w:rsidR="00000000" w:rsidRDefault="00000000">
      <w:pPr>
        <w:tabs>
          <w:tab w:val="left" w:pos="748"/>
        </w:tabs>
        <w:spacing w:line="216" w:lineRule="auto"/>
        <w:rPr>
          <w:sz w:val="18"/>
        </w:rPr>
      </w:pPr>
    </w:p>
    <w:p w:rsidR="00000000" w:rsidRDefault="00000000">
      <w:pPr>
        <w:tabs>
          <w:tab w:val="left" w:pos="748"/>
        </w:tabs>
        <w:spacing w:line="216" w:lineRule="auto"/>
        <w:rPr>
          <w:sz w:val="18"/>
        </w:rPr>
      </w:pPr>
      <w:r>
        <w:rPr>
          <w:b/>
          <w:bCs/>
          <w:sz w:val="18"/>
          <w:vertAlign w:val="superscript"/>
        </w:rPr>
        <w:t xml:space="preserve"> *</w:t>
      </w:r>
      <w:r>
        <w:rPr>
          <w:b/>
          <w:bCs/>
          <w:sz w:val="18"/>
          <w:vertAlign w:val="superscript"/>
        </w:rPr>
        <w:tab/>
      </w:r>
      <w:r>
        <w:rPr>
          <w:sz w:val="18"/>
        </w:rPr>
        <w:t>Цены по состоянию на август 2000 года.</w:t>
      </w:r>
    </w:p>
    <w:p w:rsidR="00000000" w:rsidRDefault="00000000">
      <w:pPr>
        <w:tabs>
          <w:tab w:val="left" w:pos="748"/>
        </w:tabs>
        <w:spacing w:line="216" w:lineRule="auto"/>
        <w:rPr>
          <w:sz w:val="18"/>
        </w:rPr>
      </w:pPr>
    </w:p>
    <w:p w:rsidR="00000000" w:rsidRDefault="00000000">
      <w:pPr>
        <w:tabs>
          <w:tab w:val="left" w:pos="748"/>
        </w:tabs>
        <w:spacing w:line="216" w:lineRule="auto"/>
        <w:rPr>
          <w:sz w:val="18"/>
        </w:rPr>
      </w:pPr>
      <w:r>
        <w:rPr>
          <w:b/>
          <w:bCs/>
          <w:sz w:val="18"/>
          <w:vertAlign w:val="superscript"/>
        </w:rPr>
        <w:t>**</w:t>
      </w:r>
      <w:r>
        <w:rPr>
          <w:b/>
          <w:bCs/>
          <w:sz w:val="18"/>
          <w:vertAlign w:val="superscript"/>
        </w:rPr>
        <w:tab/>
      </w:r>
      <w:r>
        <w:rPr>
          <w:sz w:val="18"/>
        </w:rPr>
        <w:t>Цены по состоянию на август 2002 года.</w:t>
      </w:r>
    </w:p>
    <w:p w:rsidR="00000000" w:rsidRDefault="00000000">
      <w:pPr>
        <w:tabs>
          <w:tab w:val="left" w:pos="748"/>
        </w:tabs>
      </w:pPr>
    </w:p>
    <w:p w:rsidR="00000000" w:rsidRDefault="00000000">
      <w:pPr>
        <w:tabs>
          <w:tab w:val="left" w:pos="748"/>
        </w:tabs>
      </w:pPr>
      <w:r>
        <w:t>1075.</w:t>
      </w:r>
      <w:r>
        <w:tab/>
      </w:r>
      <w:r>
        <w:tab/>
        <w:t>Исторически представители государственной власти имели склонность путать действия с результатами.  То, что традиционно попадало в сводки, на самом деле было действием.  Тем не менее этот опыт, который берется за первую точку отсчета, теперь имеет дело с результатом.</w:t>
      </w:r>
    </w:p>
    <w:p w:rsidR="00000000" w:rsidRDefault="00000000">
      <w:pPr>
        <w:tabs>
          <w:tab w:val="left" w:pos="748"/>
        </w:tabs>
      </w:pPr>
    </w:p>
    <w:p w:rsidR="00000000" w:rsidRDefault="00000000">
      <w:pPr>
        <w:tabs>
          <w:tab w:val="left" w:pos="748"/>
        </w:tabs>
      </w:pPr>
      <w:r>
        <w:t>1076.</w:t>
      </w:r>
      <w:r>
        <w:tab/>
      </w:r>
      <w:r>
        <w:tab/>
        <w:t xml:space="preserve">На основании сопоставления данных НБОД-2000 и НБОД-2002 можно вывести динамику доли населения, живущей ниже каждого из рассматриваемых порогов бедности.  Для такого сопоставления была использована официальная методика, предложенная Техническим комитетом по определению уровня бедности и примененная к данным национального </w:t>
      </w:r>
      <w:r>
        <w:rPr>
          <w:szCs w:val="22"/>
        </w:rPr>
        <w:t>бюджетного обследования домашних хозяйств</w:t>
      </w:r>
      <w:r>
        <w:t xml:space="preserve"> за 2002 год.</w:t>
      </w:r>
    </w:p>
    <w:p w:rsidR="00000000" w:rsidRDefault="00000000">
      <w:pPr>
        <w:tabs>
          <w:tab w:val="left" w:pos="748"/>
        </w:tabs>
        <w:spacing w:line="240" w:lineRule="auto"/>
      </w:pPr>
    </w:p>
    <w:p w:rsidR="00000000" w:rsidRDefault="00000000">
      <w:pPr>
        <w:keepNext/>
        <w:tabs>
          <w:tab w:val="left" w:pos="748"/>
        </w:tabs>
        <w:spacing w:line="240" w:lineRule="auto"/>
        <w:jc w:val="center"/>
        <w:rPr>
          <w:b/>
          <w:bCs/>
        </w:rPr>
      </w:pPr>
      <w:r>
        <w:rPr>
          <w:b/>
          <w:bCs/>
        </w:rPr>
        <w:t>Таблица 2</w:t>
      </w:r>
    </w:p>
    <w:p w:rsidR="00000000" w:rsidRDefault="00000000">
      <w:pPr>
        <w:keepNext/>
        <w:tabs>
          <w:tab w:val="left" w:pos="748"/>
        </w:tabs>
        <w:spacing w:line="240" w:lineRule="auto"/>
        <w:jc w:val="center"/>
        <w:rPr>
          <w:b/>
          <w:bCs/>
        </w:rPr>
      </w:pPr>
    </w:p>
    <w:p w:rsidR="00000000" w:rsidRDefault="00000000">
      <w:pPr>
        <w:keepNext/>
        <w:tabs>
          <w:tab w:val="left" w:pos="748"/>
        </w:tabs>
        <w:spacing w:line="240" w:lineRule="auto"/>
        <w:jc w:val="center"/>
        <w:rPr>
          <w:b/>
          <w:bCs/>
        </w:rPr>
      </w:pPr>
      <w:r>
        <w:rPr>
          <w:b/>
          <w:bCs/>
        </w:rPr>
        <w:t>Доля малоимущих семей и бедняков в 2002 году</w:t>
      </w:r>
    </w:p>
    <w:p w:rsidR="00000000" w:rsidRDefault="00000000">
      <w:pPr>
        <w:keepNext/>
        <w:tabs>
          <w:tab w:val="left" w:pos="748"/>
        </w:tabs>
        <w:spacing w:line="240" w:lineRule="auto"/>
      </w:pPr>
    </w:p>
    <w:tbl>
      <w:tblPr>
        <w:tblpPr w:leftFromText="180" w:rightFromText="180" w:vertAnchor="text" w:tblpXSpec="center" w:tblpY="1"/>
        <w:tblOverlap w:val="never"/>
        <w:tblW w:w="49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8"/>
        <w:gridCol w:w="1449"/>
        <w:gridCol w:w="1078"/>
        <w:gridCol w:w="1080"/>
        <w:gridCol w:w="1078"/>
        <w:gridCol w:w="1078"/>
        <w:gridCol w:w="49"/>
        <w:gridCol w:w="1005"/>
        <w:gridCol w:w="953"/>
      </w:tblGrid>
      <w:tr w:rsidR="00000000">
        <w:tblPrEx>
          <w:tblCellMar>
            <w:top w:w="0" w:type="dxa"/>
            <w:bottom w:w="0" w:type="dxa"/>
          </w:tblCellMar>
        </w:tblPrEx>
        <w:trPr>
          <w:cantSplit/>
          <w:trHeight w:val="255"/>
        </w:trPr>
        <w:tc>
          <w:tcPr>
            <w:tcW w:w="1629" w:type="pct"/>
            <w:gridSpan w:val="2"/>
            <w:vMerge w:val="restart"/>
            <w:vAlign w:val="center"/>
          </w:tcPr>
          <w:p w:rsidR="00000000" w:rsidRDefault="00000000">
            <w:pPr>
              <w:tabs>
                <w:tab w:val="left" w:pos="748"/>
              </w:tabs>
              <w:spacing w:before="40"/>
              <w:jc w:val="center"/>
              <w:rPr>
                <w:i/>
                <w:iCs/>
                <w:sz w:val="18"/>
                <w:szCs w:val="22"/>
              </w:rPr>
            </w:pPr>
            <w:r>
              <w:rPr>
                <w:bCs/>
                <w:i/>
                <w:iCs/>
                <w:sz w:val="18"/>
                <w:szCs w:val="22"/>
              </w:rPr>
              <w:t>Вид бедности</w:t>
            </w:r>
          </w:p>
        </w:tc>
        <w:tc>
          <w:tcPr>
            <w:tcW w:w="1151" w:type="pct"/>
            <w:gridSpan w:val="2"/>
            <w:vAlign w:val="center"/>
          </w:tcPr>
          <w:p w:rsidR="00000000" w:rsidRDefault="00000000">
            <w:pPr>
              <w:tabs>
                <w:tab w:val="left" w:pos="748"/>
              </w:tabs>
              <w:spacing w:before="40"/>
              <w:jc w:val="center"/>
              <w:rPr>
                <w:i/>
                <w:iCs/>
                <w:sz w:val="18"/>
                <w:szCs w:val="22"/>
              </w:rPr>
            </w:pPr>
            <w:r>
              <w:rPr>
                <w:i/>
                <w:iCs/>
                <w:sz w:val="18"/>
                <w:szCs w:val="22"/>
              </w:rPr>
              <w:t>Городское население</w:t>
            </w:r>
          </w:p>
        </w:tc>
        <w:tc>
          <w:tcPr>
            <w:tcW w:w="1176" w:type="pct"/>
            <w:gridSpan w:val="3"/>
            <w:vAlign w:val="center"/>
          </w:tcPr>
          <w:p w:rsidR="00000000" w:rsidRDefault="00000000">
            <w:pPr>
              <w:tabs>
                <w:tab w:val="left" w:pos="748"/>
              </w:tabs>
              <w:spacing w:before="40"/>
              <w:jc w:val="center"/>
              <w:rPr>
                <w:i/>
                <w:iCs/>
                <w:sz w:val="18"/>
                <w:szCs w:val="22"/>
              </w:rPr>
            </w:pPr>
            <w:r>
              <w:rPr>
                <w:i/>
                <w:iCs/>
                <w:sz w:val="18"/>
                <w:szCs w:val="22"/>
              </w:rPr>
              <w:t>Сельское население</w:t>
            </w:r>
          </w:p>
        </w:tc>
        <w:tc>
          <w:tcPr>
            <w:tcW w:w="1044" w:type="pct"/>
            <w:gridSpan w:val="2"/>
            <w:vAlign w:val="center"/>
          </w:tcPr>
          <w:p w:rsidR="00000000" w:rsidRDefault="00000000">
            <w:pPr>
              <w:tabs>
                <w:tab w:val="left" w:pos="748"/>
              </w:tabs>
              <w:spacing w:before="40"/>
              <w:jc w:val="center"/>
              <w:rPr>
                <w:i/>
                <w:iCs/>
                <w:sz w:val="18"/>
                <w:szCs w:val="22"/>
              </w:rPr>
            </w:pPr>
            <w:r>
              <w:rPr>
                <w:i/>
                <w:iCs/>
                <w:sz w:val="18"/>
                <w:szCs w:val="22"/>
              </w:rPr>
              <w:t>Всего по стране</w:t>
            </w:r>
          </w:p>
        </w:tc>
      </w:tr>
      <w:tr w:rsidR="00000000">
        <w:tblPrEx>
          <w:tblCellMar>
            <w:top w:w="0" w:type="dxa"/>
            <w:bottom w:w="0" w:type="dxa"/>
          </w:tblCellMar>
        </w:tblPrEx>
        <w:trPr>
          <w:cantSplit/>
          <w:trHeight w:val="270"/>
        </w:trPr>
        <w:tc>
          <w:tcPr>
            <w:tcW w:w="1629" w:type="pct"/>
            <w:gridSpan w:val="2"/>
            <w:vMerge/>
            <w:vAlign w:val="center"/>
          </w:tcPr>
          <w:p w:rsidR="00000000" w:rsidRDefault="00000000">
            <w:pPr>
              <w:tabs>
                <w:tab w:val="left" w:pos="748"/>
              </w:tabs>
              <w:spacing w:before="40"/>
              <w:jc w:val="center"/>
              <w:rPr>
                <w:i/>
                <w:iCs/>
                <w:sz w:val="18"/>
                <w:szCs w:val="22"/>
              </w:rPr>
            </w:pPr>
          </w:p>
        </w:tc>
        <w:tc>
          <w:tcPr>
            <w:tcW w:w="575" w:type="pct"/>
            <w:vAlign w:val="center"/>
          </w:tcPr>
          <w:p w:rsidR="00000000" w:rsidRDefault="00000000">
            <w:pPr>
              <w:tabs>
                <w:tab w:val="left" w:pos="748"/>
              </w:tabs>
              <w:spacing w:before="40"/>
              <w:jc w:val="center"/>
              <w:rPr>
                <w:i/>
                <w:iCs/>
                <w:sz w:val="18"/>
                <w:szCs w:val="22"/>
              </w:rPr>
            </w:pPr>
            <w:r>
              <w:rPr>
                <w:i/>
                <w:iCs/>
                <w:sz w:val="18"/>
                <w:szCs w:val="22"/>
              </w:rPr>
              <w:t>2000 год</w:t>
            </w:r>
          </w:p>
        </w:tc>
        <w:tc>
          <w:tcPr>
            <w:tcW w:w="576" w:type="pct"/>
            <w:vAlign w:val="center"/>
          </w:tcPr>
          <w:p w:rsidR="00000000" w:rsidRDefault="00000000">
            <w:pPr>
              <w:tabs>
                <w:tab w:val="left" w:pos="748"/>
              </w:tabs>
              <w:spacing w:before="40"/>
              <w:jc w:val="center"/>
              <w:rPr>
                <w:i/>
                <w:iCs/>
                <w:sz w:val="18"/>
                <w:szCs w:val="22"/>
              </w:rPr>
            </w:pPr>
            <w:r>
              <w:rPr>
                <w:i/>
                <w:iCs/>
                <w:sz w:val="18"/>
                <w:szCs w:val="22"/>
              </w:rPr>
              <w:t>2002 год</w:t>
            </w:r>
          </w:p>
        </w:tc>
        <w:tc>
          <w:tcPr>
            <w:tcW w:w="575" w:type="pct"/>
            <w:vAlign w:val="center"/>
          </w:tcPr>
          <w:p w:rsidR="00000000" w:rsidRDefault="00000000">
            <w:pPr>
              <w:tabs>
                <w:tab w:val="left" w:pos="748"/>
              </w:tabs>
              <w:spacing w:before="40"/>
              <w:jc w:val="center"/>
              <w:rPr>
                <w:i/>
                <w:iCs/>
                <w:sz w:val="18"/>
                <w:szCs w:val="22"/>
              </w:rPr>
            </w:pPr>
            <w:r>
              <w:rPr>
                <w:i/>
                <w:iCs/>
                <w:sz w:val="18"/>
                <w:szCs w:val="22"/>
              </w:rPr>
              <w:t>2000 год</w:t>
            </w:r>
          </w:p>
        </w:tc>
        <w:tc>
          <w:tcPr>
            <w:tcW w:w="575" w:type="pct"/>
            <w:vAlign w:val="center"/>
          </w:tcPr>
          <w:p w:rsidR="00000000" w:rsidRDefault="00000000">
            <w:pPr>
              <w:tabs>
                <w:tab w:val="left" w:pos="748"/>
              </w:tabs>
              <w:spacing w:before="40"/>
              <w:jc w:val="center"/>
              <w:rPr>
                <w:i/>
                <w:iCs/>
                <w:sz w:val="18"/>
                <w:szCs w:val="22"/>
              </w:rPr>
            </w:pPr>
            <w:r>
              <w:rPr>
                <w:i/>
                <w:iCs/>
                <w:sz w:val="18"/>
                <w:szCs w:val="22"/>
              </w:rPr>
              <w:t>2002 год</w:t>
            </w:r>
          </w:p>
        </w:tc>
        <w:tc>
          <w:tcPr>
            <w:tcW w:w="562" w:type="pct"/>
            <w:gridSpan w:val="2"/>
            <w:vAlign w:val="center"/>
          </w:tcPr>
          <w:p w:rsidR="00000000" w:rsidRDefault="00000000">
            <w:pPr>
              <w:tabs>
                <w:tab w:val="left" w:pos="748"/>
              </w:tabs>
              <w:spacing w:before="40"/>
              <w:jc w:val="center"/>
              <w:rPr>
                <w:i/>
                <w:iCs/>
                <w:sz w:val="18"/>
                <w:szCs w:val="22"/>
              </w:rPr>
            </w:pPr>
            <w:r>
              <w:rPr>
                <w:i/>
                <w:iCs/>
                <w:sz w:val="18"/>
                <w:szCs w:val="22"/>
              </w:rPr>
              <w:t>2000 год</w:t>
            </w:r>
          </w:p>
        </w:tc>
        <w:tc>
          <w:tcPr>
            <w:tcW w:w="508" w:type="pct"/>
            <w:vAlign w:val="center"/>
          </w:tcPr>
          <w:p w:rsidR="00000000" w:rsidRDefault="00000000">
            <w:pPr>
              <w:tabs>
                <w:tab w:val="left" w:pos="748"/>
              </w:tabs>
              <w:spacing w:before="40"/>
              <w:jc w:val="center"/>
              <w:rPr>
                <w:i/>
                <w:iCs/>
                <w:sz w:val="18"/>
                <w:szCs w:val="22"/>
              </w:rPr>
            </w:pPr>
            <w:r>
              <w:rPr>
                <w:i/>
                <w:iCs/>
                <w:sz w:val="18"/>
                <w:szCs w:val="22"/>
              </w:rPr>
              <w:t>2002 год</w:t>
            </w:r>
          </w:p>
        </w:tc>
      </w:tr>
      <w:tr w:rsidR="00000000">
        <w:tblPrEx>
          <w:tblCellMar>
            <w:top w:w="0" w:type="dxa"/>
            <w:bottom w:w="0" w:type="dxa"/>
          </w:tblCellMar>
        </w:tblPrEx>
        <w:trPr>
          <w:cantSplit/>
          <w:trHeight w:val="255"/>
        </w:trPr>
        <w:tc>
          <w:tcPr>
            <w:tcW w:w="857" w:type="pct"/>
            <w:vMerge w:val="restart"/>
            <w:vAlign w:val="center"/>
          </w:tcPr>
          <w:p w:rsidR="00000000" w:rsidRDefault="00000000">
            <w:pPr>
              <w:tabs>
                <w:tab w:val="left" w:pos="748"/>
              </w:tabs>
              <w:spacing w:before="40"/>
              <w:ind w:left="87"/>
              <w:rPr>
                <w:bCs/>
                <w:sz w:val="18"/>
                <w:szCs w:val="22"/>
              </w:rPr>
            </w:pPr>
            <w:r>
              <w:rPr>
                <w:bCs/>
                <w:sz w:val="18"/>
                <w:szCs w:val="22"/>
              </w:rPr>
              <w:t>Питание</w:t>
            </w:r>
          </w:p>
        </w:tc>
        <w:tc>
          <w:tcPr>
            <w:tcW w:w="772" w:type="pct"/>
          </w:tcPr>
          <w:p w:rsidR="00000000" w:rsidRDefault="00000000">
            <w:pPr>
              <w:tabs>
                <w:tab w:val="left" w:pos="748"/>
              </w:tabs>
              <w:spacing w:before="40"/>
              <w:rPr>
                <w:sz w:val="18"/>
                <w:szCs w:val="22"/>
              </w:rPr>
            </w:pPr>
            <w:r>
              <w:rPr>
                <w:sz w:val="18"/>
                <w:szCs w:val="22"/>
              </w:rPr>
              <w:t xml:space="preserve">Семьи </w:t>
            </w:r>
          </w:p>
        </w:tc>
        <w:tc>
          <w:tcPr>
            <w:tcW w:w="575" w:type="pct"/>
            <w:vAlign w:val="bottom"/>
          </w:tcPr>
          <w:p w:rsidR="00000000" w:rsidRDefault="00000000">
            <w:pPr>
              <w:tabs>
                <w:tab w:val="decimal" w:pos="448"/>
                <w:tab w:val="left" w:pos="748"/>
              </w:tabs>
              <w:spacing w:before="40"/>
              <w:jc w:val="center"/>
              <w:rPr>
                <w:sz w:val="18"/>
                <w:szCs w:val="22"/>
              </w:rPr>
            </w:pPr>
            <w:r>
              <w:rPr>
                <w:sz w:val="18"/>
                <w:szCs w:val="22"/>
              </w:rPr>
              <w:t>9,8</w:t>
            </w:r>
          </w:p>
        </w:tc>
        <w:tc>
          <w:tcPr>
            <w:tcW w:w="576" w:type="pct"/>
            <w:vAlign w:val="bottom"/>
          </w:tcPr>
          <w:p w:rsidR="00000000" w:rsidRDefault="00000000">
            <w:pPr>
              <w:tabs>
                <w:tab w:val="decimal" w:pos="514"/>
                <w:tab w:val="left" w:pos="748"/>
              </w:tabs>
              <w:spacing w:before="40"/>
              <w:jc w:val="center"/>
              <w:rPr>
                <w:sz w:val="18"/>
                <w:szCs w:val="22"/>
              </w:rPr>
            </w:pPr>
            <w:r>
              <w:rPr>
                <w:sz w:val="18"/>
                <w:szCs w:val="22"/>
              </w:rPr>
              <w:t>8,5</w:t>
            </w:r>
          </w:p>
        </w:tc>
        <w:tc>
          <w:tcPr>
            <w:tcW w:w="575" w:type="pct"/>
            <w:vAlign w:val="bottom"/>
          </w:tcPr>
          <w:p w:rsidR="00000000" w:rsidRDefault="00000000">
            <w:pPr>
              <w:tabs>
                <w:tab w:val="left" w:pos="748"/>
              </w:tabs>
              <w:spacing w:before="40"/>
              <w:jc w:val="center"/>
              <w:rPr>
                <w:sz w:val="18"/>
                <w:szCs w:val="22"/>
              </w:rPr>
            </w:pPr>
            <w:r>
              <w:rPr>
                <w:sz w:val="18"/>
                <w:szCs w:val="22"/>
              </w:rPr>
              <w:t>34,1</w:t>
            </w:r>
          </w:p>
        </w:tc>
        <w:tc>
          <w:tcPr>
            <w:tcW w:w="575" w:type="pct"/>
            <w:vAlign w:val="bottom"/>
          </w:tcPr>
          <w:p w:rsidR="00000000" w:rsidRDefault="00000000">
            <w:pPr>
              <w:tabs>
                <w:tab w:val="left" w:pos="748"/>
              </w:tabs>
              <w:spacing w:before="40"/>
              <w:jc w:val="center"/>
              <w:rPr>
                <w:sz w:val="18"/>
                <w:szCs w:val="22"/>
              </w:rPr>
            </w:pPr>
            <w:r>
              <w:rPr>
                <w:sz w:val="18"/>
                <w:szCs w:val="22"/>
              </w:rPr>
              <w:t>28,5</w:t>
            </w:r>
          </w:p>
        </w:tc>
        <w:tc>
          <w:tcPr>
            <w:tcW w:w="562" w:type="pct"/>
            <w:gridSpan w:val="2"/>
            <w:vAlign w:val="bottom"/>
          </w:tcPr>
          <w:p w:rsidR="00000000" w:rsidRDefault="00000000">
            <w:pPr>
              <w:tabs>
                <w:tab w:val="left" w:pos="748"/>
              </w:tabs>
              <w:spacing w:before="40"/>
              <w:jc w:val="center"/>
              <w:rPr>
                <w:sz w:val="18"/>
                <w:szCs w:val="22"/>
              </w:rPr>
            </w:pPr>
            <w:r>
              <w:rPr>
                <w:sz w:val="18"/>
                <w:szCs w:val="22"/>
              </w:rPr>
              <w:t>18,6</w:t>
            </w:r>
          </w:p>
        </w:tc>
        <w:tc>
          <w:tcPr>
            <w:tcW w:w="508" w:type="pct"/>
            <w:vAlign w:val="bottom"/>
          </w:tcPr>
          <w:p w:rsidR="00000000" w:rsidRDefault="00000000">
            <w:pPr>
              <w:tabs>
                <w:tab w:val="left" w:pos="748"/>
              </w:tabs>
              <w:spacing w:before="40"/>
              <w:jc w:val="center"/>
              <w:rPr>
                <w:sz w:val="18"/>
                <w:szCs w:val="22"/>
              </w:rPr>
            </w:pPr>
            <w:r>
              <w:rPr>
                <w:sz w:val="18"/>
                <w:szCs w:val="22"/>
              </w:rPr>
              <w:t>15,8</w:t>
            </w:r>
          </w:p>
        </w:tc>
      </w:tr>
      <w:tr w:rsidR="00000000">
        <w:tblPrEx>
          <w:tblCellMar>
            <w:top w:w="0" w:type="dxa"/>
            <w:bottom w:w="0" w:type="dxa"/>
          </w:tblCellMar>
        </w:tblPrEx>
        <w:trPr>
          <w:cantSplit/>
          <w:trHeight w:val="255"/>
        </w:trPr>
        <w:tc>
          <w:tcPr>
            <w:tcW w:w="857" w:type="pct"/>
            <w:vMerge/>
            <w:vAlign w:val="center"/>
          </w:tcPr>
          <w:p w:rsidR="00000000" w:rsidRDefault="00000000">
            <w:pPr>
              <w:tabs>
                <w:tab w:val="left" w:pos="748"/>
              </w:tabs>
              <w:spacing w:before="40"/>
              <w:rPr>
                <w:sz w:val="18"/>
                <w:szCs w:val="22"/>
              </w:rPr>
            </w:pPr>
          </w:p>
        </w:tc>
        <w:tc>
          <w:tcPr>
            <w:tcW w:w="772" w:type="pct"/>
          </w:tcPr>
          <w:p w:rsidR="00000000" w:rsidRDefault="00000000">
            <w:pPr>
              <w:tabs>
                <w:tab w:val="left" w:pos="748"/>
              </w:tabs>
              <w:spacing w:before="40"/>
              <w:rPr>
                <w:sz w:val="18"/>
                <w:szCs w:val="22"/>
              </w:rPr>
            </w:pPr>
            <w:r>
              <w:rPr>
                <w:sz w:val="18"/>
                <w:szCs w:val="22"/>
              </w:rPr>
              <w:t>Лица</w:t>
            </w:r>
          </w:p>
        </w:tc>
        <w:tc>
          <w:tcPr>
            <w:tcW w:w="575" w:type="pct"/>
            <w:vAlign w:val="bottom"/>
          </w:tcPr>
          <w:p w:rsidR="00000000" w:rsidRDefault="00000000">
            <w:pPr>
              <w:tabs>
                <w:tab w:val="decimal" w:pos="448"/>
                <w:tab w:val="left" w:pos="748"/>
              </w:tabs>
              <w:spacing w:before="40"/>
              <w:jc w:val="center"/>
              <w:rPr>
                <w:sz w:val="18"/>
                <w:szCs w:val="22"/>
              </w:rPr>
            </w:pPr>
            <w:r>
              <w:rPr>
                <w:sz w:val="18"/>
                <w:szCs w:val="22"/>
              </w:rPr>
              <w:t>12,6</w:t>
            </w:r>
          </w:p>
        </w:tc>
        <w:tc>
          <w:tcPr>
            <w:tcW w:w="576" w:type="pct"/>
            <w:vAlign w:val="bottom"/>
          </w:tcPr>
          <w:p w:rsidR="00000000" w:rsidRDefault="00000000">
            <w:pPr>
              <w:tabs>
                <w:tab w:val="decimal" w:pos="514"/>
                <w:tab w:val="left" w:pos="748"/>
              </w:tabs>
              <w:spacing w:before="40"/>
              <w:jc w:val="center"/>
              <w:rPr>
                <w:sz w:val="18"/>
                <w:szCs w:val="22"/>
              </w:rPr>
            </w:pPr>
            <w:r>
              <w:rPr>
                <w:sz w:val="18"/>
                <w:szCs w:val="22"/>
              </w:rPr>
              <w:t>11,4</w:t>
            </w:r>
          </w:p>
        </w:tc>
        <w:tc>
          <w:tcPr>
            <w:tcW w:w="575" w:type="pct"/>
            <w:vAlign w:val="bottom"/>
          </w:tcPr>
          <w:p w:rsidR="00000000" w:rsidRDefault="00000000">
            <w:pPr>
              <w:tabs>
                <w:tab w:val="left" w:pos="748"/>
              </w:tabs>
              <w:spacing w:before="40"/>
              <w:jc w:val="center"/>
              <w:rPr>
                <w:sz w:val="18"/>
                <w:szCs w:val="22"/>
              </w:rPr>
            </w:pPr>
            <w:r>
              <w:rPr>
                <w:sz w:val="18"/>
                <w:szCs w:val="22"/>
              </w:rPr>
              <w:t>42,4</w:t>
            </w:r>
          </w:p>
        </w:tc>
        <w:tc>
          <w:tcPr>
            <w:tcW w:w="575" w:type="pct"/>
            <w:vAlign w:val="bottom"/>
          </w:tcPr>
          <w:p w:rsidR="00000000" w:rsidRDefault="00000000">
            <w:pPr>
              <w:tabs>
                <w:tab w:val="left" w:pos="748"/>
              </w:tabs>
              <w:spacing w:before="40"/>
              <w:jc w:val="center"/>
              <w:rPr>
                <w:sz w:val="18"/>
                <w:szCs w:val="22"/>
              </w:rPr>
            </w:pPr>
            <w:r>
              <w:rPr>
                <w:sz w:val="18"/>
                <w:szCs w:val="22"/>
              </w:rPr>
              <w:t>34,8</w:t>
            </w:r>
          </w:p>
        </w:tc>
        <w:tc>
          <w:tcPr>
            <w:tcW w:w="562" w:type="pct"/>
            <w:gridSpan w:val="2"/>
            <w:vAlign w:val="bottom"/>
          </w:tcPr>
          <w:p w:rsidR="00000000" w:rsidRDefault="00000000">
            <w:pPr>
              <w:tabs>
                <w:tab w:val="left" w:pos="748"/>
              </w:tabs>
              <w:spacing w:before="40"/>
              <w:jc w:val="center"/>
              <w:rPr>
                <w:sz w:val="18"/>
                <w:szCs w:val="22"/>
              </w:rPr>
            </w:pPr>
            <w:r>
              <w:rPr>
                <w:sz w:val="18"/>
                <w:szCs w:val="22"/>
              </w:rPr>
              <w:t>24,2</w:t>
            </w:r>
          </w:p>
        </w:tc>
        <w:tc>
          <w:tcPr>
            <w:tcW w:w="508" w:type="pct"/>
            <w:vAlign w:val="bottom"/>
          </w:tcPr>
          <w:p w:rsidR="00000000" w:rsidRDefault="00000000">
            <w:pPr>
              <w:tabs>
                <w:tab w:val="left" w:pos="748"/>
              </w:tabs>
              <w:spacing w:before="40"/>
              <w:jc w:val="center"/>
              <w:rPr>
                <w:sz w:val="18"/>
                <w:szCs w:val="22"/>
              </w:rPr>
            </w:pPr>
            <w:r>
              <w:rPr>
                <w:sz w:val="18"/>
                <w:szCs w:val="22"/>
              </w:rPr>
              <w:t>20,3</w:t>
            </w:r>
          </w:p>
        </w:tc>
      </w:tr>
      <w:tr w:rsidR="00000000">
        <w:tblPrEx>
          <w:tblCellMar>
            <w:top w:w="0" w:type="dxa"/>
            <w:bottom w:w="0" w:type="dxa"/>
          </w:tblCellMar>
        </w:tblPrEx>
        <w:trPr>
          <w:cantSplit/>
          <w:trHeight w:val="255"/>
        </w:trPr>
        <w:tc>
          <w:tcPr>
            <w:tcW w:w="857" w:type="pct"/>
            <w:vMerge w:val="restart"/>
            <w:vAlign w:val="center"/>
          </w:tcPr>
          <w:p w:rsidR="00000000" w:rsidRDefault="00000000">
            <w:pPr>
              <w:tabs>
                <w:tab w:val="left" w:pos="748"/>
              </w:tabs>
              <w:spacing w:before="40"/>
              <w:ind w:left="87"/>
              <w:rPr>
                <w:bCs/>
                <w:sz w:val="18"/>
                <w:szCs w:val="22"/>
              </w:rPr>
            </w:pPr>
            <w:r>
              <w:rPr>
                <w:bCs/>
                <w:sz w:val="18"/>
                <w:szCs w:val="22"/>
              </w:rPr>
              <w:t>Развитие возможностей</w:t>
            </w:r>
          </w:p>
        </w:tc>
        <w:tc>
          <w:tcPr>
            <w:tcW w:w="772" w:type="pct"/>
          </w:tcPr>
          <w:p w:rsidR="00000000" w:rsidRDefault="00000000">
            <w:pPr>
              <w:tabs>
                <w:tab w:val="left" w:pos="748"/>
              </w:tabs>
              <w:spacing w:before="40"/>
              <w:rPr>
                <w:sz w:val="18"/>
                <w:szCs w:val="22"/>
              </w:rPr>
            </w:pPr>
            <w:r>
              <w:rPr>
                <w:sz w:val="18"/>
                <w:szCs w:val="22"/>
              </w:rPr>
              <w:t>Семьи</w:t>
            </w:r>
          </w:p>
        </w:tc>
        <w:tc>
          <w:tcPr>
            <w:tcW w:w="575" w:type="pct"/>
            <w:vAlign w:val="bottom"/>
          </w:tcPr>
          <w:p w:rsidR="00000000" w:rsidRDefault="00000000">
            <w:pPr>
              <w:tabs>
                <w:tab w:val="decimal" w:pos="448"/>
                <w:tab w:val="left" w:pos="748"/>
              </w:tabs>
              <w:spacing w:before="40"/>
              <w:jc w:val="center"/>
              <w:rPr>
                <w:sz w:val="18"/>
                <w:szCs w:val="22"/>
              </w:rPr>
            </w:pPr>
            <w:r>
              <w:rPr>
                <w:sz w:val="18"/>
                <w:szCs w:val="22"/>
              </w:rPr>
              <w:t>16,2</w:t>
            </w:r>
          </w:p>
        </w:tc>
        <w:tc>
          <w:tcPr>
            <w:tcW w:w="576" w:type="pct"/>
            <w:vAlign w:val="bottom"/>
          </w:tcPr>
          <w:p w:rsidR="00000000" w:rsidRDefault="00000000">
            <w:pPr>
              <w:tabs>
                <w:tab w:val="decimal" w:pos="514"/>
                <w:tab w:val="left" w:pos="748"/>
              </w:tabs>
              <w:spacing w:before="40"/>
              <w:jc w:val="center"/>
              <w:rPr>
                <w:sz w:val="18"/>
                <w:szCs w:val="22"/>
              </w:rPr>
            </w:pPr>
            <w:r>
              <w:rPr>
                <w:sz w:val="18"/>
                <w:szCs w:val="22"/>
              </w:rPr>
              <w:t>12,2</w:t>
            </w:r>
          </w:p>
        </w:tc>
        <w:tc>
          <w:tcPr>
            <w:tcW w:w="575" w:type="pct"/>
            <w:vAlign w:val="bottom"/>
          </w:tcPr>
          <w:p w:rsidR="00000000" w:rsidRDefault="00000000">
            <w:pPr>
              <w:tabs>
                <w:tab w:val="left" w:pos="748"/>
              </w:tabs>
              <w:spacing w:before="40"/>
              <w:jc w:val="center"/>
              <w:rPr>
                <w:sz w:val="18"/>
                <w:szCs w:val="22"/>
              </w:rPr>
            </w:pPr>
            <w:r>
              <w:rPr>
                <w:sz w:val="18"/>
                <w:szCs w:val="22"/>
              </w:rPr>
              <w:t>41,4</w:t>
            </w:r>
          </w:p>
        </w:tc>
        <w:tc>
          <w:tcPr>
            <w:tcW w:w="575" w:type="pct"/>
            <w:vAlign w:val="bottom"/>
          </w:tcPr>
          <w:p w:rsidR="00000000" w:rsidRDefault="00000000">
            <w:pPr>
              <w:tabs>
                <w:tab w:val="left" w:pos="748"/>
              </w:tabs>
              <w:spacing w:before="40"/>
              <w:jc w:val="center"/>
              <w:rPr>
                <w:sz w:val="18"/>
                <w:szCs w:val="22"/>
              </w:rPr>
            </w:pPr>
            <w:r>
              <w:rPr>
                <w:sz w:val="18"/>
                <w:szCs w:val="22"/>
              </w:rPr>
              <w:t>36,5</w:t>
            </w:r>
          </w:p>
        </w:tc>
        <w:tc>
          <w:tcPr>
            <w:tcW w:w="562" w:type="pct"/>
            <w:gridSpan w:val="2"/>
            <w:vAlign w:val="bottom"/>
          </w:tcPr>
          <w:p w:rsidR="00000000" w:rsidRDefault="00000000">
            <w:pPr>
              <w:tabs>
                <w:tab w:val="left" w:pos="748"/>
              </w:tabs>
              <w:spacing w:before="40"/>
              <w:jc w:val="center"/>
              <w:rPr>
                <w:sz w:val="18"/>
                <w:szCs w:val="22"/>
              </w:rPr>
            </w:pPr>
            <w:r>
              <w:rPr>
                <w:sz w:val="18"/>
                <w:szCs w:val="22"/>
              </w:rPr>
              <w:t>25,3</w:t>
            </w:r>
          </w:p>
        </w:tc>
        <w:tc>
          <w:tcPr>
            <w:tcW w:w="508" w:type="pct"/>
            <w:vAlign w:val="bottom"/>
          </w:tcPr>
          <w:p w:rsidR="00000000" w:rsidRDefault="00000000">
            <w:pPr>
              <w:tabs>
                <w:tab w:val="left" w:pos="748"/>
              </w:tabs>
              <w:spacing w:before="40"/>
              <w:jc w:val="center"/>
              <w:rPr>
                <w:sz w:val="18"/>
                <w:szCs w:val="22"/>
              </w:rPr>
            </w:pPr>
            <w:r>
              <w:rPr>
                <w:sz w:val="18"/>
                <w:szCs w:val="22"/>
              </w:rPr>
              <w:t>21,1</w:t>
            </w:r>
          </w:p>
        </w:tc>
      </w:tr>
      <w:tr w:rsidR="00000000">
        <w:tblPrEx>
          <w:tblCellMar>
            <w:top w:w="0" w:type="dxa"/>
            <w:bottom w:w="0" w:type="dxa"/>
          </w:tblCellMar>
        </w:tblPrEx>
        <w:trPr>
          <w:cantSplit/>
          <w:trHeight w:val="255"/>
        </w:trPr>
        <w:tc>
          <w:tcPr>
            <w:tcW w:w="857" w:type="pct"/>
            <w:vMerge/>
            <w:vAlign w:val="center"/>
          </w:tcPr>
          <w:p w:rsidR="00000000" w:rsidRDefault="00000000">
            <w:pPr>
              <w:tabs>
                <w:tab w:val="left" w:pos="748"/>
              </w:tabs>
              <w:spacing w:before="40"/>
              <w:rPr>
                <w:sz w:val="18"/>
                <w:szCs w:val="22"/>
              </w:rPr>
            </w:pPr>
          </w:p>
        </w:tc>
        <w:tc>
          <w:tcPr>
            <w:tcW w:w="772" w:type="pct"/>
          </w:tcPr>
          <w:p w:rsidR="00000000" w:rsidRDefault="00000000">
            <w:pPr>
              <w:tabs>
                <w:tab w:val="left" w:pos="748"/>
              </w:tabs>
              <w:spacing w:before="40"/>
              <w:rPr>
                <w:sz w:val="18"/>
                <w:szCs w:val="22"/>
              </w:rPr>
            </w:pPr>
            <w:r>
              <w:rPr>
                <w:sz w:val="18"/>
                <w:szCs w:val="22"/>
              </w:rPr>
              <w:t>Лица</w:t>
            </w:r>
          </w:p>
        </w:tc>
        <w:tc>
          <w:tcPr>
            <w:tcW w:w="575" w:type="pct"/>
            <w:vAlign w:val="bottom"/>
          </w:tcPr>
          <w:p w:rsidR="00000000" w:rsidRDefault="00000000">
            <w:pPr>
              <w:tabs>
                <w:tab w:val="decimal" w:pos="448"/>
                <w:tab w:val="left" w:pos="748"/>
              </w:tabs>
              <w:spacing w:before="40"/>
              <w:jc w:val="center"/>
              <w:rPr>
                <w:sz w:val="18"/>
                <w:szCs w:val="22"/>
              </w:rPr>
            </w:pPr>
            <w:r>
              <w:rPr>
                <w:sz w:val="18"/>
                <w:szCs w:val="22"/>
              </w:rPr>
              <w:t>20,2</w:t>
            </w:r>
          </w:p>
        </w:tc>
        <w:tc>
          <w:tcPr>
            <w:tcW w:w="576" w:type="pct"/>
            <w:vAlign w:val="bottom"/>
          </w:tcPr>
          <w:p w:rsidR="00000000" w:rsidRDefault="00000000">
            <w:pPr>
              <w:tabs>
                <w:tab w:val="decimal" w:pos="514"/>
                <w:tab w:val="left" w:pos="748"/>
              </w:tabs>
              <w:spacing w:before="40"/>
              <w:jc w:val="center"/>
              <w:rPr>
                <w:sz w:val="18"/>
                <w:szCs w:val="22"/>
              </w:rPr>
            </w:pPr>
            <w:r>
              <w:rPr>
                <w:sz w:val="18"/>
                <w:szCs w:val="22"/>
              </w:rPr>
              <w:t>16,0</w:t>
            </w:r>
          </w:p>
        </w:tc>
        <w:tc>
          <w:tcPr>
            <w:tcW w:w="575" w:type="pct"/>
            <w:vAlign w:val="bottom"/>
          </w:tcPr>
          <w:p w:rsidR="00000000" w:rsidRDefault="00000000">
            <w:pPr>
              <w:tabs>
                <w:tab w:val="left" w:pos="748"/>
              </w:tabs>
              <w:spacing w:before="40"/>
              <w:jc w:val="center"/>
              <w:rPr>
                <w:sz w:val="18"/>
                <w:szCs w:val="22"/>
              </w:rPr>
            </w:pPr>
            <w:r>
              <w:rPr>
                <w:sz w:val="18"/>
                <w:szCs w:val="22"/>
              </w:rPr>
              <w:t>50,0</w:t>
            </w:r>
          </w:p>
        </w:tc>
        <w:tc>
          <w:tcPr>
            <w:tcW w:w="575" w:type="pct"/>
            <w:vAlign w:val="bottom"/>
          </w:tcPr>
          <w:p w:rsidR="00000000" w:rsidRDefault="00000000">
            <w:pPr>
              <w:tabs>
                <w:tab w:val="left" w:pos="748"/>
              </w:tabs>
              <w:spacing w:before="40"/>
              <w:jc w:val="center"/>
              <w:rPr>
                <w:sz w:val="18"/>
                <w:szCs w:val="22"/>
              </w:rPr>
            </w:pPr>
            <w:r>
              <w:rPr>
                <w:sz w:val="18"/>
                <w:szCs w:val="22"/>
              </w:rPr>
              <w:t>43,8</w:t>
            </w:r>
          </w:p>
        </w:tc>
        <w:tc>
          <w:tcPr>
            <w:tcW w:w="562" w:type="pct"/>
            <w:gridSpan w:val="2"/>
            <w:vAlign w:val="bottom"/>
          </w:tcPr>
          <w:p w:rsidR="00000000" w:rsidRDefault="00000000">
            <w:pPr>
              <w:tabs>
                <w:tab w:val="left" w:pos="748"/>
              </w:tabs>
              <w:spacing w:before="40"/>
              <w:jc w:val="center"/>
              <w:rPr>
                <w:sz w:val="18"/>
                <w:szCs w:val="22"/>
              </w:rPr>
            </w:pPr>
            <w:r>
              <w:rPr>
                <w:sz w:val="18"/>
                <w:szCs w:val="22"/>
              </w:rPr>
              <w:t>31,9</w:t>
            </w:r>
          </w:p>
        </w:tc>
        <w:tc>
          <w:tcPr>
            <w:tcW w:w="508" w:type="pct"/>
            <w:vAlign w:val="bottom"/>
          </w:tcPr>
          <w:p w:rsidR="00000000" w:rsidRDefault="00000000">
            <w:pPr>
              <w:tabs>
                <w:tab w:val="left" w:pos="748"/>
              </w:tabs>
              <w:spacing w:before="40"/>
              <w:jc w:val="center"/>
              <w:rPr>
                <w:sz w:val="18"/>
                <w:szCs w:val="22"/>
              </w:rPr>
            </w:pPr>
            <w:r>
              <w:rPr>
                <w:sz w:val="18"/>
                <w:szCs w:val="22"/>
              </w:rPr>
              <w:t>26,5</w:t>
            </w:r>
          </w:p>
        </w:tc>
      </w:tr>
      <w:tr w:rsidR="00000000">
        <w:tblPrEx>
          <w:tblCellMar>
            <w:top w:w="0" w:type="dxa"/>
            <w:bottom w:w="0" w:type="dxa"/>
          </w:tblCellMar>
        </w:tblPrEx>
        <w:trPr>
          <w:cantSplit/>
          <w:trHeight w:val="255"/>
        </w:trPr>
        <w:tc>
          <w:tcPr>
            <w:tcW w:w="857" w:type="pct"/>
            <w:vMerge w:val="restart"/>
            <w:vAlign w:val="center"/>
          </w:tcPr>
          <w:p w:rsidR="00000000" w:rsidRDefault="00000000">
            <w:pPr>
              <w:tabs>
                <w:tab w:val="left" w:pos="748"/>
              </w:tabs>
              <w:spacing w:before="40"/>
              <w:ind w:left="87"/>
              <w:rPr>
                <w:bCs/>
                <w:sz w:val="18"/>
                <w:szCs w:val="22"/>
              </w:rPr>
            </w:pPr>
            <w:r>
              <w:rPr>
                <w:bCs/>
                <w:sz w:val="18"/>
                <w:szCs w:val="22"/>
              </w:rPr>
              <w:t>Имущественная обеспеченность</w:t>
            </w:r>
          </w:p>
        </w:tc>
        <w:tc>
          <w:tcPr>
            <w:tcW w:w="772" w:type="pct"/>
          </w:tcPr>
          <w:p w:rsidR="00000000" w:rsidRDefault="00000000">
            <w:pPr>
              <w:tabs>
                <w:tab w:val="left" w:pos="748"/>
              </w:tabs>
              <w:spacing w:before="40"/>
              <w:rPr>
                <w:sz w:val="18"/>
                <w:szCs w:val="22"/>
              </w:rPr>
            </w:pPr>
            <w:r>
              <w:rPr>
                <w:sz w:val="18"/>
                <w:szCs w:val="22"/>
              </w:rPr>
              <w:t>Семьи</w:t>
            </w:r>
          </w:p>
        </w:tc>
        <w:tc>
          <w:tcPr>
            <w:tcW w:w="575" w:type="pct"/>
            <w:vAlign w:val="bottom"/>
          </w:tcPr>
          <w:p w:rsidR="00000000" w:rsidRDefault="00000000">
            <w:pPr>
              <w:tabs>
                <w:tab w:val="decimal" w:pos="448"/>
                <w:tab w:val="left" w:pos="748"/>
              </w:tabs>
              <w:spacing w:before="40"/>
              <w:jc w:val="center"/>
              <w:rPr>
                <w:sz w:val="18"/>
                <w:szCs w:val="22"/>
              </w:rPr>
            </w:pPr>
            <w:r>
              <w:rPr>
                <w:sz w:val="18"/>
                <w:szCs w:val="22"/>
              </w:rPr>
              <w:t>37,4</w:t>
            </w:r>
          </w:p>
        </w:tc>
        <w:tc>
          <w:tcPr>
            <w:tcW w:w="576" w:type="pct"/>
            <w:vAlign w:val="bottom"/>
          </w:tcPr>
          <w:p w:rsidR="00000000" w:rsidRDefault="00000000">
            <w:pPr>
              <w:tabs>
                <w:tab w:val="decimal" w:pos="514"/>
                <w:tab w:val="left" w:pos="748"/>
              </w:tabs>
              <w:spacing w:before="40"/>
              <w:jc w:val="center"/>
              <w:rPr>
                <w:sz w:val="18"/>
                <w:szCs w:val="22"/>
              </w:rPr>
            </w:pPr>
            <w:r>
              <w:rPr>
                <w:sz w:val="18"/>
                <w:szCs w:val="22"/>
              </w:rPr>
              <w:t>35,4</w:t>
            </w:r>
          </w:p>
        </w:tc>
        <w:tc>
          <w:tcPr>
            <w:tcW w:w="575" w:type="pct"/>
            <w:vAlign w:val="bottom"/>
          </w:tcPr>
          <w:p w:rsidR="00000000" w:rsidRDefault="00000000">
            <w:pPr>
              <w:tabs>
                <w:tab w:val="left" w:pos="748"/>
              </w:tabs>
              <w:spacing w:before="40"/>
              <w:jc w:val="center"/>
              <w:rPr>
                <w:sz w:val="18"/>
                <w:szCs w:val="22"/>
              </w:rPr>
            </w:pPr>
            <w:r>
              <w:rPr>
                <w:sz w:val="18"/>
                <w:szCs w:val="22"/>
              </w:rPr>
              <w:t>60,7</w:t>
            </w:r>
          </w:p>
        </w:tc>
        <w:tc>
          <w:tcPr>
            <w:tcW w:w="575" w:type="pct"/>
            <w:vAlign w:val="bottom"/>
          </w:tcPr>
          <w:p w:rsidR="00000000" w:rsidRDefault="00000000">
            <w:pPr>
              <w:tabs>
                <w:tab w:val="left" w:pos="748"/>
              </w:tabs>
              <w:spacing w:before="40"/>
              <w:jc w:val="center"/>
              <w:rPr>
                <w:sz w:val="18"/>
                <w:szCs w:val="22"/>
              </w:rPr>
            </w:pPr>
            <w:r>
              <w:rPr>
                <w:sz w:val="18"/>
                <w:szCs w:val="22"/>
              </w:rPr>
              <w:t>59,4</w:t>
            </w:r>
          </w:p>
        </w:tc>
        <w:tc>
          <w:tcPr>
            <w:tcW w:w="562" w:type="pct"/>
            <w:gridSpan w:val="2"/>
            <w:vAlign w:val="bottom"/>
          </w:tcPr>
          <w:p w:rsidR="00000000" w:rsidRDefault="00000000">
            <w:pPr>
              <w:tabs>
                <w:tab w:val="left" w:pos="748"/>
              </w:tabs>
              <w:spacing w:before="40"/>
              <w:jc w:val="center"/>
              <w:rPr>
                <w:sz w:val="18"/>
                <w:szCs w:val="22"/>
              </w:rPr>
            </w:pPr>
            <w:r>
              <w:rPr>
                <w:sz w:val="18"/>
                <w:szCs w:val="22"/>
              </w:rPr>
              <w:t>45,9</w:t>
            </w:r>
          </w:p>
        </w:tc>
        <w:tc>
          <w:tcPr>
            <w:tcW w:w="508" w:type="pct"/>
            <w:vAlign w:val="bottom"/>
          </w:tcPr>
          <w:p w:rsidR="00000000" w:rsidRDefault="00000000">
            <w:pPr>
              <w:tabs>
                <w:tab w:val="left" w:pos="748"/>
              </w:tabs>
              <w:spacing w:before="40"/>
              <w:jc w:val="center"/>
              <w:rPr>
                <w:sz w:val="18"/>
                <w:szCs w:val="22"/>
              </w:rPr>
            </w:pPr>
            <w:r>
              <w:rPr>
                <w:sz w:val="18"/>
                <w:szCs w:val="22"/>
              </w:rPr>
              <w:t>44,1</w:t>
            </w:r>
          </w:p>
        </w:tc>
      </w:tr>
      <w:tr w:rsidR="00000000">
        <w:tblPrEx>
          <w:tblCellMar>
            <w:top w:w="0" w:type="dxa"/>
            <w:bottom w:w="0" w:type="dxa"/>
          </w:tblCellMar>
        </w:tblPrEx>
        <w:trPr>
          <w:cantSplit/>
          <w:trHeight w:val="270"/>
        </w:trPr>
        <w:tc>
          <w:tcPr>
            <w:tcW w:w="857" w:type="pct"/>
            <w:vMerge/>
          </w:tcPr>
          <w:p w:rsidR="00000000" w:rsidRDefault="00000000">
            <w:pPr>
              <w:tabs>
                <w:tab w:val="left" w:pos="748"/>
              </w:tabs>
              <w:spacing w:before="40"/>
              <w:rPr>
                <w:sz w:val="18"/>
                <w:szCs w:val="22"/>
              </w:rPr>
            </w:pPr>
          </w:p>
        </w:tc>
        <w:tc>
          <w:tcPr>
            <w:tcW w:w="772" w:type="pct"/>
          </w:tcPr>
          <w:p w:rsidR="00000000" w:rsidRDefault="00000000">
            <w:pPr>
              <w:tabs>
                <w:tab w:val="left" w:pos="748"/>
              </w:tabs>
              <w:spacing w:before="40"/>
              <w:rPr>
                <w:sz w:val="18"/>
                <w:szCs w:val="22"/>
              </w:rPr>
            </w:pPr>
            <w:r>
              <w:rPr>
                <w:sz w:val="18"/>
                <w:szCs w:val="22"/>
              </w:rPr>
              <w:t>Лица</w:t>
            </w:r>
          </w:p>
        </w:tc>
        <w:tc>
          <w:tcPr>
            <w:tcW w:w="575" w:type="pct"/>
            <w:vAlign w:val="bottom"/>
          </w:tcPr>
          <w:p w:rsidR="00000000" w:rsidRDefault="00000000">
            <w:pPr>
              <w:tabs>
                <w:tab w:val="decimal" w:pos="448"/>
                <w:tab w:val="left" w:pos="748"/>
              </w:tabs>
              <w:spacing w:before="40"/>
              <w:jc w:val="center"/>
              <w:rPr>
                <w:sz w:val="18"/>
                <w:szCs w:val="22"/>
              </w:rPr>
            </w:pPr>
            <w:r>
              <w:rPr>
                <w:sz w:val="18"/>
                <w:szCs w:val="22"/>
              </w:rPr>
              <w:t>43,8</w:t>
            </w:r>
          </w:p>
        </w:tc>
        <w:tc>
          <w:tcPr>
            <w:tcW w:w="576" w:type="pct"/>
            <w:vAlign w:val="bottom"/>
          </w:tcPr>
          <w:p w:rsidR="00000000" w:rsidRDefault="00000000">
            <w:pPr>
              <w:tabs>
                <w:tab w:val="decimal" w:pos="514"/>
                <w:tab w:val="left" w:pos="748"/>
              </w:tabs>
              <w:spacing w:before="40"/>
              <w:jc w:val="center"/>
              <w:rPr>
                <w:sz w:val="18"/>
                <w:szCs w:val="22"/>
              </w:rPr>
            </w:pPr>
            <w:r>
              <w:rPr>
                <w:sz w:val="18"/>
                <w:szCs w:val="22"/>
              </w:rPr>
              <w:t>42,0</w:t>
            </w:r>
          </w:p>
        </w:tc>
        <w:tc>
          <w:tcPr>
            <w:tcW w:w="575" w:type="pct"/>
            <w:vAlign w:val="bottom"/>
          </w:tcPr>
          <w:p w:rsidR="00000000" w:rsidRDefault="00000000">
            <w:pPr>
              <w:tabs>
                <w:tab w:val="left" w:pos="748"/>
              </w:tabs>
              <w:spacing w:before="40"/>
              <w:jc w:val="center"/>
              <w:rPr>
                <w:sz w:val="18"/>
                <w:szCs w:val="22"/>
              </w:rPr>
            </w:pPr>
            <w:r>
              <w:rPr>
                <w:sz w:val="18"/>
                <w:szCs w:val="22"/>
              </w:rPr>
              <w:t>69,3</w:t>
            </w:r>
          </w:p>
        </w:tc>
        <w:tc>
          <w:tcPr>
            <w:tcW w:w="575" w:type="pct"/>
            <w:vAlign w:val="bottom"/>
          </w:tcPr>
          <w:p w:rsidR="00000000" w:rsidRDefault="00000000">
            <w:pPr>
              <w:tabs>
                <w:tab w:val="left" w:pos="748"/>
              </w:tabs>
              <w:spacing w:before="40"/>
              <w:jc w:val="center"/>
              <w:rPr>
                <w:sz w:val="18"/>
                <w:szCs w:val="22"/>
              </w:rPr>
            </w:pPr>
            <w:r>
              <w:rPr>
                <w:sz w:val="18"/>
                <w:szCs w:val="22"/>
              </w:rPr>
              <w:t>67,5</w:t>
            </w:r>
          </w:p>
        </w:tc>
        <w:tc>
          <w:tcPr>
            <w:tcW w:w="562" w:type="pct"/>
            <w:gridSpan w:val="2"/>
            <w:vAlign w:val="bottom"/>
          </w:tcPr>
          <w:p w:rsidR="00000000" w:rsidRDefault="00000000">
            <w:pPr>
              <w:tabs>
                <w:tab w:val="left" w:pos="748"/>
              </w:tabs>
              <w:spacing w:before="40"/>
              <w:jc w:val="center"/>
              <w:rPr>
                <w:sz w:val="18"/>
                <w:szCs w:val="22"/>
              </w:rPr>
            </w:pPr>
            <w:r>
              <w:rPr>
                <w:sz w:val="18"/>
                <w:szCs w:val="22"/>
              </w:rPr>
              <w:t>53,7</w:t>
            </w:r>
          </w:p>
        </w:tc>
        <w:tc>
          <w:tcPr>
            <w:tcW w:w="508" w:type="pct"/>
            <w:vAlign w:val="bottom"/>
          </w:tcPr>
          <w:p w:rsidR="00000000" w:rsidRDefault="00000000">
            <w:pPr>
              <w:tabs>
                <w:tab w:val="left" w:pos="748"/>
              </w:tabs>
              <w:spacing w:before="40"/>
              <w:jc w:val="center"/>
              <w:rPr>
                <w:sz w:val="18"/>
                <w:szCs w:val="22"/>
              </w:rPr>
            </w:pPr>
            <w:r>
              <w:rPr>
                <w:sz w:val="18"/>
                <w:szCs w:val="22"/>
              </w:rPr>
              <w:t>51,7</w:t>
            </w:r>
          </w:p>
        </w:tc>
      </w:tr>
    </w:tbl>
    <w:p w:rsidR="00000000" w:rsidRDefault="00000000">
      <w:pPr>
        <w:tabs>
          <w:tab w:val="left" w:pos="748"/>
        </w:tabs>
        <w:rPr>
          <w:i/>
          <w:iCs/>
        </w:rPr>
      </w:pPr>
    </w:p>
    <w:p w:rsidR="00000000" w:rsidRDefault="00000000">
      <w:pPr>
        <w:tabs>
          <w:tab w:val="left" w:pos="748"/>
        </w:tabs>
        <w:rPr>
          <w:sz w:val="18"/>
        </w:rPr>
      </w:pPr>
      <w:r>
        <w:rPr>
          <w:i/>
          <w:iCs/>
          <w:sz w:val="18"/>
        </w:rPr>
        <w:t>Источник</w:t>
      </w:r>
      <w:r>
        <w:rPr>
          <w:sz w:val="18"/>
        </w:rPr>
        <w:t xml:space="preserve">:  </w:t>
      </w:r>
      <w:r>
        <w:rPr>
          <w:sz w:val="18"/>
          <w:szCs w:val="22"/>
        </w:rPr>
        <w:t>НБОД</w:t>
      </w:r>
      <w:r>
        <w:rPr>
          <w:sz w:val="18"/>
          <w:szCs w:val="22"/>
        </w:rPr>
        <w:noBreakHyphen/>
        <w:t>2000 и НБОД</w:t>
      </w:r>
      <w:r>
        <w:rPr>
          <w:sz w:val="18"/>
          <w:szCs w:val="22"/>
        </w:rPr>
        <w:noBreakHyphen/>
        <w:t>2002</w:t>
      </w:r>
      <w:r>
        <w:rPr>
          <w:sz w:val="18"/>
        </w:rPr>
        <w:t>.</w:t>
      </w:r>
    </w:p>
    <w:p w:rsidR="00000000" w:rsidRDefault="00000000">
      <w:pPr>
        <w:tabs>
          <w:tab w:val="left" w:pos="748"/>
        </w:tabs>
      </w:pPr>
      <w:r>
        <w:t>1077.</w:t>
      </w:r>
      <w:r>
        <w:tab/>
      </w:r>
      <w:r>
        <w:tab/>
        <w:t>Полученные результаты свидетельствуют о том, что:</w:t>
      </w:r>
    </w:p>
    <w:p w:rsidR="00000000" w:rsidRDefault="00000000">
      <w:pPr>
        <w:tabs>
          <w:tab w:val="left" w:pos="748"/>
        </w:tabs>
      </w:pPr>
    </w:p>
    <w:p w:rsidR="00000000" w:rsidRDefault="00000000">
      <w:pPr>
        <w:ind w:left="1134" w:hanging="1134"/>
      </w:pPr>
      <w:r>
        <w:tab/>
      </w:r>
      <w:r>
        <w:sym w:font="Symbol" w:char="F0B7"/>
      </w:r>
      <w:r>
        <w:tab/>
        <w:t xml:space="preserve">доля населения, живущего в нищете </w:t>
      </w:r>
      <w:r>
        <w:rPr>
          <w:i/>
          <w:iCs/>
        </w:rPr>
        <w:t>по признаку обеспеченности питанием</w:t>
      </w:r>
      <w:r>
        <w:t>, в масштабах страны снизилась за период 2000</w:t>
      </w:r>
      <w:r>
        <w:noBreakHyphen/>
        <w:t>2002 годов с 24,2% до 20,3%;</w:t>
      </w:r>
    </w:p>
    <w:p w:rsidR="00000000" w:rsidRDefault="00000000">
      <w:pPr>
        <w:ind w:left="1134" w:hanging="1134"/>
      </w:pPr>
    </w:p>
    <w:p w:rsidR="00000000" w:rsidRDefault="00000000">
      <w:pPr>
        <w:ind w:left="1134" w:hanging="1134"/>
      </w:pPr>
      <w:r>
        <w:tab/>
      </w:r>
      <w:r>
        <w:sym w:font="Symbol" w:char="F0B7"/>
      </w:r>
      <w:r>
        <w:tab/>
        <w:t xml:space="preserve">доля населения, живущего в условиях недостаточного </w:t>
      </w:r>
      <w:r>
        <w:rPr>
          <w:i/>
          <w:iCs/>
        </w:rPr>
        <w:t>развития возможностей</w:t>
      </w:r>
      <w:r>
        <w:t>, снизилась за период 2000-2002 годов с 31,9% до 26,5%;</w:t>
      </w:r>
    </w:p>
    <w:p w:rsidR="00000000" w:rsidRDefault="00000000">
      <w:pPr>
        <w:ind w:left="1134" w:hanging="1134"/>
      </w:pPr>
    </w:p>
    <w:p w:rsidR="00000000" w:rsidRDefault="00000000">
      <w:pPr>
        <w:tabs>
          <w:tab w:val="left" w:pos="748"/>
        </w:tabs>
        <w:ind w:left="1134" w:hanging="1134"/>
      </w:pPr>
      <w:r>
        <w:tab/>
      </w:r>
      <w:r>
        <w:sym w:font="Symbol" w:char="F0B7"/>
      </w:r>
      <w:r>
        <w:tab/>
      </w:r>
      <w:r>
        <w:tab/>
        <w:t xml:space="preserve">доля населения, живущего в условиях недостаточной </w:t>
      </w:r>
      <w:r>
        <w:rPr>
          <w:i/>
          <w:iCs/>
        </w:rPr>
        <w:t>имущественной обеспеченности</w:t>
      </w:r>
      <w:r>
        <w:t>, снизилась за период 2000-2002 годов с 53,7% до 51,7%.</w:t>
      </w:r>
    </w:p>
    <w:p w:rsidR="00000000" w:rsidRDefault="00000000">
      <w:pPr>
        <w:tabs>
          <w:tab w:val="left" w:pos="748"/>
        </w:tabs>
      </w:pPr>
    </w:p>
    <w:p w:rsidR="00000000" w:rsidRDefault="00000000">
      <w:pPr>
        <w:tabs>
          <w:tab w:val="left" w:pos="748"/>
        </w:tabs>
      </w:pPr>
      <w:r>
        <w:t>1078.</w:t>
      </w:r>
      <w:r>
        <w:tab/>
      </w:r>
      <w:r>
        <w:tab/>
        <w:t>Это означает, что 3,4 млн. человек перешагнули через порог бедности по признаку обеспеченности питанием, иными словами, за период 2000-2002 годов они оказались в ситуации, когда они в состоянии покрывать свои потребности в продуктах питания и теперь могут тратить некоторые суммы на образование и здравоохранение.</w:t>
      </w:r>
    </w:p>
    <w:p w:rsidR="00000000" w:rsidRDefault="00000000">
      <w:pPr>
        <w:tabs>
          <w:tab w:val="left" w:pos="748"/>
        </w:tabs>
      </w:pPr>
    </w:p>
    <w:p w:rsidR="00000000" w:rsidRDefault="00000000">
      <w:pPr>
        <w:tabs>
          <w:tab w:val="left" w:pos="748"/>
        </w:tabs>
      </w:pPr>
      <w:r>
        <w:t>1079.</w:t>
      </w:r>
      <w:r>
        <w:tab/>
      </w:r>
      <w:r>
        <w:tab/>
        <w:t>При условии сохранения этой позитивной тенденции Мексика сможет опережающими темпами добиться выполнения Целей развития на тысячелетие.  Как явствует из диаграммы 1, в период 2000-2002 годов доля населения, живущего в нищете по признаку обеспеченности питанием, снизилась примерно на 16% и достигла 20,3%.</w:t>
      </w:r>
    </w:p>
    <w:p w:rsidR="00000000" w:rsidRDefault="00000000">
      <w:pPr>
        <w:tabs>
          <w:tab w:val="left" w:pos="748"/>
        </w:tabs>
      </w:pPr>
    </w:p>
    <w:p w:rsidR="00000000" w:rsidRDefault="00000000">
      <w:pPr>
        <w:tabs>
          <w:tab w:val="left" w:pos="748"/>
        </w:tabs>
        <w:jc w:val="center"/>
        <w:rPr>
          <w:b/>
          <w:bCs/>
        </w:rPr>
      </w:pPr>
      <w:r>
        <w:rPr>
          <w:b/>
          <w:bCs/>
        </w:rPr>
        <w:t>Динамика бедности в Мексике в последние годы</w:t>
      </w:r>
    </w:p>
    <w:p w:rsidR="00000000" w:rsidRDefault="00000000">
      <w:pPr>
        <w:tabs>
          <w:tab w:val="left" w:pos="748"/>
        </w:tabs>
        <w:jc w:val="center"/>
        <w:rPr>
          <w:b/>
          <w:bCs/>
        </w:rPr>
      </w:pPr>
    </w:p>
    <w:p w:rsidR="00000000" w:rsidRDefault="00000000">
      <w:pPr>
        <w:pBdr>
          <w:top w:val="single" w:sz="4" w:space="1" w:color="auto"/>
          <w:left w:val="single" w:sz="4" w:space="0" w:color="auto"/>
          <w:bottom w:val="single" w:sz="4" w:space="1" w:color="auto"/>
          <w:right w:val="single" w:sz="4" w:space="4" w:color="auto"/>
        </w:pBdr>
        <w:tabs>
          <w:tab w:val="left" w:pos="748"/>
        </w:tabs>
        <w:ind w:left="567" w:right="423"/>
        <w:jc w:val="center"/>
        <w:rPr>
          <w:szCs w:val="22"/>
        </w:rPr>
      </w:pPr>
      <w:r>
        <w:rPr>
          <w:sz w:val="22"/>
          <w:szCs w:val="22"/>
        </w:rPr>
        <w:object w:dxaOrig="7320" w:dyaOrig="4841">
          <v:shape id="_x0000_i1039" type="#_x0000_t75" style="width:366pt;height:242.25pt" o:ole="" fillcolor="window">
            <v:imagedata r:id="rId184" o:title=""/>
          </v:shape>
          <o:OLEObject Type="Embed" ProgID="MSGraph.Chart.8" ShapeID="_x0000_i1039" DrawAspect="Content" ObjectID="_1394895094" r:id="rId185">
            <o:FieldCodes>\s</o:FieldCodes>
          </o:OLEObject>
        </w:object>
      </w:r>
    </w:p>
    <w:p w:rsidR="00000000" w:rsidRDefault="00000000">
      <w:pPr>
        <w:tabs>
          <w:tab w:val="left" w:pos="748"/>
        </w:tabs>
        <w:ind w:left="748" w:hanging="748"/>
        <w:rPr>
          <w:i/>
          <w:iCs/>
          <w:sz w:val="18"/>
          <w:szCs w:val="22"/>
        </w:rPr>
      </w:pPr>
    </w:p>
    <w:p w:rsidR="00000000" w:rsidRDefault="00000000">
      <w:pPr>
        <w:tabs>
          <w:tab w:val="left" w:pos="748"/>
        </w:tabs>
        <w:ind w:left="748" w:hanging="748"/>
        <w:rPr>
          <w:sz w:val="18"/>
        </w:rPr>
      </w:pPr>
      <w:r>
        <w:rPr>
          <w:i/>
          <w:iCs/>
          <w:sz w:val="18"/>
          <w:szCs w:val="22"/>
        </w:rPr>
        <w:t xml:space="preserve">Источник:  </w:t>
      </w:r>
      <w:r>
        <w:rPr>
          <w:sz w:val="18"/>
          <w:szCs w:val="22"/>
        </w:rPr>
        <w:t>МСР, расчеты на основе бюджетных обследований населения за период 1992-2002 годов, НИСГИ.</w:t>
      </w:r>
    </w:p>
    <w:p w:rsidR="00000000" w:rsidRDefault="00000000">
      <w:pPr>
        <w:tabs>
          <w:tab w:val="left" w:pos="748"/>
        </w:tabs>
      </w:pPr>
      <w:r>
        <w:t>1080.</w:t>
      </w:r>
      <w:r>
        <w:tab/>
      </w:r>
      <w:r>
        <w:tab/>
        <w:t xml:space="preserve">Несмотря на то, что доли населения, живущего ниже каждого из порогов, за период 2000-2002 годов уменьшились, </w:t>
      </w:r>
      <w:r>
        <w:rPr>
          <w:szCs w:val="22"/>
        </w:rPr>
        <w:t>необходимо признать, что по отношению к уровню развития и богатства страны эти показатели по</w:t>
      </w:r>
      <w:r>
        <w:rPr>
          <w:szCs w:val="22"/>
        </w:rPr>
        <w:noBreakHyphen/>
        <w:t>прежнему высоки.  Тем не менее успехи, достигнутые в рассматриваемый период, могут толковаться как позитивная тенденция, при сохранении которой будет достигнуто значительное улучшение условий жизни наиболее неимущего населения.</w:t>
      </w:r>
    </w:p>
    <w:p w:rsidR="00000000" w:rsidRDefault="00000000">
      <w:pPr>
        <w:tabs>
          <w:tab w:val="left" w:pos="748"/>
        </w:tabs>
      </w:pPr>
    </w:p>
    <w:p w:rsidR="00000000" w:rsidRDefault="00000000">
      <w:pPr>
        <w:tabs>
          <w:tab w:val="left" w:pos="748"/>
        </w:tabs>
      </w:pPr>
      <w:r>
        <w:t>1081.</w:t>
      </w:r>
      <w:r>
        <w:tab/>
      </w:r>
      <w:r>
        <w:tab/>
        <w:t xml:space="preserve">Помимо успехов в деле борьбы с бедностью, </w:t>
      </w:r>
      <w:r>
        <w:rPr>
          <w:szCs w:val="22"/>
        </w:rPr>
        <w:t>наша страна добилась заметного прогресса по комплексу показателей социального развития</w:t>
      </w:r>
      <w:r>
        <w:t>, что свидетельствует о непреходящей заботе правительства Мексики о повышении уровня жизни и благосостояния населения.</w:t>
      </w:r>
    </w:p>
    <w:p w:rsidR="00000000" w:rsidRDefault="00000000">
      <w:pPr>
        <w:tabs>
          <w:tab w:val="left" w:pos="748"/>
        </w:tabs>
      </w:pPr>
    </w:p>
    <w:p w:rsidR="00000000" w:rsidRDefault="00000000">
      <w:pPr>
        <w:tabs>
          <w:tab w:val="left" w:pos="748"/>
        </w:tabs>
      </w:pPr>
      <w:r>
        <w:t>1082.</w:t>
      </w:r>
      <w:r>
        <w:tab/>
      </w:r>
      <w:r>
        <w:tab/>
        <w:t xml:space="preserve">В настоящее время средняя продолжительность предстоящей жизни при рождении составляет в Мексике 74,9 года, в то время как для Латинской Америки данный показатель не превышает 70 лет.  Доля неграмотных среди взрослого населения составляет всего 8,5%.  Начальным образованием охвачены почти 100% детей, относящихся к соответствующей возрастной группе.  С другой стороны, 89,2% населения страны </w:t>
      </w:r>
      <w:r>
        <w:rPr>
          <w:szCs w:val="22"/>
        </w:rPr>
        <w:t xml:space="preserve">обеспечивается питьевой водой, а 76,9% имеют водопровод.  </w:t>
      </w:r>
    </w:p>
    <w:p w:rsidR="00000000" w:rsidRDefault="00000000">
      <w:pPr>
        <w:tabs>
          <w:tab w:val="left" w:pos="748"/>
        </w:tabs>
      </w:pPr>
    </w:p>
    <w:p w:rsidR="00000000" w:rsidRDefault="00000000">
      <w:pPr>
        <w:tabs>
          <w:tab w:val="left" w:pos="748"/>
        </w:tabs>
      </w:pPr>
      <w:r>
        <w:t>1083.</w:t>
      </w:r>
      <w:r>
        <w:tab/>
      </w:r>
      <w:r>
        <w:tab/>
        <w:t xml:space="preserve">Кроме того, с </w:t>
      </w:r>
      <w:r>
        <w:rPr>
          <w:szCs w:val="22"/>
        </w:rPr>
        <w:t>1990 года ликвидирован полиомиелит, с 1991 года </w:t>
      </w:r>
      <w:r>
        <w:rPr>
          <w:szCs w:val="22"/>
        </w:rPr>
        <w:noBreakHyphen/>
        <w:t xml:space="preserve"> дифтерия, и налажен эпидемиологический контроль над корью, коклюшем и столбняком.  В Мексике также создана самая широкая в Латинской Америке система вакцинации.</w:t>
      </w:r>
    </w:p>
    <w:p w:rsidR="00000000" w:rsidRDefault="00000000">
      <w:pPr>
        <w:tabs>
          <w:tab w:val="left" w:pos="748"/>
        </w:tabs>
      </w:pPr>
    </w:p>
    <w:p w:rsidR="00000000" w:rsidRDefault="00000000">
      <w:pPr>
        <w:tabs>
          <w:tab w:val="left" w:pos="748"/>
        </w:tabs>
        <w:ind w:left="567" w:hanging="567"/>
        <w:rPr>
          <w:i/>
          <w:iCs/>
        </w:rPr>
      </w:pPr>
      <w:r>
        <w:rPr>
          <w:b/>
          <w:bCs/>
          <w:i/>
          <w:iCs/>
        </w:rPr>
        <w:tab/>
        <w:t>31.</w:t>
      </w:r>
      <w:r>
        <w:rPr>
          <w:b/>
          <w:bCs/>
          <w:i/>
          <w:iCs/>
        </w:rPr>
        <w:tab/>
        <w:t>Комитет настоятельно призывает государство-участника принять меры с целью устранения структурных причин нищеты в Мексике и соответствующим образом скорректировать свои социальные программы.  Он также предлагает государству-участнику активно вовлечь представителей гражданского общества в целом, и целевых групп - в частности, в процесс планирования, осуществления и оценки этих программ.</w:t>
      </w:r>
    </w:p>
    <w:p w:rsidR="00000000" w:rsidRDefault="00000000">
      <w:pPr>
        <w:tabs>
          <w:tab w:val="left" w:pos="748"/>
        </w:tabs>
      </w:pPr>
    </w:p>
    <w:p w:rsidR="00000000" w:rsidRDefault="00000000">
      <w:pPr>
        <w:tabs>
          <w:tab w:val="left" w:pos="748"/>
        </w:tabs>
      </w:pPr>
      <w:r>
        <w:t>1084.</w:t>
      </w:r>
      <w:r>
        <w:tab/>
      </w:r>
      <w:r>
        <w:tab/>
        <w:t>Правительство Мексики стремится удовлетворить основные потребности общества, поднять уровень благосостояния и расширить индивидуальные возможности всех мексиканцев.  С этой целью различные подразделения и структуры федерального правительства, отвечающие за оказание основных социальных услуг в области образования, здравоохранения, социального обеспечения, жилья и подготовки к труду, проводят структурную перестройку в порядке совершенствования своей работы, с тем чтобы более эффективно откликаться на нужды населения и выполнять свои обязанности с большей отдачей и без дублирований.</w:t>
      </w:r>
    </w:p>
    <w:p w:rsidR="00000000" w:rsidRDefault="00000000">
      <w:pPr>
        <w:tabs>
          <w:tab w:val="left" w:pos="748"/>
        </w:tabs>
      </w:pPr>
    </w:p>
    <w:p w:rsidR="00000000" w:rsidRDefault="00000000">
      <w:pPr>
        <w:tabs>
          <w:tab w:val="left" w:pos="748"/>
        </w:tabs>
      </w:pPr>
      <w:r>
        <w:t>1085.</w:t>
      </w:r>
      <w:r>
        <w:tab/>
      </w:r>
      <w:r>
        <w:tab/>
        <w:t xml:space="preserve">В этом отношении в рамках мероприятий по сокращению бедности, проводимых на национальном уровне действующей администрацией, выделяется государственная социальная стратегия </w:t>
      </w:r>
      <w:r>
        <w:rPr>
          <w:i/>
        </w:rPr>
        <w:t>Солидарность</w:t>
      </w:r>
      <w:r>
        <w:t>.  Она направлена на обеспечение основных социальных благ всем мексиканцам и активизацию рычагов развития личности, которые могли бы стать детонатором экономического роста в стране.</w:t>
      </w:r>
    </w:p>
    <w:p w:rsidR="00000000" w:rsidRDefault="00000000">
      <w:pPr>
        <w:tabs>
          <w:tab w:val="left" w:pos="748"/>
        </w:tabs>
      </w:pPr>
    </w:p>
    <w:p w:rsidR="00000000" w:rsidRDefault="00000000">
      <w:pPr>
        <w:tabs>
          <w:tab w:val="left" w:pos="748"/>
        </w:tabs>
      </w:pPr>
      <w:r>
        <w:t>1086.</w:t>
      </w:r>
      <w:r>
        <w:tab/>
      </w:r>
      <w:r>
        <w:tab/>
        <w:t>Эта стратегия способствует более четкой координации действий всех трех уровней правительственной власти:  федеральной, на уровне штатов и на уровне муниципалитетов.  Она устанавливает новый характер взаимоотношений между правительством и гражданским обществом, способствует достижению большей эффективности в работе государственного и частного секторов в вопросах социальной политики.  Предпринимаются попытки усилить единение между различными группами общества, а также расширить возможности для проявления инициатив со стороны общин и общественных организаций, направленных на преодоление бедности и маргинализации.</w:t>
      </w:r>
    </w:p>
    <w:p w:rsidR="00000000" w:rsidRDefault="00000000">
      <w:pPr>
        <w:tabs>
          <w:tab w:val="left" w:pos="748"/>
        </w:tabs>
      </w:pPr>
    </w:p>
    <w:p w:rsidR="00000000" w:rsidRDefault="00000000">
      <w:pPr>
        <w:tabs>
          <w:tab w:val="left" w:pos="748"/>
        </w:tabs>
      </w:pPr>
      <w:r>
        <w:t>1087.</w:t>
      </w:r>
      <w:r>
        <w:tab/>
      </w:r>
      <w:r>
        <w:tab/>
        <w:t xml:space="preserve">Этот курс на привлечение всех мексиканцев к процессу продвижения нации вперед основывается на признании того факта, что для достижения достойного уровня социального развития действий только правительства совершенно недостаточно, что жизненно необходимы совместные усилия всего общества, зиждящиеся на осознании общей социальной ответственности.  Такое видение вопроса может постепенно превратить схоластические разговоры об экономическом прогрессе в материальное наполнение кармана каждого мексиканца.  </w:t>
      </w:r>
      <w:r>
        <w:rPr>
          <w:i/>
        </w:rPr>
        <w:t>Солидарность</w:t>
      </w:r>
      <w:r>
        <w:t xml:space="preserve"> включает четыре главных взаимодополняющих направления всестороннего развития социальной политики, направленной на преодоление бедности и неуклонный рост уровня жизни всего населения:</w:t>
      </w:r>
    </w:p>
    <w:p w:rsidR="00000000" w:rsidRDefault="00000000"/>
    <w:p w:rsidR="00000000" w:rsidRDefault="00000000">
      <w:pPr>
        <w:ind w:left="1134" w:hanging="1134"/>
      </w:pPr>
      <w:r>
        <w:tab/>
        <w:t>1.</w:t>
      </w:r>
      <w:r>
        <w:tab/>
        <w:t>создание условий к тому, чтобы каждый мексиканец имел возможность получения качественного образования, надлежащего медицинского обслуживания и достаточного питания, что позволит ему в полной мере участвовать в жизни общества;</w:t>
      </w:r>
    </w:p>
    <w:p w:rsidR="00000000" w:rsidRDefault="00000000"/>
    <w:p w:rsidR="00000000" w:rsidRDefault="00000000">
      <w:pPr>
        <w:ind w:left="1134" w:hanging="1134"/>
      </w:pPr>
      <w:r>
        <w:tab/>
        <w:t>2.</w:t>
      </w:r>
      <w:r>
        <w:tab/>
        <w:t>создание условий выбора источника доходов для капитализации своего потенциала.  Возможность получить работу и открыть собственное дело является необходимым условием для перевода потенциала человека на более высокий уровень благосостояния и доходов, способных удовлетворить растущие потребности каждой семьи;</w:t>
      </w:r>
    </w:p>
    <w:p w:rsidR="00000000" w:rsidRDefault="00000000"/>
    <w:p w:rsidR="00000000" w:rsidRDefault="00000000">
      <w:pPr>
        <w:ind w:left="1134" w:hanging="1134"/>
      </w:pPr>
      <w:r>
        <w:br w:type="page"/>
      </w:r>
      <w:r>
        <w:tab/>
        <w:t>3.</w:t>
      </w:r>
      <w:r>
        <w:tab/>
        <w:t>возможность нажить достойное и надежное состояние, открывающее перед взрослыми членами семьи и их иждивенцами перспективу на будущее, позволяющее им раскрыть свой потенциал, использовать благоприятные возможности для извлечения дохода, пережить риски непродолжительных жизненных неурядиц, приступить к освоению новых видов деятельности;  все это гарантирует прогрессивный жизненный рост детей и обеспечивает достойную старость родителям;</w:t>
      </w:r>
    </w:p>
    <w:p w:rsidR="00000000" w:rsidRDefault="00000000"/>
    <w:p w:rsidR="00000000" w:rsidRDefault="00000000">
      <w:pPr>
        <w:ind w:left="1134" w:hanging="1134"/>
      </w:pPr>
      <w:r>
        <w:tab/>
        <w:t>4.</w:t>
      </w:r>
      <w:r>
        <w:tab/>
        <w:t>обеспечение социальной защиты для всех, требование, выполнение которого гарантирует формирование личного потенциала и создает благоприятные возможности для сулящих доход начинаний при непременном условии, что все это сопровождается надежной защитой от индивидуальных и коллективных рисков.  При этом семьи получают возможность планировать свое будущее и поддерживать достигнутый уровень благосостояния, стойко перенося удары судьбы и семейные потрясения.</w:t>
      </w:r>
    </w:p>
    <w:p w:rsidR="00000000" w:rsidRDefault="00000000"/>
    <w:p w:rsidR="00000000" w:rsidRDefault="00000000">
      <w:pPr>
        <w:tabs>
          <w:tab w:val="left" w:pos="748"/>
        </w:tabs>
      </w:pPr>
      <w:r>
        <w:t>1088.</w:t>
      </w:r>
      <w:r>
        <w:tab/>
      </w:r>
      <w:r>
        <w:tab/>
        <w:t xml:space="preserve">Стратегия </w:t>
      </w:r>
      <w:r>
        <w:rPr>
          <w:i/>
        </w:rPr>
        <w:t xml:space="preserve">Солидарность </w:t>
      </w:r>
      <w:r>
        <w:rPr>
          <w:iCs/>
        </w:rPr>
        <w:t xml:space="preserve">увязывает </w:t>
      </w:r>
      <w:r>
        <w:t>эти четыре направления со специфическими запросами и персональными особенностями каждого человека, каждой семьи и каждой общины в интересах достижения равенства и справедливости.</w:t>
      </w:r>
    </w:p>
    <w:p w:rsidR="00000000" w:rsidRDefault="00000000">
      <w:pPr>
        <w:tabs>
          <w:tab w:val="left" w:pos="748"/>
        </w:tabs>
      </w:pPr>
    </w:p>
    <w:p w:rsidR="00000000" w:rsidRDefault="00000000">
      <w:pPr>
        <w:pStyle w:val="BodyText"/>
        <w:keepNext/>
        <w:tabs>
          <w:tab w:val="left" w:pos="748"/>
        </w:tabs>
        <w:jc w:val="center"/>
        <w:rPr>
          <w:bCs w:val="0"/>
          <w:i/>
          <w:iCs/>
          <w:sz w:val="24"/>
          <w:szCs w:val="22"/>
          <w:lang w:val="ru-RU"/>
        </w:rPr>
      </w:pPr>
      <w:r>
        <w:rPr>
          <w:bCs w:val="0"/>
          <w:sz w:val="24"/>
          <w:szCs w:val="22"/>
          <w:lang w:val="ru-RU"/>
        </w:rPr>
        <w:t xml:space="preserve">Направления развития стратегии </w:t>
      </w:r>
      <w:r>
        <w:rPr>
          <w:bCs w:val="0"/>
          <w:i/>
          <w:iCs/>
          <w:sz w:val="24"/>
          <w:szCs w:val="22"/>
          <w:lang w:val="ru-RU"/>
        </w:rPr>
        <w:t>Солидарность</w:t>
      </w:r>
    </w:p>
    <w:p w:rsidR="00000000" w:rsidRDefault="00000000">
      <w:pPr>
        <w:pStyle w:val="BodyText"/>
        <w:keepNext/>
        <w:tabs>
          <w:tab w:val="left" w:pos="748"/>
        </w:tabs>
        <w:jc w:val="center"/>
        <w:rPr>
          <w:b w:val="0"/>
          <w:sz w:val="24"/>
          <w:szCs w:val="22"/>
          <w:lang w:val="ru-RU"/>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139"/>
        <w:gridCol w:w="4414"/>
      </w:tblGrid>
      <w:tr w:rsidR="00000000">
        <w:tblPrEx>
          <w:tblCellMar>
            <w:top w:w="0" w:type="dxa"/>
            <w:bottom w:w="0" w:type="dxa"/>
          </w:tblCellMar>
        </w:tblPrEx>
        <w:trPr>
          <w:jc w:val="center"/>
        </w:trPr>
        <w:tc>
          <w:tcPr>
            <w:tcW w:w="4139" w:type="dxa"/>
            <w:noWrap/>
          </w:tcPr>
          <w:p w:rsidR="00000000" w:rsidRDefault="00000000">
            <w:pPr>
              <w:pStyle w:val="BodyText"/>
              <w:tabs>
                <w:tab w:val="right" w:pos="354"/>
                <w:tab w:val="left" w:pos="536"/>
              </w:tabs>
              <w:spacing w:before="40"/>
              <w:jc w:val="center"/>
              <w:rPr>
                <w:bCs w:val="0"/>
                <w:color w:val="333399"/>
                <w:sz w:val="26"/>
                <w:szCs w:val="22"/>
                <w:lang w:val="ru-RU"/>
              </w:rPr>
            </w:pPr>
            <w:r>
              <w:rPr>
                <w:bCs w:val="0"/>
                <w:color w:val="333399"/>
                <w:sz w:val="26"/>
                <w:szCs w:val="22"/>
                <w:lang w:val="ru-RU"/>
              </w:rPr>
              <w:t>Направления</w:t>
            </w:r>
          </w:p>
        </w:tc>
        <w:tc>
          <w:tcPr>
            <w:tcW w:w="4414" w:type="dxa"/>
            <w:noWrap/>
          </w:tcPr>
          <w:p w:rsidR="00000000" w:rsidRDefault="00000000">
            <w:pPr>
              <w:pStyle w:val="BodyText"/>
              <w:tabs>
                <w:tab w:val="left" w:pos="748"/>
              </w:tabs>
              <w:spacing w:before="40" w:after="120"/>
              <w:jc w:val="center"/>
              <w:rPr>
                <w:bCs w:val="0"/>
                <w:color w:val="333399"/>
                <w:sz w:val="26"/>
                <w:szCs w:val="22"/>
                <w:lang w:val="ru-RU"/>
              </w:rPr>
            </w:pPr>
            <w:r>
              <w:rPr>
                <w:bCs w:val="0"/>
                <w:color w:val="333399"/>
                <w:sz w:val="26"/>
                <w:szCs w:val="22"/>
                <w:lang w:val="ru-RU"/>
              </w:rPr>
              <w:t>Область применения</w:t>
            </w:r>
          </w:p>
        </w:tc>
      </w:tr>
      <w:tr w:rsidR="00000000">
        <w:tblPrEx>
          <w:tblCellMar>
            <w:top w:w="0" w:type="dxa"/>
            <w:bottom w:w="0" w:type="dxa"/>
          </w:tblCellMar>
        </w:tblPrEx>
        <w:trPr>
          <w:cantSplit/>
          <w:trHeight w:val="1055"/>
          <w:jc w:val="center"/>
        </w:trPr>
        <w:tc>
          <w:tcPr>
            <w:tcW w:w="4139" w:type="dxa"/>
            <w:vMerge w:val="restart"/>
            <w:noWrap/>
            <w:vAlign w:val="center"/>
          </w:tcPr>
          <w:p w:rsidR="00000000" w:rsidRDefault="00000000">
            <w:pPr>
              <w:pStyle w:val="BodyText"/>
              <w:tabs>
                <w:tab w:val="right" w:pos="284"/>
                <w:tab w:val="left" w:pos="438"/>
              </w:tabs>
              <w:ind w:left="437" w:hanging="437"/>
              <w:jc w:val="left"/>
              <w:rPr>
                <w:b w:val="0"/>
                <w:color w:val="0000FF"/>
                <w:sz w:val="26"/>
                <w:szCs w:val="22"/>
                <w:lang w:val="ru-RU"/>
              </w:rPr>
            </w:pPr>
            <w:r>
              <w:rPr>
                <w:b w:val="0"/>
                <w:color w:val="0000FF"/>
                <w:sz w:val="26"/>
                <w:szCs w:val="22"/>
                <w:lang w:val="ru-RU"/>
              </w:rPr>
              <w:tab/>
            </w:r>
            <w:r>
              <w:rPr>
                <w:b w:val="0"/>
                <w:color w:val="0000FF"/>
                <w:sz w:val="26"/>
                <w:szCs w:val="22"/>
                <w:lang w:val="en-US"/>
              </w:rPr>
              <w:t>I</w:t>
            </w:r>
            <w:r>
              <w:rPr>
                <w:b w:val="0"/>
                <w:color w:val="0000FF"/>
                <w:sz w:val="26"/>
                <w:szCs w:val="22"/>
                <w:lang w:val="ru-RU"/>
              </w:rPr>
              <w:t>.</w:t>
            </w:r>
            <w:r>
              <w:rPr>
                <w:b w:val="0"/>
                <w:color w:val="0000FF"/>
                <w:sz w:val="26"/>
                <w:szCs w:val="22"/>
                <w:lang w:val="ru-RU"/>
              </w:rPr>
              <w:tab/>
              <w:t>Расширение возможностей</w:t>
            </w:r>
          </w:p>
          <w:p w:rsidR="00000000" w:rsidRDefault="00000000">
            <w:pPr>
              <w:pStyle w:val="BodyText"/>
              <w:tabs>
                <w:tab w:val="right" w:pos="284"/>
                <w:tab w:val="left" w:pos="438"/>
              </w:tabs>
              <w:ind w:left="437" w:hanging="437"/>
              <w:jc w:val="left"/>
              <w:rPr>
                <w:b w:val="0"/>
                <w:color w:val="0000FF"/>
                <w:sz w:val="26"/>
                <w:szCs w:val="22"/>
                <w:lang w:val="ru-RU"/>
              </w:rPr>
            </w:pPr>
          </w:p>
          <w:p w:rsidR="00000000" w:rsidRDefault="00000000">
            <w:pPr>
              <w:pStyle w:val="BodyText"/>
              <w:tabs>
                <w:tab w:val="right" w:pos="284"/>
                <w:tab w:val="left" w:pos="438"/>
              </w:tabs>
              <w:spacing w:after="40"/>
              <w:ind w:left="437" w:hanging="437"/>
              <w:jc w:val="center"/>
              <w:rPr>
                <w:b w:val="0"/>
                <w:color w:val="0000FF"/>
                <w:sz w:val="40"/>
                <w:szCs w:val="22"/>
                <w:lang w:val="ru-RU"/>
              </w:rPr>
            </w:pPr>
            <w:r>
              <w:rPr>
                <w:b w:val="0"/>
                <w:color w:val="0000FF"/>
                <w:sz w:val="40"/>
                <w:szCs w:val="22"/>
                <w:lang w:val="ru-RU"/>
              </w:rPr>
              <w:t>+</w:t>
            </w:r>
          </w:p>
          <w:p w:rsidR="00000000" w:rsidRDefault="00000000">
            <w:pPr>
              <w:pStyle w:val="BodyText"/>
              <w:tabs>
                <w:tab w:val="right" w:pos="284"/>
                <w:tab w:val="left" w:pos="438"/>
              </w:tabs>
              <w:ind w:left="437" w:hanging="437"/>
              <w:jc w:val="left"/>
              <w:rPr>
                <w:b w:val="0"/>
                <w:color w:val="993366"/>
                <w:sz w:val="26"/>
                <w:szCs w:val="22"/>
                <w:lang w:val="ru-RU"/>
              </w:rPr>
            </w:pPr>
            <w:r>
              <w:rPr>
                <w:b w:val="0"/>
                <w:color w:val="0000FF"/>
                <w:sz w:val="26"/>
                <w:szCs w:val="22"/>
                <w:lang w:val="ru-RU"/>
              </w:rPr>
              <w:tab/>
            </w:r>
            <w:r>
              <w:rPr>
                <w:b w:val="0"/>
                <w:color w:val="0000FF"/>
                <w:sz w:val="26"/>
                <w:szCs w:val="22"/>
                <w:lang w:val="en-US"/>
              </w:rPr>
              <w:t>I</w:t>
            </w:r>
            <w:r>
              <w:rPr>
                <w:b w:val="0"/>
                <w:color w:val="993366"/>
                <w:sz w:val="26"/>
                <w:szCs w:val="22"/>
                <w:lang w:val="en-US"/>
              </w:rPr>
              <w:t>I</w:t>
            </w:r>
            <w:r>
              <w:rPr>
                <w:b w:val="0"/>
                <w:color w:val="993366"/>
                <w:sz w:val="26"/>
                <w:szCs w:val="22"/>
                <w:lang w:val="ru-RU"/>
              </w:rPr>
              <w:t>.</w:t>
            </w:r>
            <w:r>
              <w:rPr>
                <w:b w:val="0"/>
                <w:color w:val="993366"/>
                <w:sz w:val="26"/>
                <w:szCs w:val="22"/>
                <w:lang w:val="ru-RU"/>
              </w:rPr>
              <w:tab/>
              <w:t>Обеспечение возможностей получения доходов</w:t>
            </w:r>
          </w:p>
          <w:p w:rsidR="00000000" w:rsidRDefault="00000000">
            <w:pPr>
              <w:pStyle w:val="BodyText"/>
              <w:tabs>
                <w:tab w:val="right" w:pos="284"/>
                <w:tab w:val="left" w:pos="438"/>
              </w:tabs>
              <w:ind w:left="437" w:hanging="437"/>
              <w:jc w:val="center"/>
              <w:rPr>
                <w:b w:val="0"/>
                <w:color w:val="0000FF"/>
                <w:sz w:val="40"/>
                <w:szCs w:val="22"/>
                <w:lang w:val="ru-RU"/>
              </w:rPr>
            </w:pPr>
            <w:r>
              <w:rPr>
                <w:b w:val="0"/>
                <w:color w:val="0000FF"/>
                <w:sz w:val="40"/>
                <w:szCs w:val="22"/>
                <w:lang w:val="ru-RU"/>
              </w:rPr>
              <w:t>+</w:t>
            </w:r>
          </w:p>
          <w:p w:rsidR="00000000" w:rsidRDefault="00000000">
            <w:pPr>
              <w:pStyle w:val="BodyText"/>
              <w:tabs>
                <w:tab w:val="right" w:pos="284"/>
                <w:tab w:val="left" w:pos="438"/>
              </w:tabs>
              <w:ind w:left="437" w:hanging="437"/>
              <w:jc w:val="left"/>
              <w:rPr>
                <w:b w:val="0"/>
                <w:color w:val="0000FF"/>
                <w:sz w:val="26"/>
                <w:szCs w:val="22"/>
                <w:lang w:val="ru-RU"/>
              </w:rPr>
            </w:pPr>
            <w:r>
              <w:rPr>
                <w:b w:val="0"/>
                <w:color w:val="0000FF"/>
                <w:sz w:val="26"/>
                <w:szCs w:val="22"/>
                <w:lang w:val="ru-RU"/>
              </w:rPr>
              <w:tab/>
            </w:r>
            <w:r>
              <w:rPr>
                <w:b w:val="0"/>
                <w:color w:val="0000FF"/>
                <w:sz w:val="26"/>
                <w:szCs w:val="22"/>
                <w:lang w:val="en-US"/>
              </w:rPr>
              <w:t>I</w:t>
            </w:r>
            <w:r>
              <w:rPr>
                <w:b w:val="0"/>
                <w:color w:val="333300"/>
                <w:sz w:val="26"/>
                <w:szCs w:val="22"/>
                <w:lang w:val="en-US"/>
              </w:rPr>
              <w:t>II</w:t>
            </w:r>
            <w:r>
              <w:rPr>
                <w:b w:val="0"/>
                <w:color w:val="333300"/>
                <w:sz w:val="26"/>
                <w:szCs w:val="22"/>
                <w:lang w:val="ru-RU"/>
              </w:rPr>
              <w:t>.</w:t>
            </w:r>
            <w:r>
              <w:rPr>
                <w:b w:val="0"/>
                <w:color w:val="333300"/>
                <w:sz w:val="26"/>
                <w:szCs w:val="22"/>
                <w:lang w:val="ru-RU"/>
              </w:rPr>
              <w:tab/>
              <w:t>Имущественная обеспеченность</w:t>
            </w:r>
          </w:p>
          <w:p w:rsidR="00000000" w:rsidRDefault="00000000">
            <w:pPr>
              <w:pStyle w:val="BodyText"/>
              <w:tabs>
                <w:tab w:val="right" w:pos="284"/>
                <w:tab w:val="left" w:pos="438"/>
              </w:tabs>
              <w:ind w:left="437" w:hanging="437"/>
              <w:jc w:val="center"/>
              <w:rPr>
                <w:b w:val="0"/>
                <w:color w:val="0000FF"/>
                <w:sz w:val="26"/>
                <w:szCs w:val="22"/>
                <w:lang w:val="ru-RU"/>
              </w:rPr>
            </w:pPr>
            <w:r>
              <w:rPr>
                <w:b w:val="0"/>
                <w:color w:val="0000FF"/>
                <w:sz w:val="40"/>
                <w:szCs w:val="22"/>
                <w:lang w:val="ru-RU"/>
              </w:rPr>
              <w:t>+</w:t>
            </w:r>
          </w:p>
          <w:p w:rsidR="00000000" w:rsidRDefault="00000000">
            <w:pPr>
              <w:pStyle w:val="BodyText"/>
              <w:tabs>
                <w:tab w:val="right" w:pos="284"/>
                <w:tab w:val="left" w:pos="438"/>
              </w:tabs>
              <w:ind w:left="437" w:hanging="437"/>
              <w:jc w:val="left"/>
              <w:rPr>
                <w:b w:val="0"/>
                <w:color w:val="008000"/>
                <w:sz w:val="40"/>
                <w:szCs w:val="22"/>
                <w:lang w:val="ru-RU"/>
              </w:rPr>
            </w:pPr>
            <w:r>
              <w:rPr>
                <w:b w:val="0"/>
                <w:color w:val="0000FF"/>
                <w:sz w:val="26"/>
                <w:szCs w:val="22"/>
                <w:lang w:val="ru-RU"/>
              </w:rPr>
              <w:tab/>
            </w:r>
            <w:r>
              <w:rPr>
                <w:b w:val="0"/>
                <w:color w:val="008000"/>
                <w:sz w:val="26"/>
                <w:szCs w:val="22"/>
                <w:lang w:val="en-US"/>
              </w:rPr>
              <w:t>IV</w:t>
            </w:r>
            <w:r>
              <w:rPr>
                <w:b w:val="0"/>
                <w:color w:val="008000"/>
                <w:sz w:val="26"/>
                <w:szCs w:val="22"/>
                <w:lang w:val="ru-RU"/>
              </w:rPr>
              <w:t>.</w:t>
            </w:r>
            <w:r>
              <w:rPr>
                <w:b w:val="0"/>
                <w:color w:val="008000"/>
                <w:sz w:val="26"/>
                <w:szCs w:val="22"/>
                <w:lang w:val="ru-RU"/>
              </w:rPr>
              <w:tab/>
              <w:t>Обеспечение социальной защиты</w:t>
            </w:r>
          </w:p>
        </w:tc>
        <w:tc>
          <w:tcPr>
            <w:tcW w:w="4414" w:type="dxa"/>
            <w:noWrap/>
            <w:vAlign w:val="center"/>
          </w:tcPr>
          <w:p w:rsidR="00000000" w:rsidRDefault="00000000">
            <w:pPr>
              <w:pStyle w:val="BodyText"/>
              <w:tabs>
                <w:tab w:val="left" w:pos="748"/>
              </w:tabs>
              <w:ind w:left="748" w:hanging="340"/>
              <w:jc w:val="left"/>
              <w:rPr>
                <w:b w:val="0"/>
                <w:color w:val="0000FF"/>
                <w:sz w:val="24"/>
                <w:szCs w:val="22"/>
                <w:lang w:val="ru-RU"/>
              </w:rPr>
            </w:pPr>
            <w:r>
              <w:rPr>
                <w:b w:val="0"/>
                <w:noProof/>
                <w:color w:val="0000FF"/>
                <w:sz w:val="20"/>
                <w:szCs w:val="22"/>
                <w:lang w:val="ru-RU" w:eastAsia="ru-RU"/>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46" type="#_x0000_t87" style="position:absolute;left:0;text-align:left;margin-left:4.1pt;margin-top:2.95pt;width:9.3pt;height:35.05pt;z-index:9;mso-position-horizontal-relative:text;mso-position-vertical-relative:text"/>
              </w:pict>
            </w:r>
            <w:r>
              <w:rPr>
                <w:b w:val="0"/>
                <w:color w:val="0000FF"/>
                <w:sz w:val="24"/>
                <w:szCs w:val="22"/>
                <w:lang w:val="ru-RU"/>
              </w:rPr>
              <w:t>1.</w:t>
            </w:r>
            <w:r>
              <w:rPr>
                <w:b w:val="0"/>
                <w:color w:val="0000FF"/>
                <w:sz w:val="24"/>
                <w:szCs w:val="22"/>
                <w:lang w:val="ru-RU"/>
              </w:rPr>
              <w:tab/>
              <w:t>Образование</w:t>
            </w:r>
          </w:p>
          <w:p w:rsidR="00000000" w:rsidRDefault="00000000">
            <w:pPr>
              <w:pStyle w:val="BodyText"/>
              <w:tabs>
                <w:tab w:val="left" w:pos="748"/>
              </w:tabs>
              <w:ind w:left="748" w:hanging="340"/>
              <w:jc w:val="left"/>
              <w:rPr>
                <w:b w:val="0"/>
                <w:color w:val="0000FF"/>
                <w:sz w:val="24"/>
                <w:szCs w:val="22"/>
                <w:lang w:val="ru-RU"/>
              </w:rPr>
            </w:pPr>
            <w:r>
              <w:rPr>
                <w:b w:val="0"/>
                <w:color w:val="0000FF"/>
                <w:sz w:val="24"/>
                <w:szCs w:val="22"/>
                <w:lang w:val="ru-RU"/>
              </w:rPr>
              <w:t>2.</w:t>
            </w:r>
            <w:r>
              <w:rPr>
                <w:b w:val="0"/>
                <w:color w:val="0000FF"/>
                <w:sz w:val="24"/>
                <w:szCs w:val="22"/>
                <w:lang w:val="ru-RU"/>
              </w:rPr>
              <w:tab/>
              <w:t>Здравоохранение, питание</w:t>
            </w:r>
          </w:p>
          <w:p w:rsidR="00000000" w:rsidRDefault="00000000">
            <w:pPr>
              <w:pStyle w:val="BodyText"/>
              <w:tabs>
                <w:tab w:val="left" w:pos="748"/>
              </w:tabs>
              <w:ind w:left="748" w:hanging="340"/>
              <w:jc w:val="left"/>
              <w:rPr>
                <w:b w:val="0"/>
                <w:color w:val="0000FF"/>
                <w:sz w:val="24"/>
                <w:szCs w:val="22"/>
                <w:lang w:val="ru-RU"/>
              </w:rPr>
            </w:pPr>
            <w:r>
              <w:rPr>
                <w:b w:val="0"/>
                <w:color w:val="0000FF"/>
                <w:sz w:val="24"/>
                <w:szCs w:val="22"/>
                <w:lang w:val="ru-RU"/>
              </w:rPr>
              <w:t>3.</w:t>
            </w:r>
            <w:r>
              <w:rPr>
                <w:b w:val="0"/>
                <w:color w:val="0000FF"/>
                <w:sz w:val="24"/>
                <w:szCs w:val="22"/>
                <w:lang w:val="ru-RU"/>
              </w:rPr>
              <w:tab/>
              <w:t>Профессиональная подготовка</w:t>
            </w:r>
          </w:p>
        </w:tc>
      </w:tr>
      <w:tr w:rsidR="00000000">
        <w:tblPrEx>
          <w:tblCellMar>
            <w:top w:w="0" w:type="dxa"/>
            <w:bottom w:w="0" w:type="dxa"/>
          </w:tblCellMar>
        </w:tblPrEx>
        <w:trPr>
          <w:cantSplit/>
          <w:trHeight w:val="1088"/>
          <w:jc w:val="center"/>
        </w:trPr>
        <w:tc>
          <w:tcPr>
            <w:tcW w:w="4139" w:type="dxa"/>
            <w:vMerge/>
            <w:noWrap/>
            <w:vAlign w:val="center"/>
          </w:tcPr>
          <w:p w:rsidR="00000000" w:rsidRDefault="00000000">
            <w:pPr>
              <w:pStyle w:val="BodyText"/>
              <w:tabs>
                <w:tab w:val="right" w:pos="284"/>
                <w:tab w:val="left" w:pos="438"/>
              </w:tabs>
              <w:ind w:left="437" w:hanging="437"/>
              <w:jc w:val="left"/>
              <w:rPr>
                <w:b w:val="0"/>
                <w:color w:val="0000FF"/>
                <w:sz w:val="26"/>
                <w:szCs w:val="22"/>
                <w:lang w:val="ru-RU"/>
              </w:rPr>
            </w:pPr>
          </w:p>
        </w:tc>
        <w:tc>
          <w:tcPr>
            <w:tcW w:w="4414" w:type="dxa"/>
            <w:noWrap/>
            <w:vAlign w:val="center"/>
          </w:tcPr>
          <w:p w:rsidR="00000000" w:rsidRDefault="00000000">
            <w:pPr>
              <w:pStyle w:val="BodyText"/>
              <w:tabs>
                <w:tab w:val="left" w:pos="748"/>
              </w:tabs>
              <w:spacing w:before="120"/>
              <w:ind w:left="748" w:hanging="340"/>
              <w:jc w:val="left"/>
              <w:rPr>
                <w:b w:val="0"/>
                <w:color w:val="993366"/>
                <w:sz w:val="24"/>
                <w:szCs w:val="22"/>
                <w:lang w:val="ru-RU"/>
              </w:rPr>
            </w:pPr>
            <w:r>
              <w:rPr>
                <w:b w:val="0"/>
                <w:noProof/>
                <w:color w:val="993366"/>
                <w:sz w:val="20"/>
                <w:szCs w:val="22"/>
                <w:lang w:val="ru-RU" w:eastAsia="ru-RU"/>
              </w:rPr>
              <w:pict>
                <v:shape id="_x0000_s1047" type="#_x0000_t87" style="position:absolute;left:0;text-align:left;margin-left:4.25pt;margin-top:9.5pt;width:9.3pt;height:35.75pt;z-index:10;mso-position-horizontal-relative:text;mso-position-vertical-relative:text"/>
              </w:pict>
            </w:r>
            <w:r>
              <w:rPr>
                <w:b w:val="0"/>
                <w:color w:val="993366"/>
                <w:sz w:val="24"/>
                <w:szCs w:val="22"/>
                <w:lang w:val="ru-RU"/>
              </w:rPr>
              <w:t>4.</w:t>
            </w:r>
            <w:r>
              <w:rPr>
                <w:b w:val="0"/>
                <w:color w:val="993366"/>
                <w:sz w:val="24"/>
                <w:szCs w:val="22"/>
                <w:lang w:val="ru-RU"/>
              </w:rPr>
              <w:tab/>
              <w:t>Местное развитие и доступ к кредиту</w:t>
            </w:r>
          </w:p>
          <w:p w:rsidR="00000000" w:rsidRDefault="00000000">
            <w:pPr>
              <w:pStyle w:val="BodyText"/>
              <w:tabs>
                <w:tab w:val="left" w:pos="748"/>
              </w:tabs>
              <w:ind w:left="423"/>
              <w:jc w:val="left"/>
              <w:rPr>
                <w:b w:val="0"/>
                <w:color w:val="0000FF"/>
                <w:sz w:val="24"/>
                <w:szCs w:val="22"/>
                <w:lang w:val="ru-RU"/>
              </w:rPr>
            </w:pPr>
            <w:r>
              <w:rPr>
                <w:b w:val="0"/>
                <w:color w:val="993366"/>
                <w:sz w:val="24"/>
                <w:szCs w:val="22"/>
                <w:lang w:val="ru-RU"/>
              </w:rPr>
              <w:t>5.</w:t>
            </w:r>
            <w:r>
              <w:rPr>
                <w:b w:val="0"/>
                <w:color w:val="993366"/>
                <w:sz w:val="24"/>
                <w:szCs w:val="22"/>
                <w:lang w:val="ru-RU"/>
              </w:rPr>
              <w:tab/>
              <w:t>Создание рабочих мест</w:t>
            </w:r>
          </w:p>
        </w:tc>
      </w:tr>
      <w:tr w:rsidR="00000000">
        <w:tblPrEx>
          <w:tblCellMar>
            <w:top w:w="0" w:type="dxa"/>
            <w:bottom w:w="0" w:type="dxa"/>
          </w:tblCellMar>
        </w:tblPrEx>
        <w:trPr>
          <w:cantSplit/>
          <w:trHeight w:val="1038"/>
          <w:jc w:val="center"/>
        </w:trPr>
        <w:tc>
          <w:tcPr>
            <w:tcW w:w="4139" w:type="dxa"/>
            <w:vMerge/>
            <w:noWrap/>
            <w:vAlign w:val="center"/>
          </w:tcPr>
          <w:p w:rsidR="00000000" w:rsidRDefault="00000000">
            <w:pPr>
              <w:pStyle w:val="BodyText"/>
              <w:tabs>
                <w:tab w:val="right" w:pos="284"/>
                <w:tab w:val="left" w:pos="438"/>
              </w:tabs>
              <w:ind w:left="437" w:hanging="437"/>
              <w:jc w:val="left"/>
              <w:rPr>
                <w:b w:val="0"/>
                <w:color w:val="0000FF"/>
                <w:sz w:val="26"/>
                <w:szCs w:val="22"/>
                <w:lang w:val="ru-RU"/>
              </w:rPr>
            </w:pPr>
          </w:p>
        </w:tc>
        <w:tc>
          <w:tcPr>
            <w:tcW w:w="4414" w:type="dxa"/>
            <w:noWrap/>
          </w:tcPr>
          <w:p w:rsidR="00000000" w:rsidRDefault="00000000">
            <w:pPr>
              <w:pStyle w:val="BodyText"/>
              <w:tabs>
                <w:tab w:val="left" w:pos="748"/>
              </w:tabs>
              <w:spacing w:before="120"/>
              <w:ind w:left="425"/>
              <w:jc w:val="left"/>
              <w:rPr>
                <w:b w:val="0"/>
                <w:color w:val="333300"/>
                <w:sz w:val="24"/>
                <w:szCs w:val="22"/>
                <w:lang w:val="ru-RU"/>
              </w:rPr>
            </w:pPr>
            <w:r>
              <w:rPr>
                <w:b w:val="0"/>
                <w:noProof/>
                <w:color w:val="333300"/>
                <w:sz w:val="20"/>
                <w:szCs w:val="22"/>
                <w:lang w:val="ru-RU" w:eastAsia="ru-RU"/>
              </w:rPr>
              <w:pict>
                <v:shape id="_x0000_s1045" type="#_x0000_t87" style="position:absolute;left:0;text-align:left;margin-left:4.4pt;margin-top:7.95pt;width:9.3pt;height:37.25pt;z-index:8;mso-position-horizontal-relative:text;mso-position-vertical-relative:text"/>
              </w:pict>
            </w:r>
            <w:r>
              <w:rPr>
                <w:b w:val="0"/>
                <w:color w:val="333300"/>
                <w:sz w:val="24"/>
                <w:szCs w:val="22"/>
                <w:lang w:val="ru-RU"/>
              </w:rPr>
              <w:t>6.</w:t>
            </w:r>
            <w:r>
              <w:rPr>
                <w:b w:val="0"/>
                <w:color w:val="333300"/>
                <w:sz w:val="24"/>
                <w:szCs w:val="22"/>
                <w:lang w:val="ru-RU"/>
              </w:rPr>
              <w:tab/>
              <w:t>Жилье</w:t>
            </w:r>
          </w:p>
          <w:p w:rsidR="00000000" w:rsidRDefault="00000000">
            <w:pPr>
              <w:pStyle w:val="BodyText"/>
              <w:tabs>
                <w:tab w:val="left" w:pos="748"/>
              </w:tabs>
              <w:ind w:left="423"/>
              <w:jc w:val="left"/>
              <w:rPr>
                <w:b w:val="0"/>
                <w:color w:val="333300"/>
                <w:sz w:val="24"/>
                <w:szCs w:val="22"/>
                <w:lang w:val="ru-RU"/>
              </w:rPr>
            </w:pPr>
            <w:r>
              <w:rPr>
                <w:b w:val="0"/>
                <w:color w:val="333300"/>
                <w:sz w:val="24"/>
                <w:szCs w:val="22"/>
                <w:lang w:val="ru-RU"/>
              </w:rPr>
              <w:t>7.</w:t>
            </w:r>
            <w:r>
              <w:rPr>
                <w:b w:val="0"/>
                <w:color w:val="333300"/>
                <w:sz w:val="24"/>
                <w:szCs w:val="22"/>
                <w:lang w:val="ru-RU"/>
              </w:rPr>
              <w:tab/>
              <w:t>Накопления</w:t>
            </w:r>
          </w:p>
          <w:p w:rsidR="00000000" w:rsidRDefault="00000000">
            <w:pPr>
              <w:pStyle w:val="BodyText"/>
              <w:tabs>
                <w:tab w:val="left" w:pos="748"/>
              </w:tabs>
              <w:ind w:left="423"/>
              <w:jc w:val="left"/>
              <w:rPr>
                <w:b w:val="0"/>
                <w:color w:val="0000FF"/>
                <w:sz w:val="24"/>
                <w:szCs w:val="22"/>
                <w:lang w:val="ru-RU"/>
              </w:rPr>
            </w:pPr>
            <w:r>
              <w:rPr>
                <w:b w:val="0"/>
                <w:color w:val="333300"/>
                <w:sz w:val="24"/>
                <w:szCs w:val="22"/>
                <w:lang w:val="ru-RU"/>
              </w:rPr>
              <w:t>8.</w:t>
            </w:r>
            <w:r>
              <w:rPr>
                <w:b w:val="0"/>
                <w:color w:val="333300"/>
                <w:sz w:val="24"/>
                <w:szCs w:val="22"/>
                <w:lang w:val="ru-RU"/>
              </w:rPr>
              <w:tab/>
              <w:t>Право собственности</w:t>
            </w:r>
          </w:p>
        </w:tc>
      </w:tr>
      <w:tr w:rsidR="00000000">
        <w:tblPrEx>
          <w:tblCellMar>
            <w:top w:w="0" w:type="dxa"/>
            <w:bottom w:w="0" w:type="dxa"/>
          </w:tblCellMar>
        </w:tblPrEx>
        <w:trPr>
          <w:cantSplit/>
          <w:trHeight w:val="1105"/>
          <w:jc w:val="center"/>
        </w:trPr>
        <w:tc>
          <w:tcPr>
            <w:tcW w:w="4139" w:type="dxa"/>
            <w:vMerge/>
            <w:tcBorders>
              <w:bottom w:val="single" w:sz="4" w:space="0" w:color="auto"/>
            </w:tcBorders>
            <w:noWrap/>
            <w:vAlign w:val="center"/>
          </w:tcPr>
          <w:p w:rsidR="00000000" w:rsidRDefault="00000000">
            <w:pPr>
              <w:pStyle w:val="BodyText"/>
              <w:tabs>
                <w:tab w:val="right" w:pos="284"/>
                <w:tab w:val="left" w:pos="438"/>
              </w:tabs>
              <w:ind w:left="437" w:hanging="437"/>
              <w:jc w:val="left"/>
              <w:rPr>
                <w:b w:val="0"/>
                <w:color w:val="0000FF"/>
                <w:sz w:val="26"/>
                <w:szCs w:val="22"/>
                <w:lang w:val="ru-RU"/>
              </w:rPr>
            </w:pPr>
          </w:p>
        </w:tc>
        <w:tc>
          <w:tcPr>
            <w:tcW w:w="4414" w:type="dxa"/>
            <w:tcBorders>
              <w:bottom w:val="single" w:sz="4" w:space="0" w:color="auto"/>
            </w:tcBorders>
            <w:noWrap/>
          </w:tcPr>
          <w:p w:rsidR="00000000" w:rsidRDefault="00000000">
            <w:pPr>
              <w:pStyle w:val="BodyText"/>
              <w:tabs>
                <w:tab w:val="left" w:pos="829"/>
              </w:tabs>
              <w:spacing w:before="120"/>
              <w:ind w:left="828" w:hanging="391"/>
              <w:jc w:val="left"/>
              <w:rPr>
                <w:b w:val="0"/>
                <w:color w:val="008000"/>
                <w:sz w:val="24"/>
                <w:szCs w:val="22"/>
                <w:lang w:val="ru-RU"/>
              </w:rPr>
            </w:pPr>
            <w:r>
              <w:rPr>
                <w:b w:val="0"/>
                <w:noProof/>
                <w:color w:val="008000"/>
                <w:sz w:val="20"/>
                <w:szCs w:val="22"/>
                <w:lang w:val="ru-RU" w:eastAsia="ru-RU"/>
              </w:rPr>
              <w:pict>
                <v:shape id="_x0000_s1044" type="#_x0000_t87" style="position:absolute;left:0;text-align:left;margin-left:6.9pt;margin-top:9.45pt;width:9.3pt;height:34.6pt;z-index:7;mso-position-horizontal-relative:text;mso-position-vertical-relative:text"/>
              </w:pict>
            </w:r>
            <w:r>
              <w:rPr>
                <w:b w:val="0"/>
                <w:color w:val="008000"/>
                <w:sz w:val="24"/>
                <w:szCs w:val="22"/>
                <w:lang w:val="ru-RU"/>
              </w:rPr>
              <w:t>9.</w:t>
            </w:r>
            <w:r>
              <w:rPr>
                <w:b w:val="0"/>
                <w:color w:val="008000"/>
                <w:sz w:val="24"/>
                <w:szCs w:val="22"/>
                <w:lang w:val="ru-RU"/>
              </w:rPr>
              <w:tab/>
              <w:t>Страхование</w:t>
            </w:r>
          </w:p>
          <w:p w:rsidR="00000000" w:rsidRDefault="00000000">
            <w:pPr>
              <w:pStyle w:val="BodyText"/>
              <w:tabs>
                <w:tab w:val="left" w:pos="829"/>
              </w:tabs>
              <w:ind w:left="829" w:hanging="392"/>
              <w:jc w:val="left"/>
              <w:rPr>
                <w:b w:val="0"/>
                <w:color w:val="008000"/>
                <w:sz w:val="24"/>
                <w:szCs w:val="22"/>
                <w:lang w:val="ru-RU"/>
              </w:rPr>
            </w:pPr>
            <w:r>
              <w:rPr>
                <w:b w:val="0"/>
                <w:color w:val="008000"/>
                <w:sz w:val="24"/>
                <w:szCs w:val="22"/>
                <w:lang w:val="ru-RU"/>
              </w:rPr>
              <w:t>10.</w:t>
            </w:r>
            <w:r>
              <w:rPr>
                <w:b w:val="0"/>
                <w:color w:val="008000"/>
                <w:sz w:val="24"/>
                <w:szCs w:val="22"/>
                <w:lang w:val="ru-RU"/>
              </w:rPr>
              <w:tab/>
              <w:t>Социальное обеспечение</w:t>
            </w:r>
          </w:p>
          <w:p w:rsidR="00000000" w:rsidRDefault="00000000">
            <w:pPr>
              <w:pStyle w:val="BodyText"/>
              <w:tabs>
                <w:tab w:val="left" w:pos="829"/>
              </w:tabs>
              <w:spacing w:after="40"/>
              <w:ind w:left="828" w:hanging="391"/>
              <w:jc w:val="left"/>
              <w:rPr>
                <w:b w:val="0"/>
                <w:color w:val="0000FF"/>
                <w:sz w:val="24"/>
                <w:szCs w:val="22"/>
                <w:lang w:val="ru-RU"/>
              </w:rPr>
            </w:pPr>
            <w:r>
              <w:rPr>
                <w:b w:val="0"/>
                <w:color w:val="008000"/>
                <w:sz w:val="24"/>
                <w:szCs w:val="22"/>
                <w:lang w:val="ru-RU"/>
              </w:rPr>
              <w:t>11.</w:t>
            </w:r>
            <w:r>
              <w:rPr>
                <w:b w:val="0"/>
                <w:color w:val="008000"/>
                <w:sz w:val="24"/>
                <w:szCs w:val="22"/>
                <w:lang w:val="ru-RU"/>
              </w:rPr>
              <w:tab/>
              <w:t>Защита от коллективных рисков</w:t>
            </w:r>
          </w:p>
        </w:tc>
      </w:tr>
    </w:tbl>
    <w:p w:rsidR="00000000" w:rsidRDefault="00000000">
      <w:pPr>
        <w:tabs>
          <w:tab w:val="left" w:pos="748"/>
        </w:tabs>
        <w:spacing w:line="240" w:lineRule="auto"/>
        <w:rPr>
          <w:i/>
          <w:iCs/>
        </w:rPr>
      </w:pPr>
    </w:p>
    <w:p w:rsidR="00000000" w:rsidRDefault="00000000">
      <w:pPr>
        <w:tabs>
          <w:tab w:val="left" w:pos="748"/>
        </w:tabs>
        <w:spacing w:line="240" w:lineRule="auto"/>
        <w:rPr>
          <w:sz w:val="18"/>
        </w:rPr>
      </w:pPr>
      <w:r>
        <w:rPr>
          <w:i/>
          <w:iCs/>
          <w:sz w:val="18"/>
        </w:rPr>
        <w:t>Источник</w:t>
      </w:r>
      <w:r>
        <w:rPr>
          <w:rFonts w:ascii="Arial" w:hAnsi="Arial" w:cs="Arial"/>
          <w:sz w:val="18"/>
        </w:rPr>
        <w:t xml:space="preserve">:  </w:t>
      </w:r>
      <w:r>
        <w:rPr>
          <w:sz w:val="18"/>
        </w:rPr>
        <w:t>МСР.</w:t>
      </w:r>
    </w:p>
    <w:p w:rsidR="00000000" w:rsidRDefault="00000000">
      <w:pPr>
        <w:tabs>
          <w:tab w:val="left" w:pos="748"/>
        </w:tabs>
        <w:spacing w:line="240" w:lineRule="auto"/>
      </w:pPr>
    </w:p>
    <w:p w:rsidR="00000000" w:rsidRDefault="00000000">
      <w:pPr>
        <w:tabs>
          <w:tab w:val="left" w:pos="748"/>
        </w:tabs>
      </w:pPr>
      <w:r>
        <w:t>1089.</w:t>
      </w:r>
      <w:r>
        <w:tab/>
      </w:r>
      <w:r>
        <w:tab/>
        <w:t xml:space="preserve">Программа </w:t>
      </w:r>
      <w:r>
        <w:rPr>
          <w:i/>
        </w:rPr>
        <w:t xml:space="preserve">Солидарность </w:t>
      </w:r>
      <w:r>
        <w:rPr>
          <w:iCs/>
        </w:rPr>
        <w:t xml:space="preserve">зиждется </w:t>
      </w:r>
      <w:r>
        <w:t>на принципах общей ответственности, равенства, комплексности и видения человека, семьи и всего цикла жизни в качестве центрального элемента, определяющего характер того или иного действия.</w:t>
      </w:r>
    </w:p>
    <w:p w:rsidR="00000000" w:rsidRDefault="00000000"/>
    <w:p w:rsidR="00000000" w:rsidRDefault="00000000">
      <w:pPr>
        <w:keepNext/>
        <w:jc w:val="center"/>
      </w:pPr>
      <w:r>
        <w:rPr>
          <w:b/>
          <w:bCs/>
        </w:rPr>
        <w:t>Комплексность:  увязка цикла жизни и реализуемых стратегий</w:t>
      </w:r>
    </w:p>
    <w:p w:rsidR="00000000" w:rsidRDefault="00000000">
      <w:pPr>
        <w:keepNext/>
      </w:pPr>
    </w:p>
    <w:tbl>
      <w:tblPr>
        <w:tblW w:w="0" w:type="auto"/>
        <w:jc w:val="center"/>
        <w:tblBorders>
          <w:top w:val="single" w:sz="4" w:space="0" w:color="auto"/>
        </w:tblBorders>
        <w:tblCellMar>
          <w:left w:w="70" w:type="dxa"/>
          <w:right w:w="70" w:type="dxa"/>
        </w:tblCellMar>
        <w:tblLook w:val="0000" w:firstRow="0" w:lastRow="0" w:firstColumn="0" w:lastColumn="0" w:noHBand="0" w:noVBand="0"/>
      </w:tblPr>
      <w:tblGrid>
        <w:gridCol w:w="8974"/>
      </w:tblGrid>
      <w:tr w:rsidR="00000000">
        <w:tblPrEx>
          <w:tblCellMar>
            <w:top w:w="0" w:type="dxa"/>
            <w:bottom w:w="0" w:type="dxa"/>
          </w:tblCellMar>
        </w:tblPrEx>
        <w:trPr>
          <w:jc w:val="center"/>
        </w:trPr>
        <w:tc>
          <w:tcPr>
            <w:tcW w:w="7630" w:type="dxa"/>
          </w:tcPr>
          <w:bookmarkStart w:id="138" w:name="_MON_1190801357"/>
          <w:bookmarkStart w:id="139" w:name="_MON_1190801719"/>
          <w:bookmarkStart w:id="140" w:name="_MON_1190801970"/>
          <w:bookmarkStart w:id="141" w:name="_MON_1205757797"/>
          <w:bookmarkStart w:id="142" w:name="_MON_1205757832"/>
          <w:bookmarkStart w:id="143" w:name="_MON_1205759834"/>
          <w:bookmarkStart w:id="144" w:name="_MON_1205759942"/>
          <w:bookmarkStart w:id="145" w:name="_MON_1205759993"/>
          <w:bookmarkStart w:id="146" w:name="_MON_1205819586"/>
          <w:bookmarkStart w:id="147" w:name="_MON_1205819668"/>
          <w:bookmarkStart w:id="148" w:name="_MON_1206183864"/>
          <w:bookmarkEnd w:id="138"/>
          <w:bookmarkEnd w:id="139"/>
          <w:bookmarkEnd w:id="140"/>
          <w:bookmarkEnd w:id="141"/>
          <w:bookmarkEnd w:id="142"/>
          <w:bookmarkEnd w:id="143"/>
          <w:bookmarkEnd w:id="144"/>
          <w:bookmarkEnd w:id="145"/>
          <w:bookmarkEnd w:id="146"/>
          <w:bookmarkEnd w:id="147"/>
          <w:bookmarkEnd w:id="148"/>
          <w:p w:rsidR="00000000" w:rsidRDefault="00000000">
            <w:pPr>
              <w:keepNext/>
              <w:spacing w:after="240"/>
              <w:rPr>
                <w:szCs w:val="22"/>
                <w:lang w:val="en-US"/>
              </w:rPr>
            </w:pPr>
            <w:r>
              <w:rPr>
                <w:lang w:val="en-US"/>
              </w:rPr>
              <w:object w:dxaOrig="7141" w:dyaOrig="5566">
                <v:shape id="_x0000_i1040" type="#_x0000_t75" style="width:441.75pt;height:344.25pt" o:ole="">
                  <v:imagedata r:id="rId186" o:title="" gain="86232f" blacklevel="11796f" grayscale="t"/>
                </v:shape>
                <o:OLEObject Type="Embed" ProgID="Word.Picture.8" ShapeID="_x0000_i1040" DrawAspect="Content" ObjectID="_1394895095" r:id="rId187"/>
              </w:object>
            </w:r>
          </w:p>
        </w:tc>
      </w:tr>
    </w:tbl>
    <w:p w:rsidR="00000000" w:rsidRDefault="00000000">
      <w:pPr>
        <w:rPr>
          <w:sz w:val="18"/>
          <w:szCs w:val="22"/>
        </w:rPr>
      </w:pPr>
      <w:r>
        <w:rPr>
          <w:i/>
          <w:iCs/>
          <w:sz w:val="18"/>
          <w:szCs w:val="22"/>
        </w:rPr>
        <w:t>Источник</w:t>
      </w:r>
      <w:r>
        <w:rPr>
          <w:sz w:val="18"/>
          <w:szCs w:val="22"/>
        </w:rPr>
        <w:t>:  МСР.</w:t>
      </w:r>
    </w:p>
    <w:p w:rsidR="00000000" w:rsidRDefault="00000000"/>
    <w:p w:rsidR="00000000" w:rsidRDefault="00000000">
      <w:pPr>
        <w:keepNext/>
        <w:rPr>
          <w:b/>
          <w:bCs/>
        </w:rPr>
      </w:pPr>
      <w:r>
        <w:rPr>
          <w:b/>
          <w:bCs/>
        </w:rPr>
        <w:tab/>
        <w:t>Программы</w:t>
      </w:r>
    </w:p>
    <w:p w:rsidR="00000000" w:rsidRDefault="00000000">
      <w:pPr>
        <w:keepNext/>
      </w:pPr>
    </w:p>
    <w:p w:rsidR="00000000" w:rsidRDefault="00000000">
      <w:pPr>
        <w:tabs>
          <w:tab w:val="clear" w:pos="567"/>
          <w:tab w:val="left" w:pos="748"/>
        </w:tabs>
      </w:pPr>
      <w:r>
        <w:t>1090.</w:t>
      </w:r>
      <w:r>
        <w:tab/>
        <w:t xml:space="preserve">Стратегия </w:t>
      </w:r>
      <w:r>
        <w:rPr>
          <w:i/>
        </w:rPr>
        <w:t>Солидарность</w:t>
      </w:r>
      <w:r>
        <w:rPr>
          <w:iCs/>
        </w:rPr>
        <w:t xml:space="preserve"> способствует </w:t>
      </w:r>
      <w:r>
        <w:t>координации усилий всех министерств и ведомств социальной ориентации на федеральном уровне.  Тем самым обеспечиваются условия для взаимного сочетания всех предпринимаемых действий, корректировки или усиления уже существующих программ, устранения тех элементов, которые не способствуют реализации данной стратегии, а также для разработки новых направлений, которые были упущены из виду.  Во избежание дублирования усилий и использования эффекта синергии делается все возможное для расширения охвата социальных программ.</w:t>
      </w:r>
    </w:p>
    <w:p w:rsidR="00000000" w:rsidRDefault="00000000">
      <w:pPr>
        <w:tabs>
          <w:tab w:val="clear" w:pos="567"/>
          <w:tab w:val="left" w:pos="748"/>
        </w:tabs>
      </w:pPr>
    </w:p>
    <w:p w:rsidR="00000000" w:rsidRDefault="00000000">
      <w:pPr>
        <w:tabs>
          <w:tab w:val="clear" w:pos="567"/>
          <w:tab w:val="left" w:pos="748"/>
        </w:tabs>
      </w:pPr>
      <w:r>
        <w:t>1091.</w:t>
      </w:r>
      <w:r>
        <w:tab/>
      </w:r>
      <w:r>
        <w:rPr>
          <w:i/>
        </w:rPr>
        <w:t xml:space="preserve">Солидарность </w:t>
      </w:r>
      <w:r>
        <w:t xml:space="preserve">объединяет большое число программ.  Ниже рассматриваются некоторые из входящих в стратегию </w:t>
      </w:r>
      <w:r>
        <w:rPr>
          <w:i/>
        </w:rPr>
        <w:t>Солидарность</w:t>
      </w:r>
      <w:r>
        <w:rPr>
          <w:iCs/>
        </w:rPr>
        <w:t xml:space="preserve"> </w:t>
      </w:r>
      <w:r>
        <w:t>программ, реализуемых по линии министерства социального развития.  Этими программами предусматривается широкое участие гражданского общества.</w:t>
      </w:r>
    </w:p>
    <w:p w:rsidR="00000000" w:rsidRDefault="00000000">
      <w:pPr>
        <w:tabs>
          <w:tab w:val="clear" w:pos="567"/>
          <w:tab w:val="left" w:pos="748"/>
        </w:tabs>
      </w:pPr>
    </w:p>
    <w:p w:rsidR="00000000" w:rsidRDefault="00000000">
      <w:pPr>
        <w:keepNext/>
        <w:tabs>
          <w:tab w:val="clear" w:pos="567"/>
          <w:tab w:val="left" w:pos="748"/>
        </w:tabs>
        <w:rPr>
          <w:b/>
          <w:bCs/>
        </w:rPr>
      </w:pPr>
      <w:r>
        <w:rPr>
          <w:b/>
          <w:bCs/>
        </w:rPr>
        <w:tab/>
        <w:t>Программа обеспечения возможностей</w:t>
      </w:r>
    </w:p>
    <w:p w:rsidR="00000000" w:rsidRDefault="00000000">
      <w:pPr>
        <w:keepNext/>
        <w:tabs>
          <w:tab w:val="clear" w:pos="567"/>
          <w:tab w:val="left" w:pos="748"/>
        </w:tabs>
      </w:pPr>
    </w:p>
    <w:p w:rsidR="00000000" w:rsidRDefault="00000000">
      <w:pPr>
        <w:tabs>
          <w:tab w:val="clear" w:pos="567"/>
          <w:tab w:val="left" w:pos="748"/>
        </w:tabs>
      </w:pPr>
      <w:r>
        <w:t>1092.</w:t>
      </w:r>
      <w:r>
        <w:tab/>
        <w:t xml:space="preserve">В рамках стратегии </w:t>
      </w:r>
      <w:r>
        <w:rPr>
          <w:i/>
          <w:iCs/>
        </w:rPr>
        <w:t>Солидарность</w:t>
      </w:r>
      <w:r>
        <w:t xml:space="preserve"> МСР координирует осуществление Программы человеческого развития "Возможности", которая связана с двумя из четырех главных направлений стратегии - </w:t>
      </w:r>
      <w:r>
        <w:rPr>
          <w:i/>
        </w:rPr>
        <w:t>наращиванием возможностей и созданием условий выбора для семьи</w:t>
      </w:r>
      <w:r>
        <w:t>.  Программа "Возможности" призвана в первую очередь оказывать содействие семьям, которые живут в условиях крайней нищеты, в целях развития способностей их членов, а также создания новых путей достижения ими более высокого уровня благосостояния на основе предоставления дополнительных возможностей в плане образования, охраны здоровья и питания.  Кроме того, благодаря этой программе расширяются возможности получения новых видов услуг и участия в новых программах развития, способных улучшить их социально-экономические условия и качество жизни.</w:t>
      </w:r>
    </w:p>
    <w:p w:rsidR="00000000" w:rsidRDefault="00000000">
      <w:pPr>
        <w:tabs>
          <w:tab w:val="clear" w:pos="567"/>
          <w:tab w:val="left" w:pos="748"/>
        </w:tabs>
      </w:pPr>
    </w:p>
    <w:p w:rsidR="00000000" w:rsidRDefault="00000000">
      <w:pPr>
        <w:tabs>
          <w:tab w:val="clear" w:pos="567"/>
          <w:tab w:val="left" w:pos="748"/>
        </w:tabs>
      </w:pPr>
      <w:r>
        <w:t>1093.</w:t>
      </w:r>
      <w:r>
        <w:tab/>
        <w:t>Программа "Возможности" ориентирована на следующее:</w:t>
      </w:r>
    </w:p>
    <w:p w:rsidR="00000000" w:rsidRDefault="00000000">
      <w:pPr>
        <w:tabs>
          <w:tab w:val="clear" w:pos="567"/>
          <w:tab w:val="left" w:pos="748"/>
        </w:tabs>
      </w:pPr>
    </w:p>
    <w:p w:rsidR="00000000" w:rsidRDefault="00000000">
      <w:pPr>
        <w:numPr>
          <w:ilvl w:val="0"/>
          <w:numId w:val="518"/>
        </w:numPr>
        <w:tabs>
          <w:tab w:val="clear" w:pos="567"/>
        </w:tabs>
        <w:ind w:hanging="541"/>
      </w:pPr>
      <w:r>
        <w:t>посредством широкого комплекса мероприятий способствовать  развитию личности;</w:t>
      </w:r>
    </w:p>
    <w:p w:rsidR="00000000" w:rsidRDefault="00000000">
      <w:pPr>
        <w:tabs>
          <w:tab w:val="clear" w:pos="567"/>
        </w:tabs>
        <w:ind w:left="181" w:hanging="541"/>
      </w:pPr>
    </w:p>
    <w:p w:rsidR="00000000" w:rsidRDefault="00000000">
      <w:pPr>
        <w:numPr>
          <w:ilvl w:val="0"/>
          <w:numId w:val="516"/>
        </w:numPr>
        <w:tabs>
          <w:tab w:val="clear" w:pos="567"/>
        </w:tabs>
        <w:ind w:hanging="541"/>
      </w:pPr>
      <w:r>
        <w:t>стимулировать развитие потенциала людей;</w:t>
      </w:r>
    </w:p>
    <w:p w:rsidR="00000000" w:rsidRDefault="00000000">
      <w:pPr>
        <w:tabs>
          <w:tab w:val="clear" w:pos="567"/>
        </w:tabs>
        <w:ind w:left="181" w:hanging="541"/>
      </w:pPr>
    </w:p>
    <w:p w:rsidR="00000000" w:rsidRDefault="00000000">
      <w:pPr>
        <w:numPr>
          <w:ilvl w:val="0"/>
          <w:numId w:val="516"/>
        </w:numPr>
        <w:tabs>
          <w:tab w:val="clear" w:pos="567"/>
        </w:tabs>
        <w:ind w:hanging="541"/>
      </w:pPr>
      <w:r>
        <w:t>заботиться о семьях, находящихся в состоянии крайней нищеты;</w:t>
      </w:r>
    </w:p>
    <w:p w:rsidR="00000000" w:rsidRDefault="00000000">
      <w:pPr>
        <w:tabs>
          <w:tab w:val="clear" w:pos="567"/>
        </w:tabs>
        <w:ind w:left="181" w:hanging="541"/>
      </w:pPr>
    </w:p>
    <w:p w:rsidR="00000000" w:rsidRDefault="00000000">
      <w:pPr>
        <w:numPr>
          <w:ilvl w:val="0"/>
          <w:numId w:val="516"/>
        </w:numPr>
        <w:tabs>
          <w:tab w:val="clear" w:pos="567"/>
        </w:tabs>
        <w:ind w:hanging="541"/>
      </w:pPr>
      <w:r>
        <w:t>делать акцент на семью и крепить социальную ткань и дух коллективизма;</w:t>
      </w:r>
    </w:p>
    <w:p w:rsidR="00000000" w:rsidRDefault="00000000">
      <w:pPr>
        <w:tabs>
          <w:tab w:val="clear" w:pos="567"/>
        </w:tabs>
        <w:ind w:left="181" w:hanging="541"/>
      </w:pPr>
    </w:p>
    <w:p w:rsidR="00000000" w:rsidRDefault="00000000">
      <w:pPr>
        <w:numPr>
          <w:ilvl w:val="0"/>
          <w:numId w:val="516"/>
        </w:numPr>
        <w:tabs>
          <w:tab w:val="clear" w:pos="567"/>
        </w:tabs>
        <w:ind w:hanging="541"/>
      </w:pPr>
      <w:r>
        <w:t>действовать в духе транспарентности и подотчетности;</w:t>
      </w:r>
    </w:p>
    <w:p w:rsidR="00000000" w:rsidRDefault="00000000">
      <w:pPr>
        <w:tabs>
          <w:tab w:val="clear" w:pos="567"/>
        </w:tabs>
        <w:ind w:left="181" w:hanging="541"/>
      </w:pPr>
    </w:p>
    <w:p w:rsidR="00000000" w:rsidRDefault="00000000">
      <w:pPr>
        <w:numPr>
          <w:ilvl w:val="0"/>
          <w:numId w:val="516"/>
        </w:numPr>
        <w:tabs>
          <w:tab w:val="clear" w:pos="567"/>
        </w:tabs>
        <w:ind w:hanging="541"/>
      </w:pPr>
      <w:r>
        <w:t>подчеркивать гендерный аспект и способствовать выдвижению лидеров из числа женщин;</w:t>
      </w:r>
    </w:p>
    <w:p w:rsidR="00000000" w:rsidRDefault="00000000">
      <w:pPr>
        <w:tabs>
          <w:tab w:val="clear" w:pos="567"/>
        </w:tabs>
        <w:ind w:left="181" w:hanging="541"/>
      </w:pPr>
    </w:p>
    <w:p w:rsidR="00000000" w:rsidRDefault="00000000">
      <w:pPr>
        <w:numPr>
          <w:ilvl w:val="0"/>
          <w:numId w:val="516"/>
        </w:numPr>
        <w:tabs>
          <w:tab w:val="clear" w:pos="567"/>
        </w:tabs>
        <w:ind w:hanging="541"/>
      </w:pPr>
      <w:r>
        <w:t>укреплять взаимную ответственность;</w:t>
      </w:r>
    </w:p>
    <w:p w:rsidR="00000000" w:rsidRDefault="00000000">
      <w:pPr>
        <w:tabs>
          <w:tab w:val="clear" w:pos="567"/>
        </w:tabs>
        <w:ind w:left="181" w:hanging="541"/>
      </w:pPr>
    </w:p>
    <w:p w:rsidR="00000000" w:rsidRDefault="00000000">
      <w:pPr>
        <w:numPr>
          <w:ilvl w:val="0"/>
          <w:numId w:val="516"/>
        </w:numPr>
        <w:tabs>
          <w:tab w:val="clear" w:pos="567"/>
        </w:tabs>
        <w:ind w:hanging="541"/>
      </w:pPr>
      <w:r>
        <w:t>вовлекать все общество в решение задач по преодолению бедности;</w:t>
      </w:r>
    </w:p>
    <w:p w:rsidR="00000000" w:rsidRDefault="00000000">
      <w:pPr>
        <w:tabs>
          <w:tab w:val="clear" w:pos="567"/>
        </w:tabs>
        <w:ind w:left="181" w:hanging="541"/>
      </w:pPr>
    </w:p>
    <w:p w:rsidR="00000000" w:rsidRDefault="00000000">
      <w:pPr>
        <w:numPr>
          <w:ilvl w:val="0"/>
          <w:numId w:val="516"/>
        </w:numPr>
        <w:tabs>
          <w:tab w:val="clear" w:pos="567"/>
        </w:tabs>
        <w:ind w:hanging="541"/>
      </w:pPr>
      <w:r>
        <w:t>опираться на межведомственное и межсекторальное взаимодействие;</w:t>
      </w:r>
    </w:p>
    <w:p w:rsidR="00000000" w:rsidRDefault="00000000">
      <w:pPr>
        <w:numPr>
          <w:ilvl w:val="0"/>
          <w:numId w:val="516"/>
        </w:numPr>
        <w:tabs>
          <w:tab w:val="clear" w:pos="567"/>
        </w:tabs>
        <w:ind w:hanging="541"/>
      </w:pPr>
      <w:r>
        <w:t>взаимодействовать с другими социальными программами;</w:t>
      </w:r>
    </w:p>
    <w:p w:rsidR="00000000" w:rsidRDefault="00000000">
      <w:pPr>
        <w:tabs>
          <w:tab w:val="clear" w:pos="567"/>
          <w:tab w:val="left" w:pos="748"/>
        </w:tabs>
        <w:ind w:left="181"/>
      </w:pPr>
    </w:p>
    <w:p w:rsidR="00000000" w:rsidRDefault="00000000">
      <w:pPr>
        <w:numPr>
          <w:ilvl w:val="0"/>
          <w:numId w:val="516"/>
        </w:numPr>
        <w:tabs>
          <w:tab w:val="clear" w:pos="567"/>
        </w:tabs>
        <w:ind w:hanging="541"/>
      </w:pPr>
      <w:r>
        <w:t>постоянно контролировать ход осуществления стратегии и оценивать достигнутые результаты.</w:t>
      </w:r>
    </w:p>
    <w:p w:rsidR="00000000" w:rsidRDefault="00000000"/>
    <w:p w:rsidR="00000000" w:rsidRDefault="00000000">
      <w:pPr>
        <w:tabs>
          <w:tab w:val="clear" w:pos="567"/>
          <w:tab w:val="left" w:pos="748"/>
        </w:tabs>
      </w:pPr>
      <w:r>
        <w:t>1094.</w:t>
      </w:r>
      <w:r>
        <w:tab/>
        <w:t>Виды помощи, предоставляемой по линии программы "Возможности":</w:t>
      </w:r>
    </w:p>
    <w:p w:rsidR="00000000" w:rsidRDefault="00000000">
      <w:pPr>
        <w:tabs>
          <w:tab w:val="clear" w:pos="567"/>
          <w:tab w:val="left" w:pos="748"/>
        </w:tabs>
      </w:pPr>
    </w:p>
    <w:p w:rsidR="00000000" w:rsidRDefault="00000000">
      <w:pPr>
        <w:numPr>
          <w:ilvl w:val="0"/>
          <w:numId w:val="516"/>
        </w:numPr>
        <w:tabs>
          <w:tab w:val="clear" w:pos="567"/>
        </w:tabs>
        <w:ind w:hanging="541"/>
      </w:pPr>
      <w:r>
        <w:t>образовательные стипендии для детей и подростков из охватываемых семей, обеспечивающие возможность посещать школу от третьего класса начального до последнего класса среднего высшего образования;</w:t>
      </w:r>
    </w:p>
    <w:p w:rsidR="00000000" w:rsidRDefault="00000000">
      <w:pPr>
        <w:tabs>
          <w:tab w:val="clear" w:pos="567"/>
        </w:tabs>
      </w:pPr>
    </w:p>
    <w:p w:rsidR="00000000" w:rsidRDefault="00000000">
      <w:pPr>
        <w:numPr>
          <w:ilvl w:val="0"/>
          <w:numId w:val="516"/>
        </w:numPr>
        <w:tabs>
          <w:tab w:val="clear" w:pos="567"/>
        </w:tabs>
        <w:ind w:hanging="541"/>
      </w:pPr>
      <w:r>
        <w:t>материальная помощь на приобретение школьных принадлежностей;</w:t>
      </w:r>
    </w:p>
    <w:p w:rsidR="00000000" w:rsidRDefault="00000000">
      <w:pPr>
        <w:tabs>
          <w:tab w:val="clear" w:pos="567"/>
        </w:tabs>
      </w:pPr>
    </w:p>
    <w:p w:rsidR="00000000" w:rsidRDefault="00000000">
      <w:pPr>
        <w:numPr>
          <w:ilvl w:val="0"/>
          <w:numId w:val="516"/>
        </w:numPr>
        <w:tabs>
          <w:tab w:val="clear" w:pos="567"/>
        </w:tabs>
        <w:ind w:hanging="541"/>
      </w:pPr>
      <w:r>
        <w:t>базовый пакет бесплатных медицинских услуг для всех членов семьи;</w:t>
      </w:r>
    </w:p>
    <w:p w:rsidR="00000000" w:rsidRDefault="00000000">
      <w:pPr>
        <w:tabs>
          <w:tab w:val="clear" w:pos="567"/>
        </w:tabs>
      </w:pPr>
    </w:p>
    <w:p w:rsidR="00000000" w:rsidRDefault="00000000">
      <w:pPr>
        <w:numPr>
          <w:ilvl w:val="0"/>
          <w:numId w:val="516"/>
        </w:numPr>
        <w:tabs>
          <w:tab w:val="clear" w:pos="567"/>
        </w:tabs>
        <w:ind w:hanging="541"/>
      </w:pPr>
      <w:r>
        <w:t>беседы по вопросам здоровья, питания и гигиены, цель которых - воспитание культуры внимания к своему здоровью;</w:t>
      </w:r>
    </w:p>
    <w:p w:rsidR="00000000" w:rsidRDefault="00000000">
      <w:pPr>
        <w:tabs>
          <w:tab w:val="clear" w:pos="567"/>
        </w:tabs>
      </w:pPr>
    </w:p>
    <w:p w:rsidR="00000000" w:rsidRDefault="00000000">
      <w:pPr>
        <w:numPr>
          <w:ilvl w:val="0"/>
          <w:numId w:val="516"/>
        </w:numPr>
        <w:tabs>
          <w:tab w:val="clear" w:pos="567"/>
        </w:tabs>
        <w:ind w:hanging="541"/>
      </w:pPr>
      <w:r>
        <w:t>дополнительное питание для детей в возрасте от 4 месяцев до 2 лет, для детей в возрасте от 2 до 5 лет с признаками недоедания и истощения и для беременных или кормящих женщин;</w:t>
      </w:r>
    </w:p>
    <w:p w:rsidR="00000000" w:rsidRDefault="00000000">
      <w:pPr>
        <w:tabs>
          <w:tab w:val="clear" w:pos="567"/>
        </w:tabs>
      </w:pPr>
    </w:p>
    <w:p w:rsidR="00000000" w:rsidRDefault="00000000">
      <w:pPr>
        <w:numPr>
          <w:ilvl w:val="0"/>
          <w:numId w:val="516"/>
        </w:numPr>
        <w:tabs>
          <w:tab w:val="clear" w:pos="567"/>
        </w:tabs>
        <w:ind w:hanging="541"/>
      </w:pPr>
      <w:r>
        <w:t>материальная помощь для поддержания семейного бюджета и обеспечения лучшего питания.</w:t>
      </w:r>
    </w:p>
    <w:p w:rsidR="00000000" w:rsidRDefault="00000000">
      <w:pPr>
        <w:tabs>
          <w:tab w:val="clear" w:pos="567"/>
        </w:tabs>
      </w:pPr>
    </w:p>
    <w:p w:rsidR="00000000" w:rsidRDefault="00000000">
      <w:pPr>
        <w:tabs>
          <w:tab w:val="clear" w:pos="567"/>
          <w:tab w:val="left" w:pos="748"/>
        </w:tabs>
      </w:pPr>
      <w:r>
        <w:t>1095.</w:t>
      </w:r>
      <w:r>
        <w:tab/>
        <w:t>Программа "Возможности" реально продемонстрировала свою действенность в деле борьбе с бедностью и маргинализацией, дав бедным слоям населения новые надежды.  Кроме того, она позволила постоянно наращивать как количество населенных пунктов, до которых дошла эта помощь, так и сумму выделяемых на программу бюджетных средств.  К концу 2003 года программой были охвачены порядка 4 240 000</w:t>
      </w:r>
      <w:r>
        <w:rPr>
          <w:lang w:val="en-US"/>
        </w:rPr>
        <w:t> </w:t>
      </w:r>
      <w:r>
        <w:t>семей в 70 520 населенных пунктах.  Охватываемый программой контингент достигает 22 млн. человек, причем помощь предоставляется четырем из пяти семей, живущих в нищете по признаку обеспеченности питанием, и двум из трех семей, живущих в условиях недостаточного развития возможностей.</w:t>
      </w:r>
    </w:p>
    <w:p w:rsidR="00000000" w:rsidRDefault="00000000">
      <w:pPr>
        <w:tabs>
          <w:tab w:val="clear" w:pos="567"/>
          <w:tab w:val="left" w:pos="748"/>
        </w:tabs>
      </w:pPr>
    </w:p>
    <w:p w:rsidR="00000000" w:rsidRDefault="00000000">
      <w:pPr>
        <w:tabs>
          <w:tab w:val="clear" w:pos="567"/>
          <w:tab w:val="left" w:pos="748"/>
        </w:tabs>
      </w:pPr>
      <w:r>
        <w:t>1096.</w:t>
      </w:r>
      <w:r>
        <w:tab/>
        <w:t>Цель, которую ставит перед собой МСР на 2004 год, заключается в доведении числа семей, охватываемых по линии программы "Возможности", до 5 млн., что позволит охватить почти 100% охват семей, живущих в условиях пищевой бедности.</w:t>
      </w:r>
    </w:p>
    <w:p w:rsidR="00000000" w:rsidRDefault="00000000">
      <w:pPr>
        <w:tabs>
          <w:tab w:val="clear" w:pos="567"/>
          <w:tab w:val="left" w:pos="748"/>
        </w:tabs>
      </w:pPr>
    </w:p>
    <w:p w:rsidR="00000000" w:rsidRDefault="00000000">
      <w:pPr>
        <w:tabs>
          <w:tab w:val="clear" w:pos="567"/>
          <w:tab w:val="left" w:pos="748"/>
        </w:tabs>
      </w:pPr>
      <w:r>
        <w:t>1097.</w:t>
      </w:r>
      <w:r>
        <w:tab/>
        <w:t>О позитивных результатах осуществления этой Программы с момента ее введение в действие в 1997 году можно судить по данным, приведенным в таблице ниже.</w:t>
      </w:r>
    </w:p>
    <w:p w:rsidR="00000000" w:rsidRDefault="00000000"/>
    <w:p w:rsidR="00000000" w:rsidRDefault="00000000">
      <w:pPr>
        <w:keepNext/>
        <w:jc w:val="center"/>
        <w:rPr>
          <w:szCs w:val="22"/>
          <w:lang w:val="en-US"/>
        </w:rPr>
      </w:pPr>
      <w:r>
        <w:rPr>
          <w:b/>
          <w:bCs/>
          <w:szCs w:val="22"/>
        </w:rPr>
        <w:t>Охват по линии Программы обеспечения возможностей</w:t>
      </w:r>
    </w:p>
    <w:tbl>
      <w:tblPr>
        <w:tblW w:w="0" w:type="auto"/>
        <w:tblInd w:w="57" w:type="dxa"/>
        <w:tblLayout w:type="fixed"/>
        <w:tblCellMar>
          <w:top w:w="28" w:type="dxa"/>
          <w:left w:w="57" w:type="dxa"/>
          <w:bottom w:w="28" w:type="dxa"/>
          <w:right w:w="57" w:type="dxa"/>
        </w:tblCellMar>
        <w:tblLook w:val="0000" w:firstRow="0" w:lastRow="0" w:firstColumn="0" w:lastColumn="0" w:noHBand="0" w:noVBand="0"/>
      </w:tblPr>
      <w:tblGrid>
        <w:gridCol w:w="3556"/>
        <w:gridCol w:w="826"/>
        <w:gridCol w:w="784"/>
        <w:gridCol w:w="867"/>
        <w:gridCol w:w="812"/>
        <w:gridCol w:w="812"/>
        <w:gridCol w:w="826"/>
        <w:gridCol w:w="882"/>
      </w:tblGrid>
      <w:tr w:rsidR="00000000">
        <w:trPr>
          <w:cantSplit/>
          <w:tblHeader/>
        </w:trPr>
        <w:tc>
          <w:tcPr>
            <w:tcW w:w="3556" w:type="dxa"/>
            <w:tcBorders>
              <w:top w:val="single" w:sz="4" w:space="0" w:color="auto"/>
              <w:bottom w:val="single" w:sz="4" w:space="0" w:color="auto"/>
            </w:tcBorders>
            <w:vAlign w:val="center"/>
          </w:tcPr>
          <w:p w:rsidR="00000000" w:rsidRDefault="00000000">
            <w:pPr>
              <w:keepNext/>
              <w:spacing w:line="240" w:lineRule="auto"/>
              <w:jc w:val="center"/>
              <w:rPr>
                <w:i/>
                <w:iCs/>
                <w:sz w:val="18"/>
                <w:szCs w:val="22"/>
              </w:rPr>
            </w:pPr>
          </w:p>
        </w:tc>
        <w:tc>
          <w:tcPr>
            <w:tcW w:w="826" w:type="dxa"/>
            <w:tcBorders>
              <w:top w:val="single" w:sz="4" w:space="0" w:color="auto"/>
              <w:bottom w:val="single" w:sz="4" w:space="0" w:color="auto"/>
            </w:tcBorders>
            <w:vAlign w:val="center"/>
          </w:tcPr>
          <w:p w:rsidR="00000000" w:rsidRDefault="00000000">
            <w:pPr>
              <w:keepNext/>
              <w:spacing w:line="240" w:lineRule="auto"/>
              <w:jc w:val="center"/>
              <w:rPr>
                <w:i/>
                <w:iCs/>
                <w:sz w:val="18"/>
                <w:szCs w:val="22"/>
              </w:rPr>
            </w:pPr>
            <w:r>
              <w:rPr>
                <w:i/>
                <w:iCs/>
                <w:sz w:val="18"/>
                <w:szCs w:val="22"/>
              </w:rPr>
              <w:t>1997 год</w:t>
            </w:r>
          </w:p>
        </w:tc>
        <w:tc>
          <w:tcPr>
            <w:tcW w:w="784" w:type="dxa"/>
            <w:tcBorders>
              <w:top w:val="single" w:sz="4" w:space="0" w:color="auto"/>
              <w:bottom w:val="single" w:sz="4" w:space="0" w:color="auto"/>
            </w:tcBorders>
            <w:vAlign w:val="center"/>
          </w:tcPr>
          <w:p w:rsidR="00000000" w:rsidRDefault="00000000">
            <w:pPr>
              <w:keepNext/>
              <w:spacing w:line="240" w:lineRule="auto"/>
              <w:jc w:val="center"/>
              <w:rPr>
                <w:i/>
                <w:iCs/>
                <w:sz w:val="18"/>
                <w:szCs w:val="22"/>
              </w:rPr>
            </w:pPr>
            <w:r>
              <w:rPr>
                <w:i/>
                <w:iCs/>
                <w:sz w:val="18"/>
                <w:szCs w:val="22"/>
              </w:rPr>
              <w:t>1998 год</w:t>
            </w:r>
          </w:p>
        </w:tc>
        <w:tc>
          <w:tcPr>
            <w:tcW w:w="867" w:type="dxa"/>
            <w:tcBorders>
              <w:top w:val="single" w:sz="4" w:space="0" w:color="auto"/>
              <w:bottom w:val="single" w:sz="4" w:space="0" w:color="auto"/>
            </w:tcBorders>
            <w:vAlign w:val="center"/>
          </w:tcPr>
          <w:p w:rsidR="00000000" w:rsidRDefault="00000000">
            <w:pPr>
              <w:keepNext/>
              <w:spacing w:line="240" w:lineRule="auto"/>
              <w:jc w:val="center"/>
              <w:rPr>
                <w:i/>
                <w:iCs/>
                <w:sz w:val="18"/>
                <w:szCs w:val="22"/>
              </w:rPr>
            </w:pPr>
            <w:r>
              <w:rPr>
                <w:i/>
                <w:iCs/>
                <w:sz w:val="18"/>
                <w:szCs w:val="22"/>
              </w:rPr>
              <w:t>1999 год</w:t>
            </w:r>
          </w:p>
        </w:tc>
        <w:tc>
          <w:tcPr>
            <w:tcW w:w="812" w:type="dxa"/>
            <w:tcBorders>
              <w:top w:val="single" w:sz="4" w:space="0" w:color="auto"/>
              <w:bottom w:val="single" w:sz="4" w:space="0" w:color="auto"/>
            </w:tcBorders>
            <w:vAlign w:val="center"/>
          </w:tcPr>
          <w:p w:rsidR="00000000" w:rsidRDefault="00000000">
            <w:pPr>
              <w:keepNext/>
              <w:spacing w:line="240" w:lineRule="auto"/>
              <w:jc w:val="center"/>
              <w:rPr>
                <w:i/>
                <w:iCs/>
                <w:sz w:val="18"/>
                <w:szCs w:val="22"/>
              </w:rPr>
            </w:pPr>
            <w:r>
              <w:rPr>
                <w:i/>
                <w:iCs/>
                <w:sz w:val="18"/>
                <w:szCs w:val="22"/>
              </w:rPr>
              <w:t>2000 год</w:t>
            </w:r>
          </w:p>
        </w:tc>
        <w:tc>
          <w:tcPr>
            <w:tcW w:w="812" w:type="dxa"/>
            <w:tcBorders>
              <w:top w:val="single" w:sz="4" w:space="0" w:color="auto"/>
              <w:bottom w:val="single" w:sz="4" w:space="0" w:color="auto"/>
            </w:tcBorders>
            <w:vAlign w:val="center"/>
          </w:tcPr>
          <w:p w:rsidR="00000000" w:rsidRDefault="00000000">
            <w:pPr>
              <w:keepNext/>
              <w:spacing w:line="240" w:lineRule="auto"/>
              <w:jc w:val="center"/>
              <w:rPr>
                <w:i/>
                <w:iCs/>
                <w:sz w:val="18"/>
                <w:szCs w:val="22"/>
              </w:rPr>
            </w:pPr>
            <w:r>
              <w:rPr>
                <w:i/>
                <w:iCs/>
                <w:sz w:val="18"/>
                <w:szCs w:val="22"/>
              </w:rPr>
              <w:t>2001 год</w:t>
            </w:r>
          </w:p>
        </w:tc>
        <w:tc>
          <w:tcPr>
            <w:tcW w:w="826" w:type="dxa"/>
            <w:tcBorders>
              <w:top w:val="single" w:sz="4" w:space="0" w:color="auto"/>
              <w:bottom w:val="single" w:sz="4" w:space="0" w:color="auto"/>
            </w:tcBorders>
            <w:vAlign w:val="center"/>
          </w:tcPr>
          <w:p w:rsidR="00000000" w:rsidRDefault="00000000">
            <w:pPr>
              <w:keepNext/>
              <w:spacing w:line="240" w:lineRule="auto"/>
              <w:jc w:val="center"/>
              <w:rPr>
                <w:i/>
                <w:iCs/>
                <w:sz w:val="18"/>
                <w:szCs w:val="22"/>
              </w:rPr>
            </w:pPr>
            <w:r>
              <w:rPr>
                <w:i/>
                <w:iCs/>
                <w:sz w:val="18"/>
                <w:szCs w:val="22"/>
              </w:rPr>
              <w:t>2002 год</w:t>
            </w:r>
          </w:p>
        </w:tc>
        <w:tc>
          <w:tcPr>
            <w:tcW w:w="882" w:type="dxa"/>
            <w:tcBorders>
              <w:top w:val="single" w:sz="4" w:space="0" w:color="auto"/>
              <w:bottom w:val="single" w:sz="4" w:space="0" w:color="auto"/>
            </w:tcBorders>
            <w:vAlign w:val="center"/>
          </w:tcPr>
          <w:p w:rsidR="00000000" w:rsidRDefault="00000000">
            <w:pPr>
              <w:keepNext/>
              <w:spacing w:line="240" w:lineRule="auto"/>
              <w:jc w:val="center"/>
              <w:rPr>
                <w:b/>
                <w:bCs/>
                <w:i/>
                <w:iCs/>
                <w:sz w:val="18"/>
                <w:szCs w:val="22"/>
              </w:rPr>
            </w:pPr>
            <w:r>
              <w:rPr>
                <w:i/>
                <w:iCs/>
                <w:sz w:val="18"/>
                <w:szCs w:val="22"/>
              </w:rPr>
              <w:t>2003 год*</w:t>
            </w:r>
          </w:p>
        </w:tc>
      </w:tr>
      <w:tr w:rsidR="00000000">
        <w:trPr>
          <w:cantSplit/>
        </w:trPr>
        <w:tc>
          <w:tcPr>
            <w:tcW w:w="3556" w:type="dxa"/>
            <w:tcBorders>
              <w:top w:val="single" w:sz="4" w:space="0" w:color="auto"/>
            </w:tcBorders>
          </w:tcPr>
          <w:p w:rsidR="00000000" w:rsidRDefault="00000000">
            <w:pPr>
              <w:spacing w:line="240" w:lineRule="auto"/>
              <w:rPr>
                <w:sz w:val="18"/>
                <w:szCs w:val="22"/>
              </w:rPr>
            </w:pPr>
            <w:r>
              <w:rPr>
                <w:b/>
                <w:bCs/>
                <w:sz w:val="18"/>
                <w:szCs w:val="22"/>
              </w:rPr>
              <w:t>Бенефициары</w:t>
            </w:r>
          </w:p>
        </w:tc>
        <w:tc>
          <w:tcPr>
            <w:tcW w:w="826" w:type="dxa"/>
            <w:tcBorders>
              <w:top w:val="single" w:sz="4" w:space="0" w:color="auto"/>
            </w:tcBorders>
          </w:tcPr>
          <w:p w:rsidR="00000000" w:rsidRDefault="00000000">
            <w:pPr>
              <w:spacing w:line="240" w:lineRule="auto"/>
              <w:rPr>
                <w:sz w:val="18"/>
                <w:szCs w:val="22"/>
              </w:rPr>
            </w:pPr>
          </w:p>
        </w:tc>
        <w:tc>
          <w:tcPr>
            <w:tcW w:w="784" w:type="dxa"/>
            <w:tcBorders>
              <w:top w:val="single" w:sz="4" w:space="0" w:color="auto"/>
            </w:tcBorders>
          </w:tcPr>
          <w:p w:rsidR="00000000" w:rsidRDefault="00000000">
            <w:pPr>
              <w:spacing w:line="240" w:lineRule="auto"/>
              <w:rPr>
                <w:sz w:val="18"/>
                <w:szCs w:val="22"/>
              </w:rPr>
            </w:pPr>
          </w:p>
        </w:tc>
        <w:tc>
          <w:tcPr>
            <w:tcW w:w="867" w:type="dxa"/>
            <w:tcBorders>
              <w:top w:val="single" w:sz="4" w:space="0" w:color="auto"/>
            </w:tcBorders>
          </w:tcPr>
          <w:p w:rsidR="00000000" w:rsidRDefault="00000000">
            <w:pPr>
              <w:spacing w:line="240" w:lineRule="auto"/>
              <w:rPr>
                <w:sz w:val="18"/>
                <w:szCs w:val="22"/>
              </w:rPr>
            </w:pPr>
          </w:p>
        </w:tc>
        <w:tc>
          <w:tcPr>
            <w:tcW w:w="812" w:type="dxa"/>
            <w:tcBorders>
              <w:top w:val="single" w:sz="4" w:space="0" w:color="auto"/>
            </w:tcBorders>
          </w:tcPr>
          <w:p w:rsidR="00000000" w:rsidRDefault="00000000">
            <w:pPr>
              <w:spacing w:line="240" w:lineRule="auto"/>
              <w:rPr>
                <w:sz w:val="18"/>
                <w:szCs w:val="22"/>
              </w:rPr>
            </w:pPr>
          </w:p>
        </w:tc>
        <w:tc>
          <w:tcPr>
            <w:tcW w:w="812" w:type="dxa"/>
            <w:tcBorders>
              <w:top w:val="single" w:sz="4" w:space="0" w:color="auto"/>
            </w:tcBorders>
          </w:tcPr>
          <w:p w:rsidR="00000000" w:rsidRDefault="00000000">
            <w:pPr>
              <w:spacing w:line="240" w:lineRule="auto"/>
              <w:rPr>
                <w:sz w:val="18"/>
                <w:szCs w:val="22"/>
              </w:rPr>
            </w:pPr>
          </w:p>
        </w:tc>
        <w:tc>
          <w:tcPr>
            <w:tcW w:w="826" w:type="dxa"/>
            <w:tcBorders>
              <w:top w:val="single" w:sz="4" w:space="0" w:color="auto"/>
            </w:tcBorders>
          </w:tcPr>
          <w:p w:rsidR="00000000" w:rsidRDefault="00000000">
            <w:pPr>
              <w:spacing w:line="240" w:lineRule="auto"/>
              <w:rPr>
                <w:sz w:val="18"/>
                <w:szCs w:val="22"/>
              </w:rPr>
            </w:pPr>
          </w:p>
        </w:tc>
        <w:tc>
          <w:tcPr>
            <w:tcW w:w="882" w:type="dxa"/>
            <w:tcBorders>
              <w:top w:val="single" w:sz="4" w:space="0" w:color="auto"/>
            </w:tcBorders>
          </w:tcPr>
          <w:p w:rsidR="00000000" w:rsidRDefault="00000000">
            <w:pPr>
              <w:spacing w:line="240" w:lineRule="auto"/>
              <w:rPr>
                <w:sz w:val="18"/>
                <w:szCs w:val="22"/>
              </w:rPr>
            </w:pPr>
          </w:p>
        </w:tc>
      </w:tr>
      <w:tr w:rsidR="00000000">
        <w:trPr>
          <w:cantSplit/>
        </w:trPr>
        <w:tc>
          <w:tcPr>
            <w:tcW w:w="3556" w:type="dxa"/>
          </w:tcPr>
          <w:p w:rsidR="00000000" w:rsidRDefault="00000000">
            <w:pPr>
              <w:spacing w:line="240" w:lineRule="auto"/>
              <w:ind w:left="223"/>
              <w:rPr>
                <w:sz w:val="18"/>
                <w:szCs w:val="22"/>
              </w:rPr>
            </w:pPr>
            <w:r>
              <w:rPr>
                <w:sz w:val="18"/>
                <w:szCs w:val="22"/>
              </w:rPr>
              <w:t xml:space="preserve">Семьи (тыс.) </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300,7</w:t>
            </w: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1 595,6</w:t>
            </w: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2 306,3</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2 476,4</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3 237,7</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4 240,0</w:t>
            </w: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4 240,0</w:t>
            </w:r>
          </w:p>
        </w:tc>
      </w:tr>
      <w:tr w:rsidR="00000000">
        <w:trPr>
          <w:cantSplit/>
        </w:trPr>
        <w:tc>
          <w:tcPr>
            <w:tcW w:w="3556" w:type="dxa"/>
          </w:tcPr>
          <w:p w:rsidR="00000000" w:rsidRDefault="00000000">
            <w:pPr>
              <w:spacing w:line="240" w:lineRule="auto"/>
              <w:ind w:left="223"/>
              <w:rPr>
                <w:sz w:val="18"/>
                <w:szCs w:val="22"/>
              </w:rPr>
            </w:pPr>
            <w:r>
              <w:rPr>
                <w:sz w:val="18"/>
                <w:szCs w:val="22"/>
              </w:rPr>
              <w:t xml:space="preserve">Сельские районы </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300,7</w:t>
            </w: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1 595,6</w:t>
            </w: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2 306,3</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2 129,8</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2 524,5</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3 090,8</w:t>
            </w: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3 090,8</w:t>
            </w:r>
          </w:p>
        </w:tc>
      </w:tr>
      <w:tr w:rsidR="00000000">
        <w:trPr>
          <w:cantSplit/>
        </w:trPr>
        <w:tc>
          <w:tcPr>
            <w:tcW w:w="3556" w:type="dxa"/>
          </w:tcPr>
          <w:p w:rsidR="00000000" w:rsidRDefault="00000000">
            <w:pPr>
              <w:spacing w:line="240" w:lineRule="auto"/>
              <w:ind w:left="223"/>
              <w:rPr>
                <w:sz w:val="18"/>
                <w:szCs w:val="22"/>
              </w:rPr>
            </w:pPr>
            <w:r>
              <w:rPr>
                <w:sz w:val="18"/>
                <w:szCs w:val="22"/>
              </w:rPr>
              <w:t xml:space="preserve">Пригороды </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341,6</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599,4</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616,1</w:t>
            </w: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616,1</w:t>
            </w:r>
          </w:p>
        </w:tc>
      </w:tr>
      <w:tr w:rsidR="00000000">
        <w:trPr>
          <w:cantSplit/>
        </w:trPr>
        <w:tc>
          <w:tcPr>
            <w:tcW w:w="3556" w:type="dxa"/>
          </w:tcPr>
          <w:p w:rsidR="00000000" w:rsidRDefault="00000000">
            <w:pPr>
              <w:spacing w:line="240" w:lineRule="auto"/>
              <w:ind w:left="223"/>
              <w:rPr>
                <w:sz w:val="18"/>
                <w:szCs w:val="22"/>
              </w:rPr>
            </w:pPr>
            <w:r>
              <w:rPr>
                <w:sz w:val="18"/>
                <w:szCs w:val="22"/>
              </w:rPr>
              <w:t xml:space="preserve">Городские районы </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5,0</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113,8</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533,1</w:t>
            </w: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533,1</w:t>
            </w:r>
          </w:p>
        </w:tc>
      </w:tr>
      <w:tr w:rsidR="00000000">
        <w:trPr>
          <w:cantSplit/>
        </w:trPr>
        <w:tc>
          <w:tcPr>
            <w:tcW w:w="3556" w:type="dxa"/>
          </w:tcPr>
          <w:p w:rsidR="00000000" w:rsidRDefault="00000000">
            <w:pPr>
              <w:spacing w:line="240" w:lineRule="auto"/>
              <w:ind w:left="223"/>
              <w:rPr>
                <w:sz w:val="18"/>
                <w:szCs w:val="22"/>
              </w:rPr>
            </w:pPr>
            <w:r>
              <w:rPr>
                <w:sz w:val="18"/>
                <w:szCs w:val="22"/>
              </w:rPr>
              <w:t xml:space="preserve">Муниципии </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456</w:t>
            </w: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1 743</w:t>
            </w: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2 155</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2 166</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2 317</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2 354</w:t>
            </w: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2 354</w:t>
            </w:r>
          </w:p>
        </w:tc>
      </w:tr>
      <w:tr w:rsidR="00000000">
        <w:trPr>
          <w:cantSplit/>
        </w:trPr>
        <w:tc>
          <w:tcPr>
            <w:tcW w:w="3556" w:type="dxa"/>
          </w:tcPr>
          <w:p w:rsidR="00000000" w:rsidRDefault="00000000">
            <w:pPr>
              <w:spacing w:line="240" w:lineRule="auto"/>
              <w:ind w:left="223"/>
              <w:rPr>
                <w:sz w:val="18"/>
                <w:szCs w:val="22"/>
              </w:rPr>
            </w:pPr>
            <w:r>
              <w:rPr>
                <w:sz w:val="18"/>
                <w:szCs w:val="22"/>
              </w:rPr>
              <w:t>Населенные пункты</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10 769</w:t>
            </w: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40 906</w:t>
            </w: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53 055</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53 232</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67 737</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70 520</w:t>
            </w: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70 520</w:t>
            </w:r>
          </w:p>
        </w:tc>
      </w:tr>
      <w:tr w:rsidR="00000000">
        <w:trPr>
          <w:cantSplit/>
        </w:trPr>
        <w:tc>
          <w:tcPr>
            <w:tcW w:w="3556" w:type="dxa"/>
          </w:tcPr>
          <w:p w:rsidR="00000000" w:rsidRDefault="00000000">
            <w:pPr>
              <w:spacing w:line="240" w:lineRule="auto"/>
              <w:ind w:left="223"/>
              <w:rPr>
                <w:sz w:val="18"/>
                <w:szCs w:val="22"/>
              </w:rPr>
            </w:pPr>
            <w:r>
              <w:rPr>
                <w:sz w:val="18"/>
                <w:szCs w:val="22"/>
              </w:rPr>
              <w:t>Штаты</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13</w:t>
            </w: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30</w:t>
            </w: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31</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31</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31</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31</w:t>
            </w: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31</w:t>
            </w:r>
          </w:p>
        </w:tc>
      </w:tr>
      <w:tr w:rsidR="00000000">
        <w:trPr>
          <w:cantSplit/>
        </w:trPr>
        <w:tc>
          <w:tcPr>
            <w:tcW w:w="3556" w:type="dxa"/>
          </w:tcPr>
          <w:p w:rsidR="00000000" w:rsidRDefault="00000000">
            <w:pPr>
              <w:spacing w:line="240" w:lineRule="auto"/>
              <w:rPr>
                <w:b/>
                <w:bCs/>
                <w:sz w:val="18"/>
                <w:szCs w:val="22"/>
              </w:rPr>
            </w:pPr>
            <w:r>
              <w:rPr>
                <w:b/>
                <w:bCs/>
                <w:sz w:val="18"/>
                <w:szCs w:val="22"/>
              </w:rPr>
              <w:t>Составные элементы</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p>
        </w:tc>
      </w:tr>
      <w:tr w:rsidR="00000000">
        <w:trPr>
          <w:cantSplit/>
        </w:trPr>
        <w:tc>
          <w:tcPr>
            <w:tcW w:w="3556" w:type="dxa"/>
          </w:tcPr>
          <w:p w:rsidR="00000000" w:rsidRDefault="00000000">
            <w:pPr>
              <w:spacing w:line="240" w:lineRule="auto"/>
              <w:rPr>
                <w:i/>
                <w:iCs/>
                <w:sz w:val="18"/>
                <w:szCs w:val="22"/>
              </w:rPr>
            </w:pPr>
            <w:r>
              <w:rPr>
                <w:i/>
                <w:iCs/>
                <w:sz w:val="18"/>
                <w:szCs w:val="22"/>
              </w:rPr>
              <w:t>Образование</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p>
        </w:tc>
      </w:tr>
      <w:tr w:rsidR="00000000">
        <w:trPr>
          <w:cantSplit/>
        </w:trPr>
        <w:tc>
          <w:tcPr>
            <w:tcW w:w="3556" w:type="dxa"/>
          </w:tcPr>
          <w:p w:rsidR="00000000" w:rsidRDefault="00000000">
            <w:pPr>
              <w:spacing w:line="240" w:lineRule="auto"/>
              <w:ind w:left="223"/>
              <w:rPr>
                <w:sz w:val="18"/>
                <w:szCs w:val="22"/>
              </w:rPr>
            </w:pPr>
            <w:r>
              <w:rPr>
                <w:sz w:val="18"/>
                <w:szCs w:val="22"/>
              </w:rPr>
              <w:t xml:space="preserve">Стипендии (тыс.) </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101,1</w:t>
            </w: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1 299,0</w:t>
            </w:r>
          </w:p>
        </w:tc>
        <w:tc>
          <w:tcPr>
            <w:tcW w:w="867"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2 192,6</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2 485,3</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3 315,5</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4 355,9</w:t>
            </w: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4 492,1</w:t>
            </w:r>
          </w:p>
        </w:tc>
      </w:tr>
      <w:tr w:rsidR="00000000">
        <w:trPr>
          <w:cantSplit/>
        </w:trPr>
        <w:tc>
          <w:tcPr>
            <w:tcW w:w="3556" w:type="dxa"/>
          </w:tcPr>
          <w:p w:rsidR="00000000" w:rsidRDefault="00000000">
            <w:pPr>
              <w:spacing w:line="240" w:lineRule="auto"/>
              <w:ind w:left="223"/>
              <w:rPr>
                <w:sz w:val="18"/>
                <w:szCs w:val="22"/>
              </w:rPr>
            </w:pPr>
            <w:r>
              <w:rPr>
                <w:sz w:val="18"/>
                <w:szCs w:val="22"/>
              </w:rPr>
              <w:t>Наборы школьных принадлежностей (тыс.)</w:t>
            </w: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72,6</w:t>
            </w:r>
          </w:p>
        </w:tc>
        <w:tc>
          <w:tcPr>
            <w:tcW w:w="784"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684,9</w:t>
            </w:r>
          </w:p>
        </w:tc>
        <w:tc>
          <w:tcPr>
            <w:tcW w:w="867"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1 314,5</w:t>
            </w: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1 281,6</w:t>
            </w: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1 504,7</w:t>
            </w: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1 761,6</w:t>
            </w:r>
          </w:p>
        </w:tc>
        <w:tc>
          <w:tcPr>
            <w:tcW w:w="88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1 820,4</w:t>
            </w:r>
          </w:p>
        </w:tc>
      </w:tr>
      <w:tr w:rsidR="00000000">
        <w:trPr>
          <w:cantSplit/>
        </w:trPr>
        <w:tc>
          <w:tcPr>
            <w:tcW w:w="3556" w:type="dxa"/>
          </w:tcPr>
          <w:p w:rsidR="00000000" w:rsidRDefault="00000000">
            <w:pPr>
              <w:spacing w:line="240" w:lineRule="auto"/>
              <w:rPr>
                <w:i/>
                <w:iCs/>
                <w:sz w:val="18"/>
                <w:szCs w:val="22"/>
              </w:rPr>
            </w:pPr>
            <w:r>
              <w:rPr>
                <w:i/>
                <w:iCs/>
                <w:sz w:val="18"/>
                <w:szCs w:val="22"/>
              </w:rPr>
              <w:t>Здравоохранение</w:t>
            </w: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67"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8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r>
      <w:tr w:rsidR="00000000">
        <w:trPr>
          <w:cantSplit/>
        </w:trPr>
        <w:tc>
          <w:tcPr>
            <w:tcW w:w="3556" w:type="dxa"/>
          </w:tcPr>
          <w:p w:rsidR="00000000" w:rsidRDefault="00000000">
            <w:pPr>
              <w:spacing w:line="240" w:lineRule="auto"/>
              <w:ind w:left="237"/>
              <w:rPr>
                <w:sz w:val="18"/>
                <w:szCs w:val="22"/>
              </w:rPr>
            </w:pPr>
            <w:r>
              <w:rPr>
                <w:sz w:val="18"/>
                <w:szCs w:val="22"/>
              </w:rPr>
              <w:t>Среднее число ежемесячных консультаций (тыс.)</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435,0</w:t>
            </w:r>
          </w:p>
        </w:tc>
        <w:tc>
          <w:tcPr>
            <w:tcW w:w="867"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1 359,8</w:t>
            </w: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1 624,4</w:t>
            </w: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1 836,4</w:t>
            </w: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2 295,8</w:t>
            </w:r>
          </w:p>
        </w:tc>
        <w:tc>
          <w:tcPr>
            <w:tcW w:w="88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2 758,0</w:t>
            </w:r>
          </w:p>
        </w:tc>
      </w:tr>
      <w:tr w:rsidR="00000000">
        <w:trPr>
          <w:cantSplit/>
        </w:trPr>
        <w:tc>
          <w:tcPr>
            <w:tcW w:w="3556" w:type="dxa"/>
          </w:tcPr>
          <w:p w:rsidR="00000000" w:rsidRDefault="00000000">
            <w:pPr>
              <w:spacing w:line="240" w:lineRule="auto"/>
              <w:ind w:left="237"/>
              <w:rPr>
                <w:sz w:val="18"/>
                <w:szCs w:val="22"/>
              </w:rPr>
            </w:pPr>
            <w:r>
              <w:rPr>
                <w:sz w:val="18"/>
                <w:szCs w:val="22"/>
              </w:rPr>
              <w:t>Подготовительные курсы по вопросам охраны здоровья, питания и гигиены (тыс.)</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1 637,1</w:t>
            </w:r>
          </w:p>
        </w:tc>
        <w:tc>
          <w:tcPr>
            <w:tcW w:w="867"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2 867,5</w:t>
            </w: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2 004,4</w:t>
            </w: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2 088,7</w:t>
            </w: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2 266,9</w:t>
            </w:r>
          </w:p>
        </w:tc>
        <w:tc>
          <w:tcPr>
            <w:tcW w:w="88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2 604,0</w:t>
            </w:r>
          </w:p>
        </w:tc>
      </w:tr>
      <w:tr w:rsidR="00000000">
        <w:trPr>
          <w:cantSplit/>
        </w:trPr>
        <w:tc>
          <w:tcPr>
            <w:tcW w:w="3556" w:type="dxa"/>
          </w:tcPr>
          <w:p w:rsidR="00000000" w:rsidRDefault="00000000">
            <w:pPr>
              <w:spacing w:line="240" w:lineRule="auto"/>
              <w:rPr>
                <w:i/>
                <w:iCs/>
                <w:sz w:val="18"/>
                <w:szCs w:val="22"/>
              </w:rPr>
            </w:pPr>
            <w:r>
              <w:rPr>
                <w:i/>
                <w:iCs/>
                <w:sz w:val="18"/>
                <w:szCs w:val="22"/>
              </w:rPr>
              <w:t>Питание</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67"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8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p>
        </w:tc>
      </w:tr>
      <w:tr w:rsidR="00000000">
        <w:trPr>
          <w:cantSplit/>
        </w:trPr>
        <w:tc>
          <w:tcPr>
            <w:tcW w:w="3556" w:type="dxa"/>
          </w:tcPr>
          <w:p w:rsidR="00000000" w:rsidRDefault="00000000">
            <w:pPr>
              <w:spacing w:line="240" w:lineRule="auto"/>
              <w:ind w:left="265"/>
              <w:rPr>
                <w:sz w:val="18"/>
                <w:szCs w:val="22"/>
              </w:rPr>
            </w:pPr>
            <w:r>
              <w:rPr>
                <w:sz w:val="18"/>
                <w:szCs w:val="22"/>
              </w:rPr>
              <w:t>Дополнительное питание (млн.</w:t>
            </w:r>
            <w:r>
              <w:rPr>
                <w:sz w:val="18"/>
                <w:szCs w:val="22"/>
                <w:lang w:val="en-US"/>
              </w:rPr>
              <w:t> </w:t>
            </w:r>
            <w:r>
              <w:rPr>
                <w:sz w:val="18"/>
                <w:szCs w:val="22"/>
              </w:rPr>
              <w:t>рационов)</w:t>
            </w: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5,0</w:t>
            </w:r>
          </w:p>
        </w:tc>
        <w:tc>
          <w:tcPr>
            <w:tcW w:w="784"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254,1</w:t>
            </w:r>
          </w:p>
        </w:tc>
        <w:tc>
          <w:tcPr>
            <w:tcW w:w="867"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543,8</w:t>
            </w: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555,7</w:t>
            </w: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665,3</w:t>
            </w: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566,4</w:t>
            </w:r>
          </w:p>
        </w:tc>
        <w:tc>
          <w:tcPr>
            <w:tcW w:w="88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601,4</w:t>
            </w:r>
          </w:p>
        </w:tc>
      </w:tr>
      <w:tr w:rsidR="00000000">
        <w:trPr>
          <w:cantSplit/>
        </w:trPr>
        <w:tc>
          <w:tcPr>
            <w:tcW w:w="3556" w:type="dxa"/>
          </w:tcPr>
          <w:p w:rsidR="00000000" w:rsidRDefault="00000000">
            <w:pPr>
              <w:spacing w:line="240" w:lineRule="auto"/>
              <w:ind w:left="503"/>
              <w:rPr>
                <w:sz w:val="18"/>
                <w:szCs w:val="22"/>
              </w:rPr>
            </w:pPr>
            <w:r>
              <w:rPr>
                <w:sz w:val="18"/>
                <w:szCs w:val="22"/>
              </w:rPr>
              <w:t xml:space="preserve">Дети до 5 лет </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2,7</w:t>
            </w: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153,1</w:t>
            </w: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372,8</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386,7</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494,5</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4106</w:t>
            </w: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436,6</w:t>
            </w:r>
          </w:p>
        </w:tc>
      </w:tr>
      <w:tr w:rsidR="00000000">
        <w:trPr>
          <w:cantSplit/>
        </w:trPr>
        <w:tc>
          <w:tcPr>
            <w:tcW w:w="3556" w:type="dxa"/>
          </w:tcPr>
          <w:p w:rsidR="00000000" w:rsidRDefault="00000000">
            <w:pPr>
              <w:spacing w:line="240" w:lineRule="auto"/>
              <w:ind w:left="503"/>
              <w:rPr>
                <w:sz w:val="18"/>
                <w:szCs w:val="22"/>
              </w:rPr>
            </w:pPr>
            <w:r>
              <w:rPr>
                <w:sz w:val="18"/>
                <w:szCs w:val="22"/>
              </w:rPr>
              <w:t xml:space="preserve">Беременные и кормящие женщины </w:t>
            </w: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2,3</w:t>
            </w:r>
          </w:p>
        </w:tc>
        <w:tc>
          <w:tcPr>
            <w:tcW w:w="784"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101,0</w:t>
            </w:r>
          </w:p>
        </w:tc>
        <w:tc>
          <w:tcPr>
            <w:tcW w:w="867"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171,0</w:t>
            </w: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169,0</w:t>
            </w: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170,8</w:t>
            </w: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155,8</w:t>
            </w:r>
          </w:p>
        </w:tc>
        <w:tc>
          <w:tcPr>
            <w:tcW w:w="88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164,8</w:t>
            </w:r>
          </w:p>
        </w:tc>
      </w:tr>
      <w:tr w:rsidR="00000000">
        <w:trPr>
          <w:cantSplit/>
        </w:trPr>
        <w:tc>
          <w:tcPr>
            <w:tcW w:w="3556" w:type="dxa"/>
          </w:tcPr>
          <w:p w:rsidR="00000000" w:rsidRDefault="00000000">
            <w:pPr>
              <w:spacing w:line="240" w:lineRule="auto"/>
              <w:ind w:left="265"/>
              <w:rPr>
                <w:sz w:val="18"/>
                <w:szCs w:val="22"/>
              </w:rPr>
            </w:pPr>
            <w:r>
              <w:rPr>
                <w:sz w:val="18"/>
                <w:szCs w:val="22"/>
              </w:rPr>
              <w:t xml:space="preserve">Официально зарегистрированные дети до 5 лет </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1 468,4</w:t>
            </w: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1 656,8</w:t>
            </w: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2 008,5</w:t>
            </w:r>
          </w:p>
        </w:tc>
        <w:tc>
          <w:tcPr>
            <w:tcW w:w="88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2 078,8</w:t>
            </w:r>
          </w:p>
        </w:tc>
      </w:tr>
      <w:tr w:rsidR="00000000">
        <w:trPr>
          <w:cantSplit/>
        </w:trPr>
        <w:tc>
          <w:tcPr>
            <w:tcW w:w="3556" w:type="dxa"/>
          </w:tcPr>
          <w:p w:rsidR="00000000" w:rsidRDefault="00000000">
            <w:pPr>
              <w:spacing w:line="240" w:lineRule="auto"/>
              <w:ind w:left="503"/>
              <w:rPr>
                <w:sz w:val="18"/>
                <w:szCs w:val="22"/>
              </w:rPr>
            </w:pPr>
            <w:r>
              <w:rPr>
                <w:sz w:val="18"/>
                <w:szCs w:val="22"/>
              </w:rPr>
              <w:t>Подконтрольные недоедающие</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1 274,3</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1 525,7</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1 910,2</w:t>
            </w: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1 976,6</w:t>
            </w:r>
          </w:p>
        </w:tc>
      </w:tr>
      <w:tr w:rsidR="00000000">
        <w:trPr>
          <w:cantSplit/>
        </w:trPr>
        <w:tc>
          <w:tcPr>
            <w:tcW w:w="3556" w:type="dxa"/>
          </w:tcPr>
          <w:p w:rsidR="00000000" w:rsidRDefault="00000000">
            <w:pPr>
              <w:spacing w:line="240" w:lineRule="auto"/>
              <w:ind w:left="503"/>
              <w:rPr>
                <w:sz w:val="18"/>
                <w:szCs w:val="22"/>
              </w:rPr>
            </w:pPr>
            <w:r>
              <w:rPr>
                <w:sz w:val="18"/>
                <w:szCs w:val="22"/>
              </w:rPr>
              <w:t xml:space="preserve">С признаками истощения </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318,3</w:t>
            </w:r>
          </w:p>
        </w:tc>
        <w:tc>
          <w:tcPr>
            <w:tcW w:w="81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333,0</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404,2</w:t>
            </w:r>
          </w:p>
        </w:tc>
        <w:tc>
          <w:tcPr>
            <w:tcW w:w="882" w:type="dxa"/>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416,0</w:t>
            </w:r>
          </w:p>
        </w:tc>
      </w:tr>
      <w:tr w:rsidR="00000000">
        <w:trPr>
          <w:cantSplit/>
        </w:trPr>
        <w:tc>
          <w:tcPr>
            <w:tcW w:w="3556" w:type="dxa"/>
          </w:tcPr>
          <w:p w:rsidR="00000000" w:rsidRDefault="00000000">
            <w:pPr>
              <w:spacing w:line="240" w:lineRule="auto"/>
              <w:ind w:left="279"/>
              <w:rPr>
                <w:sz w:val="18"/>
                <w:szCs w:val="22"/>
              </w:rPr>
            </w:pPr>
            <w:r>
              <w:rPr>
                <w:sz w:val="18"/>
                <w:szCs w:val="22"/>
              </w:rPr>
              <w:t>Официально зарегистрированные беременные и кормящие женщины</w:t>
            </w:r>
          </w:p>
        </w:tc>
        <w:tc>
          <w:tcPr>
            <w:tcW w:w="826"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67" w:type="dxa"/>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304,4</w:t>
            </w:r>
          </w:p>
        </w:tc>
        <w:tc>
          <w:tcPr>
            <w:tcW w:w="81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317,9</w:t>
            </w:r>
          </w:p>
        </w:tc>
        <w:tc>
          <w:tcPr>
            <w:tcW w:w="826"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358,9</w:t>
            </w:r>
          </w:p>
        </w:tc>
        <w:tc>
          <w:tcPr>
            <w:tcW w:w="882" w:type="dxa"/>
            <w:vAlign w:val="bottom"/>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362,8</w:t>
            </w:r>
          </w:p>
        </w:tc>
      </w:tr>
      <w:tr w:rsidR="00000000">
        <w:trPr>
          <w:cantSplit/>
        </w:trPr>
        <w:tc>
          <w:tcPr>
            <w:tcW w:w="3556" w:type="dxa"/>
            <w:tcBorders>
              <w:bottom w:val="single" w:sz="4" w:space="0" w:color="auto"/>
            </w:tcBorders>
          </w:tcPr>
          <w:p w:rsidR="00000000" w:rsidRDefault="00000000">
            <w:pPr>
              <w:spacing w:line="240" w:lineRule="auto"/>
              <w:ind w:left="279"/>
              <w:rPr>
                <w:sz w:val="18"/>
                <w:szCs w:val="22"/>
              </w:rPr>
            </w:pPr>
            <w:r>
              <w:rPr>
                <w:sz w:val="18"/>
                <w:szCs w:val="22"/>
              </w:rPr>
              <w:t>Подконтрольные</w:t>
            </w:r>
          </w:p>
        </w:tc>
        <w:tc>
          <w:tcPr>
            <w:tcW w:w="826" w:type="dxa"/>
            <w:tcBorders>
              <w:bottom w:val="single" w:sz="4" w:space="0" w:color="auto"/>
            </w:tcBorders>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784" w:type="dxa"/>
            <w:tcBorders>
              <w:bottom w:val="single" w:sz="4" w:space="0" w:color="auto"/>
            </w:tcBorders>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67" w:type="dxa"/>
            <w:tcBorders>
              <w:bottom w:val="single" w:sz="4" w:space="0" w:color="auto"/>
            </w:tcBorders>
          </w:tcPr>
          <w:p w:rsidR="00000000" w:rsidRDefault="00000000">
            <w:pPr>
              <w:tabs>
                <w:tab w:val="clear" w:pos="1134"/>
                <w:tab w:val="clear" w:pos="1701"/>
                <w:tab w:val="clear" w:pos="2268"/>
                <w:tab w:val="clear" w:pos="6237"/>
                <w:tab w:val="decimal" w:pos="567"/>
              </w:tabs>
              <w:spacing w:line="240" w:lineRule="auto"/>
              <w:rPr>
                <w:sz w:val="18"/>
                <w:szCs w:val="22"/>
              </w:rPr>
            </w:pPr>
          </w:p>
        </w:tc>
        <w:tc>
          <w:tcPr>
            <w:tcW w:w="812" w:type="dxa"/>
            <w:tcBorders>
              <w:bottom w:val="single" w:sz="4" w:space="0" w:color="auto"/>
            </w:tcBorders>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282,6</w:t>
            </w:r>
          </w:p>
        </w:tc>
        <w:tc>
          <w:tcPr>
            <w:tcW w:w="812" w:type="dxa"/>
            <w:tcBorders>
              <w:bottom w:val="single" w:sz="4" w:space="0" w:color="auto"/>
            </w:tcBorders>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298,8</w:t>
            </w:r>
          </w:p>
        </w:tc>
        <w:tc>
          <w:tcPr>
            <w:tcW w:w="826" w:type="dxa"/>
            <w:tcBorders>
              <w:bottom w:val="single" w:sz="4" w:space="0" w:color="auto"/>
            </w:tcBorders>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348,9</w:t>
            </w:r>
          </w:p>
        </w:tc>
        <w:tc>
          <w:tcPr>
            <w:tcW w:w="882" w:type="dxa"/>
            <w:tcBorders>
              <w:bottom w:val="single" w:sz="4" w:space="0" w:color="auto"/>
            </w:tcBorders>
          </w:tcPr>
          <w:p w:rsidR="00000000" w:rsidRDefault="00000000">
            <w:pPr>
              <w:tabs>
                <w:tab w:val="clear" w:pos="1134"/>
                <w:tab w:val="clear" w:pos="1701"/>
                <w:tab w:val="clear" w:pos="2268"/>
                <w:tab w:val="clear" w:pos="6237"/>
                <w:tab w:val="decimal" w:pos="567"/>
              </w:tabs>
              <w:spacing w:line="240" w:lineRule="auto"/>
              <w:rPr>
                <w:sz w:val="18"/>
                <w:szCs w:val="22"/>
              </w:rPr>
            </w:pPr>
            <w:r>
              <w:rPr>
                <w:sz w:val="18"/>
                <w:szCs w:val="22"/>
              </w:rPr>
              <w:t>356,1</w:t>
            </w:r>
          </w:p>
        </w:tc>
      </w:tr>
    </w:tbl>
    <w:p w:rsidR="00000000" w:rsidRDefault="00000000">
      <w:pPr>
        <w:spacing w:line="240" w:lineRule="auto"/>
        <w:rPr>
          <w:i/>
          <w:iCs/>
        </w:rPr>
      </w:pPr>
    </w:p>
    <w:p w:rsidR="00000000" w:rsidRDefault="00000000">
      <w:pPr>
        <w:spacing w:line="240" w:lineRule="auto"/>
        <w:rPr>
          <w:sz w:val="18"/>
        </w:rPr>
      </w:pPr>
      <w:r>
        <w:rPr>
          <w:i/>
          <w:iCs/>
          <w:sz w:val="18"/>
        </w:rPr>
        <w:t>Источник</w:t>
      </w:r>
      <w:r>
        <w:rPr>
          <w:sz w:val="18"/>
        </w:rPr>
        <w:t>:  Органы федеральной исполнительной власти, третий доклад правительства.</w:t>
      </w:r>
    </w:p>
    <w:p w:rsidR="00000000" w:rsidRDefault="00000000">
      <w:pPr>
        <w:spacing w:line="216" w:lineRule="auto"/>
        <w:rPr>
          <w:sz w:val="18"/>
        </w:rPr>
      </w:pPr>
    </w:p>
    <w:p w:rsidR="00000000" w:rsidRDefault="00000000">
      <w:pPr>
        <w:rPr>
          <w:sz w:val="18"/>
        </w:rPr>
      </w:pPr>
      <w:r>
        <w:rPr>
          <w:b/>
          <w:bCs/>
          <w:sz w:val="18"/>
          <w:vertAlign w:val="superscript"/>
          <w:lang w:val="en-US"/>
        </w:rPr>
        <w:t>*</w:t>
      </w:r>
      <w:r>
        <w:rPr>
          <w:b/>
          <w:bCs/>
          <w:sz w:val="18"/>
          <w:vertAlign w:val="superscript"/>
        </w:rPr>
        <w:tab/>
      </w:r>
      <w:r>
        <w:rPr>
          <w:sz w:val="18"/>
        </w:rPr>
        <w:t>Оценочные данные.</w:t>
      </w:r>
    </w:p>
    <w:p w:rsidR="00000000" w:rsidRDefault="00000000"/>
    <w:p w:rsidR="00000000" w:rsidRDefault="00000000">
      <w:pPr>
        <w:tabs>
          <w:tab w:val="clear" w:pos="567"/>
          <w:tab w:val="left" w:pos="748"/>
        </w:tabs>
      </w:pPr>
      <w:r>
        <w:t>1098.</w:t>
      </w:r>
      <w:r>
        <w:tab/>
        <w:t>Кроме того, Мексика осуществляет целый комплекс предложенных МСР социальных программ, ориентированных на поддержку населения с низкими доходами, среди которых следует особо отметить программы, направленные на снабжение основными видами продуктов по долее доступным ценам.</w:t>
      </w:r>
    </w:p>
    <w:p w:rsidR="00000000" w:rsidRDefault="00000000">
      <w:pPr>
        <w:tabs>
          <w:tab w:val="clear" w:pos="567"/>
          <w:tab w:val="left" w:pos="748"/>
        </w:tabs>
      </w:pPr>
    </w:p>
    <w:p w:rsidR="00000000" w:rsidRDefault="00000000">
      <w:pPr>
        <w:keepNext/>
        <w:rPr>
          <w:b/>
          <w:bCs/>
        </w:rPr>
      </w:pPr>
      <w:r>
        <w:rPr>
          <w:b/>
          <w:bCs/>
        </w:rPr>
        <w:tab/>
        <w:t>Социальная программа снабжения молоком</w:t>
      </w:r>
    </w:p>
    <w:p w:rsidR="00000000" w:rsidRDefault="00000000">
      <w:pPr>
        <w:keepNext/>
        <w:tabs>
          <w:tab w:val="clear" w:pos="567"/>
          <w:tab w:val="left" w:pos="748"/>
        </w:tabs>
      </w:pPr>
    </w:p>
    <w:p w:rsidR="00000000" w:rsidRDefault="00000000">
      <w:pPr>
        <w:tabs>
          <w:tab w:val="clear" w:pos="567"/>
          <w:tab w:val="left" w:pos="748"/>
        </w:tabs>
      </w:pPr>
      <w:r>
        <w:t>1099.</w:t>
      </w:r>
      <w:r>
        <w:tab/>
        <w:t>Цель программы состоит в снабжении высококачественным молоком по льготным ценам населения, проживающего на городских окраинах, в пригородах и в сельских районах страны.  Программа осуществляется по двум направлениям:  по первому направлению, имеющему практическую нацеленность, семьям с детьми младше 12</w:t>
      </w:r>
      <w:r>
        <w:rPr>
          <w:lang w:val="en-US"/>
        </w:rPr>
        <w:t> </w:t>
      </w:r>
      <w:r>
        <w:t>лет, живущим в условиях бедности, в льготном порядке предоставляется молоко с высокими питательными свойствами по ценам ниже рыночных, что способствует улучшению питания в период ускоренного роста подростков и, таким образом, формирует здоровое молодое поколение.  Второе направление, предполагающее оказание помощи различным группам, которым могло бы быть полезно потребление молока, предусматривает предоставление пожилым людям старше 60 лет, больным и/или инвалидам старше 12</w:t>
      </w:r>
      <w:r>
        <w:rPr>
          <w:lang w:val="en-US"/>
        </w:rPr>
        <w:t> </w:t>
      </w:r>
      <w:r>
        <w:t>лет, а также беременным нуждающимся женщинам льготной помощи в виде снабжения молоком с высокими питательными свойствами по субсидируемым ценам.</w:t>
      </w:r>
    </w:p>
    <w:p w:rsidR="00000000" w:rsidRDefault="00000000">
      <w:pPr>
        <w:tabs>
          <w:tab w:val="clear" w:pos="567"/>
          <w:tab w:val="left" w:pos="748"/>
        </w:tabs>
      </w:pPr>
    </w:p>
    <w:p w:rsidR="00000000" w:rsidRDefault="00000000">
      <w:pPr>
        <w:tabs>
          <w:tab w:val="clear" w:pos="567"/>
          <w:tab w:val="left" w:pos="748"/>
        </w:tabs>
      </w:pPr>
      <w:r>
        <w:t>1100.</w:t>
      </w:r>
      <w:r>
        <w:tab/>
        <w:t>Эту программу проводит в жизнь предприятие "Промышленное молоко Конасупо</w:t>
      </w:r>
      <w:r>
        <w:rPr>
          <w:lang w:val="en-US"/>
        </w:rPr>
        <w:t> </w:t>
      </w:r>
      <w:r>
        <w:t>СА" ("Ликонса"), которое действует под эгидой МСР и поставляет качественное молоко по ценам ниже рыночных.  Ликонса постоянно заботится об увеличении числа людей с низким достатком, потребляющих его молоко.  В августе 2003 года число пользователей этой программы достигло 4,9 млн. человек, что составляет 98,2% от целевого показателя в 5 млн.  Иными словами, по сравнению с аналогичным периодом прошлого года отмечен рост в 248 200 человек.</w:t>
      </w:r>
    </w:p>
    <w:p w:rsidR="00000000" w:rsidRDefault="00000000">
      <w:pPr>
        <w:tabs>
          <w:tab w:val="clear" w:pos="567"/>
          <w:tab w:val="left" w:pos="748"/>
        </w:tabs>
      </w:pPr>
    </w:p>
    <w:p w:rsidR="00000000" w:rsidRDefault="00000000">
      <w:pPr>
        <w:tabs>
          <w:tab w:val="clear" w:pos="567"/>
          <w:tab w:val="left" w:pos="748"/>
        </w:tabs>
      </w:pPr>
      <w:r>
        <w:t>1101.</w:t>
      </w:r>
      <w:r>
        <w:tab/>
        <w:t>Так, в первые восемь месяцев 2003 года ежедневно расходились 3,3 млн. литров молока, что соответствует общей переработке за этот период времени 668 млн. литров молока с высокими питательными и гигиеническими свойствами, установленными официальными мексиканскими государственными и отраслевыми стандартами для этого продукта.</w:t>
      </w:r>
    </w:p>
    <w:p w:rsidR="00000000" w:rsidRDefault="00000000">
      <w:pPr>
        <w:tabs>
          <w:tab w:val="left" w:pos="748"/>
        </w:tabs>
      </w:pPr>
    </w:p>
    <w:p w:rsidR="00000000" w:rsidRDefault="00000000">
      <w:pPr>
        <w:tabs>
          <w:tab w:val="left" w:pos="748"/>
        </w:tabs>
      </w:pPr>
      <w:r>
        <w:t>1102.</w:t>
      </w:r>
      <w:r>
        <w:tab/>
      </w:r>
      <w:r>
        <w:tab/>
        <w:t xml:space="preserve">Нужно заметить, что из общего числа получателей помощи по этой программе 90,6% </w:t>
      </w:r>
      <w:r>
        <w:noBreakHyphen/>
        <w:t xml:space="preserve"> дети в возрасте до 12 лет, а остальные 9,4% </w:t>
      </w:r>
      <w:r>
        <w:noBreakHyphen/>
        <w:t xml:space="preserve"> беременные женщины, больные хроническими заболеваниями и/или инвалиды старше 12 лет и пожилые люди старше 60 лет.</w:t>
      </w:r>
    </w:p>
    <w:p w:rsidR="00000000" w:rsidRDefault="00000000">
      <w:pPr>
        <w:tabs>
          <w:tab w:val="left" w:pos="748"/>
        </w:tabs>
      </w:pPr>
    </w:p>
    <w:p w:rsidR="00000000" w:rsidRDefault="00000000">
      <w:pPr>
        <w:tabs>
          <w:tab w:val="left" w:pos="748"/>
        </w:tabs>
        <w:jc w:val="center"/>
        <w:rPr>
          <w:b/>
        </w:rPr>
      </w:pPr>
      <w:r>
        <w:rPr>
          <w:b/>
          <w:bCs/>
        </w:rPr>
        <w:br w:type="page"/>
        <w:t xml:space="preserve">Основные результаты осуществления </w:t>
      </w:r>
      <w:r>
        <w:rPr>
          <w:b/>
        </w:rPr>
        <w:t>Социальной программы</w:t>
      </w:r>
    </w:p>
    <w:p w:rsidR="00000000" w:rsidRDefault="00000000">
      <w:pPr>
        <w:tabs>
          <w:tab w:val="left" w:pos="748"/>
        </w:tabs>
        <w:jc w:val="center"/>
        <w:rPr>
          <w:b/>
          <w:bCs/>
        </w:rPr>
      </w:pPr>
      <w:r>
        <w:rPr>
          <w:b/>
        </w:rPr>
        <w:t>снабжения молоком</w:t>
      </w:r>
      <w:r>
        <w:rPr>
          <w:b/>
          <w:bCs/>
        </w:rPr>
        <w:t xml:space="preserve"> за период 1997-2003 годов</w:t>
      </w:r>
    </w:p>
    <w:p w:rsidR="00000000" w:rsidRDefault="00000000">
      <w:pPr>
        <w:tabs>
          <w:tab w:val="left" w:pos="748"/>
        </w:tabs>
      </w:pPr>
    </w:p>
    <w:tbl>
      <w:tblPr>
        <w:tblW w:w="9359" w:type="dxa"/>
        <w:jc w:val="center"/>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8"/>
        <w:gridCol w:w="898"/>
        <w:gridCol w:w="899"/>
        <w:gridCol w:w="899"/>
        <w:gridCol w:w="898"/>
        <w:gridCol w:w="899"/>
        <w:gridCol w:w="806"/>
        <w:gridCol w:w="992"/>
      </w:tblGrid>
      <w:tr w:rsidR="00000000">
        <w:tblPrEx>
          <w:tblCellMar>
            <w:top w:w="0" w:type="dxa"/>
            <w:bottom w:w="0" w:type="dxa"/>
          </w:tblCellMar>
        </w:tblPrEx>
        <w:trPr>
          <w:tblHeader/>
          <w:jc w:val="center"/>
        </w:trPr>
        <w:tc>
          <w:tcPr>
            <w:tcW w:w="3068"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left" w:pos="748"/>
              </w:tabs>
              <w:spacing w:before="60"/>
              <w:jc w:val="center"/>
              <w:rPr>
                <w:i/>
                <w:iCs/>
                <w:sz w:val="18"/>
                <w:szCs w:val="22"/>
              </w:rPr>
            </w:pP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left" w:pos="748"/>
              </w:tabs>
              <w:spacing w:before="60"/>
              <w:jc w:val="center"/>
              <w:rPr>
                <w:i/>
                <w:iCs/>
                <w:sz w:val="18"/>
                <w:szCs w:val="22"/>
              </w:rPr>
            </w:pPr>
            <w:r>
              <w:rPr>
                <w:i/>
                <w:iCs/>
                <w:sz w:val="18"/>
                <w:szCs w:val="22"/>
              </w:rPr>
              <w:t>1997 год</w:t>
            </w:r>
          </w:p>
        </w:tc>
        <w:tc>
          <w:tcPr>
            <w:tcW w:w="89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left" w:pos="748"/>
              </w:tabs>
              <w:spacing w:before="60"/>
              <w:jc w:val="center"/>
              <w:rPr>
                <w:i/>
                <w:iCs/>
                <w:sz w:val="18"/>
                <w:szCs w:val="22"/>
              </w:rPr>
            </w:pPr>
            <w:r>
              <w:rPr>
                <w:i/>
                <w:iCs/>
                <w:sz w:val="18"/>
                <w:szCs w:val="22"/>
              </w:rPr>
              <w:t>1998 год</w:t>
            </w:r>
          </w:p>
        </w:tc>
        <w:tc>
          <w:tcPr>
            <w:tcW w:w="89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left" w:pos="748"/>
              </w:tabs>
              <w:spacing w:before="60"/>
              <w:jc w:val="center"/>
              <w:rPr>
                <w:i/>
                <w:iCs/>
                <w:sz w:val="18"/>
                <w:szCs w:val="22"/>
              </w:rPr>
            </w:pPr>
            <w:r>
              <w:rPr>
                <w:i/>
                <w:iCs/>
                <w:sz w:val="18"/>
                <w:szCs w:val="22"/>
              </w:rPr>
              <w:t>1999 год</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left" w:pos="748"/>
              </w:tabs>
              <w:spacing w:before="60"/>
              <w:jc w:val="center"/>
              <w:rPr>
                <w:i/>
                <w:iCs/>
                <w:sz w:val="18"/>
                <w:szCs w:val="22"/>
              </w:rPr>
            </w:pPr>
            <w:r>
              <w:rPr>
                <w:i/>
                <w:iCs/>
                <w:sz w:val="18"/>
                <w:szCs w:val="22"/>
              </w:rPr>
              <w:t>2000 год</w:t>
            </w:r>
          </w:p>
        </w:tc>
        <w:tc>
          <w:tcPr>
            <w:tcW w:w="89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left" w:pos="748"/>
              </w:tabs>
              <w:spacing w:before="60"/>
              <w:jc w:val="center"/>
              <w:rPr>
                <w:i/>
                <w:iCs/>
                <w:sz w:val="18"/>
                <w:szCs w:val="22"/>
              </w:rPr>
            </w:pPr>
            <w:r>
              <w:rPr>
                <w:i/>
                <w:iCs/>
                <w:sz w:val="18"/>
                <w:szCs w:val="22"/>
              </w:rPr>
              <w:t>2001 год</w:t>
            </w:r>
          </w:p>
        </w:tc>
        <w:tc>
          <w:tcPr>
            <w:tcW w:w="80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left" w:pos="748"/>
              </w:tabs>
              <w:spacing w:before="60"/>
              <w:jc w:val="center"/>
              <w:rPr>
                <w:i/>
                <w:iCs/>
                <w:sz w:val="18"/>
                <w:szCs w:val="22"/>
              </w:rPr>
            </w:pPr>
            <w:r>
              <w:rPr>
                <w:i/>
                <w:iCs/>
                <w:sz w:val="18"/>
                <w:szCs w:val="22"/>
              </w:rPr>
              <w:t>2002 год</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left" w:pos="748"/>
              </w:tabs>
              <w:spacing w:before="60"/>
              <w:jc w:val="center"/>
              <w:rPr>
                <w:b/>
                <w:bCs/>
                <w:i/>
                <w:iCs/>
                <w:sz w:val="18"/>
                <w:szCs w:val="22"/>
              </w:rPr>
            </w:pPr>
            <w:r>
              <w:rPr>
                <w:i/>
                <w:iCs/>
                <w:sz w:val="18"/>
                <w:szCs w:val="22"/>
              </w:rPr>
              <w:t>2003 год</w:t>
            </w:r>
            <w:r>
              <w:rPr>
                <w:b/>
                <w:bCs/>
                <w:i/>
                <w:iCs/>
                <w:sz w:val="18"/>
                <w:szCs w:val="22"/>
                <w:vertAlign w:val="superscript"/>
                <w:lang w:val="en-US"/>
              </w:rPr>
              <w:t>*</w:t>
            </w:r>
          </w:p>
        </w:tc>
      </w:tr>
      <w:tr w:rsidR="00000000">
        <w:tblPrEx>
          <w:tblCellMar>
            <w:top w:w="0" w:type="dxa"/>
            <w:bottom w:w="0" w:type="dxa"/>
          </w:tblCellMar>
        </w:tblPrEx>
        <w:trPr>
          <w:jc w:val="center"/>
        </w:trPr>
        <w:tc>
          <w:tcPr>
            <w:tcW w:w="3068" w:type="dxa"/>
            <w:tcBorders>
              <w:top w:val="single" w:sz="6" w:space="0" w:color="auto"/>
            </w:tcBorders>
          </w:tcPr>
          <w:p w:rsidR="00000000" w:rsidRDefault="00000000">
            <w:pPr>
              <w:tabs>
                <w:tab w:val="left" w:pos="748"/>
              </w:tabs>
              <w:spacing w:before="60"/>
              <w:rPr>
                <w:sz w:val="18"/>
                <w:szCs w:val="22"/>
              </w:rPr>
            </w:pPr>
            <w:r>
              <w:rPr>
                <w:sz w:val="18"/>
                <w:szCs w:val="22"/>
              </w:rPr>
              <w:t xml:space="preserve">Молоко, произведенное "Ликонса" (млн. литров) </w:t>
            </w:r>
          </w:p>
        </w:tc>
        <w:tc>
          <w:tcPr>
            <w:tcW w:w="898" w:type="dxa"/>
            <w:tcBorders>
              <w:top w:val="single" w:sz="6" w:space="0" w:color="auto"/>
            </w:tcBorders>
            <w:vAlign w:val="bottom"/>
          </w:tcPr>
          <w:p w:rsidR="00000000" w:rsidRDefault="00000000">
            <w:pPr>
              <w:tabs>
                <w:tab w:val="left" w:pos="748"/>
              </w:tabs>
              <w:spacing w:before="60"/>
              <w:ind w:right="66"/>
              <w:jc w:val="right"/>
              <w:rPr>
                <w:sz w:val="18"/>
                <w:szCs w:val="22"/>
              </w:rPr>
            </w:pPr>
            <w:r>
              <w:rPr>
                <w:sz w:val="18"/>
                <w:szCs w:val="22"/>
              </w:rPr>
              <w:t>1 077</w:t>
            </w:r>
          </w:p>
        </w:tc>
        <w:tc>
          <w:tcPr>
            <w:tcW w:w="899" w:type="dxa"/>
            <w:tcBorders>
              <w:top w:val="single" w:sz="6" w:space="0" w:color="auto"/>
            </w:tcBorders>
            <w:vAlign w:val="bottom"/>
          </w:tcPr>
          <w:p w:rsidR="00000000" w:rsidRDefault="00000000">
            <w:pPr>
              <w:tabs>
                <w:tab w:val="left" w:pos="748"/>
              </w:tabs>
              <w:spacing w:before="60"/>
              <w:ind w:right="57"/>
              <w:jc w:val="right"/>
              <w:rPr>
                <w:sz w:val="18"/>
                <w:szCs w:val="22"/>
              </w:rPr>
            </w:pPr>
            <w:r>
              <w:rPr>
                <w:sz w:val="18"/>
                <w:szCs w:val="22"/>
              </w:rPr>
              <w:t>1 022</w:t>
            </w:r>
          </w:p>
        </w:tc>
        <w:tc>
          <w:tcPr>
            <w:tcW w:w="899" w:type="dxa"/>
            <w:tcBorders>
              <w:top w:val="single" w:sz="6" w:space="0" w:color="auto"/>
            </w:tcBorders>
            <w:vAlign w:val="bottom"/>
          </w:tcPr>
          <w:p w:rsidR="00000000" w:rsidRDefault="00000000">
            <w:pPr>
              <w:tabs>
                <w:tab w:val="decimal" w:pos="686"/>
                <w:tab w:val="left" w:pos="748"/>
              </w:tabs>
              <w:spacing w:before="60"/>
              <w:jc w:val="right"/>
              <w:rPr>
                <w:sz w:val="18"/>
                <w:szCs w:val="22"/>
              </w:rPr>
            </w:pPr>
            <w:r>
              <w:rPr>
                <w:sz w:val="18"/>
                <w:szCs w:val="22"/>
              </w:rPr>
              <w:t>923</w:t>
            </w:r>
          </w:p>
        </w:tc>
        <w:tc>
          <w:tcPr>
            <w:tcW w:w="898" w:type="dxa"/>
            <w:tcBorders>
              <w:top w:val="single" w:sz="6" w:space="0" w:color="auto"/>
            </w:tcBorders>
            <w:vAlign w:val="bottom"/>
          </w:tcPr>
          <w:p w:rsidR="00000000" w:rsidRDefault="00000000">
            <w:pPr>
              <w:tabs>
                <w:tab w:val="left" w:pos="748"/>
              </w:tabs>
              <w:spacing w:before="60"/>
              <w:ind w:right="57"/>
              <w:jc w:val="right"/>
              <w:rPr>
                <w:sz w:val="18"/>
                <w:szCs w:val="22"/>
              </w:rPr>
            </w:pPr>
            <w:r>
              <w:rPr>
                <w:sz w:val="18"/>
                <w:szCs w:val="22"/>
              </w:rPr>
              <w:t>920</w:t>
            </w:r>
          </w:p>
        </w:tc>
        <w:tc>
          <w:tcPr>
            <w:tcW w:w="899" w:type="dxa"/>
            <w:tcBorders>
              <w:top w:val="single" w:sz="6" w:space="0" w:color="auto"/>
            </w:tcBorders>
            <w:vAlign w:val="bottom"/>
          </w:tcPr>
          <w:p w:rsidR="00000000" w:rsidRDefault="00000000">
            <w:pPr>
              <w:tabs>
                <w:tab w:val="left" w:pos="748"/>
              </w:tabs>
              <w:spacing w:before="60"/>
              <w:ind w:right="57"/>
              <w:jc w:val="right"/>
              <w:rPr>
                <w:sz w:val="18"/>
                <w:szCs w:val="22"/>
              </w:rPr>
            </w:pPr>
            <w:r>
              <w:rPr>
                <w:sz w:val="18"/>
                <w:szCs w:val="22"/>
              </w:rPr>
              <w:t>941</w:t>
            </w:r>
          </w:p>
        </w:tc>
        <w:tc>
          <w:tcPr>
            <w:tcW w:w="806" w:type="dxa"/>
            <w:tcBorders>
              <w:top w:val="single" w:sz="6" w:space="0" w:color="auto"/>
            </w:tcBorders>
            <w:vAlign w:val="bottom"/>
          </w:tcPr>
          <w:p w:rsidR="00000000" w:rsidRDefault="00000000">
            <w:pPr>
              <w:tabs>
                <w:tab w:val="decimal" w:pos="686"/>
                <w:tab w:val="left" w:pos="748"/>
              </w:tabs>
              <w:spacing w:before="60"/>
              <w:jc w:val="right"/>
              <w:rPr>
                <w:sz w:val="18"/>
                <w:szCs w:val="22"/>
              </w:rPr>
            </w:pPr>
            <w:r>
              <w:rPr>
                <w:sz w:val="18"/>
                <w:szCs w:val="22"/>
              </w:rPr>
              <w:t>972</w:t>
            </w:r>
          </w:p>
        </w:tc>
        <w:tc>
          <w:tcPr>
            <w:tcW w:w="992" w:type="dxa"/>
            <w:tcBorders>
              <w:top w:val="single" w:sz="6" w:space="0" w:color="auto"/>
            </w:tcBorders>
            <w:vAlign w:val="bottom"/>
          </w:tcPr>
          <w:p w:rsidR="00000000" w:rsidRDefault="00000000">
            <w:pPr>
              <w:tabs>
                <w:tab w:val="left" w:pos="748"/>
              </w:tabs>
              <w:spacing w:before="60"/>
              <w:ind w:right="57"/>
              <w:jc w:val="right"/>
              <w:rPr>
                <w:sz w:val="18"/>
                <w:szCs w:val="22"/>
              </w:rPr>
            </w:pPr>
            <w:r>
              <w:rPr>
                <w:sz w:val="18"/>
                <w:szCs w:val="22"/>
              </w:rPr>
              <w:t>997</w:t>
            </w:r>
          </w:p>
        </w:tc>
      </w:tr>
      <w:tr w:rsidR="00000000">
        <w:tblPrEx>
          <w:tblCellMar>
            <w:top w:w="0" w:type="dxa"/>
            <w:bottom w:w="0" w:type="dxa"/>
          </w:tblCellMar>
        </w:tblPrEx>
        <w:trPr>
          <w:jc w:val="center"/>
        </w:trPr>
        <w:tc>
          <w:tcPr>
            <w:tcW w:w="3068" w:type="dxa"/>
          </w:tcPr>
          <w:p w:rsidR="00000000" w:rsidRDefault="00000000">
            <w:pPr>
              <w:tabs>
                <w:tab w:val="left" w:pos="748"/>
              </w:tabs>
              <w:spacing w:before="60"/>
              <w:rPr>
                <w:sz w:val="18"/>
                <w:szCs w:val="22"/>
              </w:rPr>
            </w:pPr>
            <w:r>
              <w:rPr>
                <w:sz w:val="18"/>
                <w:szCs w:val="22"/>
              </w:rPr>
              <w:t>Суточное распределение (тыс. литров)</w:t>
            </w:r>
          </w:p>
        </w:tc>
        <w:tc>
          <w:tcPr>
            <w:tcW w:w="898" w:type="dxa"/>
            <w:vAlign w:val="bottom"/>
          </w:tcPr>
          <w:p w:rsidR="00000000" w:rsidRDefault="00000000">
            <w:pPr>
              <w:tabs>
                <w:tab w:val="left" w:pos="748"/>
              </w:tabs>
              <w:spacing w:before="60"/>
              <w:ind w:right="66"/>
              <w:jc w:val="right"/>
              <w:rPr>
                <w:sz w:val="18"/>
                <w:szCs w:val="22"/>
              </w:rPr>
            </w:pPr>
            <w:r>
              <w:rPr>
                <w:sz w:val="18"/>
                <w:szCs w:val="22"/>
              </w:rPr>
              <w:t>3 589</w:t>
            </w:r>
          </w:p>
        </w:tc>
        <w:tc>
          <w:tcPr>
            <w:tcW w:w="899" w:type="dxa"/>
            <w:vAlign w:val="bottom"/>
          </w:tcPr>
          <w:p w:rsidR="00000000" w:rsidRDefault="00000000">
            <w:pPr>
              <w:tabs>
                <w:tab w:val="left" w:pos="748"/>
              </w:tabs>
              <w:spacing w:before="60"/>
              <w:ind w:right="57"/>
              <w:jc w:val="right"/>
              <w:rPr>
                <w:sz w:val="18"/>
                <w:szCs w:val="22"/>
              </w:rPr>
            </w:pPr>
            <w:r>
              <w:rPr>
                <w:sz w:val="18"/>
                <w:szCs w:val="22"/>
              </w:rPr>
              <w:t>3 440</w:t>
            </w:r>
          </w:p>
        </w:tc>
        <w:tc>
          <w:tcPr>
            <w:tcW w:w="899" w:type="dxa"/>
            <w:vAlign w:val="bottom"/>
          </w:tcPr>
          <w:p w:rsidR="00000000" w:rsidRDefault="00000000">
            <w:pPr>
              <w:tabs>
                <w:tab w:val="decimal" w:pos="686"/>
                <w:tab w:val="left" w:pos="748"/>
              </w:tabs>
              <w:spacing w:before="60"/>
              <w:jc w:val="right"/>
              <w:rPr>
                <w:sz w:val="18"/>
                <w:szCs w:val="22"/>
              </w:rPr>
            </w:pPr>
            <w:r>
              <w:rPr>
                <w:sz w:val="18"/>
                <w:szCs w:val="22"/>
              </w:rPr>
              <w:t>3 171</w:t>
            </w:r>
          </w:p>
        </w:tc>
        <w:tc>
          <w:tcPr>
            <w:tcW w:w="898" w:type="dxa"/>
            <w:vAlign w:val="bottom"/>
          </w:tcPr>
          <w:p w:rsidR="00000000" w:rsidRDefault="00000000">
            <w:pPr>
              <w:tabs>
                <w:tab w:val="left" w:pos="748"/>
              </w:tabs>
              <w:spacing w:before="60"/>
              <w:ind w:right="57"/>
              <w:jc w:val="right"/>
              <w:rPr>
                <w:sz w:val="18"/>
                <w:szCs w:val="22"/>
              </w:rPr>
            </w:pPr>
            <w:r>
              <w:rPr>
                <w:sz w:val="18"/>
                <w:szCs w:val="22"/>
              </w:rPr>
              <w:t>3 105</w:t>
            </w:r>
          </w:p>
        </w:tc>
        <w:tc>
          <w:tcPr>
            <w:tcW w:w="899" w:type="dxa"/>
            <w:vAlign w:val="bottom"/>
          </w:tcPr>
          <w:p w:rsidR="00000000" w:rsidRDefault="00000000">
            <w:pPr>
              <w:tabs>
                <w:tab w:val="left" w:pos="748"/>
              </w:tabs>
              <w:spacing w:before="60"/>
              <w:ind w:right="57"/>
              <w:jc w:val="right"/>
              <w:rPr>
                <w:sz w:val="18"/>
                <w:szCs w:val="22"/>
              </w:rPr>
            </w:pPr>
            <w:r>
              <w:rPr>
                <w:sz w:val="18"/>
                <w:szCs w:val="22"/>
              </w:rPr>
              <w:t>3 102</w:t>
            </w:r>
          </w:p>
        </w:tc>
        <w:tc>
          <w:tcPr>
            <w:tcW w:w="806" w:type="dxa"/>
            <w:vAlign w:val="bottom"/>
          </w:tcPr>
          <w:p w:rsidR="00000000" w:rsidRDefault="00000000">
            <w:pPr>
              <w:tabs>
                <w:tab w:val="decimal" w:pos="686"/>
                <w:tab w:val="left" w:pos="748"/>
              </w:tabs>
              <w:spacing w:before="60"/>
              <w:jc w:val="right"/>
              <w:rPr>
                <w:sz w:val="18"/>
                <w:szCs w:val="22"/>
              </w:rPr>
            </w:pPr>
            <w:r>
              <w:rPr>
                <w:sz w:val="18"/>
                <w:szCs w:val="22"/>
              </w:rPr>
              <w:t>3 206</w:t>
            </w:r>
          </w:p>
        </w:tc>
        <w:tc>
          <w:tcPr>
            <w:tcW w:w="992" w:type="dxa"/>
            <w:vAlign w:val="bottom"/>
          </w:tcPr>
          <w:p w:rsidR="00000000" w:rsidRDefault="00000000">
            <w:pPr>
              <w:tabs>
                <w:tab w:val="left" w:pos="748"/>
              </w:tabs>
              <w:spacing w:before="60"/>
              <w:ind w:right="57"/>
              <w:jc w:val="right"/>
              <w:rPr>
                <w:sz w:val="18"/>
                <w:szCs w:val="22"/>
              </w:rPr>
            </w:pPr>
            <w:r>
              <w:rPr>
                <w:sz w:val="18"/>
                <w:szCs w:val="22"/>
              </w:rPr>
              <w:t>3 359</w:t>
            </w:r>
          </w:p>
        </w:tc>
      </w:tr>
      <w:tr w:rsidR="00000000">
        <w:tblPrEx>
          <w:tblCellMar>
            <w:top w:w="0" w:type="dxa"/>
            <w:bottom w:w="0" w:type="dxa"/>
          </w:tblCellMar>
        </w:tblPrEx>
        <w:trPr>
          <w:jc w:val="center"/>
        </w:trPr>
        <w:tc>
          <w:tcPr>
            <w:tcW w:w="3068" w:type="dxa"/>
          </w:tcPr>
          <w:p w:rsidR="00000000" w:rsidRDefault="00000000">
            <w:pPr>
              <w:tabs>
                <w:tab w:val="left" w:pos="748"/>
              </w:tabs>
              <w:spacing w:before="60"/>
              <w:rPr>
                <w:sz w:val="18"/>
                <w:szCs w:val="22"/>
              </w:rPr>
            </w:pPr>
            <w:r>
              <w:rPr>
                <w:sz w:val="18"/>
                <w:szCs w:val="22"/>
              </w:rPr>
              <w:t>Охватываемое население (тыс. чел.)</w:t>
            </w:r>
          </w:p>
        </w:tc>
        <w:tc>
          <w:tcPr>
            <w:tcW w:w="898" w:type="dxa"/>
          </w:tcPr>
          <w:p w:rsidR="00000000" w:rsidRDefault="00000000">
            <w:pPr>
              <w:tabs>
                <w:tab w:val="left" w:pos="748"/>
              </w:tabs>
              <w:spacing w:before="60"/>
              <w:ind w:right="66"/>
              <w:jc w:val="right"/>
              <w:rPr>
                <w:sz w:val="18"/>
                <w:szCs w:val="22"/>
              </w:rPr>
            </w:pPr>
            <w:r>
              <w:rPr>
                <w:sz w:val="18"/>
                <w:szCs w:val="22"/>
              </w:rPr>
              <w:t>5 317</w:t>
            </w:r>
          </w:p>
        </w:tc>
        <w:tc>
          <w:tcPr>
            <w:tcW w:w="899" w:type="dxa"/>
          </w:tcPr>
          <w:p w:rsidR="00000000" w:rsidRDefault="00000000">
            <w:pPr>
              <w:tabs>
                <w:tab w:val="left" w:pos="748"/>
              </w:tabs>
              <w:spacing w:before="60"/>
              <w:ind w:right="57"/>
              <w:jc w:val="right"/>
              <w:rPr>
                <w:sz w:val="18"/>
                <w:szCs w:val="22"/>
              </w:rPr>
            </w:pPr>
            <w:r>
              <w:rPr>
                <w:sz w:val="18"/>
                <w:szCs w:val="22"/>
              </w:rPr>
              <w:t>4 687</w:t>
            </w:r>
          </w:p>
        </w:tc>
        <w:tc>
          <w:tcPr>
            <w:tcW w:w="899" w:type="dxa"/>
          </w:tcPr>
          <w:p w:rsidR="00000000" w:rsidRDefault="00000000">
            <w:pPr>
              <w:tabs>
                <w:tab w:val="decimal" w:pos="686"/>
                <w:tab w:val="left" w:pos="748"/>
              </w:tabs>
              <w:spacing w:before="60"/>
              <w:jc w:val="right"/>
              <w:rPr>
                <w:sz w:val="18"/>
                <w:szCs w:val="22"/>
              </w:rPr>
            </w:pPr>
            <w:r>
              <w:rPr>
                <w:sz w:val="18"/>
                <w:szCs w:val="22"/>
              </w:rPr>
              <w:t>4 185</w:t>
            </w:r>
          </w:p>
        </w:tc>
        <w:tc>
          <w:tcPr>
            <w:tcW w:w="898" w:type="dxa"/>
          </w:tcPr>
          <w:p w:rsidR="00000000" w:rsidRDefault="00000000">
            <w:pPr>
              <w:tabs>
                <w:tab w:val="left" w:pos="748"/>
              </w:tabs>
              <w:spacing w:before="60"/>
              <w:ind w:right="57"/>
              <w:jc w:val="right"/>
              <w:rPr>
                <w:sz w:val="18"/>
                <w:szCs w:val="22"/>
              </w:rPr>
            </w:pPr>
            <w:r>
              <w:rPr>
                <w:sz w:val="18"/>
                <w:szCs w:val="22"/>
              </w:rPr>
              <w:t>4 185</w:t>
            </w:r>
          </w:p>
        </w:tc>
        <w:tc>
          <w:tcPr>
            <w:tcW w:w="899" w:type="dxa"/>
          </w:tcPr>
          <w:p w:rsidR="00000000" w:rsidRDefault="00000000">
            <w:pPr>
              <w:tabs>
                <w:tab w:val="left" w:pos="748"/>
              </w:tabs>
              <w:spacing w:before="60"/>
              <w:ind w:right="57"/>
              <w:jc w:val="right"/>
              <w:rPr>
                <w:sz w:val="18"/>
                <w:szCs w:val="22"/>
              </w:rPr>
            </w:pPr>
            <w:r>
              <w:rPr>
                <w:sz w:val="18"/>
                <w:szCs w:val="22"/>
              </w:rPr>
              <w:t>4 549</w:t>
            </w:r>
          </w:p>
        </w:tc>
        <w:tc>
          <w:tcPr>
            <w:tcW w:w="806" w:type="dxa"/>
          </w:tcPr>
          <w:p w:rsidR="00000000" w:rsidRDefault="00000000">
            <w:pPr>
              <w:tabs>
                <w:tab w:val="decimal" w:pos="686"/>
                <w:tab w:val="left" w:pos="748"/>
              </w:tabs>
              <w:spacing w:before="60"/>
              <w:jc w:val="right"/>
              <w:rPr>
                <w:sz w:val="18"/>
                <w:szCs w:val="22"/>
              </w:rPr>
            </w:pPr>
            <w:r>
              <w:rPr>
                <w:sz w:val="18"/>
                <w:szCs w:val="22"/>
              </w:rPr>
              <w:t>4 834</w:t>
            </w:r>
          </w:p>
        </w:tc>
        <w:tc>
          <w:tcPr>
            <w:tcW w:w="992" w:type="dxa"/>
          </w:tcPr>
          <w:p w:rsidR="00000000" w:rsidRDefault="00000000">
            <w:pPr>
              <w:tabs>
                <w:tab w:val="left" w:pos="748"/>
              </w:tabs>
              <w:spacing w:before="60"/>
              <w:ind w:right="57"/>
              <w:jc w:val="right"/>
              <w:rPr>
                <w:sz w:val="18"/>
                <w:szCs w:val="22"/>
              </w:rPr>
            </w:pPr>
            <w:r>
              <w:rPr>
                <w:sz w:val="18"/>
                <w:szCs w:val="22"/>
              </w:rPr>
              <w:t>5 000</w:t>
            </w:r>
          </w:p>
        </w:tc>
      </w:tr>
      <w:tr w:rsidR="00000000">
        <w:tblPrEx>
          <w:tblCellMar>
            <w:top w:w="0" w:type="dxa"/>
            <w:bottom w:w="0" w:type="dxa"/>
          </w:tblCellMar>
        </w:tblPrEx>
        <w:trPr>
          <w:trHeight w:val="326"/>
          <w:jc w:val="center"/>
        </w:trPr>
        <w:tc>
          <w:tcPr>
            <w:tcW w:w="3068" w:type="dxa"/>
          </w:tcPr>
          <w:p w:rsidR="00000000" w:rsidRDefault="00000000">
            <w:pPr>
              <w:tabs>
                <w:tab w:val="left" w:pos="748"/>
              </w:tabs>
              <w:spacing w:before="60"/>
              <w:rPr>
                <w:sz w:val="18"/>
                <w:szCs w:val="22"/>
              </w:rPr>
            </w:pPr>
            <w:r>
              <w:rPr>
                <w:sz w:val="18"/>
                <w:szCs w:val="22"/>
              </w:rPr>
              <w:t>Охватываемые дети (тыс. чел.)</w:t>
            </w:r>
          </w:p>
        </w:tc>
        <w:tc>
          <w:tcPr>
            <w:tcW w:w="898" w:type="dxa"/>
          </w:tcPr>
          <w:p w:rsidR="00000000" w:rsidRDefault="00000000">
            <w:pPr>
              <w:tabs>
                <w:tab w:val="left" w:pos="748"/>
              </w:tabs>
              <w:spacing w:before="60"/>
              <w:ind w:right="66"/>
              <w:jc w:val="right"/>
              <w:rPr>
                <w:sz w:val="18"/>
                <w:szCs w:val="22"/>
              </w:rPr>
            </w:pPr>
            <w:r>
              <w:rPr>
                <w:sz w:val="18"/>
                <w:szCs w:val="22"/>
              </w:rPr>
              <w:t>5 081</w:t>
            </w:r>
          </w:p>
        </w:tc>
        <w:tc>
          <w:tcPr>
            <w:tcW w:w="899" w:type="dxa"/>
          </w:tcPr>
          <w:p w:rsidR="00000000" w:rsidRDefault="00000000">
            <w:pPr>
              <w:tabs>
                <w:tab w:val="left" w:pos="748"/>
              </w:tabs>
              <w:spacing w:before="60"/>
              <w:ind w:right="57"/>
              <w:jc w:val="right"/>
              <w:rPr>
                <w:sz w:val="18"/>
                <w:szCs w:val="22"/>
              </w:rPr>
            </w:pPr>
            <w:r>
              <w:rPr>
                <w:sz w:val="18"/>
                <w:szCs w:val="22"/>
              </w:rPr>
              <w:t>4 489</w:t>
            </w:r>
          </w:p>
        </w:tc>
        <w:tc>
          <w:tcPr>
            <w:tcW w:w="899" w:type="dxa"/>
          </w:tcPr>
          <w:p w:rsidR="00000000" w:rsidRDefault="00000000">
            <w:pPr>
              <w:tabs>
                <w:tab w:val="decimal" w:pos="686"/>
                <w:tab w:val="left" w:pos="748"/>
              </w:tabs>
              <w:spacing w:before="60"/>
              <w:jc w:val="right"/>
              <w:rPr>
                <w:sz w:val="18"/>
                <w:szCs w:val="22"/>
              </w:rPr>
            </w:pPr>
            <w:r>
              <w:rPr>
                <w:sz w:val="18"/>
                <w:szCs w:val="22"/>
              </w:rPr>
              <w:t>3 969</w:t>
            </w:r>
          </w:p>
        </w:tc>
        <w:tc>
          <w:tcPr>
            <w:tcW w:w="898" w:type="dxa"/>
          </w:tcPr>
          <w:p w:rsidR="00000000" w:rsidRDefault="00000000">
            <w:pPr>
              <w:tabs>
                <w:tab w:val="left" w:pos="748"/>
              </w:tabs>
              <w:spacing w:before="60"/>
              <w:ind w:right="57"/>
              <w:jc w:val="right"/>
              <w:rPr>
                <w:sz w:val="18"/>
                <w:szCs w:val="22"/>
              </w:rPr>
            </w:pPr>
            <w:r>
              <w:rPr>
                <w:sz w:val="18"/>
                <w:szCs w:val="22"/>
              </w:rPr>
              <w:t>3 944</w:t>
            </w:r>
          </w:p>
        </w:tc>
        <w:tc>
          <w:tcPr>
            <w:tcW w:w="899" w:type="dxa"/>
          </w:tcPr>
          <w:p w:rsidR="00000000" w:rsidRDefault="00000000">
            <w:pPr>
              <w:tabs>
                <w:tab w:val="left" w:pos="748"/>
              </w:tabs>
              <w:spacing w:before="60"/>
              <w:ind w:right="57"/>
              <w:jc w:val="right"/>
              <w:rPr>
                <w:sz w:val="18"/>
                <w:szCs w:val="22"/>
              </w:rPr>
            </w:pPr>
            <w:r>
              <w:rPr>
                <w:sz w:val="18"/>
                <w:szCs w:val="22"/>
              </w:rPr>
              <w:t>4 236</w:t>
            </w:r>
          </w:p>
        </w:tc>
        <w:tc>
          <w:tcPr>
            <w:tcW w:w="806" w:type="dxa"/>
          </w:tcPr>
          <w:p w:rsidR="00000000" w:rsidRDefault="00000000">
            <w:pPr>
              <w:tabs>
                <w:tab w:val="decimal" w:pos="686"/>
                <w:tab w:val="left" w:pos="748"/>
              </w:tabs>
              <w:spacing w:before="60"/>
              <w:jc w:val="right"/>
              <w:rPr>
                <w:sz w:val="18"/>
                <w:szCs w:val="22"/>
              </w:rPr>
            </w:pPr>
            <w:r>
              <w:rPr>
                <w:sz w:val="18"/>
                <w:szCs w:val="22"/>
              </w:rPr>
              <w:t>4 452</w:t>
            </w:r>
          </w:p>
        </w:tc>
        <w:tc>
          <w:tcPr>
            <w:tcW w:w="992" w:type="dxa"/>
          </w:tcPr>
          <w:p w:rsidR="00000000" w:rsidRDefault="00000000">
            <w:pPr>
              <w:tabs>
                <w:tab w:val="left" w:pos="748"/>
              </w:tabs>
              <w:spacing w:before="60"/>
              <w:ind w:right="57"/>
              <w:jc w:val="right"/>
              <w:rPr>
                <w:sz w:val="18"/>
                <w:szCs w:val="22"/>
              </w:rPr>
            </w:pPr>
            <w:r>
              <w:rPr>
                <w:sz w:val="18"/>
                <w:szCs w:val="22"/>
              </w:rPr>
              <w:t>4 532</w:t>
            </w:r>
          </w:p>
        </w:tc>
      </w:tr>
      <w:tr w:rsidR="00000000">
        <w:tblPrEx>
          <w:tblCellMar>
            <w:top w:w="0" w:type="dxa"/>
            <w:bottom w:w="0" w:type="dxa"/>
          </w:tblCellMar>
        </w:tblPrEx>
        <w:trPr>
          <w:jc w:val="center"/>
        </w:trPr>
        <w:tc>
          <w:tcPr>
            <w:tcW w:w="3068" w:type="dxa"/>
          </w:tcPr>
          <w:p w:rsidR="00000000" w:rsidRDefault="00000000">
            <w:pPr>
              <w:keepNext/>
              <w:tabs>
                <w:tab w:val="left" w:pos="748"/>
              </w:tabs>
              <w:spacing w:before="60"/>
              <w:rPr>
                <w:sz w:val="18"/>
                <w:szCs w:val="22"/>
              </w:rPr>
            </w:pPr>
            <w:r>
              <w:rPr>
                <w:sz w:val="18"/>
                <w:szCs w:val="22"/>
              </w:rPr>
              <w:t>Точки продажи</w:t>
            </w:r>
          </w:p>
        </w:tc>
        <w:tc>
          <w:tcPr>
            <w:tcW w:w="898" w:type="dxa"/>
          </w:tcPr>
          <w:p w:rsidR="00000000" w:rsidRDefault="00000000">
            <w:pPr>
              <w:keepNext/>
              <w:tabs>
                <w:tab w:val="left" w:pos="748"/>
              </w:tabs>
              <w:spacing w:before="60"/>
              <w:ind w:right="66"/>
              <w:jc w:val="right"/>
              <w:rPr>
                <w:sz w:val="18"/>
                <w:szCs w:val="22"/>
              </w:rPr>
            </w:pPr>
            <w:r>
              <w:rPr>
                <w:sz w:val="18"/>
                <w:szCs w:val="22"/>
              </w:rPr>
              <w:t>11 076</w:t>
            </w:r>
          </w:p>
        </w:tc>
        <w:tc>
          <w:tcPr>
            <w:tcW w:w="899" w:type="dxa"/>
          </w:tcPr>
          <w:p w:rsidR="00000000" w:rsidRDefault="00000000">
            <w:pPr>
              <w:keepNext/>
              <w:tabs>
                <w:tab w:val="left" w:pos="748"/>
              </w:tabs>
              <w:spacing w:before="60"/>
              <w:ind w:right="57"/>
              <w:jc w:val="right"/>
              <w:rPr>
                <w:sz w:val="18"/>
                <w:szCs w:val="22"/>
              </w:rPr>
            </w:pPr>
            <w:r>
              <w:rPr>
                <w:sz w:val="18"/>
                <w:szCs w:val="22"/>
              </w:rPr>
              <w:t>8 315</w:t>
            </w:r>
          </w:p>
        </w:tc>
        <w:tc>
          <w:tcPr>
            <w:tcW w:w="899" w:type="dxa"/>
          </w:tcPr>
          <w:p w:rsidR="00000000" w:rsidRDefault="00000000">
            <w:pPr>
              <w:keepNext/>
              <w:tabs>
                <w:tab w:val="decimal" w:pos="686"/>
                <w:tab w:val="left" w:pos="748"/>
              </w:tabs>
              <w:spacing w:before="60"/>
              <w:jc w:val="right"/>
              <w:rPr>
                <w:sz w:val="18"/>
                <w:szCs w:val="22"/>
              </w:rPr>
            </w:pPr>
            <w:r>
              <w:rPr>
                <w:sz w:val="18"/>
                <w:szCs w:val="22"/>
              </w:rPr>
              <w:t>6 610</w:t>
            </w:r>
          </w:p>
        </w:tc>
        <w:tc>
          <w:tcPr>
            <w:tcW w:w="898" w:type="dxa"/>
          </w:tcPr>
          <w:p w:rsidR="00000000" w:rsidRDefault="00000000">
            <w:pPr>
              <w:keepNext/>
              <w:tabs>
                <w:tab w:val="left" w:pos="748"/>
              </w:tabs>
              <w:spacing w:before="60"/>
              <w:ind w:right="57"/>
              <w:jc w:val="right"/>
              <w:rPr>
                <w:sz w:val="18"/>
                <w:szCs w:val="22"/>
              </w:rPr>
            </w:pPr>
            <w:r>
              <w:rPr>
                <w:sz w:val="18"/>
                <w:szCs w:val="22"/>
              </w:rPr>
              <w:t>6 647</w:t>
            </w:r>
          </w:p>
        </w:tc>
        <w:tc>
          <w:tcPr>
            <w:tcW w:w="899" w:type="dxa"/>
          </w:tcPr>
          <w:p w:rsidR="00000000" w:rsidRDefault="00000000">
            <w:pPr>
              <w:keepNext/>
              <w:tabs>
                <w:tab w:val="left" w:pos="748"/>
              </w:tabs>
              <w:spacing w:before="60"/>
              <w:ind w:right="57"/>
              <w:jc w:val="right"/>
              <w:rPr>
                <w:sz w:val="18"/>
                <w:szCs w:val="22"/>
              </w:rPr>
            </w:pPr>
            <w:r>
              <w:rPr>
                <w:sz w:val="18"/>
                <w:szCs w:val="22"/>
              </w:rPr>
              <w:t>7 607</w:t>
            </w:r>
          </w:p>
        </w:tc>
        <w:tc>
          <w:tcPr>
            <w:tcW w:w="806" w:type="dxa"/>
          </w:tcPr>
          <w:p w:rsidR="00000000" w:rsidRDefault="00000000">
            <w:pPr>
              <w:keepNext/>
              <w:tabs>
                <w:tab w:val="decimal" w:pos="686"/>
                <w:tab w:val="left" w:pos="748"/>
              </w:tabs>
              <w:spacing w:before="60"/>
              <w:jc w:val="right"/>
              <w:rPr>
                <w:sz w:val="18"/>
                <w:szCs w:val="22"/>
              </w:rPr>
            </w:pPr>
            <w:r>
              <w:rPr>
                <w:sz w:val="18"/>
                <w:szCs w:val="22"/>
              </w:rPr>
              <w:t>8 477</w:t>
            </w:r>
          </w:p>
        </w:tc>
        <w:tc>
          <w:tcPr>
            <w:tcW w:w="992" w:type="dxa"/>
          </w:tcPr>
          <w:p w:rsidR="00000000" w:rsidRDefault="00000000">
            <w:pPr>
              <w:keepNext/>
              <w:tabs>
                <w:tab w:val="left" w:pos="748"/>
              </w:tabs>
              <w:spacing w:before="60"/>
              <w:ind w:right="57"/>
              <w:jc w:val="right"/>
              <w:rPr>
                <w:sz w:val="18"/>
                <w:szCs w:val="22"/>
              </w:rPr>
            </w:pPr>
            <w:r>
              <w:rPr>
                <w:sz w:val="18"/>
                <w:szCs w:val="22"/>
              </w:rPr>
              <w:t>9 250</w:t>
            </w:r>
          </w:p>
        </w:tc>
      </w:tr>
      <w:tr w:rsidR="00000000">
        <w:tblPrEx>
          <w:tblCellMar>
            <w:top w:w="0" w:type="dxa"/>
            <w:bottom w:w="0" w:type="dxa"/>
          </w:tblCellMar>
        </w:tblPrEx>
        <w:trPr>
          <w:jc w:val="center"/>
        </w:trPr>
        <w:tc>
          <w:tcPr>
            <w:tcW w:w="3068" w:type="dxa"/>
          </w:tcPr>
          <w:p w:rsidR="00000000" w:rsidRDefault="00000000">
            <w:pPr>
              <w:keepNext/>
              <w:tabs>
                <w:tab w:val="left" w:pos="748"/>
              </w:tabs>
              <w:spacing w:before="60"/>
              <w:rPr>
                <w:sz w:val="18"/>
                <w:szCs w:val="22"/>
              </w:rPr>
            </w:pPr>
            <w:r>
              <w:rPr>
                <w:sz w:val="18"/>
                <w:szCs w:val="22"/>
              </w:rPr>
              <w:t>Охватываемые муниципии</w:t>
            </w:r>
          </w:p>
        </w:tc>
        <w:tc>
          <w:tcPr>
            <w:tcW w:w="898" w:type="dxa"/>
          </w:tcPr>
          <w:p w:rsidR="00000000" w:rsidRDefault="00000000">
            <w:pPr>
              <w:keepNext/>
              <w:tabs>
                <w:tab w:val="left" w:pos="748"/>
              </w:tabs>
              <w:spacing w:before="60"/>
              <w:ind w:right="66"/>
              <w:jc w:val="right"/>
              <w:rPr>
                <w:sz w:val="18"/>
                <w:szCs w:val="22"/>
              </w:rPr>
            </w:pPr>
            <w:r>
              <w:rPr>
                <w:sz w:val="18"/>
                <w:szCs w:val="22"/>
              </w:rPr>
              <w:t>1 907</w:t>
            </w:r>
          </w:p>
        </w:tc>
        <w:tc>
          <w:tcPr>
            <w:tcW w:w="899" w:type="dxa"/>
          </w:tcPr>
          <w:p w:rsidR="00000000" w:rsidRDefault="00000000">
            <w:pPr>
              <w:keepNext/>
              <w:tabs>
                <w:tab w:val="left" w:pos="748"/>
              </w:tabs>
              <w:spacing w:before="60"/>
              <w:ind w:right="57"/>
              <w:jc w:val="right"/>
              <w:rPr>
                <w:sz w:val="18"/>
                <w:szCs w:val="22"/>
              </w:rPr>
            </w:pPr>
            <w:r>
              <w:rPr>
                <w:sz w:val="18"/>
                <w:szCs w:val="22"/>
              </w:rPr>
              <w:t>1 848</w:t>
            </w:r>
          </w:p>
        </w:tc>
        <w:tc>
          <w:tcPr>
            <w:tcW w:w="899" w:type="dxa"/>
          </w:tcPr>
          <w:p w:rsidR="00000000" w:rsidRDefault="00000000">
            <w:pPr>
              <w:keepNext/>
              <w:tabs>
                <w:tab w:val="decimal" w:pos="686"/>
                <w:tab w:val="left" w:pos="748"/>
              </w:tabs>
              <w:spacing w:before="60"/>
              <w:jc w:val="right"/>
              <w:rPr>
                <w:sz w:val="18"/>
                <w:szCs w:val="22"/>
              </w:rPr>
            </w:pPr>
            <w:r>
              <w:rPr>
                <w:sz w:val="18"/>
                <w:szCs w:val="22"/>
              </w:rPr>
              <w:t>1 731</w:t>
            </w:r>
          </w:p>
        </w:tc>
        <w:tc>
          <w:tcPr>
            <w:tcW w:w="898" w:type="dxa"/>
          </w:tcPr>
          <w:p w:rsidR="00000000" w:rsidRDefault="00000000">
            <w:pPr>
              <w:keepNext/>
              <w:tabs>
                <w:tab w:val="left" w:pos="748"/>
              </w:tabs>
              <w:spacing w:before="60"/>
              <w:ind w:right="57"/>
              <w:jc w:val="right"/>
              <w:rPr>
                <w:sz w:val="18"/>
                <w:szCs w:val="22"/>
              </w:rPr>
            </w:pPr>
            <w:r>
              <w:rPr>
                <w:sz w:val="18"/>
                <w:szCs w:val="22"/>
              </w:rPr>
              <w:t>1 938</w:t>
            </w:r>
          </w:p>
        </w:tc>
        <w:tc>
          <w:tcPr>
            <w:tcW w:w="899" w:type="dxa"/>
          </w:tcPr>
          <w:p w:rsidR="00000000" w:rsidRDefault="00000000">
            <w:pPr>
              <w:keepNext/>
              <w:tabs>
                <w:tab w:val="left" w:pos="748"/>
              </w:tabs>
              <w:spacing w:before="60"/>
              <w:ind w:right="57"/>
              <w:jc w:val="right"/>
              <w:rPr>
                <w:sz w:val="18"/>
                <w:szCs w:val="22"/>
              </w:rPr>
            </w:pPr>
            <w:r>
              <w:rPr>
                <w:sz w:val="18"/>
                <w:szCs w:val="22"/>
              </w:rPr>
              <w:t>1 816</w:t>
            </w:r>
          </w:p>
        </w:tc>
        <w:tc>
          <w:tcPr>
            <w:tcW w:w="806" w:type="dxa"/>
          </w:tcPr>
          <w:p w:rsidR="00000000" w:rsidRDefault="00000000">
            <w:pPr>
              <w:keepNext/>
              <w:tabs>
                <w:tab w:val="decimal" w:pos="686"/>
                <w:tab w:val="left" w:pos="748"/>
              </w:tabs>
              <w:spacing w:before="60"/>
              <w:jc w:val="right"/>
              <w:rPr>
                <w:sz w:val="18"/>
                <w:szCs w:val="22"/>
              </w:rPr>
            </w:pPr>
            <w:r>
              <w:rPr>
                <w:sz w:val="18"/>
                <w:szCs w:val="22"/>
              </w:rPr>
              <w:t>1 837</w:t>
            </w:r>
          </w:p>
        </w:tc>
        <w:tc>
          <w:tcPr>
            <w:tcW w:w="992" w:type="dxa"/>
          </w:tcPr>
          <w:p w:rsidR="00000000" w:rsidRDefault="00000000">
            <w:pPr>
              <w:keepNext/>
              <w:tabs>
                <w:tab w:val="left" w:pos="748"/>
              </w:tabs>
              <w:spacing w:before="60"/>
              <w:ind w:right="57"/>
              <w:jc w:val="right"/>
              <w:rPr>
                <w:sz w:val="18"/>
                <w:szCs w:val="22"/>
              </w:rPr>
            </w:pPr>
            <w:r>
              <w:rPr>
                <w:sz w:val="18"/>
                <w:szCs w:val="22"/>
              </w:rPr>
              <w:t>1 845</w:t>
            </w:r>
          </w:p>
        </w:tc>
      </w:tr>
    </w:tbl>
    <w:p w:rsidR="00000000" w:rsidRDefault="00000000">
      <w:pPr>
        <w:tabs>
          <w:tab w:val="left" w:pos="748"/>
        </w:tabs>
        <w:rPr>
          <w:i/>
          <w:iCs/>
        </w:rPr>
      </w:pPr>
    </w:p>
    <w:p w:rsidR="00000000" w:rsidRDefault="00000000">
      <w:pPr>
        <w:tabs>
          <w:tab w:val="left" w:pos="748"/>
        </w:tabs>
        <w:spacing w:line="240" w:lineRule="auto"/>
        <w:rPr>
          <w:sz w:val="18"/>
        </w:rPr>
      </w:pPr>
      <w:r>
        <w:rPr>
          <w:i/>
          <w:iCs/>
          <w:sz w:val="18"/>
        </w:rPr>
        <w:t>Источник</w:t>
      </w:r>
      <w:r>
        <w:rPr>
          <w:sz w:val="18"/>
        </w:rPr>
        <w:t>:  Органы федеральной исполнительной власти, правительственный доклад за 2001 год.  Министерство финансов и государственного кредита, отчет об исполнении федерального государственного бюджета за 2001 года.  Данные за 2000-2003 годы почерпнуты из третьего доклада о работе министерства социального развития.</w:t>
      </w:r>
    </w:p>
    <w:p w:rsidR="00000000" w:rsidRDefault="00000000">
      <w:pPr>
        <w:tabs>
          <w:tab w:val="left" w:pos="748"/>
        </w:tabs>
        <w:spacing w:line="240" w:lineRule="auto"/>
        <w:rPr>
          <w:sz w:val="18"/>
        </w:rPr>
      </w:pPr>
    </w:p>
    <w:p w:rsidR="00000000" w:rsidRDefault="00000000">
      <w:pPr>
        <w:tabs>
          <w:tab w:val="left" w:pos="748"/>
        </w:tabs>
        <w:spacing w:line="240" w:lineRule="auto"/>
        <w:rPr>
          <w:sz w:val="18"/>
        </w:rPr>
      </w:pPr>
      <w:r>
        <w:rPr>
          <w:b/>
          <w:bCs/>
          <w:sz w:val="18"/>
          <w:vertAlign w:val="superscript"/>
        </w:rPr>
        <w:t>*</w:t>
      </w:r>
      <w:r>
        <w:rPr>
          <w:sz w:val="18"/>
        </w:rPr>
        <w:t xml:space="preserve">  Оценочные данные на конец года.</w:t>
      </w:r>
    </w:p>
    <w:p w:rsidR="00000000" w:rsidRDefault="00000000">
      <w:pPr>
        <w:tabs>
          <w:tab w:val="left" w:pos="748"/>
        </w:tabs>
        <w:rPr>
          <w:sz w:val="18"/>
        </w:rPr>
      </w:pPr>
    </w:p>
    <w:p w:rsidR="00000000" w:rsidRDefault="00000000">
      <w:pPr>
        <w:tabs>
          <w:tab w:val="left" w:pos="748"/>
        </w:tabs>
      </w:pPr>
      <w:r>
        <w:rPr>
          <w:b/>
        </w:rPr>
        <w:tab/>
        <w:t>Программа снабжения села</w:t>
      </w:r>
    </w:p>
    <w:p w:rsidR="00000000" w:rsidRDefault="00000000">
      <w:pPr>
        <w:tabs>
          <w:tab w:val="left" w:pos="748"/>
        </w:tabs>
      </w:pPr>
    </w:p>
    <w:p w:rsidR="00000000" w:rsidRDefault="00000000">
      <w:pPr>
        <w:tabs>
          <w:tab w:val="left" w:pos="748"/>
        </w:tabs>
      </w:pPr>
      <w:r>
        <w:t>1103.</w:t>
      </w:r>
      <w:r>
        <w:tab/>
      </w:r>
      <w:r>
        <w:tab/>
        <w:t>С помощью этой программы решается вопрос снабжения основными и сопутствующими продуктами и товарами сельских жителей удаленных и бедных районов, стоящих на пороге пищевой бедности.  При этом делается все, чтобы товары доходили до потребителя по ценам местного рынка, своевременно, в достаточном количестве, при высоком качестве и высокой питательности.  Кроме того, ставится задача приобщения этого слоя потребителей к пользованию дополнительными социальными услугами.</w:t>
      </w:r>
    </w:p>
    <w:p w:rsidR="00000000" w:rsidRDefault="00000000">
      <w:pPr>
        <w:tabs>
          <w:tab w:val="left" w:pos="748"/>
        </w:tabs>
      </w:pPr>
    </w:p>
    <w:p w:rsidR="00000000" w:rsidRDefault="00000000">
      <w:pPr>
        <w:tabs>
          <w:tab w:val="left" w:pos="748"/>
        </w:tabs>
      </w:pPr>
      <w:r>
        <w:t>1104.</w:t>
      </w:r>
      <w:r>
        <w:tab/>
      </w:r>
      <w:r>
        <w:tab/>
        <w:t>Эту программу осуществляет поставщик "Конасупо СА" ("Диконса") - предприятие с преимущественно государственным участием под эгидой МСР, которое является еще одним инструментом социальной политики федерального правительства.  Главная цель "Диконса" </w:t>
      </w:r>
      <w:r>
        <w:noBreakHyphen/>
        <w:t xml:space="preserve"> снабжение основными и сопутствующими продуктами и товарами сельских жителей удаленных и бедных районов, стоящих на пороге пищевой бедности, по ценам ниже, чем цены местного рынка.</w:t>
      </w:r>
    </w:p>
    <w:p w:rsidR="00000000" w:rsidRDefault="00000000">
      <w:pPr>
        <w:tabs>
          <w:tab w:val="left" w:pos="748"/>
        </w:tabs>
      </w:pPr>
    </w:p>
    <w:p w:rsidR="00000000" w:rsidRDefault="00000000">
      <w:pPr>
        <w:tabs>
          <w:tab w:val="left" w:pos="748"/>
        </w:tabs>
      </w:pPr>
      <w:r>
        <w:t>1105.</w:t>
      </w:r>
      <w:r>
        <w:tab/>
      </w:r>
      <w:r>
        <w:tab/>
        <w:t>В настоящее время "Диконса" располагает по всей стране следующей инфраструктурой:  примерно 22 079 магазинов, из которых 6 326 находятся в муниципалитетах, где проживают представители коренных народов, а 18 764 магазина находятся в районах, где действует программа "Возможности".  У предприятия имеются 31 центральная база, 271 сельская база, целый парк транспортных средств в составе 1 967 грузовых автомобилей и 1 480 автомобилей местной доставки.</w:t>
      </w:r>
    </w:p>
    <w:p w:rsidR="00000000" w:rsidRDefault="00000000">
      <w:pPr>
        <w:tabs>
          <w:tab w:val="left" w:pos="748"/>
        </w:tabs>
      </w:pPr>
    </w:p>
    <w:p w:rsidR="00000000" w:rsidRDefault="00000000">
      <w:pPr>
        <w:tabs>
          <w:tab w:val="left" w:pos="748"/>
        </w:tabs>
      </w:pPr>
      <w:r>
        <w:t>1106.</w:t>
      </w:r>
      <w:r>
        <w:tab/>
      </w:r>
      <w:r>
        <w:tab/>
        <w:t>Доставка основных продуктов питания осуществляется на общую сумму 3 574,7 млн. песо (примерно 310 000 долл.), а в весовом выражении выглядит так:  283 545 тонн кукурузы, 12 950 тонн фасоли, 15 038 тонн риса, 41 791 тонна сахара, 80 959 тонн кукурузной муки и 6 858 тонн порошкового молока;  а также на 1 968 млн. песо (примерно 180 000 долл.) прочих продуктов навалом и товаров широкого спроса.</w:t>
      </w:r>
    </w:p>
    <w:p w:rsidR="00000000" w:rsidRDefault="00000000">
      <w:pPr>
        <w:tabs>
          <w:tab w:val="left" w:pos="748"/>
        </w:tabs>
      </w:pPr>
    </w:p>
    <w:p w:rsidR="00000000" w:rsidRDefault="00000000">
      <w:pPr>
        <w:tabs>
          <w:tab w:val="left" w:pos="748"/>
        </w:tabs>
      </w:pPr>
      <w:r>
        <w:t>1107.</w:t>
      </w:r>
      <w:r>
        <w:tab/>
      </w:r>
      <w:r>
        <w:tab/>
        <w:t>Программа снабжения села напрямую рассчитана на экономию средств населения.  Ведь покупая основные продукты в торговой сети ДИКОНСА народ на каждой покупке экономит 6,06 процента.</w:t>
      </w:r>
    </w:p>
    <w:p w:rsidR="00000000" w:rsidRDefault="00000000">
      <w:pPr>
        <w:tabs>
          <w:tab w:val="left" w:pos="748"/>
        </w:tabs>
      </w:pPr>
    </w:p>
    <w:p w:rsidR="00000000" w:rsidRDefault="00000000">
      <w:pPr>
        <w:tabs>
          <w:tab w:val="left" w:pos="748"/>
        </w:tabs>
        <w:jc w:val="center"/>
        <w:rPr>
          <w:b/>
        </w:rPr>
      </w:pPr>
      <w:r>
        <w:rPr>
          <w:b/>
          <w:bCs/>
        </w:rPr>
        <w:t xml:space="preserve">Основные результаты осуществления </w:t>
      </w:r>
      <w:r>
        <w:rPr>
          <w:b/>
        </w:rPr>
        <w:t>Программа</w:t>
      </w:r>
    </w:p>
    <w:p w:rsidR="00000000" w:rsidRDefault="00000000">
      <w:pPr>
        <w:tabs>
          <w:tab w:val="left" w:pos="748"/>
        </w:tabs>
        <w:jc w:val="center"/>
        <w:rPr>
          <w:b/>
          <w:bCs/>
        </w:rPr>
      </w:pPr>
      <w:r>
        <w:rPr>
          <w:b/>
        </w:rPr>
        <w:t>снабжения села</w:t>
      </w:r>
      <w:r>
        <w:rPr>
          <w:b/>
          <w:bCs/>
        </w:rPr>
        <w:t xml:space="preserve"> за период 1997-2001 годов</w:t>
      </w:r>
    </w:p>
    <w:p w:rsidR="00000000" w:rsidRDefault="00000000">
      <w:pPr>
        <w:tabs>
          <w:tab w:val="left" w:pos="748"/>
        </w:tabs>
      </w:pPr>
    </w:p>
    <w:tbl>
      <w:tblPr>
        <w:tblW w:w="5000" w:type="pct"/>
        <w:tblCellMar>
          <w:left w:w="0" w:type="dxa"/>
          <w:right w:w="0" w:type="dxa"/>
        </w:tblCellMar>
        <w:tblLook w:val="0000" w:firstRow="0" w:lastRow="0" w:firstColumn="0" w:lastColumn="0" w:noHBand="0" w:noVBand="0"/>
      </w:tblPr>
      <w:tblGrid>
        <w:gridCol w:w="3284"/>
        <w:gridCol w:w="844"/>
        <w:gridCol w:w="842"/>
        <w:gridCol w:w="841"/>
        <w:gridCol w:w="841"/>
        <w:gridCol w:w="841"/>
        <w:gridCol w:w="841"/>
        <w:gridCol w:w="1036"/>
      </w:tblGrid>
      <w:tr w:rsidR="00000000">
        <w:tblPrEx>
          <w:tblCellMar>
            <w:top w:w="0" w:type="dxa"/>
            <w:left w:w="0" w:type="dxa"/>
            <w:bottom w:w="0" w:type="dxa"/>
            <w:right w:w="0" w:type="dxa"/>
          </w:tblCellMar>
        </w:tblPrEx>
        <w:trPr>
          <w:cantSplit/>
        </w:trPr>
        <w:tc>
          <w:tcPr>
            <w:tcW w:w="1752"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Heading2"/>
              <w:tabs>
                <w:tab w:val="left" w:pos="748"/>
              </w:tabs>
              <w:spacing w:before="60"/>
              <w:jc w:val="center"/>
              <w:rPr>
                <w:b/>
                <w:i/>
                <w:iCs/>
                <w:sz w:val="18"/>
                <w:szCs w:val="22"/>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tabs>
                <w:tab w:val="left" w:pos="748"/>
              </w:tabs>
              <w:spacing w:before="60"/>
              <w:jc w:val="center"/>
              <w:rPr>
                <w:bCs/>
                <w:i/>
                <w:iCs/>
                <w:sz w:val="18"/>
                <w:szCs w:val="22"/>
              </w:rPr>
            </w:pPr>
            <w:r>
              <w:rPr>
                <w:bCs/>
                <w:i/>
                <w:iCs/>
                <w:sz w:val="18"/>
                <w:szCs w:val="22"/>
              </w:rPr>
              <w:t>1997 год</w:t>
            </w:r>
          </w:p>
        </w:tc>
        <w:tc>
          <w:tcPr>
            <w:tcW w:w="449"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tabs>
                <w:tab w:val="left" w:pos="748"/>
              </w:tabs>
              <w:spacing w:before="60"/>
              <w:jc w:val="center"/>
              <w:rPr>
                <w:bCs/>
                <w:i/>
                <w:iCs/>
                <w:sz w:val="18"/>
                <w:szCs w:val="22"/>
              </w:rPr>
            </w:pPr>
            <w:r>
              <w:rPr>
                <w:bCs/>
                <w:i/>
                <w:iCs/>
                <w:sz w:val="18"/>
                <w:szCs w:val="22"/>
              </w:rPr>
              <w:t>1998 год</w:t>
            </w:r>
          </w:p>
        </w:tc>
        <w:tc>
          <w:tcPr>
            <w:tcW w:w="449"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tabs>
                <w:tab w:val="left" w:pos="748"/>
              </w:tabs>
              <w:spacing w:before="60"/>
              <w:jc w:val="center"/>
              <w:rPr>
                <w:bCs/>
                <w:i/>
                <w:iCs/>
                <w:sz w:val="18"/>
                <w:szCs w:val="22"/>
              </w:rPr>
            </w:pPr>
            <w:r>
              <w:rPr>
                <w:bCs/>
                <w:i/>
                <w:iCs/>
                <w:sz w:val="18"/>
                <w:szCs w:val="22"/>
              </w:rPr>
              <w:t>1999 год</w:t>
            </w:r>
          </w:p>
        </w:tc>
        <w:tc>
          <w:tcPr>
            <w:tcW w:w="449"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tabs>
                <w:tab w:val="left" w:pos="748"/>
              </w:tabs>
              <w:spacing w:before="60"/>
              <w:jc w:val="center"/>
              <w:rPr>
                <w:bCs/>
                <w:i/>
                <w:iCs/>
                <w:sz w:val="18"/>
                <w:szCs w:val="22"/>
              </w:rPr>
            </w:pPr>
            <w:r>
              <w:rPr>
                <w:bCs/>
                <w:i/>
                <w:iCs/>
                <w:sz w:val="18"/>
                <w:szCs w:val="22"/>
              </w:rPr>
              <w:t>2000 год</w:t>
            </w:r>
          </w:p>
        </w:tc>
        <w:tc>
          <w:tcPr>
            <w:tcW w:w="449"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tabs>
                <w:tab w:val="left" w:pos="748"/>
              </w:tabs>
              <w:spacing w:before="60"/>
              <w:jc w:val="center"/>
              <w:rPr>
                <w:bCs/>
                <w:i/>
                <w:iCs/>
                <w:sz w:val="18"/>
                <w:szCs w:val="22"/>
              </w:rPr>
            </w:pPr>
            <w:r>
              <w:rPr>
                <w:bCs/>
                <w:i/>
                <w:iCs/>
                <w:sz w:val="18"/>
                <w:szCs w:val="22"/>
              </w:rPr>
              <w:t>2001 год</w:t>
            </w:r>
          </w:p>
        </w:tc>
        <w:tc>
          <w:tcPr>
            <w:tcW w:w="449"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tabs>
                <w:tab w:val="left" w:pos="748"/>
              </w:tabs>
              <w:spacing w:before="60"/>
              <w:jc w:val="center"/>
              <w:rPr>
                <w:bCs/>
                <w:i/>
                <w:iCs/>
                <w:sz w:val="18"/>
                <w:szCs w:val="22"/>
              </w:rPr>
            </w:pPr>
            <w:r>
              <w:rPr>
                <w:bCs/>
                <w:i/>
                <w:iCs/>
                <w:sz w:val="18"/>
                <w:szCs w:val="22"/>
              </w:rPr>
              <w:t>2002 год</w:t>
            </w:r>
          </w:p>
        </w:tc>
        <w:tc>
          <w:tcPr>
            <w:tcW w:w="553"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tabs>
                <w:tab w:val="left" w:pos="748"/>
              </w:tabs>
              <w:spacing w:before="60"/>
              <w:jc w:val="center"/>
              <w:rPr>
                <w:b/>
                <w:i/>
                <w:iCs/>
                <w:sz w:val="18"/>
                <w:szCs w:val="22"/>
              </w:rPr>
            </w:pPr>
            <w:r>
              <w:rPr>
                <w:bCs/>
                <w:i/>
                <w:iCs/>
                <w:sz w:val="18"/>
                <w:szCs w:val="22"/>
              </w:rPr>
              <w:t>2003 год</w:t>
            </w:r>
            <w:r>
              <w:rPr>
                <w:b/>
                <w:i/>
                <w:iCs/>
                <w:sz w:val="18"/>
                <w:szCs w:val="22"/>
                <w:vertAlign w:val="superscript"/>
                <w:lang w:val="en-US"/>
              </w:rPr>
              <w:t>*</w:t>
            </w:r>
          </w:p>
        </w:tc>
      </w:tr>
      <w:tr w:rsidR="00000000">
        <w:tblPrEx>
          <w:tblCellMar>
            <w:top w:w="0" w:type="dxa"/>
            <w:left w:w="0" w:type="dxa"/>
            <w:bottom w:w="0" w:type="dxa"/>
            <w:right w:w="0" w:type="dxa"/>
          </w:tblCellMar>
        </w:tblPrEx>
        <w:trPr>
          <w:cantSplit/>
        </w:trPr>
        <w:tc>
          <w:tcPr>
            <w:tcW w:w="1752" w:type="pct"/>
            <w:tcBorders>
              <w:top w:val="single" w:sz="6" w:space="0" w:color="auto"/>
              <w:left w:val="single" w:sz="8" w:space="0" w:color="auto"/>
              <w:bottom w:val="single" w:sz="4" w:space="0" w:color="auto"/>
              <w:right w:val="single" w:sz="8" w:space="0" w:color="auto"/>
            </w:tcBorders>
            <w:vAlign w:val="bottom"/>
          </w:tcPr>
          <w:p w:rsidR="00000000" w:rsidRDefault="00000000">
            <w:pPr>
              <w:keepNext/>
              <w:tabs>
                <w:tab w:val="left" w:pos="748"/>
              </w:tabs>
              <w:spacing w:before="60"/>
              <w:rPr>
                <w:sz w:val="18"/>
                <w:szCs w:val="22"/>
              </w:rPr>
            </w:pPr>
            <w:r>
              <w:rPr>
                <w:sz w:val="18"/>
                <w:szCs w:val="22"/>
              </w:rPr>
              <w:t xml:space="preserve">Общее число магазинов в городе и на селе, а также баз снабжения </w:t>
            </w:r>
          </w:p>
        </w:tc>
        <w:tc>
          <w:tcPr>
            <w:tcW w:w="450" w:type="pct"/>
            <w:tcBorders>
              <w:top w:val="single" w:sz="6" w:space="0" w:color="auto"/>
              <w:left w:val="nil"/>
              <w:bottom w:val="single" w:sz="4" w:space="0" w:color="auto"/>
              <w:right w:val="single" w:sz="8" w:space="0" w:color="auto"/>
            </w:tcBorders>
            <w:vAlign w:val="bottom"/>
          </w:tcPr>
          <w:p w:rsidR="00000000" w:rsidRDefault="00000000">
            <w:pPr>
              <w:keepNext/>
              <w:tabs>
                <w:tab w:val="left" w:pos="748"/>
              </w:tabs>
              <w:spacing w:before="60"/>
              <w:jc w:val="center"/>
              <w:rPr>
                <w:sz w:val="18"/>
                <w:szCs w:val="22"/>
              </w:rPr>
            </w:pPr>
            <w:r>
              <w:rPr>
                <w:sz w:val="18"/>
                <w:szCs w:val="22"/>
              </w:rPr>
              <w:t>23 734</w:t>
            </w:r>
          </w:p>
        </w:tc>
        <w:tc>
          <w:tcPr>
            <w:tcW w:w="449" w:type="pct"/>
            <w:tcBorders>
              <w:top w:val="single" w:sz="6" w:space="0" w:color="auto"/>
              <w:left w:val="nil"/>
              <w:bottom w:val="single" w:sz="4" w:space="0" w:color="auto"/>
              <w:right w:val="single" w:sz="8" w:space="0" w:color="auto"/>
            </w:tcBorders>
            <w:vAlign w:val="bottom"/>
          </w:tcPr>
          <w:p w:rsidR="00000000" w:rsidRDefault="00000000">
            <w:pPr>
              <w:keepNext/>
              <w:tabs>
                <w:tab w:val="left" w:pos="748"/>
              </w:tabs>
              <w:spacing w:before="60"/>
              <w:jc w:val="center"/>
              <w:rPr>
                <w:sz w:val="18"/>
                <w:szCs w:val="22"/>
              </w:rPr>
            </w:pPr>
            <w:r>
              <w:rPr>
                <w:sz w:val="18"/>
                <w:szCs w:val="22"/>
              </w:rPr>
              <w:t>24 230</w:t>
            </w:r>
          </w:p>
        </w:tc>
        <w:tc>
          <w:tcPr>
            <w:tcW w:w="449" w:type="pct"/>
            <w:tcBorders>
              <w:top w:val="single" w:sz="6" w:space="0" w:color="auto"/>
              <w:left w:val="nil"/>
              <w:bottom w:val="single" w:sz="4" w:space="0" w:color="auto"/>
              <w:right w:val="single" w:sz="8" w:space="0" w:color="auto"/>
            </w:tcBorders>
            <w:vAlign w:val="bottom"/>
          </w:tcPr>
          <w:p w:rsidR="00000000" w:rsidRDefault="00000000">
            <w:pPr>
              <w:keepNext/>
              <w:tabs>
                <w:tab w:val="left" w:pos="748"/>
              </w:tabs>
              <w:spacing w:before="60"/>
              <w:jc w:val="center"/>
              <w:rPr>
                <w:sz w:val="18"/>
                <w:szCs w:val="22"/>
              </w:rPr>
            </w:pPr>
            <w:r>
              <w:rPr>
                <w:sz w:val="18"/>
                <w:szCs w:val="22"/>
              </w:rPr>
              <w:t>23 628</w:t>
            </w:r>
          </w:p>
        </w:tc>
        <w:tc>
          <w:tcPr>
            <w:tcW w:w="449" w:type="pct"/>
            <w:tcBorders>
              <w:top w:val="single" w:sz="6" w:space="0" w:color="auto"/>
              <w:left w:val="nil"/>
              <w:bottom w:val="single" w:sz="4" w:space="0" w:color="auto"/>
              <w:right w:val="single" w:sz="4" w:space="0" w:color="auto"/>
            </w:tcBorders>
            <w:vAlign w:val="bottom"/>
          </w:tcPr>
          <w:p w:rsidR="00000000" w:rsidRDefault="00000000">
            <w:pPr>
              <w:keepNext/>
              <w:tabs>
                <w:tab w:val="left" w:pos="748"/>
              </w:tabs>
              <w:spacing w:before="60"/>
              <w:jc w:val="center"/>
              <w:rPr>
                <w:sz w:val="18"/>
                <w:szCs w:val="22"/>
              </w:rPr>
            </w:pPr>
            <w:r>
              <w:rPr>
                <w:sz w:val="18"/>
                <w:szCs w:val="22"/>
              </w:rPr>
              <w:t>22 777</w:t>
            </w:r>
          </w:p>
        </w:tc>
        <w:tc>
          <w:tcPr>
            <w:tcW w:w="449" w:type="pct"/>
            <w:tcBorders>
              <w:top w:val="single" w:sz="6" w:space="0" w:color="auto"/>
              <w:left w:val="nil"/>
              <w:bottom w:val="single" w:sz="4" w:space="0" w:color="auto"/>
              <w:right w:val="single" w:sz="8" w:space="0" w:color="auto"/>
            </w:tcBorders>
            <w:vAlign w:val="bottom"/>
          </w:tcPr>
          <w:p w:rsidR="00000000" w:rsidRDefault="00000000">
            <w:pPr>
              <w:keepNext/>
              <w:tabs>
                <w:tab w:val="left" w:pos="748"/>
              </w:tabs>
              <w:spacing w:before="60"/>
              <w:jc w:val="center"/>
              <w:rPr>
                <w:sz w:val="18"/>
                <w:szCs w:val="22"/>
              </w:rPr>
            </w:pPr>
            <w:r>
              <w:rPr>
                <w:sz w:val="18"/>
                <w:szCs w:val="22"/>
              </w:rPr>
              <w:t>22 861</w:t>
            </w:r>
          </w:p>
        </w:tc>
        <w:tc>
          <w:tcPr>
            <w:tcW w:w="449" w:type="pct"/>
            <w:tcBorders>
              <w:top w:val="single" w:sz="6" w:space="0" w:color="auto"/>
              <w:left w:val="nil"/>
              <w:bottom w:val="single" w:sz="4" w:space="0" w:color="auto"/>
              <w:right w:val="single" w:sz="8" w:space="0" w:color="auto"/>
            </w:tcBorders>
            <w:vAlign w:val="bottom"/>
          </w:tcPr>
          <w:p w:rsidR="00000000" w:rsidRDefault="00000000">
            <w:pPr>
              <w:keepNext/>
              <w:tabs>
                <w:tab w:val="left" w:pos="748"/>
              </w:tabs>
              <w:spacing w:before="60"/>
              <w:jc w:val="center"/>
              <w:rPr>
                <w:sz w:val="18"/>
                <w:szCs w:val="22"/>
              </w:rPr>
            </w:pPr>
            <w:r>
              <w:rPr>
                <w:sz w:val="18"/>
                <w:szCs w:val="22"/>
              </w:rPr>
              <w:t>22 516</w:t>
            </w:r>
          </w:p>
        </w:tc>
        <w:tc>
          <w:tcPr>
            <w:tcW w:w="553" w:type="pct"/>
            <w:tcBorders>
              <w:top w:val="single" w:sz="6" w:space="0" w:color="auto"/>
              <w:left w:val="nil"/>
              <w:bottom w:val="single" w:sz="4" w:space="0" w:color="auto"/>
              <w:right w:val="single" w:sz="8" w:space="0" w:color="auto"/>
            </w:tcBorders>
            <w:vAlign w:val="bottom"/>
          </w:tcPr>
          <w:p w:rsidR="00000000" w:rsidRDefault="00000000">
            <w:pPr>
              <w:keepNext/>
              <w:tabs>
                <w:tab w:val="left" w:pos="748"/>
              </w:tabs>
              <w:spacing w:before="60"/>
              <w:jc w:val="center"/>
              <w:rPr>
                <w:sz w:val="18"/>
                <w:szCs w:val="22"/>
              </w:rPr>
            </w:pPr>
            <w:r>
              <w:rPr>
                <w:sz w:val="18"/>
                <w:szCs w:val="22"/>
              </w:rPr>
              <w:t>22 079</w:t>
            </w:r>
          </w:p>
        </w:tc>
      </w:tr>
    </w:tbl>
    <w:p w:rsidR="00000000" w:rsidRDefault="00000000">
      <w:pPr>
        <w:tabs>
          <w:tab w:val="left" w:pos="748"/>
        </w:tabs>
        <w:rPr>
          <w:i/>
          <w:iCs/>
        </w:rPr>
      </w:pPr>
    </w:p>
    <w:p w:rsidR="00000000" w:rsidRDefault="00000000">
      <w:pPr>
        <w:tabs>
          <w:tab w:val="left" w:pos="748"/>
        </w:tabs>
        <w:spacing w:line="240" w:lineRule="auto"/>
        <w:rPr>
          <w:sz w:val="18"/>
        </w:rPr>
      </w:pPr>
      <w:r>
        <w:rPr>
          <w:i/>
          <w:iCs/>
          <w:sz w:val="18"/>
        </w:rPr>
        <w:t>Источник</w:t>
      </w:r>
      <w:r>
        <w:rPr>
          <w:sz w:val="18"/>
        </w:rPr>
        <w:t>:  Органы федеральной исполнительной власти, правительственный доклад.  Министерство финансов и государственного кредита, отчет об исполнении федерального государственного бюджета за 2001 года.  Министерство социального развития.</w:t>
      </w:r>
    </w:p>
    <w:p w:rsidR="00000000" w:rsidRDefault="00000000">
      <w:pPr>
        <w:tabs>
          <w:tab w:val="left" w:pos="748"/>
        </w:tabs>
        <w:spacing w:line="240" w:lineRule="auto"/>
        <w:rPr>
          <w:sz w:val="18"/>
        </w:rPr>
      </w:pPr>
    </w:p>
    <w:p w:rsidR="00000000" w:rsidRDefault="00000000">
      <w:pPr>
        <w:tabs>
          <w:tab w:val="left" w:pos="748"/>
        </w:tabs>
        <w:spacing w:line="240" w:lineRule="auto"/>
        <w:rPr>
          <w:sz w:val="18"/>
        </w:rPr>
      </w:pPr>
      <w:r>
        <w:rPr>
          <w:b/>
          <w:bCs/>
          <w:sz w:val="18"/>
          <w:vertAlign w:val="superscript"/>
        </w:rPr>
        <w:t>*</w:t>
      </w:r>
      <w:r>
        <w:rPr>
          <w:sz w:val="18"/>
        </w:rPr>
        <w:t xml:space="preserve">  Оценочные данные на конец года.</w:t>
      </w:r>
    </w:p>
    <w:p w:rsidR="00000000" w:rsidRDefault="00000000">
      <w:pPr>
        <w:tabs>
          <w:tab w:val="left" w:pos="748"/>
        </w:tabs>
      </w:pPr>
    </w:p>
    <w:p w:rsidR="00000000" w:rsidRDefault="00000000">
      <w:pPr>
        <w:tabs>
          <w:tab w:val="left" w:pos="748"/>
        </w:tabs>
        <w:rPr>
          <w:b/>
          <w:bCs/>
        </w:rPr>
      </w:pPr>
      <w:r>
        <w:rPr>
          <w:b/>
          <w:bCs/>
        </w:rPr>
        <w:tab/>
        <w:t>Программа государственного стимулирования</w:t>
      </w:r>
    </w:p>
    <w:p w:rsidR="00000000" w:rsidRDefault="00000000">
      <w:pPr>
        <w:tabs>
          <w:tab w:val="left" w:pos="748"/>
        </w:tabs>
      </w:pPr>
    </w:p>
    <w:p w:rsidR="00000000" w:rsidRDefault="00000000">
      <w:pPr>
        <w:tabs>
          <w:tab w:val="left" w:pos="748"/>
        </w:tabs>
      </w:pPr>
      <w:r>
        <w:t>1108.</w:t>
      </w:r>
      <w:r>
        <w:tab/>
      </w:r>
      <w:r>
        <w:tab/>
        <w:t>Эта недавно введенная в действие программа в первую очередь призвана повышать эффективность политики, направленной на социальный подъем и развитие личности, на усиление роли государства, увеличение взаимной ответственности штатов, обеспечение большей транспарентности и подотчетности в деле социального развития на уровне штатов, а также в вопросах внедрения инноваций и новых процедур в структурах и подразделениях их администрации.  Все это имеет целью совершенствование механизмов борьбы с бедностью, для чего программой предусматриваются две формы поддержки.</w:t>
      </w:r>
    </w:p>
    <w:p w:rsidR="00000000" w:rsidRDefault="00000000">
      <w:pPr>
        <w:tabs>
          <w:tab w:val="left" w:pos="748"/>
        </w:tabs>
      </w:pPr>
    </w:p>
    <w:p w:rsidR="00000000" w:rsidRDefault="00000000">
      <w:pPr>
        <w:tabs>
          <w:tab w:val="left" w:pos="748"/>
        </w:tabs>
      </w:pPr>
      <w:r>
        <w:t>1109.</w:t>
      </w:r>
      <w:r>
        <w:tab/>
      </w:r>
      <w:r>
        <w:tab/>
        <w:t>В первом случае государственные средства передаются тем штатам, где были отмечены наилучшие показатели в плане эффективности предпринимаемых усилий, взаимной ответственности, транспарентности и подотчетности.  Эти средства могут пойти на поддержку проектов и программ в области социального развития.</w:t>
      </w:r>
    </w:p>
    <w:p w:rsidR="00000000" w:rsidRDefault="00000000">
      <w:pPr>
        <w:tabs>
          <w:tab w:val="left" w:pos="748"/>
        </w:tabs>
      </w:pPr>
    </w:p>
    <w:p w:rsidR="00000000" w:rsidRDefault="00000000">
      <w:pPr>
        <w:tabs>
          <w:tab w:val="left" w:pos="748"/>
        </w:tabs>
      </w:pPr>
      <w:r>
        <w:br w:type="page"/>
        <w:t>1110.</w:t>
      </w:r>
      <w:r>
        <w:tab/>
      </w:r>
      <w:r>
        <w:tab/>
        <w:t xml:space="preserve">Во втором случае предполагается оказание штатам помощи </w:t>
      </w:r>
      <w:r>
        <w:noBreakHyphen/>
        <w:t xml:space="preserve"> на конкурсной основе </w:t>
      </w:r>
      <w:r>
        <w:noBreakHyphen/>
        <w:t xml:space="preserve"> в реализации проектов и программ, которые способны стать эффективным инструментом стимулирования социального роста и индивидуального развития представителей маргинальных слоев населения, пребывающих в бедности или стоящих на грани нищеты.</w:t>
      </w:r>
    </w:p>
    <w:p w:rsidR="00000000" w:rsidRDefault="00000000"/>
    <w:p w:rsidR="00000000" w:rsidRDefault="00000000">
      <w:pPr>
        <w:rPr>
          <w:b/>
        </w:rPr>
      </w:pPr>
      <w:r>
        <w:rPr>
          <w:b/>
        </w:rPr>
        <w:tab/>
        <w:t>Программа совместных социальных инвестиций</w:t>
      </w:r>
    </w:p>
    <w:p w:rsidR="00000000" w:rsidRDefault="00000000"/>
    <w:p w:rsidR="00000000" w:rsidRDefault="00000000">
      <w:pPr>
        <w:tabs>
          <w:tab w:val="left" w:pos="748"/>
        </w:tabs>
      </w:pPr>
      <w:r>
        <w:t>1111.</w:t>
      </w:r>
      <w:r>
        <w:tab/>
      </w:r>
      <w:r>
        <w:tab/>
        <w:t>Эта программа направлена на стимулирование взаимной ответственности между правительственной властью на всех ее трех уровнях и соответствующими "агентами" за всестороннее социальное развитие тех слоев населения, которые живут в условиях бедности, отчуждения, маргинализации, дискриминации по признаку пола и социальной уязвимости.  Она предполагает совместные инвестиции в проекты и акции, а также в разработку стратегий, обеспечивающих справедливое распределение между мужчинами и женщинами ресурсов, возможностей и благ от реализации программы.</w:t>
      </w:r>
    </w:p>
    <w:p w:rsidR="00000000" w:rsidRDefault="00000000">
      <w:pPr>
        <w:tabs>
          <w:tab w:val="left" w:pos="748"/>
        </w:tabs>
      </w:pPr>
    </w:p>
    <w:p w:rsidR="00000000" w:rsidRDefault="00000000">
      <w:pPr>
        <w:tabs>
          <w:tab w:val="left" w:pos="748"/>
        </w:tabs>
      </w:pPr>
      <w:r>
        <w:t>1112.</w:t>
      </w:r>
      <w:r>
        <w:tab/>
      </w:r>
      <w:r>
        <w:tab/>
        <w:t>Целями программы являются:  сокращение крайней бедности;  обеспечение равенства возможностей для наиболее бедных и уязвимых слоев населения;  сокращение неравенства между мужчинами и женщинами;  поддержка и стимулирование развития возможностей для людей, живущих в бедности;  упрочение социальной ткани путем расширения участия в различных начинаниях и укрепления коллективистских задатков;  а также налаживание взаимодействия между различными звеньями в порядке более эффективного осуществления социальной политики.</w:t>
      </w:r>
    </w:p>
    <w:p w:rsidR="00000000" w:rsidRDefault="00000000">
      <w:pPr>
        <w:tabs>
          <w:tab w:val="left" w:pos="748"/>
        </w:tabs>
      </w:pPr>
    </w:p>
    <w:p w:rsidR="00000000" w:rsidRDefault="00000000">
      <w:pPr>
        <w:tabs>
          <w:tab w:val="left" w:pos="748"/>
        </w:tabs>
      </w:pPr>
      <w:r>
        <w:t>1113.</w:t>
      </w:r>
      <w:r>
        <w:tab/>
      </w:r>
      <w:r>
        <w:tab/>
        <w:t>Проекты, поддерживаемые по линии данной программы, напрямую связаны с одним из следующих тематических направлений:</w:t>
      </w:r>
    </w:p>
    <w:p w:rsidR="00000000" w:rsidRDefault="00000000"/>
    <w:p w:rsidR="00000000" w:rsidRDefault="00000000">
      <w:pPr>
        <w:numPr>
          <w:ilvl w:val="0"/>
          <w:numId w:val="502"/>
        </w:numPr>
        <w:tabs>
          <w:tab w:val="clear" w:pos="1068"/>
        </w:tabs>
        <w:ind w:left="1134" w:hanging="567"/>
      </w:pPr>
      <w:r>
        <w:t>Социальная сфера:  Проекты оказания помощи, направленные на развитие личности и коллективистских задатков, способствующие формированию общественного капитала;</w:t>
      </w:r>
    </w:p>
    <w:p w:rsidR="00000000" w:rsidRDefault="00000000">
      <w:pPr>
        <w:ind w:left="1134" w:hanging="567"/>
      </w:pPr>
    </w:p>
    <w:p w:rsidR="00000000" w:rsidRDefault="00000000">
      <w:pPr>
        <w:numPr>
          <w:ilvl w:val="0"/>
          <w:numId w:val="502"/>
        </w:numPr>
        <w:tabs>
          <w:tab w:val="clear" w:pos="1068"/>
        </w:tabs>
        <w:ind w:left="1134" w:hanging="567"/>
      </w:pPr>
      <w:r>
        <w:t>Экономика:  Проекты по открытию производств, коммерческих предприятий и, в целом, направленные на получение дохода, работы, обретение возможности содержать себя, а также на реальное повышение имущественной обеспеченности населения;</w:t>
      </w:r>
    </w:p>
    <w:p w:rsidR="00000000" w:rsidRDefault="00000000">
      <w:pPr>
        <w:ind w:left="1134" w:hanging="567"/>
      </w:pPr>
    </w:p>
    <w:p w:rsidR="00000000" w:rsidRDefault="00000000">
      <w:pPr>
        <w:numPr>
          <w:ilvl w:val="0"/>
          <w:numId w:val="502"/>
        </w:numPr>
        <w:tabs>
          <w:tab w:val="clear" w:pos="1068"/>
        </w:tabs>
        <w:ind w:left="1134" w:hanging="567"/>
      </w:pPr>
      <w:r>
        <w:t>Институциональное развитие:  Проекты, направленные на создание более благоприятных условий для деятельности участников, а также на расширение возможностей взаимодействия трех уровней правительства;</w:t>
      </w:r>
    </w:p>
    <w:p w:rsidR="00000000" w:rsidRDefault="00000000">
      <w:pPr>
        <w:numPr>
          <w:ilvl w:val="0"/>
          <w:numId w:val="502"/>
        </w:numPr>
        <w:tabs>
          <w:tab w:val="clear" w:pos="1068"/>
        </w:tabs>
        <w:ind w:left="1134" w:hanging="567"/>
      </w:pPr>
      <w:r>
        <w:t>Подготовка кадров:  Проекты воспитания и профессиональной подготовки для привития или закрепления рабочих навыков, знаний и ценностей гражданского участия;</w:t>
      </w:r>
    </w:p>
    <w:p w:rsidR="00000000" w:rsidRDefault="00000000">
      <w:pPr>
        <w:ind w:left="1134" w:hanging="567"/>
      </w:pPr>
    </w:p>
    <w:p w:rsidR="00000000" w:rsidRDefault="00000000">
      <w:pPr>
        <w:numPr>
          <w:ilvl w:val="0"/>
          <w:numId w:val="502"/>
        </w:numPr>
        <w:tabs>
          <w:tab w:val="clear" w:pos="1068"/>
        </w:tabs>
        <w:ind w:left="1134" w:hanging="567"/>
      </w:pPr>
      <w:r>
        <w:t>Проведение исследований:  Проекты или исследования, направленные на подготовку инструментов, предложений и рекомендаций по усилению политики социального развития.</w:t>
      </w:r>
    </w:p>
    <w:p w:rsidR="00000000" w:rsidRDefault="00000000"/>
    <w:p w:rsidR="00000000" w:rsidRDefault="00000000">
      <w:pPr>
        <w:tabs>
          <w:tab w:val="left" w:pos="748"/>
        </w:tabs>
      </w:pPr>
      <w:r>
        <w:t>1114.</w:t>
      </w:r>
      <w:r>
        <w:tab/>
      </w:r>
      <w:r>
        <w:tab/>
        <w:t>К июню 2003 года получили поддержку 286 проектов, предложенных и реализуемых организациями гражданского общества, высшими учебными заведениями и исследовательскими центрами, а также муниципальными администрациями, которых и называют ответственными агентами.</w:t>
      </w:r>
    </w:p>
    <w:p w:rsidR="00000000" w:rsidRDefault="00000000"/>
    <w:p w:rsidR="00000000" w:rsidRDefault="00000000">
      <w:pPr>
        <w:rPr>
          <w:b/>
        </w:rPr>
      </w:pPr>
      <w:r>
        <w:rPr>
          <w:b/>
        </w:rPr>
        <w:tab/>
        <w:t>Программа "Гражданская инициатива 3Х1"</w:t>
      </w:r>
    </w:p>
    <w:p w:rsidR="00000000" w:rsidRDefault="00000000"/>
    <w:p w:rsidR="00000000" w:rsidRDefault="00000000">
      <w:pPr>
        <w:tabs>
          <w:tab w:val="left" w:pos="748"/>
        </w:tabs>
      </w:pPr>
      <w:r>
        <w:t>1115.</w:t>
      </w:r>
      <w:r>
        <w:tab/>
      </w:r>
      <w:r>
        <w:tab/>
        <w:t>Программа "Гражданская инициатива 3Х1" призвана поддерживать и развивать гражданские инициативы в деле разработки проектов, способных помочь в повышении качества жизни граждан.  Для этих целей предполагается привлечение ресурсов федерации, штатов и муниципалитетов.  Одновременно ставится задача способствовать укреплению связей мексиканцев, живущих за рубежом, с их родными общинами.</w:t>
      </w:r>
    </w:p>
    <w:p w:rsidR="00000000" w:rsidRDefault="00000000">
      <w:pPr>
        <w:tabs>
          <w:tab w:val="left" w:pos="748"/>
        </w:tabs>
      </w:pPr>
    </w:p>
    <w:p w:rsidR="00000000" w:rsidRDefault="00000000">
      <w:pPr>
        <w:tabs>
          <w:tab w:val="left" w:pos="748"/>
        </w:tabs>
      </w:pPr>
      <w:r>
        <w:t>1116.</w:t>
      </w:r>
      <w:r>
        <w:tab/>
      </w:r>
      <w:r>
        <w:tab/>
        <w:t>Важно отметить, что финансируемые проекты созвучны инициативам организаций, занимающихся вопросами миграции, а также пользуются консенсусной поддержкой со стороны общин и трех уровней правительства.</w:t>
      </w:r>
    </w:p>
    <w:p w:rsidR="00000000" w:rsidRDefault="00000000">
      <w:pPr>
        <w:tabs>
          <w:tab w:val="left" w:pos="748"/>
        </w:tabs>
      </w:pPr>
    </w:p>
    <w:p w:rsidR="00000000" w:rsidRDefault="00000000">
      <w:pPr>
        <w:tabs>
          <w:tab w:val="left" w:pos="748"/>
        </w:tabs>
      </w:pPr>
      <w:r>
        <w:t>1117.</w:t>
      </w:r>
      <w:r>
        <w:tab/>
      </w:r>
      <w:r>
        <w:tab/>
        <w:t>Кроме того, перед программой поставлена важная задача, состоящая в том, чтобы финансируемые работы или проекты способствовали устранению пробелов в базовой инфраструктуре в области услуг и/или создания для населения рабочих мест и источников дохода.  Основными особенностями программы являются транспарентность и подотчетность, ибо вкладываемые в нее средства находятся под пристальным вниманием общественных аудиторов.</w:t>
      </w:r>
    </w:p>
    <w:p w:rsidR="00000000" w:rsidRDefault="00000000"/>
    <w:p w:rsidR="00000000" w:rsidRDefault="00000000">
      <w:pPr>
        <w:rPr>
          <w:b/>
        </w:rPr>
      </w:pPr>
      <w:r>
        <w:rPr>
          <w:b/>
        </w:rPr>
        <w:tab/>
        <w:t>Внешние оценки социальных программ</w:t>
      </w:r>
    </w:p>
    <w:p w:rsidR="00000000" w:rsidRDefault="00000000"/>
    <w:p w:rsidR="00000000" w:rsidRDefault="00000000">
      <w:pPr>
        <w:tabs>
          <w:tab w:val="left" w:pos="748"/>
        </w:tabs>
      </w:pPr>
      <w:r>
        <w:t>1118.</w:t>
      </w:r>
      <w:r>
        <w:tab/>
      </w:r>
      <w:r>
        <w:tab/>
        <w:t xml:space="preserve">Говоря о рекомендациях, полученных нашей страной в связи с оценкой социальных программ, следует отметить, что министерство социального развития, во исполнение нормативов, прописанных в Декрете о федеральных бюджетных расходах, своевременно и в должной форме выполнило свои обязательства, передав в палату </w:t>
      </w:r>
    </w:p>
    <w:p w:rsidR="00000000" w:rsidRDefault="00000000">
      <w:pPr>
        <w:tabs>
          <w:tab w:val="left" w:pos="748"/>
        </w:tabs>
      </w:pPr>
      <w:r>
        <w:br w:type="page"/>
        <w:t>депутатов, а также в министерство финансов и министерство по делам государственного управления результаты внешних экспертных оценок социальных программ, реализуемых как им самим, так и подведомственными ему структурами.</w:t>
      </w:r>
    </w:p>
    <w:p w:rsidR="00000000" w:rsidRDefault="00000000">
      <w:pPr>
        <w:tabs>
          <w:tab w:val="left" w:pos="748"/>
        </w:tabs>
      </w:pPr>
    </w:p>
    <w:p w:rsidR="00000000" w:rsidRDefault="00000000">
      <w:pPr>
        <w:tabs>
          <w:tab w:val="left" w:pos="748"/>
        </w:tabs>
      </w:pPr>
      <w:r>
        <w:t>1119.</w:t>
      </w:r>
      <w:r>
        <w:tab/>
      </w:r>
      <w:r>
        <w:tab/>
        <w:t>Указанные оценки, помимо прочих аспектов, включают анализ целесообразности и уместности каждой из программ, соответствия данных программ действующим правилам, проверку области применения и нацеленности программ, описание достигаемого с помощью программ эффекта, анализ степени эффективности в плане выполнения поставленных задач и - по возможности - анализ затратоэффективности осуществляемых мероприятий.  Эти оценки позволили МСР пересмотреть некоторые правила, с тем чтобы избежать дублирования усилий, что, в конечном счете, способствовало более эффективному использованию выделенных средств.</w:t>
      </w:r>
    </w:p>
    <w:p w:rsidR="00000000" w:rsidRDefault="00000000">
      <w:pPr>
        <w:tabs>
          <w:tab w:val="left" w:pos="748"/>
        </w:tabs>
      </w:pPr>
    </w:p>
    <w:p w:rsidR="00000000" w:rsidRDefault="00000000">
      <w:pPr>
        <w:tabs>
          <w:tab w:val="left" w:pos="748"/>
        </w:tabs>
      </w:pPr>
      <w:r>
        <w:t>1120.</w:t>
      </w:r>
      <w:r>
        <w:tab/>
      </w:r>
      <w:r>
        <w:tab/>
        <w:t>Под непосредственным контролем МСР находятся следующие программы:</w:t>
      </w:r>
    </w:p>
    <w:p w:rsidR="00000000" w:rsidRDefault="00000000"/>
    <w:p w:rsidR="00000000" w:rsidRDefault="00000000">
      <w:pPr>
        <w:ind w:left="207"/>
      </w:pPr>
      <w:r>
        <w:tab/>
        <w:t>Накопления и субсидии для жилищного строительства;</w:t>
      </w:r>
    </w:p>
    <w:p w:rsidR="00000000" w:rsidRDefault="00000000">
      <w:pPr>
        <w:ind w:left="207"/>
      </w:pPr>
    </w:p>
    <w:p w:rsidR="00000000" w:rsidRDefault="00000000">
      <w:pPr>
        <w:ind w:left="207"/>
      </w:pPr>
      <w:r>
        <w:tab/>
        <w:t>Забота о сельскохозяйственных поденщиках;</w:t>
      </w:r>
    </w:p>
    <w:p w:rsidR="00000000" w:rsidRDefault="00000000">
      <w:pPr>
        <w:ind w:left="207"/>
      </w:pPr>
    </w:p>
    <w:p w:rsidR="00000000" w:rsidRDefault="00000000">
      <w:pPr>
        <w:ind w:left="207"/>
      </w:pPr>
      <w:r>
        <w:tab/>
        <w:t>Развитие коренных народов и общин;</w:t>
      </w:r>
    </w:p>
    <w:p w:rsidR="00000000" w:rsidRDefault="00000000">
      <w:pPr>
        <w:ind w:left="207"/>
      </w:pPr>
    </w:p>
    <w:p w:rsidR="00000000" w:rsidRDefault="00000000">
      <w:pPr>
        <w:ind w:left="207"/>
      </w:pPr>
      <w:r>
        <w:tab/>
        <w:t>Временная занятость;</w:t>
      </w:r>
    </w:p>
    <w:p w:rsidR="00000000" w:rsidRDefault="00000000">
      <w:pPr>
        <w:ind w:left="207"/>
      </w:pPr>
    </w:p>
    <w:p w:rsidR="00000000" w:rsidRDefault="00000000">
      <w:pPr>
        <w:ind w:left="207"/>
      </w:pPr>
      <w:r>
        <w:tab/>
        <w:t>Государственные программы по требованию;</w:t>
      </w:r>
    </w:p>
    <w:p w:rsidR="00000000" w:rsidRDefault="00000000">
      <w:pPr>
        <w:ind w:left="207"/>
      </w:pPr>
    </w:p>
    <w:p w:rsidR="00000000" w:rsidRDefault="00000000">
      <w:pPr>
        <w:ind w:left="207"/>
      </w:pPr>
      <w:r>
        <w:tab/>
        <w:t>Правосубъектность;</w:t>
      </w:r>
    </w:p>
    <w:p w:rsidR="00000000" w:rsidRDefault="00000000">
      <w:pPr>
        <w:ind w:left="207"/>
      </w:pPr>
    </w:p>
    <w:p w:rsidR="00000000" w:rsidRDefault="00000000">
      <w:pPr>
        <w:ind w:left="207"/>
      </w:pPr>
      <w:r>
        <w:tab/>
        <w:t>Гражданская инициатива 3Х1;</w:t>
      </w:r>
    </w:p>
    <w:p w:rsidR="00000000" w:rsidRDefault="00000000">
      <w:pPr>
        <w:ind w:left="207"/>
      </w:pPr>
    </w:p>
    <w:p w:rsidR="00000000" w:rsidRDefault="00000000">
      <w:pPr>
        <w:ind w:left="207"/>
      </w:pPr>
      <w:r>
        <w:tab/>
        <w:t>Национальный институт социального развития (ИНДЕСОЛ);</w:t>
      </w:r>
    </w:p>
    <w:p w:rsidR="00000000" w:rsidRDefault="00000000">
      <w:pPr>
        <w:ind w:left="207"/>
      </w:pPr>
    </w:p>
    <w:p w:rsidR="00000000" w:rsidRDefault="00000000">
      <w:pPr>
        <w:ind w:left="567" w:hanging="360"/>
      </w:pPr>
      <w:r>
        <w:tab/>
        <w:t>Подготовка кадров для укрепления гражданского общества и расширения социального участия;</w:t>
      </w:r>
    </w:p>
    <w:p w:rsidR="00000000" w:rsidRDefault="00000000">
      <w:pPr>
        <w:ind w:left="567" w:hanging="360"/>
      </w:pPr>
    </w:p>
    <w:p w:rsidR="00000000" w:rsidRDefault="00000000">
      <w:pPr>
        <w:ind w:left="567" w:hanging="360"/>
      </w:pPr>
      <w:r>
        <w:tab/>
        <w:t>Совместные социальные инвестиции;</w:t>
      </w:r>
    </w:p>
    <w:p w:rsidR="00000000" w:rsidRDefault="00000000">
      <w:pPr>
        <w:ind w:left="567" w:hanging="360"/>
      </w:pPr>
    </w:p>
    <w:p w:rsidR="00000000" w:rsidRDefault="00000000">
      <w:pPr>
        <w:ind w:left="567" w:hanging="360"/>
      </w:pPr>
      <w:r>
        <w:tab/>
        <w:t>Исследование в целях местного развития;</w:t>
      </w:r>
    </w:p>
    <w:p w:rsidR="00000000" w:rsidRDefault="00000000">
      <w:pPr>
        <w:ind w:left="567" w:hanging="360"/>
      </w:pPr>
    </w:p>
    <w:p w:rsidR="00000000" w:rsidRDefault="00000000">
      <w:pPr>
        <w:ind w:left="567" w:hanging="360"/>
      </w:pPr>
      <w:r>
        <w:tab/>
        <w:t>Институциональное укрепление для решения социальных задач на муниципальном уровне;</w:t>
      </w:r>
    </w:p>
    <w:p w:rsidR="00000000" w:rsidRDefault="00000000">
      <w:pPr>
        <w:ind w:left="567" w:hanging="360"/>
      </w:pPr>
    </w:p>
    <w:p w:rsidR="00000000" w:rsidRDefault="00000000">
      <w:pPr>
        <w:ind w:left="567" w:hanging="360"/>
      </w:pPr>
      <w:r>
        <w:tab/>
        <w:t>Молодежь за Мексику;</w:t>
      </w:r>
    </w:p>
    <w:p w:rsidR="00000000" w:rsidRDefault="00000000">
      <w:pPr>
        <w:ind w:left="567" w:hanging="360"/>
      </w:pPr>
    </w:p>
    <w:p w:rsidR="00000000" w:rsidRDefault="00000000">
      <w:pPr>
        <w:ind w:left="567" w:hanging="360"/>
      </w:pPr>
      <w:r>
        <w:tab/>
        <w:t>Микрорегионы;</w:t>
      </w:r>
    </w:p>
    <w:p w:rsidR="00000000" w:rsidRDefault="00000000">
      <w:pPr>
        <w:ind w:left="567" w:hanging="360"/>
      </w:pPr>
    </w:p>
    <w:p w:rsidR="00000000" w:rsidRDefault="00000000">
      <w:pPr>
        <w:ind w:left="567" w:hanging="360"/>
      </w:pPr>
      <w:r>
        <w:tab/>
        <w:t>Женщина как глава семьи;</w:t>
      </w:r>
    </w:p>
    <w:p w:rsidR="00000000" w:rsidRDefault="00000000">
      <w:pPr>
        <w:ind w:left="567" w:hanging="360"/>
      </w:pPr>
    </w:p>
    <w:p w:rsidR="00000000" w:rsidRDefault="00000000">
      <w:pPr>
        <w:ind w:left="567" w:hanging="360"/>
      </w:pPr>
      <w:r>
        <w:tab/>
        <w:t>Производственные возможности;</w:t>
      </w:r>
    </w:p>
    <w:p w:rsidR="00000000" w:rsidRDefault="00000000">
      <w:pPr>
        <w:ind w:left="567" w:hanging="360"/>
      </w:pPr>
    </w:p>
    <w:p w:rsidR="00000000" w:rsidRDefault="00000000">
      <w:pPr>
        <w:ind w:left="567" w:hanging="360"/>
      </w:pPr>
      <w:r>
        <w:tab/>
        <w:t>Региональные программы для удаленных районов и зон проживания коренных народов;</w:t>
      </w:r>
    </w:p>
    <w:p w:rsidR="00000000" w:rsidRDefault="00000000">
      <w:pPr>
        <w:ind w:left="567" w:hanging="360"/>
      </w:pPr>
    </w:p>
    <w:p w:rsidR="00000000" w:rsidRDefault="00000000">
      <w:pPr>
        <w:ind w:left="567" w:hanging="360"/>
      </w:pPr>
      <w:r>
        <w:tab/>
        <w:t>Преодоление городской бедности;</w:t>
      </w:r>
    </w:p>
    <w:p w:rsidR="00000000" w:rsidRDefault="00000000">
      <w:pPr>
        <w:ind w:left="567" w:hanging="360"/>
      </w:pPr>
    </w:p>
    <w:p w:rsidR="00000000" w:rsidRDefault="00000000">
      <w:pPr>
        <w:ind w:left="567" w:hanging="360"/>
      </w:pPr>
      <w:r>
        <w:tab/>
        <w:t>Подразделения различных секторов;</w:t>
      </w:r>
    </w:p>
    <w:p w:rsidR="00000000" w:rsidRDefault="00000000">
      <w:pPr>
        <w:ind w:left="567" w:hanging="360"/>
      </w:pPr>
    </w:p>
    <w:p w:rsidR="00000000" w:rsidRDefault="00000000">
      <w:pPr>
        <w:ind w:left="567" w:hanging="360"/>
      </w:pPr>
      <w:r>
        <w:tab/>
        <w:t>Национальная комиссия по проблемам засушливых районов;</w:t>
      </w:r>
    </w:p>
    <w:p w:rsidR="00000000" w:rsidRDefault="00000000">
      <w:pPr>
        <w:ind w:left="567" w:hanging="360"/>
      </w:pPr>
    </w:p>
    <w:p w:rsidR="00000000" w:rsidRDefault="00000000">
      <w:pPr>
        <w:ind w:left="567" w:hanging="360"/>
      </w:pPr>
      <w:r>
        <w:tab/>
        <w:t>Программы человеческого развития "Возможности";</w:t>
      </w:r>
    </w:p>
    <w:p w:rsidR="00000000" w:rsidRDefault="00000000">
      <w:pPr>
        <w:ind w:left="567" w:hanging="360"/>
      </w:pPr>
    </w:p>
    <w:p w:rsidR="00000000" w:rsidRDefault="00000000">
      <w:pPr>
        <w:ind w:left="567" w:hanging="360"/>
      </w:pPr>
      <w:r>
        <w:tab/>
        <w:t>"Диконса";</w:t>
      </w:r>
    </w:p>
    <w:p w:rsidR="00000000" w:rsidRDefault="00000000">
      <w:pPr>
        <w:ind w:left="567" w:hanging="360"/>
      </w:pPr>
    </w:p>
    <w:p w:rsidR="00000000" w:rsidRDefault="00000000">
      <w:pPr>
        <w:ind w:left="567" w:hanging="360"/>
      </w:pPr>
      <w:r>
        <w:tab/>
        <w:t>Программа снабжения села;</w:t>
      </w:r>
    </w:p>
    <w:p w:rsidR="00000000" w:rsidRDefault="00000000">
      <w:pPr>
        <w:ind w:left="567" w:hanging="360"/>
      </w:pPr>
    </w:p>
    <w:p w:rsidR="00000000" w:rsidRDefault="00000000">
      <w:pPr>
        <w:ind w:left="567" w:hanging="360"/>
      </w:pPr>
      <w:r>
        <w:tab/>
        <w:t>Национальный фонд развития ремесел;</w:t>
      </w:r>
    </w:p>
    <w:p w:rsidR="00000000" w:rsidRDefault="00000000">
      <w:pPr>
        <w:ind w:left="567" w:hanging="360"/>
      </w:pPr>
    </w:p>
    <w:p w:rsidR="00000000" w:rsidRDefault="00000000">
      <w:pPr>
        <w:ind w:left="567" w:hanging="360"/>
      </w:pPr>
      <w:r>
        <w:tab/>
        <w:t>Национальный институт по проблемам лиц преклонного возраста;</w:t>
      </w:r>
    </w:p>
    <w:p w:rsidR="00000000" w:rsidRDefault="00000000">
      <w:pPr>
        <w:ind w:left="567" w:hanging="360"/>
      </w:pPr>
    </w:p>
    <w:p w:rsidR="00000000" w:rsidRDefault="00000000">
      <w:pPr>
        <w:ind w:left="567" w:hanging="360"/>
      </w:pPr>
      <w:r>
        <w:tab/>
        <w:t>Эксперты в действии;</w:t>
      </w:r>
    </w:p>
    <w:p w:rsidR="00000000" w:rsidRDefault="00000000">
      <w:pPr>
        <w:ind w:left="567" w:hanging="360"/>
      </w:pPr>
    </w:p>
    <w:p w:rsidR="00000000" w:rsidRDefault="00000000">
      <w:pPr>
        <w:ind w:left="567" w:hanging="360"/>
      </w:pPr>
      <w:r>
        <w:tab/>
        <w:t>Национальный институт коренных народов;</w:t>
      </w:r>
    </w:p>
    <w:p w:rsidR="00000000" w:rsidRDefault="00000000">
      <w:pPr>
        <w:ind w:left="567" w:hanging="360"/>
      </w:pPr>
    </w:p>
    <w:p w:rsidR="00000000" w:rsidRDefault="00000000">
      <w:pPr>
        <w:ind w:left="567" w:hanging="360"/>
      </w:pPr>
      <w:r>
        <w:tab/>
        <w:t>Социальное благосостояние;</w:t>
      </w:r>
    </w:p>
    <w:p w:rsidR="00000000" w:rsidRDefault="00000000">
      <w:pPr>
        <w:ind w:left="567" w:hanging="360"/>
      </w:pPr>
    </w:p>
    <w:p w:rsidR="00000000" w:rsidRDefault="00000000">
      <w:pPr>
        <w:ind w:left="567" w:hanging="360"/>
      </w:pPr>
      <w:r>
        <w:tab/>
        <w:t>Экономическое и продуктивное развитие коренных народов;</w:t>
      </w:r>
    </w:p>
    <w:p w:rsidR="00000000" w:rsidRDefault="00000000">
      <w:pPr>
        <w:ind w:left="567" w:hanging="360"/>
      </w:pPr>
    </w:p>
    <w:p w:rsidR="00000000" w:rsidRDefault="00000000">
      <w:pPr>
        <w:ind w:left="567" w:hanging="360"/>
      </w:pPr>
      <w:r>
        <w:tab/>
        <w:t>Операция "Школьные общежития";</w:t>
      </w:r>
    </w:p>
    <w:p w:rsidR="00000000" w:rsidRDefault="00000000">
      <w:pPr>
        <w:ind w:left="567" w:hanging="360"/>
      </w:pPr>
      <w:r>
        <w:tab/>
        <w:t>Поощрение и развитие культур коренных народов;</w:t>
      </w:r>
    </w:p>
    <w:p w:rsidR="00000000" w:rsidRDefault="00000000">
      <w:pPr>
        <w:ind w:left="567" w:hanging="360"/>
      </w:pPr>
    </w:p>
    <w:p w:rsidR="00000000" w:rsidRDefault="00000000">
      <w:pPr>
        <w:ind w:left="567" w:hanging="360"/>
      </w:pPr>
      <w:r>
        <w:tab/>
        <w:t>Совершенствование системы отправления правосудия;</w:t>
      </w:r>
    </w:p>
    <w:p w:rsidR="00000000" w:rsidRDefault="00000000">
      <w:pPr>
        <w:ind w:left="567" w:hanging="360"/>
      </w:pPr>
    </w:p>
    <w:p w:rsidR="00000000" w:rsidRDefault="00000000">
      <w:pPr>
        <w:ind w:left="567" w:hanging="360"/>
      </w:pPr>
      <w:r>
        <w:tab/>
        <w:t>Ремонт и оснащение школьных общежитий;</w:t>
      </w:r>
    </w:p>
    <w:p w:rsidR="00000000" w:rsidRDefault="00000000">
      <w:pPr>
        <w:ind w:left="567" w:hanging="360"/>
      </w:pPr>
    </w:p>
    <w:p w:rsidR="00000000" w:rsidRDefault="00000000">
      <w:pPr>
        <w:ind w:left="567" w:hanging="360"/>
      </w:pPr>
      <w:r>
        <w:tab/>
        <w:t>"Ликонса";</w:t>
      </w:r>
    </w:p>
    <w:p w:rsidR="00000000" w:rsidRDefault="00000000">
      <w:pPr>
        <w:ind w:left="567" w:hanging="360"/>
      </w:pPr>
    </w:p>
    <w:p w:rsidR="00000000" w:rsidRDefault="00000000">
      <w:pPr>
        <w:ind w:left="567" w:hanging="360"/>
      </w:pPr>
      <w:r>
        <w:tab/>
        <w:t>Социальная программа снабжения молоком;</w:t>
      </w:r>
    </w:p>
    <w:p w:rsidR="00000000" w:rsidRDefault="00000000">
      <w:pPr>
        <w:ind w:left="567" w:hanging="360"/>
      </w:pPr>
    </w:p>
    <w:p w:rsidR="00000000" w:rsidRDefault="00000000">
      <w:pPr>
        <w:ind w:left="567" w:hanging="360"/>
      </w:pPr>
      <w:r>
        <w:tab/>
        <w:t>"Кукурузная лепешка".</w:t>
      </w:r>
    </w:p>
    <w:p w:rsidR="00000000" w:rsidRDefault="00000000"/>
    <w:p w:rsidR="00000000" w:rsidRDefault="00000000">
      <w:pPr>
        <w:tabs>
          <w:tab w:val="left" w:pos="748"/>
        </w:tabs>
      </w:pPr>
      <w:r>
        <w:t>1121.</w:t>
      </w:r>
      <w:r>
        <w:tab/>
      </w:r>
      <w:r>
        <w:tab/>
        <w:t>В 2003 году под непосредственным контролем МСР реализовывались следующие программы:</w:t>
      </w:r>
    </w:p>
    <w:p w:rsidR="00000000" w:rsidRDefault="00000000">
      <w:pPr>
        <w:tabs>
          <w:tab w:val="left" w:pos="748"/>
        </w:tabs>
      </w:pPr>
    </w:p>
    <w:p w:rsidR="00000000" w:rsidRDefault="00000000">
      <w:pPr>
        <w:numPr>
          <w:ilvl w:val="0"/>
          <w:numId w:val="503"/>
        </w:numPr>
        <w:tabs>
          <w:tab w:val="clear" w:pos="1068"/>
        </w:tabs>
        <w:ind w:left="1134" w:hanging="567"/>
      </w:pPr>
      <w:r>
        <w:t>Забота о сельскохозяйственных поденщиках;</w:t>
      </w:r>
    </w:p>
    <w:p w:rsidR="00000000" w:rsidRDefault="00000000">
      <w:pPr>
        <w:tabs>
          <w:tab w:val="left" w:pos="748"/>
        </w:tabs>
      </w:pPr>
    </w:p>
    <w:p w:rsidR="00000000" w:rsidRDefault="00000000">
      <w:pPr>
        <w:numPr>
          <w:ilvl w:val="0"/>
          <w:numId w:val="503"/>
        </w:numPr>
        <w:tabs>
          <w:tab w:val="clear" w:pos="1068"/>
        </w:tabs>
        <w:ind w:left="1134" w:hanging="567"/>
      </w:pPr>
      <w:r>
        <w:t>Временная занятость;</w:t>
      </w:r>
    </w:p>
    <w:p w:rsidR="00000000" w:rsidRDefault="00000000">
      <w:pPr>
        <w:tabs>
          <w:tab w:val="left" w:pos="748"/>
        </w:tabs>
      </w:pPr>
    </w:p>
    <w:p w:rsidR="00000000" w:rsidRDefault="00000000">
      <w:pPr>
        <w:numPr>
          <w:ilvl w:val="0"/>
          <w:numId w:val="503"/>
        </w:numPr>
        <w:tabs>
          <w:tab w:val="clear" w:pos="1068"/>
        </w:tabs>
        <w:ind w:left="1134" w:hanging="567"/>
      </w:pPr>
      <w:r>
        <w:t>Гражданская инициатива 3Х1;</w:t>
      </w:r>
    </w:p>
    <w:p w:rsidR="00000000" w:rsidRDefault="00000000">
      <w:pPr>
        <w:tabs>
          <w:tab w:val="left" w:pos="748"/>
        </w:tabs>
      </w:pPr>
    </w:p>
    <w:p w:rsidR="00000000" w:rsidRDefault="00000000">
      <w:pPr>
        <w:numPr>
          <w:ilvl w:val="0"/>
          <w:numId w:val="503"/>
        </w:numPr>
        <w:tabs>
          <w:tab w:val="clear" w:pos="1068"/>
        </w:tabs>
        <w:ind w:left="1134" w:hanging="567"/>
      </w:pPr>
      <w:r>
        <w:t>Молодежь за Мексику;</w:t>
      </w:r>
    </w:p>
    <w:p w:rsidR="00000000" w:rsidRDefault="00000000">
      <w:pPr>
        <w:tabs>
          <w:tab w:val="left" w:pos="748"/>
        </w:tabs>
      </w:pPr>
    </w:p>
    <w:p w:rsidR="00000000" w:rsidRDefault="00000000">
      <w:pPr>
        <w:numPr>
          <w:ilvl w:val="0"/>
          <w:numId w:val="503"/>
        </w:numPr>
        <w:tabs>
          <w:tab w:val="clear" w:pos="1068"/>
        </w:tabs>
        <w:ind w:left="1134" w:hanging="567"/>
      </w:pPr>
      <w:r>
        <w:t>Местное развитие (микрорегионы);</w:t>
      </w:r>
    </w:p>
    <w:p w:rsidR="00000000" w:rsidRDefault="00000000">
      <w:pPr>
        <w:tabs>
          <w:tab w:val="left" w:pos="748"/>
        </w:tabs>
      </w:pPr>
    </w:p>
    <w:p w:rsidR="00000000" w:rsidRDefault="00000000">
      <w:pPr>
        <w:numPr>
          <w:ilvl w:val="0"/>
          <w:numId w:val="503"/>
        </w:numPr>
        <w:tabs>
          <w:tab w:val="clear" w:pos="1068"/>
        </w:tabs>
        <w:ind w:left="1134" w:hanging="567"/>
      </w:pPr>
      <w:r>
        <w:t>Производственные возможности.</w:t>
      </w:r>
    </w:p>
    <w:p w:rsidR="00000000" w:rsidRDefault="00000000">
      <w:pPr>
        <w:tabs>
          <w:tab w:val="left" w:pos="748"/>
        </w:tabs>
      </w:pPr>
    </w:p>
    <w:p w:rsidR="00000000" w:rsidRDefault="00000000">
      <w:pPr>
        <w:tabs>
          <w:tab w:val="left" w:pos="748"/>
        </w:tabs>
      </w:pPr>
      <w:r>
        <w:rPr>
          <w:b/>
        </w:rPr>
        <w:tab/>
        <w:t>Внутренние оценки социальных программ</w:t>
      </w:r>
    </w:p>
    <w:p w:rsidR="00000000" w:rsidRDefault="00000000">
      <w:pPr>
        <w:tabs>
          <w:tab w:val="left" w:pos="748"/>
        </w:tabs>
      </w:pPr>
    </w:p>
    <w:p w:rsidR="00000000" w:rsidRDefault="00000000">
      <w:pPr>
        <w:tabs>
          <w:tab w:val="left" w:pos="748"/>
        </w:tabs>
      </w:pPr>
      <w:r>
        <w:t>1122.</w:t>
      </w:r>
      <w:r>
        <w:tab/>
      </w:r>
      <w:r>
        <w:tab/>
        <w:t>В рамках стратегии внутренней оценки министерство социального развития проводило оценки программ регионального развития "Отрасль 20".  Целью этой работы была оценка эффективности произведенных затрат, выяснение количества граждан, охваченных по линии программ, а также того, в какой степени обеспечивается выполнение поставленных задач.  Кроме того, был проведен анализ оценочных показателей и хозяйствования, намечены проблемные области и предложены альтернативные решения, способствующие более эффективному осуществлению программ и повышению отдачи от них в интересах бедных слоев населения.</w:t>
      </w:r>
    </w:p>
    <w:p w:rsidR="00000000" w:rsidRDefault="00000000">
      <w:pPr>
        <w:tabs>
          <w:tab w:val="left" w:pos="748"/>
        </w:tabs>
      </w:pPr>
      <w:r>
        <w:br w:type="page"/>
        <w:t>1123.</w:t>
      </w:r>
      <w:r>
        <w:tab/>
      </w:r>
      <w:r>
        <w:tab/>
        <w:t>Благодаря этому набору инструментов министерство социального развития делает прозрачным порядок использования ресурсов и отчитывается перед обществом о расходовании средств, выделенных на осуществление программ, а также о достигнутых результатах.</w:t>
      </w:r>
    </w:p>
    <w:p w:rsidR="00000000" w:rsidRDefault="00000000">
      <w:pPr>
        <w:tabs>
          <w:tab w:val="left" w:pos="748"/>
        </w:tabs>
      </w:pPr>
    </w:p>
    <w:p w:rsidR="00000000" w:rsidRDefault="00000000">
      <w:pPr>
        <w:tabs>
          <w:tab w:val="left" w:pos="748"/>
        </w:tabs>
      </w:pPr>
      <w:r>
        <w:t>1124.</w:t>
      </w:r>
      <w:r>
        <w:tab/>
      </w:r>
      <w:r>
        <w:tab/>
        <w:t>С целью налаживания более тесного взаимодействия с обществом министерство социального развития опирается на деятельность Консультативного гражданского совета по социальному развитию.  Этот орган призван содействовать постоянному диалогу между государственным, общественным и частным секторами в поиске путей решительной и комплексной борьбы с бедностью на основе взаимной ответственности.</w:t>
      </w:r>
    </w:p>
    <w:p w:rsidR="00000000" w:rsidRDefault="00000000">
      <w:pPr>
        <w:tabs>
          <w:tab w:val="left" w:pos="748"/>
        </w:tabs>
      </w:pPr>
    </w:p>
    <w:p w:rsidR="00000000" w:rsidRDefault="00000000">
      <w:pPr>
        <w:tabs>
          <w:tab w:val="left" w:pos="748"/>
        </w:tabs>
      </w:pPr>
      <w:r>
        <w:t>1125.</w:t>
      </w:r>
      <w:r>
        <w:tab/>
      </w:r>
      <w:r>
        <w:tab/>
        <w:t>Совет начал свою деятельность в декабре 1998 года, при этом среди главных его задач выделяются следующие:</w:t>
      </w:r>
    </w:p>
    <w:p w:rsidR="00000000" w:rsidRDefault="00000000"/>
    <w:p w:rsidR="00000000" w:rsidRDefault="00000000">
      <w:pPr>
        <w:numPr>
          <w:ilvl w:val="0"/>
          <w:numId w:val="504"/>
        </w:numPr>
        <w:tabs>
          <w:tab w:val="clear" w:pos="1068"/>
        </w:tabs>
        <w:ind w:left="1134" w:hanging="567"/>
      </w:pPr>
      <w:r>
        <w:t>высказывать мнения и выдвигать предложения по осуществлению, направлению и оценке национальной политики социального развития;</w:t>
      </w:r>
    </w:p>
    <w:p w:rsidR="00000000" w:rsidRDefault="00000000">
      <w:pPr>
        <w:ind w:left="1134" w:hanging="567"/>
      </w:pPr>
    </w:p>
    <w:p w:rsidR="00000000" w:rsidRDefault="00000000">
      <w:pPr>
        <w:numPr>
          <w:ilvl w:val="0"/>
          <w:numId w:val="504"/>
        </w:numPr>
        <w:tabs>
          <w:tab w:val="clear" w:pos="1068"/>
        </w:tabs>
        <w:ind w:left="1134" w:hanging="567"/>
      </w:pPr>
      <w:r>
        <w:t>стимулировать участие граждан и общественных организаций в отслеживании, реализации и оценке национальной политики социального развития;</w:t>
      </w:r>
    </w:p>
    <w:p w:rsidR="00000000" w:rsidRDefault="00000000">
      <w:pPr>
        <w:ind w:left="1134" w:hanging="567"/>
      </w:pPr>
    </w:p>
    <w:p w:rsidR="00000000" w:rsidRDefault="00000000">
      <w:pPr>
        <w:numPr>
          <w:ilvl w:val="0"/>
          <w:numId w:val="504"/>
        </w:numPr>
        <w:tabs>
          <w:tab w:val="clear" w:pos="1068"/>
        </w:tabs>
        <w:ind w:left="1134" w:hanging="567"/>
      </w:pPr>
      <w:r>
        <w:t>поощрять постоянный диалог между государственным, общественным и частным секторами в поисках решений, которые способствуют повышению качества институционального управления и управления гражданским обществом в деле преодоления бедности.</w:t>
      </w:r>
    </w:p>
    <w:p w:rsidR="00000000" w:rsidRDefault="00000000"/>
    <w:p w:rsidR="00000000" w:rsidRDefault="00000000">
      <w:pPr>
        <w:tabs>
          <w:tab w:val="left" w:pos="748"/>
        </w:tabs>
      </w:pPr>
      <w:r>
        <w:t>1126.</w:t>
      </w:r>
      <w:r>
        <w:tab/>
      </w:r>
      <w:r>
        <w:tab/>
        <w:t>С момента своего создания Консультативный совет достиг важных успехов, прежде всего в деле расширения общественного участия, подотчетности и формулирования государственной социальной политики, существенно укрепляющей демократию.</w:t>
      </w:r>
    </w:p>
    <w:p w:rsidR="00000000" w:rsidRDefault="00000000">
      <w:pPr>
        <w:tabs>
          <w:tab w:val="left" w:pos="748"/>
        </w:tabs>
      </w:pPr>
    </w:p>
    <w:p w:rsidR="00000000" w:rsidRDefault="00000000">
      <w:pPr>
        <w:tabs>
          <w:tab w:val="left" w:pos="748"/>
        </w:tabs>
      </w:pPr>
      <w:r>
        <w:t>1127.</w:t>
      </w:r>
      <w:r>
        <w:tab/>
      </w:r>
      <w:r>
        <w:tab/>
        <w:t>Для совершенствования социальной политики необходимо знать, как сами неимущие воспринимают стоящие перед ними проблемы, какими видят решения этих проблем, а также что есть бедность в их понимании?  С этой целью МСР провело обследование под лозунгом "Что говорит беднота".</w:t>
      </w:r>
    </w:p>
    <w:p w:rsidR="00000000" w:rsidRDefault="00000000">
      <w:pPr>
        <w:tabs>
          <w:tab w:val="left" w:pos="748"/>
        </w:tabs>
      </w:pPr>
    </w:p>
    <w:p w:rsidR="00000000" w:rsidRDefault="00000000">
      <w:pPr>
        <w:tabs>
          <w:tab w:val="left" w:pos="748"/>
        </w:tabs>
      </w:pPr>
      <w:r>
        <w:t>1128.</w:t>
      </w:r>
      <w:r>
        <w:tab/>
      </w:r>
      <w:r>
        <w:tab/>
        <w:t>Это обследование проходило в июле 2003 года и позволило документально оформить то, о чем говорит и думает беднота в современной Мексике.  В ходе данного обследования, идея которого зародилась в недрах министерства социального развития, были опрошены около 3 000 семей, живущих в нищете по признаку обеспеченности питанием, по признаку развития возможностей и по признаку имущественной обеспеченности, согласно официальным определениям.  Обследование проводилось раздельно в городских районах и в сельской местности, а также в трех регионах Мексиканской Республики:  на севере, в центре и на юге.</w:t>
      </w:r>
    </w:p>
    <w:p w:rsidR="00000000" w:rsidRDefault="00000000">
      <w:pPr>
        <w:tabs>
          <w:tab w:val="left" w:pos="748"/>
        </w:tabs>
      </w:pPr>
    </w:p>
    <w:p w:rsidR="00000000" w:rsidRDefault="00000000">
      <w:pPr>
        <w:tabs>
          <w:tab w:val="left" w:pos="748"/>
        </w:tabs>
      </w:pPr>
      <w:r>
        <w:t>1129.</w:t>
      </w:r>
      <w:r>
        <w:tab/>
      </w:r>
      <w:r>
        <w:tab/>
        <w:t>Перед обследованием были поставлены следующие задачи:</w:t>
      </w:r>
    </w:p>
    <w:p w:rsidR="00000000" w:rsidRDefault="00000000"/>
    <w:p w:rsidR="00000000" w:rsidRDefault="00000000">
      <w:pPr>
        <w:numPr>
          <w:ilvl w:val="0"/>
          <w:numId w:val="505"/>
        </w:numPr>
        <w:tabs>
          <w:tab w:val="clear" w:pos="1068"/>
        </w:tabs>
        <w:ind w:left="1134" w:hanging="567"/>
      </w:pPr>
      <w:r>
        <w:t>получить представление об общих характерных особенностях населения, пребывающего в бедности;</w:t>
      </w:r>
    </w:p>
    <w:p w:rsidR="00000000" w:rsidRDefault="00000000">
      <w:pPr>
        <w:ind w:left="1134" w:hanging="567"/>
      </w:pPr>
    </w:p>
    <w:p w:rsidR="00000000" w:rsidRDefault="00000000">
      <w:pPr>
        <w:numPr>
          <w:ilvl w:val="0"/>
          <w:numId w:val="505"/>
        </w:numPr>
        <w:tabs>
          <w:tab w:val="clear" w:pos="1068"/>
        </w:tabs>
        <w:ind w:left="1134" w:hanging="567"/>
      </w:pPr>
      <w:r>
        <w:t>выяснить мнения людей по таким важным аспектам, как благосостояние и социальная справедливость;</w:t>
      </w:r>
    </w:p>
    <w:p w:rsidR="00000000" w:rsidRDefault="00000000">
      <w:pPr>
        <w:ind w:left="1134" w:hanging="567"/>
      </w:pPr>
    </w:p>
    <w:p w:rsidR="00000000" w:rsidRDefault="00000000">
      <w:pPr>
        <w:numPr>
          <w:ilvl w:val="0"/>
          <w:numId w:val="505"/>
        </w:numPr>
        <w:tabs>
          <w:tab w:val="clear" w:pos="1068"/>
        </w:tabs>
        <w:ind w:left="1134" w:hanging="567"/>
      </w:pPr>
      <w:r>
        <w:t>уяснить представление бедных слоев населения о понятиях уязвимости и дискриминации;  а также</w:t>
      </w:r>
    </w:p>
    <w:p w:rsidR="00000000" w:rsidRDefault="00000000">
      <w:pPr>
        <w:ind w:left="1134" w:hanging="567"/>
      </w:pPr>
    </w:p>
    <w:p w:rsidR="00000000" w:rsidRDefault="00000000">
      <w:pPr>
        <w:numPr>
          <w:ilvl w:val="0"/>
          <w:numId w:val="505"/>
        </w:numPr>
        <w:tabs>
          <w:tab w:val="clear" w:pos="1068"/>
        </w:tabs>
        <w:ind w:left="1134" w:hanging="567"/>
      </w:pPr>
      <w:r>
        <w:t>выяснить мнение групп населения, живущих в нищете, относительно предпринимаемых институциональных мер, и узнать, как они оценивают оказываемую им социальную поддержку.</w:t>
      </w:r>
    </w:p>
    <w:p w:rsidR="00000000" w:rsidRDefault="00000000"/>
    <w:p w:rsidR="00000000" w:rsidRDefault="00000000">
      <w:pPr>
        <w:tabs>
          <w:tab w:val="left" w:pos="748"/>
        </w:tabs>
      </w:pPr>
      <w:r>
        <w:t>1130.</w:t>
      </w:r>
      <w:r>
        <w:tab/>
      </w:r>
      <w:r>
        <w:tab/>
        <w:t>Результаты обследования "Что говорит беднота" обеспечивают важную основу для корректировки практической направленности программ, реализуемых министерством социального развития, что позволит существенно повысить их отдачу в интересах охватываемого населения.</w:t>
      </w:r>
    </w:p>
    <w:p w:rsidR="00000000" w:rsidRDefault="00000000">
      <w:pPr>
        <w:tabs>
          <w:tab w:val="left" w:pos="748"/>
        </w:tabs>
      </w:pPr>
    </w:p>
    <w:p w:rsidR="00000000" w:rsidRDefault="00000000">
      <w:pPr>
        <w:tabs>
          <w:tab w:val="left" w:pos="748"/>
        </w:tabs>
        <w:ind w:left="567" w:hanging="567"/>
        <w:rPr>
          <w:b/>
          <w:bCs/>
          <w:i/>
          <w:iCs/>
        </w:rPr>
      </w:pPr>
      <w:r>
        <w:rPr>
          <w:b/>
          <w:bCs/>
          <w:i/>
          <w:iCs/>
        </w:rPr>
        <w:tab/>
        <w:t>32.</w:t>
      </w:r>
      <w:r>
        <w:rPr>
          <w:b/>
          <w:bCs/>
          <w:i/>
          <w:iCs/>
        </w:rPr>
        <w:tab/>
        <w:t>Комитет рекомендует государству-участнику принять эффективные меры с целью активизации своих усилий по борьбе с коррупцией, поскольку эта проблема негативно отражается на полном осуществлении гарантируемых Пактом прав, включая правовые меры против лиц, виновных в совершении актов коррупции.</w:t>
      </w:r>
    </w:p>
    <w:p w:rsidR="00000000" w:rsidRDefault="00000000">
      <w:pPr>
        <w:tabs>
          <w:tab w:val="left" w:pos="748"/>
        </w:tabs>
      </w:pPr>
    </w:p>
    <w:p w:rsidR="00000000" w:rsidRDefault="00000000">
      <w:pPr>
        <w:tabs>
          <w:tab w:val="left" w:pos="748"/>
        </w:tabs>
      </w:pPr>
      <w:r>
        <w:t>1131.</w:t>
      </w:r>
      <w:r>
        <w:tab/>
      </w:r>
      <w:r>
        <w:tab/>
        <w:t>См. ответ на замечание № 19.</w:t>
      </w:r>
    </w:p>
    <w:p w:rsidR="00000000" w:rsidRDefault="00000000">
      <w:pPr>
        <w:tabs>
          <w:tab w:val="left" w:pos="748"/>
        </w:tabs>
      </w:pPr>
    </w:p>
    <w:p w:rsidR="00000000" w:rsidRDefault="00000000">
      <w:pPr>
        <w:tabs>
          <w:tab w:val="left" w:pos="748"/>
        </w:tabs>
        <w:ind w:left="567" w:hanging="567"/>
        <w:rPr>
          <w:b/>
          <w:bCs/>
          <w:i/>
          <w:iCs/>
        </w:rPr>
      </w:pPr>
      <w:r>
        <w:rPr>
          <w:b/>
          <w:bCs/>
          <w:i/>
          <w:iCs/>
        </w:rPr>
        <w:tab/>
        <w:t>33.</w:t>
      </w:r>
      <w:r>
        <w:rPr>
          <w:b/>
          <w:bCs/>
          <w:i/>
          <w:iCs/>
        </w:rPr>
        <w:tab/>
        <w:t>Комитет рекомендует государству-участнику обеспечивать справедливое распределение средств, выделяемых на цели развития, независимо от географического положения того или иного региона и от того, какие в нем проживают общины.</w:t>
      </w:r>
    </w:p>
    <w:p w:rsidR="00000000" w:rsidRDefault="00000000">
      <w:pPr>
        <w:tabs>
          <w:tab w:val="left" w:pos="748"/>
        </w:tabs>
        <w:rPr>
          <w:i/>
          <w:iCs/>
        </w:rPr>
      </w:pPr>
    </w:p>
    <w:p w:rsidR="00000000" w:rsidRDefault="00000000">
      <w:pPr>
        <w:tabs>
          <w:tab w:val="left" w:pos="748"/>
        </w:tabs>
      </w:pPr>
      <w:r>
        <w:t>1132.</w:t>
      </w:r>
      <w:r>
        <w:tab/>
      </w:r>
      <w:r>
        <w:tab/>
        <w:t>Средства, отводимые федеральным правительством страны на социальные нужды, неизменно выделялись в приоритетном порядке и в нарастающем объеме на цели социального развития, о чем свидетельствуют данные за последние годы.  Так, если в 1998 году на цели социального развития из бюджета было выделено 600 583 млн. песо, то в 2003 году соответствующие бюджетные отчисления составили 681 955,6 млн. песо;  это эквивалентно 57,86% и 61,6% от общего объема намеченных к вложению средств.</w:t>
      </w:r>
    </w:p>
    <w:p w:rsidR="00000000" w:rsidRDefault="00000000">
      <w:pPr>
        <w:tabs>
          <w:tab w:val="left" w:pos="748"/>
        </w:tabs>
      </w:pPr>
    </w:p>
    <w:p w:rsidR="00000000" w:rsidRDefault="00000000">
      <w:pPr>
        <w:tabs>
          <w:tab w:val="left" w:pos="748"/>
        </w:tabs>
      </w:pPr>
      <w:r>
        <w:t>1133.</w:t>
      </w:r>
      <w:r>
        <w:tab/>
      </w:r>
      <w:r>
        <w:tab/>
        <w:t>Аналогичным образом, за период 1998-2003 годов доля расходов на цели социального развития, взятая в проценте от валового внутреннего продукта (ВВП), возросла, соответственно, с 9,17% до 10,4%.</w:t>
      </w:r>
    </w:p>
    <w:p w:rsidR="00000000" w:rsidRDefault="00000000">
      <w:pPr>
        <w:tabs>
          <w:tab w:val="left" w:pos="748"/>
        </w:tabs>
      </w:pPr>
    </w:p>
    <w:p w:rsidR="00000000" w:rsidRDefault="00000000">
      <w:pPr>
        <w:pStyle w:val="BodyText"/>
        <w:tabs>
          <w:tab w:val="left" w:pos="748"/>
        </w:tabs>
        <w:jc w:val="center"/>
        <w:rPr>
          <w:sz w:val="22"/>
          <w:szCs w:val="22"/>
          <w:lang w:val="ru-RU"/>
        </w:rPr>
      </w:pPr>
      <w:r>
        <w:rPr>
          <w:sz w:val="22"/>
          <w:szCs w:val="22"/>
          <w:lang w:val="ru-RU"/>
        </w:rPr>
        <w:t>Динамика расходов на социальные нужды в Мексике</w:t>
      </w:r>
    </w:p>
    <w:p w:rsidR="00000000" w:rsidRDefault="00000000">
      <w:pPr>
        <w:pStyle w:val="BodyText"/>
        <w:tabs>
          <w:tab w:val="left" w:pos="748"/>
        </w:tabs>
        <w:jc w:val="center"/>
        <w:rPr>
          <w:sz w:val="22"/>
          <w:szCs w:val="22"/>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12"/>
      </w:tblGrid>
      <w:tr w:rsidR="00000000">
        <w:tblPrEx>
          <w:tblCellMar>
            <w:top w:w="0" w:type="dxa"/>
            <w:bottom w:w="0" w:type="dxa"/>
          </w:tblCellMar>
        </w:tblPrEx>
        <w:trPr>
          <w:trHeight w:val="3798"/>
          <w:jc w:val="center"/>
        </w:trPr>
        <w:tc>
          <w:tcPr>
            <w:tcW w:w="6112" w:type="dxa"/>
          </w:tcPr>
          <w:p w:rsidR="00000000" w:rsidRDefault="00000000">
            <w:pPr>
              <w:spacing w:after="240"/>
              <w:rPr>
                <w:b/>
                <w:szCs w:val="22"/>
                <w:lang w:val="en-US"/>
              </w:rPr>
            </w:pPr>
            <w:r>
              <w:rPr>
                <w:sz w:val="20"/>
                <w:lang w:val="en-US"/>
              </w:rPr>
              <w:pict>
                <v:shape id="_x0000_s1226" type="#_x0000_t202" style="position:absolute;margin-left:8.6pt;margin-top:187.15pt;width:160.45pt;height:16.25pt;z-index:11" stroked="f">
                  <v:textbox inset="0,0,0,0">
                    <w:txbxContent>
                      <w:p w:rsidR="00000000" w:rsidRDefault="00000000">
                        <w:pPr>
                          <w:rPr>
                            <w:sz w:val="20"/>
                          </w:rPr>
                        </w:pPr>
                        <w:r>
                          <w:rPr>
                            <w:sz w:val="16"/>
                          </w:rPr>
                          <w:t xml:space="preserve">* </w:t>
                        </w:r>
                        <w:r>
                          <w:rPr>
                            <w:sz w:val="14"/>
                          </w:rPr>
                          <w:t>Оценочные данные на конец года</w:t>
                        </w:r>
                        <w:r>
                          <w:rPr>
                            <w:sz w:val="16"/>
                          </w:rPr>
                          <w:t>.</w:t>
                        </w:r>
                      </w:p>
                    </w:txbxContent>
                  </v:textbox>
                </v:shape>
              </w:pict>
            </w:r>
            <w:r>
              <w:rPr>
                <w:lang w:val="en-US"/>
              </w:rPr>
              <w:object w:dxaOrig="5895" w:dyaOrig="3930">
                <v:shape id="_x0000_i1041" type="#_x0000_t75" style="width:294.75pt;height:196.5pt" o:ole="" fillcolor="window">
                  <v:imagedata r:id="rId188" o:title=""/>
                </v:shape>
                <o:OLEObject Type="Embed" ProgID="MSGraph.Chart.8" ShapeID="_x0000_i1041" DrawAspect="Content" ObjectID="_1394895096" r:id="rId189">
                  <o:FieldCodes>\s</o:FieldCodes>
                </o:OLEObject>
              </w:object>
            </w:r>
          </w:p>
        </w:tc>
      </w:tr>
    </w:tbl>
    <w:p w:rsidR="00000000" w:rsidRDefault="00000000">
      <w:pPr>
        <w:pStyle w:val="BodyText"/>
        <w:tabs>
          <w:tab w:val="left" w:pos="748"/>
        </w:tabs>
        <w:jc w:val="center"/>
        <w:rPr>
          <w:b w:val="0"/>
          <w:sz w:val="22"/>
          <w:szCs w:val="22"/>
          <w:lang w:val="ru-RU"/>
        </w:rPr>
      </w:pPr>
    </w:p>
    <w:p w:rsidR="00000000" w:rsidRDefault="00000000">
      <w:pPr>
        <w:tabs>
          <w:tab w:val="left" w:pos="748"/>
        </w:tabs>
        <w:spacing w:line="240" w:lineRule="auto"/>
        <w:rPr>
          <w:sz w:val="18"/>
        </w:rPr>
      </w:pPr>
      <w:r>
        <w:rPr>
          <w:i/>
          <w:iCs/>
          <w:sz w:val="18"/>
        </w:rPr>
        <w:t>Источник</w:t>
      </w:r>
      <w:r>
        <w:rPr>
          <w:sz w:val="18"/>
        </w:rPr>
        <w:t>:  министерство финансов и государственного кредита, федеральные бюджетные расходы за различные годы;  и канцелярия президента Республики, третий доклад правительства.</w:t>
      </w:r>
    </w:p>
    <w:p w:rsidR="00000000" w:rsidRDefault="00000000">
      <w:pPr>
        <w:tabs>
          <w:tab w:val="left" w:pos="748"/>
        </w:tabs>
      </w:pPr>
    </w:p>
    <w:p w:rsidR="00000000" w:rsidRDefault="00000000">
      <w:pPr>
        <w:tabs>
          <w:tab w:val="left" w:pos="748"/>
        </w:tabs>
        <w:ind w:left="567" w:hanging="567"/>
        <w:rPr>
          <w:b/>
          <w:bCs/>
          <w:i/>
          <w:iCs/>
        </w:rPr>
      </w:pPr>
      <w:r>
        <w:rPr>
          <w:b/>
          <w:bCs/>
          <w:i/>
          <w:iCs/>
        </w:rPr>
        <w:tab/>
        <w:t>34.</w:t>
      </w:r>
      <w:r>
        <w:rPr>
          <w:b/>
          <w:bCs/>
          <w:i/>
          <w:iCs/>
        </w:rPr>
        <w:tab/>
        <w:t>Комитет призывает государство-участника при проведении переговоров с международными финансовыми учреждениями и осуществлении программ структурной перестройки и макроэкономической политики, касающихся обслуживания иностранной задолженности, интеграции в глобальную рыночную экономику и т.д., учитывать их воздействие на осуществление экономических, социальных и культурных прав, в частности наиболее уязвимыми группами общества.</w:t>
      </w:r>
    </w:p>
    <w:p w:rsidR="00000000" w:rsidRDefault="00000000">
      <w:pPr>
        <w:tabs>
          <w:tab w:val="left" w:pos="748"/>
        </w:tabs>
      </w:pPr>
    </w:p>
    <w:p w:rsidR="00000000" w:rsidRDefault="00000000">
      <w:pPr>
        <w:tabs>
          <w:tab w:val="left" w:pos="748"/>
        </w:tabs>
      </w:pPr>
      <w:r>
        <w:t>1134.</w:t>
      </w:r>
      <w:r>
        <w:tab/>
      </w:r>
      <w:r>
        <w:tab/>
        <w:t>К числу приоритетных задач, стоящих перед правительством Мексики, относится создание экономических условий, позволяющих мобилизовать необходимые ресурсы для борьбы с бедностью, постепенного стирания различий между регионами и повышения конкурентоспособности Мексики в современном мире.  Государство приняло обязательство осуществлять ответственную экономическую политику, позволяющую постоянно наращивать уровень и качество жизни населения не только в плане питания, здравоохранении, образовании и жилье, но также удовлетворения культурных потребностей и расширения общего кругозора.  Все это в совокупности позволит добиться обеспечения комплексного, гармоничного и справедливого развития личности.</w:t>
      </w:r>
    </w:p>
    <w:p w:rsidR="00000000" w:rsidRDefault="00000000">
      <w:pPr>
        <w:tabs>
          <w:tab w:val="left" w:pos="748"/>
        </w:tabs>
      </w:pPr>
    </w:p>
    <w:p w:rsidR="00000000" w:rsidRDefault="00000000">
      <w:pPr>
        <w:tabs>
          <w:tab w:val="left" w:pos="748"/>
        </w:tabs>
      </w:pPr>
      <w:r>
        <w:t>1135.</w:t>
      </w:r>
      <w:r>
        <w:tab/>
      </w:r>
      <w:r>
        <w:tab/>
        <w:t>Экономическая политика ориентирована на создание макроэкономической среды, которая придаст уверенность инвестиционным решениям частных субъектов.  В этом смысле благоразумие и дисциплина в обращении с государственными финансами становятся эффективным средством достижения поставленной цели.  Такое средство способствует противодействию инфляционным процессам, сокращает давление на фондовые рынки, позволяет не допустить роста стоимости самих денежных средств и упрощает прогнозирование рентабельности капиталовложений.  К тому же снижение учетных ставок создает бюджетное пространство для увеличения социальных затрат.</w:t>
      </w:r>
    </w:p>
    <w:p w:rsidR="00000000" w:rsidRDefault="00000000">
      <w:pPr>
        <w:tabs>
          <w:tab w:val="left" w:pos="748"/>
        </w:tabs>
      </w:pPr>
    </w:p>
    <w:p w:rsidR="00000000" w:rsidRDefault="00000000">
      <w:pPr>
        <w:tabs>
          <w:tab w:val="left" w:pos="748"/>
        </w:tabs>
      </w:pPr>
      <w:r>
        <w:t>1136.</w:t>
      </w:r>
      <w:r>
        <w:tab/>
      </w:r>
      <w:r>
        <w:tab/>
        <w:t>Проводимая фискальная политика созвучна обязательству добиваться постепенного снижения бюджетного дефицита с целью достижения бюджетного равновесия.  В статьях федеральных расходов предусматриваются разумные меры, направленные на достижение сбалансированности бюджета при помощи механизмов регулирования расходов на случай непредвиденного изменения бюджетных поступлений.  Эти механизмы уже показали свою действенность в деле достижения поставленных целей по сбору налогов.  Одновременно они защищают приоритетные статьи расходов в стратегически важных областях национального развития, таких, как образование, здравоохранение, обеспечение равенства возможностей, развитие села и инфраструктуры.</w:t>
      </w:r>
    </w:p>
    <w:p w:rsidR="00000000" w:rsidRDefault="00000000">
      <w:pPr>
        <w:tabs>
          <w:tab w:val="left" w:pos="748"/>
        </w:tabs>
      </w:pPr>
    </w:p>
    <w:p w:rsidR="00000000" w:rsidRDefault="00000000">
      <w:pPr>
        <w:tabs>
          <w:tab w:val="left" w:pos="748"/>
        </w:tabs>
      </w:pPr>
      <w:r>
        <w:t>1137.</w:t>
      </w:r>
      <w:r>
        <w:tab/>
      </w:r>
      <w:r>
        <w:tab/>
        <w:t>В политике затрат предпочтение отдается льготным выплатам, которые идут на прямую поддержку граждан.  Они позволяют увеличить расходы на социальное развитие, в частности на образование, здравоохранение и социальную защиту;  при этом увеличивается объем средств, выделяемых под программы преодоления бедности, а также направляемых на обеспечение четкой работы правительства.</w:t>
      </w:r>
    </w:p>
    <w:p w:rsidR="00000000" w:rsidRDefault="00000000">
      <w:pPr>
        <w:tabs>
          <w:tab w:val="left" w:pos="748"/>
        </w:tabs>
      </w:pPr>
    </w:p>
    <w:p w:rsidR="00000000" w:rsidRDefault="00000000">
      <w:pPr>
        <w:tabs>
          <w:tab w:val="left" w:pos="748"/>
        </w:tabs>
      </w:pPr>
      <w:r>
        <w:t>1138.</w:t>
      </w:r>
      <w:r>
        <w:tab/>
      </w:r>
      <w:r>
        <w:tab/>
        <w:t xml:space="preserve">Аналогичным образом, изыскиваются средства для льготных отчислений на нужды федеративных образований, муниципий и менее развитых групп.  Тем самым, благодаря более продуманному ассигнованию средств и распределению ответственности между федерацией и федеративными образованиями и муниципиями, укрепляется федерализм.  Отдается предпочтение льготным отчислениям на развитие сельских районов.  Особое </w:t>
      </w:r>
    </w:p>
    <w:p w:rsidR="00000000" w:rsidRDefault="00000000">
      <w:pPr>
        <w:tabs>
          <w:tab w:val="left" w:pos="748"/>
        </w:tabs>
      </w:pPr>
      <w:r>
        <w:br w:type="page"/>
        <w:t>внимание уделяется выполнению обязательств по Национальному соглашению по проблемам села, заключенному между федеральным правительством и различными союзами производителей продуктов и товаров.</w:t>
      </w:r>
    </w:p>
    <w:p w:rsidR="00000000" w:rsidRDefault="00000000">
      <w:pPr>
        <w:tabs>
          <w:tab w:val="left" w:pos="748"/>
        </w:tabs>
      </w:pPr>
    </w:p>
    <w:p w:rsidR="00000000" w:rsidRDefault="00000000">
      <w:pPr>
        <w:tabs>
          <w:tab w:val="left" w:pos="748"/>
        </w:tabs>
      </w:pPr>
      <w:r>
        <w:t>1139.</w:t>
      </w:r>
      <w:r>
        <w:tab/>
      </w:r>
      <w:r>
        <w:tab/>
        <w:t>Взвешенная политика в отношении государственного долга является залогом поддержания устойчивого уровня по сбору налогов и обеспечения стабильности макроэкономической среды на среднесрочную перспективу.  В этом ключе будет продолжено использование благоприятной конъюнктуры для внешних заимствований по линии международных финансовых учреждений, в первую очередь в целях инвестирования в проекты по осуществлению реформ, направленных на дальнейшее экономическое и социальное развитие страны.</w:t>
      </w:r>
    </w:p>
    <w:p w:rsidR="00000000" w:rsidRDefault="00000000">
      <w:pPr>
        <w:tabs>
          <w:tab w:val="left" w:pos="748"/>
        </w:tabs>
      </w:pPr>
    </w:p>
    <w:p w:rsidR="00000000" w:rsidRDefault="00000000">
      <w:pPr>
        <w:tabs>
          <w:tab w:val="left" w:pos="748"/>
        </w:tabs>
        <w:ind w:left="567" w:hanging="567"/>
        <w:rPr>
          <w:b/>
          <w:bCs/>
          <w:i/>
          <w:iCs/>
        </w:rPr>
      </w:pPr>
      <w:r>
        <w:rPr>
          <w:b/>
          <w:bCs/>
          <w:i/>
          <w:iCs/>
        </w:rPr>
        <w:tab/>
        <w:t>35.</w:t>
      </w:r>
      <w:r>
        <w:rPr>
          <w:b/>
          <w:bCs/>
          <w:i/>
          <w:iCs/>
        </w:rPr>
        <w:tab/>
        <w:t>Комитет рекомендует государству-участнику продолжать активизацию усилий с целью смягчения любых негативных последствий, которые может иметь осуществление Североамериканского соглашения о свободной торговле (НАФТА) для положения ряда уязвимых групп населения.</w:t>
      </w:r>
    </w:p>
    <w:p w:rsidR="00000000" w:rsidRDefault="00000000">
      <w:pPr>
        <w:tabs>
          <w:tab w:val="left" w:pos="748"/>
        </w:tabs>
      </w:pPr>
    </w:p>
    <w:p w:rsidR="00000000" w:rsidRDefault="00000000">
      <w:pPr>
        <w:tabs>
          <w:tab w:val="left" w:pos="748"/>
        </w:tabs>
      </w:pPr>
      <w:r>
        <w:t>1140.</w:t>
      </w:r>
      <w:r>
        <w:tab/>
      </w:r>
      <w:r>
        <w:tab/>
        <w:t>Как известно, несмотря на экономический рост, вызванный вступлением в силу Североамериканского соглашения о свободной торговле (НАФТА), имеются определенные различия в темпах такого роста в разных регионах страны.  С помощью НАФТА были созданы крупные полюсы развития, главным образом в приграничных зонах и в центральной части страны;  другие же регионы оказались в стороне от этого экономического роста.  В целях преодоления негативных последствий принятия Соглашения о свободной торговле, сказавшихся на некоторых регионах страны, мексиканское правительство занялось разработкой политики комплексного развития территорий страны с особым акцентом на борьбу с бедностью и неравенством.</w:t>
      </w:r>
    </w:p>
    <w:p w:rsidR="00000000" w:rsidRDefault="00000000">
      <w:pPr>
        <w:tabs>
          <w:tab w:val="left" w:pos="748"/>
        </w:tabs>
        <w:spacing w:line="216" w:lineRule="auto"/>
      </w:pPr>
    </w:p>
    <w:p w:rsidR="00000000" w:rsidRDefault="00000000">
      <w:pPr>
        <w:tabs>
          <w:tab w:val="left" w:pos="748"/>
        </w:tabs>
      </w:pPr>
      <w:r>
        <w:t>1141.</w:t>
      </w:r>
      <w:r>
        <w:tab/>
      </w:r>
      <w:r>
        <w:tab/>
        <w:t>Правительство Мексики подтвердило свой интерес и обязательство по приданию особого значения развитию регионов и проведению взвешенной территориальной политики.  Это было подтверждено включением темы регионального развития в Национальный план развития на 2001-2006 годы, а также созданием Управления по стратегическому планированию и региональному развитию при канцелярии президента Республики.  Данное Управление играет основную роль в деле стимулирования регионального развития, ибо оно занимается разработкой долгосрочных территориальных стратегий, а также оценкой, координацией и осуществлением политик и программ, дающих импульс региональному развитию.  Вместе с тем, это Управление содействует координации усилий правительств штатов и муниципальных администраций, что существенно сказывается на обеспечении целостности регионального развития и, соответственно, на стимулировании сбалансированного экономического роста по всей стране.</w:t>
      </w:r>
    </w:p>
    <w:p w:rsidR="00000000" w:rsidRDefault="00000000">
      <w:pPr>
        <w:tabs>
          <w:tab w:val="left" w:pos="748"/>
        </w:tabs>
      </w:pPr>
      <w:r>
        <w:t>1142.</w:t>
      </w:r>
      <w:r>
        <w:tab/>
      </w:r>
      <w:r>
        <w:tab/>
        <w:t>Имеются и другие инициативы в области территориального развития, ведущие к наращиванию потенциала регионов.  Одна из них - план Пуэбла-Панама, призванный стимулировать развитие и включение в общую экономическую систему страны южных и юго-восточных областей Мексики.  На те же цели направлена и Национальная программа развития городов и пространственного планирования (НПРГ-ПП) на 2001-2006 годы, которая призвана способствовать более упорядоченному освоению территорий и уменьшению тем самым региональных диспропорций.</w:t>
      </w:r>
    </w:p>
    <w:p w:rsidR="00000000" w:rsidRDefault="00000000">
      <w:pPr>
        <w:tabs>
          <w:tab w:val="left" w:pos="748"/>
        </w:tabs>
      </w:pPr>
    </w:p>
    <w:p w:rsidR="00000000" w:rsidRDefault="00000000">
      <w:pPr>
        <w:tabs>
          <w:tab w:val="left" w:pos="748"/>
        </w:tabs>
        <w:ind w:left="567" w:hanging="567"/>
        <w:rPr>
          <w:b/>
          <w:bCs/>
          <w:i/>
          <w:iCs/>
        </w:rPr>
      </w:pPr>
      <w:r>
        <w:rPr>
          <w:b/>
          <w:bCs/>
          <w:i/>
          <w:iCs/>
        </w:rPr>
        <w:tab/>
        <w:t>36.</w:t>
      </w:r>
      <w:r>
        <w:rPr>
          <w:b/>
          <w:bCs/>
          <w:i/>
          <w:iCs/>
        </w:rPr>
        <w:tab/>
        <w:t>Комитет призывает государство-участника принять эффективные меры с целью обеспечения соблюдения положений статьи 7 a) ii) Международного пакта об экономических, социальных и культурных правах, которые отражены в статье 123.VI Конституции Мексики, в связи с правом на приобретение предусмотренного законом минимального набора основных продуктов питания.</w:t>
      </w:r>
    </w:p>
    <w:p w:rsidR="00000000" w:rsidRDefault="00000000">
      <w:pPr>
        <w:tabs>
          <w:tab w:val="left" w:pos="748"/>
        </w:tabs>
      </w:pPr>
    </w:p>
    <w:p w:rsidR="00000000" w:rsidRDefault="00000000">
      <w:pPr>
        <w:tabs>
          <w:tab w:val="left" w:pos="748"/>
        </w:tabs>
      </w:pPr>
      <w:r>
        <w:t>1143.</w:t>
      </w:r>
      <w:r>
        <w:tab/>
      </w:r>
      <w:r>
        <w:tab/>
        <w:t>См. ответ на замечание № 20.</w:t>
      </w:r>
    </w:p>
    <w:p w:rsidR="00000000" w:rsidRDefault="00000000">
      <w:pPr>
        <w:tabs>
          <w:tab w:val="left" w:pos="748"/>
        </w:tabs>
      </w:pPr>
    </w:p>
    <w:p w:rsidR="00000000" w:rsidRDefault="00000000">
      <w:pPr>
        <w:tabs>
          <w:tab w:val="left" w:pos="748"/>
        </w:tabs>
        <w:ind w:left="567" w:hanging="567"/>
        <w:rPr>
          <w:b/>
          <w:bCs/>
          <w:i/>
          <w:iCs/>
        </w:rPr>
      </w:pPr>
      <w:r>
        <w:rPr>
          <w:b/>
          <w:bCs/>
          <w:i/>
          <w:iCs/>
        </w:rPr>
        <w:tab/>
        <w:t>37.</w:t>
      </w:r>
      <w:r>
        <w:rPr>
          <w:b/>
          <w:bCs/>
          <w:i/>
          <w:iCs/>
        </w:rPr>
        <w:tab/>
        <w:t>Комитет также настоятельно призывает государство-участника принять незамедлительные меры с целью защиты женщин, работающих на ряде предприятий ("maquiladoras"), включая запрещение практики, предусматривающей требование от женщин, стремящихся устроиться на работу, медицинских справок, подтверждающих отсутствие беременности, и принятие правовых мер в отношении нанимателей, нарушающих этот запрет.</w:t>
      </w:r>
    </w:p>
    <w:p w:rsidR="00000000" w:rsidRDefault="00000000">
      <w:pPr>
        <w:tabs>
          <w:tab w:val="left" w:pos="748"/>
        </w:tabs>
      </w:pPr>
    </w:p>
    <w:p w:rsidR="00000000" w:rsidRDefault="00000000">
      <w:pPr>
        <w:tabs>
          <w:tab w:val="left" w:pos="748"/>
        </w:tabs>
      </w:pPr>
      <w:r>
        <w:t>1144.</w:t>
      </w:r>
      <w:r>
        <w:tab/>
      </w:r>
      <w:r>
        <w:tab/>
        <w:t xml:space="preserve">Министерство труда и социального обеспечения на постоянной основе проводит кампанию по ликвидации дискриминации в отношении женщин в сфере занятости и организует программы подготовки по учету гендерного аспекта.  В рамках таких конструктивных действий следует выделить следующие:  1) подписание с различными компаниями, правительствами штатов и женскими ассоциациями 13 соглашений о запрещении практики требования от устраивающихся на работу женщин справок, подтверждающих отсутствие беременности, о семейных обязанностях и об условиях грудного вскармливания на производстве;  2) популяризацию трудовых прав женщин посредством радиовещательных программ, наглядной агитации, распространения прокламаций по правам и обязанностям и т.д.;  и 3) проведение двух мероприятий, а именно:  </w:t>
      </w:r>
      <w:r>
        <w:rPr>
          <w:i/>
          <w:iCs/>
        </w:rPr>
        <w:t>первая Национальная встреча трудящихся женщин</w:t>
      </w:r>
      <w:r>
        <w:t xml:space="preserve"> и </w:t>
      </w:r>
      <w:r>
        <w:rPr>
          <w:i/>
          <w:iCs/>
        </w:rPr>
        <w:t>симпозиум на тему "Защита материнства:  за профсоюзное движение на условиях гендерного равенства и против сексуальных преследований и насилия в сфере труда"</w:t>
      </w:r>
      <w:r>
        <w:t>.</w:t>
      </w:r>
    </w:p>
    <w:p w:rsidR="00000000" w:rsidRDefault="00000000">
      <w:pPr>
        <w:tabs>
          <w:tab w:val="left" w:pos="748"/>
        </w:tabs>
      </w:pPr>
    </w:p>
    <w:p w:rsidR="00000000" w:rsidRDefault="00000000">
      <w:pPr>
        <w:tabs>
          <w:tab w:val="left" w:pos="748"/>
        </w:tabs>
      </w:pPr>
      <w:r>
        <w:br w:type="page"/>
        <w:t>1145.</w:t>
      </w:r>
      <w:r>
        <w:tab/>
      </w:r>
      <w:r>
        <w:tab/>
        <w:t>С другой стороны, ожидают своего утверждения соответствующие изменения к различным статьям Политической конституции Мексиканских Соединенных Штатов, а также к закону о социальном обеспечении и федеральному закону о труде, суть которых сводится к тому, чтобы исключить возможность предъявления работодателями или хозяевами к устраивающимся на работу женщинам требования об отсутствии беременности в качестве непременного условия трудоустройства.</w:t>
      </w:r>
    </w:p>
    <w:p w:rsidR="00000000" w:rsidRDefault="00000000">
      <w:pPr>
        <w:tabs>
          <w:tab w:val="left" w:pos="748"/>
        </w:tabs>
      </w:pPr>
    </w:p>
    <w:p w:rsidR="00000000" w:rsidRDefault="00000000">
      <w:pPr>
        <w:tabs>
          <w:tab w:val="left" w:pos="748"/>
        </w:tabs>
        <w:ind w:left="567" w:hanging="567"/>
        <w:rPr>
          <w:b/>
          <w:bCs/>
          <w:i/>
          <w:iCs/>
        </w:rPr>
      </w:pPr>
      <w:r>
        <w:rPr>
          <w:b/>
          <w:bCs/>
          <w:i/>
          <w:iCs/>
        </w:rPr>
        <w:tab/>
        <w:t>38.</w:t>
      </w:r>
      <w:r>
        <w:rPr>
          <w:b/>
          <w:bCs/>
          <w:i/>
          <w:iCs/>
        </w:rPr>
        <w:tab/>
        <w:t>Комитет рекомендует государству-участнику рассмотреть вопрос о ратификации Конвенции Международной организации труда 1973 года о минимальном возрасте для приема на работу (Конвенция № 138).</w:t>
      </w:r>
    </w:p>
    <w:p w:rsidR="00000000" w:rsidRDefault="00000000">
      <w:pPr>
        <w:tabs>
          <w:tab w:val="left" w:pos="748"/>
        </w:tabs>
      </w:pPr>
    </w:p>
    <w:p w:rsidR="00000000" w:rsidRDefault="00000000">
      <w:pPr>
        <w:tabs>
          <w:tab w:val="left" w:pos="748"/>
        </w:tabs>
      </w:pPr>
      <w:r>
        <w:t>1146.</w:t>
      </w:r>
      <w:r>
        <w:tab/>
      </w:r>
      <w:r>
        <w:tab/>
        <w:t>Министерство труда и социального обеспечения выступило инициатором проведения обсуждений по данной теме с привлечением представителей различных производственных секторов, что заложило основу для внесения предложений об изменении внутригосударственной нормативной базы.</w:t>
      </w:r>
    </w:p>
    <w:p w:rsidR="00000000" w:rsidRDefault="00000000">
      <w:pPr>
        <w:tabs>
          <w:tab w:val="left" w:pos="748"/>
        </w:tabs>
      </w:pPr>
    </w:p>
    <w:p w:rsidR="00000000" w:rsidRDefault="00000000">
      <w:pPr>
        <w:tabs>
          <w:tab w:val="left" w:pos="748"/>
        </w:tabs>
      </w:pPr>
      <w:r>
        <w:t>1147.</w:t>
      </w:r>
      <w:r>
        <w:tab/>
      </w:r>
      <w:r>
        <w:tab/>
        <w:t>Вместе с тем, отдельные положения действующего национального законодательства, несовместимые с текстом Конвенции № 138 о минимальном возрасте для приема на работу, препятствуют ратификации последней.</w:t>
      </w:r>
    </w:p>
    <w:p w:rsidR="00000000" w:rsidRDefault="00000000">
      <w:pPr>
        <w:tabs>
          <w:tab w:val="left" w:pos="748"/>
        </w:tabs>
      </w:pPr>
    </w:p>
    <w:p w:rsidR="00000000" w:rsidRDefault="00000000">
      <w:pPr>
        <w:tabs>
          <w:tab w:val="left" w:pos="748"/>
        </w:tabs>
        <w:ind w:left="567" w:hanging="567"/>
        <w:rPr>
          <w:b/>
          <w:bCs/>
          <w:i/>
          <w:iCs/>
        </w:rPr>
      </w:pPr>
      <w:r>
        <w:rPr>
          <w:b/>
          <w:bCs/>
          <w:i/>
          <w:iCs/>
        </w:rPr>
        <w:tab/>
        <w:t>39.</w:t>
      </w:r>
      <w:r>
        <w:rPr>
          <w:b/>
          <w:bCs/>
          <w:i/>
          <w:iCs/>
        </w:rPr>
        <w:tab/>
        <w:t>Комитет призывает государство-участника выполнять свои обязательства по статье 8 Пакта и снять свою оговорку к этой статье.</w:t>
      </w:r>
    </w:p>
    <w:p w:rsidR="00000000" w:rsidRDefault="00000000">
      <w:pPr>
        <w:tabs>
          <w:tab w:val="left" w:pos="748"/>
        </w:tabs>
      </w:pPr>
    </w:p>
    <w:p w:rsidR="00000000" w:rsidRDefault="00000000">
      <w:pPr>
        <w:tabs>
          <w:tab w:val="left" w:pos="748"/>
        </w:tabs>
      </w:pPr>
      <w:r>
        <w:t>1148.</w:t>
      </w:r>
      <w:r>
        <w:tab/>
      </w:r>
      <w:r>
        <w:tab/>
        <w:t>См. ответ на замечание № 23.</w:t>
      </w:r>
    </w:p>
    <w:p w:rsidR="00000000" w:rsidRDefault="00000000">
      <w:pPr>
        <w:tabs>
          <w:tab w:val="left" w:pos="748"/>
        </w:tabs>
      </w:pPr>
    </w:p>
    <w:p w:rsidR="00000000" w:rsidRDefault="00000000">
      <w:pPr>
        <w:tabs>
          <w:tab w:val="left" w:pos="748"/>
        </w:tabs>
        <w:ind w:left="567" w:hanging="567"/>
        <w:rPr>
          <w:b/>
          <w:bCs/>
          <w:i/>
          <w:iCs/>
        </w:rPr>
      </w:pPr>
      <w:r>
        <w:rPr>
          <w:b/>
          <w:bCs/>
          <w:i/>
          <w:iCs/>
        </w:rPr>
        <w:tab/>
        <w:t>40.</w:t>
      </w:r>
      <w:r>
        <w:rPr>
          <w:b/>
          <w:bCs/>
          <w:i/>
          <w:iCs/>
        </w:rPr>
        <w:tab/>
        <w:t>Комитет настоятельно призывает государство-участника принять более эффективные меры по борьбе с бытовым насилием, в частности бытовым насилием в отношении женщин, а также с целью решения серьезной проблемы бездомных детей.  Комитет также настоятельно призывает государство-участника устранить причины, лежащие в основе этих проблем.</w:t>
      </w:r>
    </w:p>
    <w:p w:rsidR="00000000" w:rsidRDefault="00000000">
      <w:pPr>
        <w:tabs>
          <w:tab w:val="left" w:pos="748"/>
        </w:tabs>
      </w:pPr>
    </w:p>
    <w:p w:rsidR="00000000" w:rsidRDefault="00000000">
      <w:pPr>
        <w:tabs>
          <w:tab w:val="left" w:pos="748"/>
        </w:tabs>
      </w:pPr>
      <w:r>
        <w:t>1149.</w:t>
      </w:r>
      <w:r>
        <w:tab/>
      </w:r>
      <w:r>
        <w:tab/>
        <w:t>Национальная комиссия по правам человека реализует Программу по делам женщин, детей и семьи, имеющую целью обеспечить надлежащее рассмотрение жалоб в связи с нарушениями прав человека женщин и детей, и в то же время содействует принятию законодательных и административных мер, направленных на искоренение всех форм дискриминации и насилия по отношению к ним.</w:t>
      </w:r>
    </w:p>
    <w:p w:rsidR="00000000" w:rsidRDefault="00000000">
      <w:pPr>
        <w:tabs>
          <w:tab w:val="left" w:pos="748"/>
        </w:tabs>
      </w:pPr>
    </w:p>
    <w:p w:rsidR="00000000" w:rsidRDefault="00000000">
      <w:pPr>
        <w:tabs>
          <w:tab w:val="left" w:pos="748"/>
        </w:tabs>
      </w:pPr>
      <w:r>
        <w:br w:type="page"/>
        <w:t>1150.</w:t>
      </w:r>
      <w:r>
        <w:tab/>
      </w:r>
      <w:r>
        <w:tab/>
      </w:r>
      <w:r>
        <w:rPr>
          <w:szCs w:val="22"/>
        </w:rPr>
        <w:t>С другой стороны, в 2001 году был образован Национальный институт женщины, призванный создавать и развивать культуру равенства и справедливости в условиях свободы от насилия и дискриминации, способную обеспечить комплексное развитие всех мексиканских женщин и дать возможность мужчинам и женщинам в полной мере пользоваться всеми своими правами.</w:t>
      </w:r>
    </w:p>
    <w:p w:rsidR="00000000" w:rsidRDefault="00000000">
      <w:pPr>
        <w:tabs>
          <w:tab w:val="left" w:pos="748"/>
        </w:tabs>
      </w:pPr>
    </w:p>
    <w:p w:rsidR="00000000" w:rsidRDefault="00000000">
      <w:pPr>
        <w:tabs>
          <w:tab w:val="left" w:pos="748"/>
        </w:tabs>
      </w:pPr>
      <w:r>
        <w:t>1151.</w:t>
      </w:r>
      <w:r>
        <w:tab/>
      </w:r>
      <w:r>
        <w:tab/>
      </w:r>
      <w:r>
        <w:rPr>
          <w:szCs w:val="22"/>
        </w:rPr>
        <w:t>В Мексике действует Национальная система комплексного развития семьи (КРС), которая через программу предупреждения насилия в семье и жестокого обращения с детьми ведет воспитательную работу, а также подготовку персонала, занятого воспитанием несовершеннолетних и заботой о них в детских садах, школах, лечебных заведениях и прочих детских учреждениях.  Работа с воспитателями направлена на обострение чувства ответственности за жизнь и здоровье ребенка, в духе противодействия насилию в семье.  Также ведется работа с родителями в общинах, направленная на повышение заботы о детях, равно как на повышение качества их воспитания и обучения.</w:t>
      </w:r>
    </w:p>
    <w:p w:rsidR="00000000" w:rsidRDefault="00000000">
      <w:pPr>
        <w:tabs>
          <w:tab w:val="left" w:pos="748"/>
        </w:tabs>
      </w:pPr>
    </w:p>
    <w:p w:rsidR="00000000" w:rsidRDefault="00000000">
      <w:pPr>
        <w:tabs>
          <w:tab w:val="left" w:pos="748"/>
        </w:tabs>
      </w:pPr>
      <w:r>
        <w:t>1152.</w:t>
      </w:r>
      <w:r>
        <w:tab/>
      </w:r>
      <w:r>
        <w:tab/>
        <w:t>Обязательство правительства Мексики заняться решением проблемы беспризорных детей и подростков приобретает форму Национальной программы профилактики и оказания помощи детям и подросткам, под названием "С улицы в жизнь".  Задача программы - "наладить взаимодействие и координацию усилий государства, общества и частных лиц в деле предупреждения беспризорности и оказания помощи беспризорным детям с целью комплексного решения существующей проблемы на среднесрочную и долгосрочную перспективу".</w:t>
      </w:r>
    </w:p>
    <w:p w:rsidR="00000000" w:rsidRDefault="00000000">
      <w:pPr>
        <w:tabs>
          <w:tab w:val="left" w:pos="748"/>
        </w:tabs>
      </w:pPr>
    </w:p>
    <w:p w:rsidR="00000000" w:rsidRDefault="00000000">
      <w:pPr>
        <w:tabs>
          <w:tab w:val="left" w:pos="748"/>
        </w:tabs>
      </w:pPr>
      <w:r>
        <w:t>1153.</w:t>
      </w:r>
      <w:r>
        <w:tab/>
      </w:r>
      <w:r>
        <w:tab/>
        <w:t>Данной программой, в которой принимают участие 83 организации гражданского общества, охватываются восемь штатов и 136 муниципий.  В 2003 году по линии реализуемых в ее рамках 129 конкретных проектов, 11 исследований и 140 программ стипендий были охвачены 36 992 беспризорных ребенка и подростка.</w:t>
      </w:r>
    </w:p>
    <w:p w:rsidR="00000000" w:rsidRDefault="00000000">
      <w:pPr>
        <w:tabs>
          <w:tab w:val="left" w:pos="748"/>
        </w:tabs>
      </w:pPr>
    </w:p>
    <w:p w:rsidR="00000000" w:rsidRDefault="00000000">
      <w:pPr>
        <w:tabs>
          <w:tab w:val="left" w:pos="748"/>
        </w:tabs>
        <w:ind w:left="567" w:hanging="567"/>
        <w:rPr>
          <w:b/>
          <w:bCs/>
          <w:i/>
          <w:iCs/>
        </w:rPr>
      </w:pPr>
      <w:r>
        <w:rPr>
          <w:b/>
          <w:bCs/>
          <w:i/>
          <w:iCs/>
        </w:rPr>
        <w:tab/>
        <w:t>41.</w:t>
      </w:r>
      <w:r>
        <w:rPr>
          <w:b/>
          <w:bCs/>
          <w:i/>
          <w:iCs/>
        </w:rPr>
        <w:tab/>
        <w:t>Комитет настоятельно призывает государство-участника активизировать свои усилия по предоставлению адекватного недорогого жилья, в особенности наиболее бедным слоям общества.  Комитет хотел бы получить более подробную информацию о числе случаев принудительных выселений и о том, каким образом они проводятся.  Комитет рекомендует государству-участнику создать механизмы, позволяющие регистрировать случаи выселений и дальнейшую судьбу выселенных лиц, и принять незамедлительные меры по борьбе с практикой принудительных выселений, а также представить Комитету информацию по этому вопросу в своем четвертом периодическом докладе.</w:t>
      </w:r>
    </w:p>
    <w:p w:rsidR="00000000" w:rsidRDefault="00000000">
      <w:pPr>
        <w:tabs>
          <w:tab w:val="left" w:pos="748"/>
        </w:tabs>
      </w:pPr>
    </w:p>
    <w:p w:rsidR="00000000" w:rsidRDefault="00000000">
      <w:pPr>
        <w:tabs>
          <w:tab w:val="left" w:pos="748"/>
        </w:tabs>
      </w:pPr>
      <w:r>
        <w:t>1154.</w:t>
      </w:r>
      <w:r>
        <w:tab/>
      </w:r>
      <w:r>
        <w:tab/>
        <w:t>В отношении данной рекомендации необходимо указать, что политика федерального правительства в жилищном вопросе направлена на создание условий, при которых все большее число семей могло бы воспользоваться правом на достойное и красивое жилье.  В этих целях также предпринимаются усилия по преодолению дефицита жилья и созданию условий для выделения большего числа кредитов на приобретение и строительство жилья со стороны различных кредитных организаций.</w:t>
      </w:r>
    </w:p>
    <w:p w:rsidR="00000000" w:rsidRDefault="00000000"/>
    <w:p w:rsidR="00000000" w:rsidRDefault="00000000">
      <w:pPr>
        <w:tabs>
          <w:tab w:val="left" w:pos="748"/>
        </w:tabs>
      </w:pPr>
      <w:r>
        <w:t>1155.</w:t>
      </w:r>
      <w:r>
        <w:tab/>
      </w:r>
      <w:r>
        <w:tab/>
        <w:t>Специальный докладчик Организации Объединенных Наций по вопросу о надлежащем жилище как части права на достаточный жизненный уровень, и о праве на недискриминацию г-н Милун Котари рекомендовал Мексике учредить рабочую группу по вопросам выселений на национальном и местном уровне, в которой - для контроля за ситуацией с выселениями граждан и для сбора соответствующей информации, а также для изучения различных путей решения проблемы - участвовали бы представители гражданского общества.</w:t>
      </w:r>
    </w:p>
    <w:p w:rsidR="00000000" w:rsidRDefault="00000000">
      <w:pPr>
        <w:tabs>
          <w:tab w:val="left" w:pos="748"/>
        </w:tabs>
      </w:pPr>
    </w:p>
    <w:p w:rsidR="00000000" w:rsidRDefault="00000000">
      <w:pPr>
        <w:tabs>
          <w:tab w:val="left" w:pos="748"/>
        </w:tabs>
      </w:pPr>
      <w:r>
        <w:t>1156.</w:t>
      </w:r>
      <w:r>
        <w:tab/>
      </w:r>
      <w:r>
        <w:tab/>
        <w:t>Во исполнение этой рекомендации 7 мая 2004 года Подкомиссией по экономическим, социальным и культурным правам при Комиссии по государственной политике в сфере прав человека было принято решение о формировании рабочей группы для рассмотрения различных вопросов, касающихся права на жилище, с уделением особого внимания такому аспекту, как принудительные выселения.</w:t>
      </w:r>
    </w:p>
    <w:p w:rsidR="00000000" w:rsidRDefault="00000000">
      <w:pPr>
        <w:tabs>
          <w:tab w:val="left" w:pos="748"/>
        </w:tabs>
      </w:pPr>
    </w:p>
    <w:p w:rsidR="00000000" w:rsidRDefault="00000000">
      <w:pPr>
        <w:tabs>
          <w:tab w:val="left" w:pos="748"/>
        </w:tabs>
      </w:pPr>
      <w:r>
        <w:t>1157.</w:t>
      </w:r>
      <w:r>
        <w:tab/>
      </w:r>
      <w:r>
        <w:tab/>
        <w:t>К настоящему времени эта рабочая группа - опираясь на замечания общего порядка Комитета по экономическим, социальным и культурным правам - заметно продвинулась вперед в деле концептуализации термина "принудительное выселение", а также в выявлении структур власти, несущих ответственность за каждую разновидность такого явления.  В этой связи группа намерена привлекать к работе на своих заседаниях представителей федерального правосудия в целях использования их опыта, а также для обсуждения возможных путей юридического гарантирования гражданам уважения их права на жилище.</w:t>
      </w:r>
    </w:p>
    <w:p w:rsidR="00000000" w:rsidRDefault="00000000">
      <w:pPr>
        <w:tabs>
          <w:tab w:val="left" w:pos="748"/>
        </w:tabs>
      </w:pPr>
    </w:p>
    <w:p w:rsidR="00000000" w:rsidRDefault="00000000">
      <w:pPr>
        <w:tabs>
          <w:tab w:val="left" w:pos="748"/>
        </w:tabs>
      </w:pPr>
      <w:r>
        <w:t>1158.</w:t>
      </w:r>
      <w:r>
        <w:tab/>
      </w:r>
      <w:r>
        <w:tab/>
        <w:t xml:space="preserve">С другой стороны, одним из направлений, предусматриваемых стратегией комплексного развития </w:t>
      </w:r>
      <w:r>
        <w:rPr>
          <w:i/>
          <w:iCs/>
        </w:rPr>
        <w:t>Солидарность</w:t>
      </w:r>
      <w:r>
        <w:t>, является создание условий для имущественной обеспеченности.  С этой целью предпринимаются попытки оказания населению помощи в деле улучшения имущественного положения семей и решения жилищного вопроса посредством программ строительства нового и улучшения условий существующего жилья.</w:t>
      </w:r>
    </w:p>
    <w:p w:rsidR="00000000" w:rsidRDefault="00000000">
      <w:pPr>
        <w:tabs>
          <w:tab w:val="left" w:pos="748"/>
        </w:tabs>
      </w:pPr>
    </w:p>
    <w:p w:rsidR="00000000" w:rsidRDefault="00000000">
      <w:pPr>
        <w:tabs>
          <w:tab w:val="left" w:pos="748"/>
        </w:tabs>
      </w:pPr>
      <w:r>
        <w:br w:type="page"/>
        <w:t>1159.</w:t>
      </w:r>
      <w:r>
        <w:tab/>
      </w:r>
      <w:r>
        <w:tab/>
        <w:t xml:space="preserve">Следует также напомнить, что 26 июля 2001 года в качестве децентрализованного и технически независимого органа при министерстве социального развития была учреждена Национальная комиссия жилищного строительства (КОНАФОВИ).  Эта Комиссия призвана разрабатывать, координировать, продвигать и осуществлять жилищные стратегии и программы федерального правительства, а также стимулировать такие инстанции, как </w:t>
      </w:r>
      <w:r>
        <w:rPr>
          <w:bCs/>
          <w:szCs w:val="22"/>
        </w:rPr>
        <w:t>Жилищный фонд Института по вопросам социального обеспечения и социального обслуживания государственных служащих (ФОВИСССТЕ), Фонд банковских операций и финансирования жилья (ФОВИ) и Национальный институт жилого фонда для трудящихся (ИНФОНАВИТ), к активному участию в отраслевых жилищных программах.</w:t>
      </w:r>
    </w:p>
    <w:p w:rsidR="00000000" w:rsidRDefault="00000000">
      <w:pPr>
        <w:tabs>
          <w:tab w:val="left" w:pos="748"/>
        </w:tabs>
      </w:pPr>
    </w:p>
    <w:p w:rsidR="00000000" w:rsidRDefault="00000000">
      <w:pPr>
        <w:tabs>
          <w:tab w:val="left" w:pos="748"/>
        </w:tabs>
      </w:pPr>
      <w:r>
        <w:t>1160.</w:t>
      </w:r>
      <w:r>
        <w:tab/>
      </w:r>
      <w:r>
        <w:tab/>
      </w:r>
      <w:r>
        <w:rPr>
          <w:bCs/>
          <w:szCs w:val="22"/>
        </w:rPr>
        <w:t>Позднее, в августе того же года, в качестве трибуны для профессиональных консультаций был учрежден Национальный совет по вопросам жилья (КОНАВИ), на котором собираются главные действующие лица по вопросам производства и финансирования жилищного строительства для решения проблемы упорядочения и оптимизации строительства и финансирования.</w:t>
      </w:r>
    </w:p>
    <w:p w:rsidR="00000000" w:rsidRDefault="00000000">
      <w:pPr>
        <w:tabs>
          <w:tab w:val="left" w:pos="748"/>
        </w:tabs>
      </w:pPr>
    </w:p>
    <w:p w:rsidR="00000000" w:rsidRDefault="00000000">
      <w:pPr>
        <w:tabs>
          <w:tab w:val="left" w:pos="748"/>
        </w:tabs>
        <w:rPr>
          <w:bCs/>
          <w:szCs w:val="22"/>
        </w:rPr>
      </w:pPr>
      <w:r>
        <w:t>1161.</w:t>
      </w:r>
      <w:r>
        <w:tab/>
      </w:r>
      <w:r>
        <w:tab/>
      </w:r>
      <w:r>
        <w:rPr>
          <w:bCs/>
          <w:szCs w:val="22"/>
        </w:rPr>
        <w:t>Кроме того, действующая администрация разработала и внедрила серию стратегических мероприятий по управлению национальной политикой в области строительства жилья.  Ниже раскрывается их основная направленность:</w:t>
      </w:r>
    </w:p>
    <w:p w:rsidR="00000000" w:rsidRDefault="00000000">
      <w:pPr>
        <w:rPr>
          <w:bCs/>
          <w:szCs w:val="22"/>
        </w:rPr>
      </w:pPr>
    </w:p>
    <w:p w:rsidR="00000000" w:rsidRDefault="00000000">
      <w:pPr>
        <w:numPr>
          <w:ilvl w:val="0"/>
          <w:numId w:val="506"/>
        </w:numPr>
        <w:tabs>
          <w:tab w:val="clear" w:pos="567"/>
          <w:tab w:val="clear" w:pos="1068"/>
        </w:tabs>
        <w:ind w:left="1134" w:hanging="567"/>
        <w:rPr>
          <w:bCs/>
          <w:szCs w:val="22"/>
        </w:rPr>
      </w:pPr>
      <w:r>
        <w:rPr>
          <w:bCs/>
          <w:szCs w:val="22"/>
        </w:rPr>
        <w:t>укрепление ведомственных связей и строительной отрасли в целом;</w:t>
      </w:r>
    </w:p>
    <w:p w:rsidR="00000000" w:rsidRDefault="00000000">
      <w:pPr>
        <w:tabs>
          <w:tab w:val="clear" w:pos="567"/>
        </w:tabs>
        <w:ind w:left="1134" w:hanging="567"/>
        <w:rPr>
          <w:bCs/>
          <w:szCs w:val="22"/>
        </w:rPr>
      </w:pPr>
    </w:p>
    <w:p w:rsidR="00000000" w:rsidRDefault="00000000">
      <w:pPr>
        <w:numPr>
          <w:ilvl w:val="0"/>
          <w:numId w:val="506"/>
        </w:numPr>
        <w:tabs>
          <w:tab w:val="clear" w:pos="567"/>
          <w:tab w:val="clear" w:pos="1068"/>
        </w:tabs>
        <w:ind w:left="1134" w:hanging="567"/>
        <w:rPr>
          <w:bCs/>
          <w:szCs w:val="22"/>
        </w:rPr>
      </w:pPr>
      <w:r>
        <w:rPr>
          <w:bCs/>
          <w:szCs w:val="22"/>
        </w:rPr>
        <w:t>наращивание и укрепление государственного и частного финансирования жилищного строительства;</w:t>
      </w:r>
    </w:p>
    <w:p w:rsidR="00000000" w:rsidRDefault="00000000">
      <w:pPr>
        <w:tabs>
          <w:tab w:val="clear" w:pos="567"/>
        </w:tabs>
        <w:ind w:left="1134" w:hanging="567"/>
        <w:rPr>
          <w:bCs/>
          <w:szCs w:val="22"/>
        </w:rPr>
      </w:pPr>
    </w:p>
    <w:p w:rsidR="00000000" w:rsidRDefault="00000000">
      <w:pPr>
        <w:numPr>
          <w:ilvl w:val="0"/>
          <w:numId w:val="506"/>
        </w:numPr>
        <w:tabs>
          <w:tab w:val="clear" w:pos="567"/>
          <w:tab w:val="clear" w:pos="1068"/>
        </w:tabs>
        <w:ind w:left="1134" w:hanging="567"/>
        <w:rPr>
          <w:bCs/>
          <w:szCs w:val="22"/>
        </w:rPr>
      </w:pPr>
      <w:r>
        <w:rPr>
          <w:bCs/>
          <w:szCs w:val="22"/>
        </w:rPr>
        <w:t>социальная поддержка наиболее нуждающихся слоев населения в приобретении жилья, улучшение жилищных условий на селе и в городе и юридическое оформление права собственности на жилье;</w:t>
      </w:r>
    </w:p>
    <w:p w:rsidR="00000000" w:rsidRDefault="00000000">
      <w:pPr>
        <w:tabs>
          <w:tab w:val="clear" w:pos="567"/>
        </w:tabs>
        <w:ind w:left="1134" w:hanging="567"/>
        <w:rPr>
          <w:bCs/>
          <w:szCs w:val="22"/>
        </w:rPr>
      </w:pPr>
    </w:p>
    <w:p w:rsidR="00000000" w:rsidRDefault="00000000">
      <w:pPr>
        <w:numPr>
          <w:ilvl w:val="0"/>
          <w:numId w:val="506"/>
        </w:numPr>
        <w:tabs>
          <w:tab w:val="clear" w:pos="567"/>
          <w:tab w:val="clear" w:pos="1068"/>
        </w:tabs>
        <w:ind w:left="1134" w:hanging="567"/>
        <w:rPr>
          <w:bCs/>
          <w:szCs w:val="22"/>
        </w:rPr>
      </w:pPr>
      <w:r>
        <w:rPr>
          <w:bCs/>
          <w:szCs w:val="22"/>
        </w:rPr>
        <w:t>льготное налогообложение жилья и упрощение нормативных актов в этом вопросе;</w:t>
      </w:r>
    </w:p>
    <w:p w:rsidR="00000000" w:rsidRDefault="00000000">
      <w:pPr>
        <w:tabs>
          <w:tab w:val="clear" w:pos="567"/>
        </w:tabs>
        <w:ind w:left="1134" w:hanging="567"/>
        <w:rPr>
          <w:bCs/>
          <w:szCs w:val="22"/>
        </w:rPr>
      </w:pPr>
    </w:p>
    <w:p w:rsidR="00000000" w:rsidRDefault="00000000">
      <w:pPr>
        <w:numPr>
          <w:ilvl w:val="0"/>
          <w:numId w:val="506"/>
        </w:numPr>
        <w:tabs>
          <w:tab w:val="clear" w:pos="567"/>
          <w:tab w:val="clear" w:pos="1068"/>
        </w:tabs>
        <w:ind w:left="1134" w:hanging="567"/>
        <w:rPr>
          <w:bCs/>
          <w:szCs w:val="22"/>
        </w:rPr>
      </w:pPr>
      <w:r>
        <w:rPr>
          <w:bCs/>
          <w:szCs w:val="22"/>
        </w:rPr>
        <w:t>предоставление земельных участков под жилищное строительство и развитие инфраструктуры и коммунальных служб;</w:t>
      </w:r>
    </w:p>
    <w:p w:rsidR="00000000" w:rsidRDefault="00000000">
      <w:pPr>
        <w:tabs>
          <w:tab w:val="clear" w:pos="567"/>
        </w:tabs>
        <w:ind w:left="1134" w:hanging="567"/>
        <w:rPr>
          <w:bCs/>
          <w:szCs w:val="22"/>
        </w:rPr>
      </w:pPr>
    </w:p>
    <w:p w:rsidR="00000000" w:rsidRDefault="00000000">
      <w:pPr>
        <w:numPr>
          <w:ilvl w:val="0"/>
          <w:numId w:val="506"/>
        </w:numPr>
        <w:tabs>
          <w:tab w:val="clear" w:pos="567"/>
          <w:tab w:val="clear" w:pos="1068"/>
        </w:tabs>
        <w:ind w:left="1134" w:hanging="567"/>
        <w:rPr>
          <w:bCs/>
          <w:szCs w:val="22"/>
        </w:rPr>
      </w:pPr>
      <w:r>
        <w:rPr>
          <w:bCs/>
          <w:szCs w:val="22"/>
        </w:rPr>
        <w:t>развитие строительных технологий, снабжение материалами на конкурентной основе, стандартизация и сертификация жилья, направленные на рост жилищного строительства.</w:t>
      </w:r>
    </w:p>
    <w:p w:rsidR="00000000" w:rsidRDefault="00000000">
      <w:pPr>
        <w:tabs>
          <w:tab w:val="left" w:pos="748"/>
        </w:tabs>
      </w:pPr>
      <w:r>
        <w:t>1162.</w:t>
      </w:r>
      <w:r>
        <w:tab/>
      </w:r>
      <w:r>
        <w:tab/>
        <w:t xml:space="preserve">Будучи осведомленным </w:t>
      </w:r>
      <w:r>
        <w:rPr>
          <w:bCs/>
          <w:szCs w:val="22"/>
        </w:rPr>
        <w:t>о существующих в стране проблемах, связанных с жилищным вопросом и обусловленных главным образом демографическим всплеском, федеральное правительство поставило задачу консолидации экономических ресурсов, предназначенных для субсидирования различных федеральных программ поддержки и расширения жилищного строительства.  Для этих целей была разработана единая программа под управлением Национального попечительского фонда народных жилищ (ФОНХАПО) - территориальной структуры министерства социального развития.</w:t>
      </w:r>
    </w:p>
    <w:p w:rsidR="00000000" w:rsidRDefault="00000000">
      <w:pPr>
        <w:tabs>
          <w:tab w:val="left" w:pos="748"/>
        </w:tabs>
      </w:pPr>
    </w:p>
    <w:p w:rsidR="00000000" w:rsidRDefault="00000000">
      <w:pPr>
        <w:tabs>
          <w:tab w:val="left" w:pos="748"/>
        </w:tabs>
      </w:pPr>
      <w:r>
        <w:t>1163.</w:t>
      </w:r>
      <w:r>
        <w:tab/>
      </w:r>
      <w:r>
        <w:tab/>
      </w:r>
      <w:r>
        <w:rPr>
          <w:bCs/>
          <w:szCs w:val="22"/>
        </w:rPr>
        <w:t>Для удовлетворения потребностей в жилье и сокращения отставания в этом вопросе обществу была предложена Программа накоплений, субсидий и кредитов на строительство жилья "Твой дом".  Осуществление данной программы предполагает координацию усилий и взаимную ответственность трех уровней правительственной власти и различных секторов общества, с тем чтобы помочь слоям населения с низкими доходами в приобретении нового жилья, а также улучшении или расширении уже существующего.  Для этого предлагается сочетать накопления пользователя такой услуги с прямыми субсидиями, кредитными средствами и прочими вспомоществованиями.  Ниже приводится описание этой программы.</w:t>
      </w:r>
    </w:p>
    <w:p w:rsidR="00000000" w:rsidRDefault="00000000">
      <w:pPr>
        <w:tabs>
          <w:tab w:val="left" w:pos="748"/>
        </w:tabs>
      </w:pPr>
    </w:p>
    <w:p w:rsidR="00000000" w:rsidRDefault="00000000">
      <w:pPr>
        <w:tabs>
          <w:tab w:val="left" w:pos="748"/>
        </w:tabs>
      </w:pPr>
      <w:r>
        <w:t>1164.</w:t>
      </w:r>
      <w:r>
        <w:tab/>
      </w:r>
      <w:r>
        <w:tab/>
      </w:r>
      <w:r>
        <w:rPr>
          <w:bCs/>
          <w:szCs w:val="22"/>
        </w:rPr>
        <w:t>Начиная с 2002 года, по решению министерства социального развития, ФОНХАПО проводит в жизнь Программу накоплений, субсидий и кредитов на строительство жилья (ВИВА), которая в 2003 году была преобразована в Программу "Твой дом".</w:t>
      </w:r>
    </w:p>
    <w:p w:rsidR="00000000" w:rsidRDefault="00000000">
      <w:pPr>
        <w:tabs>
          <w:tab w:val="left" w:pos="748"/>
        </w:tabs>
      </w:pPr>
    </w:p>
    <w:p w:rsidR="00000000" w:rsidRDefault="00000000">
      <w:pPr>
        <w:tabs>
          <w:tab w:val="left" w:pos="748"/>
        </w:tabs>
        <w:rPr>
          <w:bCs/>
          <w:szCs w:val="22"/>
        </w:rPr>
      </w:pPr>
      <w:r>
        <w:t>1165.</w:t>
      </w:r>
      <w:r>
        <w:tab/>
      </w:r>
      <w:r>
        <w:tab/>
      </w:r>
      <w:r>
        <w:rPr>
          <w:bCs/>
          <w:szCs w:val="22"/>
        </w:rPr>
        <w:t>Программа ВИВА направлена на удовлетворение потребностей в жилье самых неимущих слоев населения.  Очередникам предоставляется жилье, оборудованное основными системами канализации, снабжения питьевой водой и подачи электричества.  Используется схема оплаты, в которой сочетаются накопления и прямые субсидии, причем на условиях совместной ответственности федерального правительства, правительств штатов, муниципальных властей и самих бенефициаров:</w:t>
      </w:r>
    </w:p>
    <w:p w:rsidR="00000000" w:rsidRDefault="00000000">
      <w:pPr>
        <w:rPr>
          <w:bCs/>
          <w:szCs w:val="22"/>
        </w:rPr>
      </w:pPr>
    </w:p>
    <w:p w:rsidR="00000000" w:rsidRDefault="00000000">
      <w:pPr>
        <w:numPr>
          <w:ilvl w:val="0"/>
          <w:numId w:val="507"/>
        </w:numPr>
        <w:tabs>
          <w:tab w:val="clear" w:pos="1068"/>
        </w:tabs>
        <w:ind w:left="1134" w:hanging="567"/>
        <w:rPr>
          <w:bCs/>
          <w:szCs w:val="22"/>
        </w:rPr>
      </w:pPr>
      <w:r>
        <w:rPr>
          <w:bCs/>
          <w:szCs w:val="22"/>
        </w:rPr>
        <w:t>за 2002 финансовый год были выделены 897,9 млн. песо для предоставления 121 168 субсидий в поддержку такого же числа семей.  Эти средства составляют 93,8% от общей суммы утвержденных бюджетных ассигнований (957,5 млн. песо);</w:t>
      </w:r>
    </w:p>
    <w:p w:rsidR="00000000" w:rsidRDefault="00000000">
      <w:pPr>
        <w:ind w:left="1134" w:hanging="567"/>
        <w:rPr>
          <w:bCs/>
          <w:szCs w:val="22"/>
        </w:rPr>
      </w:pPr>
    </w:p>
    <w:p w:rsidR="00000000" w:rsidRDefault="00000000">
      <w:pPr>
        <w:numPr>
          <w:ilvl w:val="0"/>
          <w:numId w:val="507"/>
        </w:numPr>
        <w:tabs>
          <w:tab w:val="clear" w:pos="1068"/>
        </w:tabs>
        <w:ind w:left="1134" w:hanging="567"/>
        <w:rPr>
          <w:bCs/>
          <w:szCs w:val="22"/>
        </w:rPr>
      </w:pPr>
      <w:r>
        <w:rPr>
          <w:bCs/>
          <w:szCs w:val="22"/>
        </w:rPr>
        <w:t>с сентября 2002 года по август 2003 года были выделены 172 693 субсидии на приобретение 39 904 жилищ и 132 789 субсидии на улучшение жилищных  условий на общую сумму 1 799,9 млн. песо.  Из них на покупку жилья пошло 1 305,3 млн. песо, а на улучшение жилищных условий - 494,6 млн. песо.</w:t>
      </w:r>
    </w:p>
    <w:p w:rsidR="00000000" w:rsidRDefault="00000000">
      <w:pPr>
        <w:rPr>
          <w:bCs/>
          <w:szCs w:val="22"/>
        </w:rPr>
      </w:pPr>
    </w:p>
    <w:p w:rsidR="00000000" w:rsidRDefault="00000000">
      <w:pPr>
        <w:tabs>
          <w:tab w:val="left" w:pos="748"/>
        </w:tabs>
        <w:rPr>
          <w:bCs/>
          <w:szCs w:val="22"/>
        </w:rPr>
      </w:pPr>
      <w:r>
        <w:t>1166.</w:t>
      </w:r>
      <w:r>
        <w:tab/>
      </w:r>
      <w:r>
        <w:tab/>
        <w:t>Кроме того</w:t>
      </w:r>
      <w:r>
        <w:rPr>
          <w:bCs/>
          <w:szCs w:val="22"/>
        </w:rPr>
        <w:t>, в целях повышения эффективности функционирования национальных механизмов финансирования, на федеральном уровне произошли изменения, направленные на расширение области оказания услуг.  Для этого были обновлены правила работы последних и пересмотрены их оперативные сферы деятельности.  Все это делалось для формирования новых базовых структур, позволяющих увеличить объемы жилищного строительства и повысить его темп:</w:t>
      </w:r>
    </w:p>
    <w:p w:rsidR="00000000" w:rsidRDefault="00000000">
      <w:pPr>
        <w:rPr>
          <w:bCs/>
          <w:szCs w:val="22"/>
        </w:rPr>
      </w:pPr>
    </w:p>
    <w:p w:rsidR="00000000" w:rsidRDefault="00000000">
      <w:pPr>
        <w:numPr>
          <w:ilvl w:val="0"/>
          <w:numId w:val="508"/>
        </w:numPr>
        <w:tabs>
          <w:tab w:val="clear" w:pos="1068"/>
        </w:tabs>
        <w:ind w:left="1134" w:hanging="567"/>
        <w:rPr>
          <w:bCs/>
          <w:szCs w:val="22"/>
        </w:rPr>
      </w:pPr>
      <w:r>
        <w:rPr>
          <w:bCs/>
          <w:szCs w:val="22"/>
        </w:rPr>
        <w:t>по состоянию на конец 2002 года по линии всех национальных, региональных и муниципальных жилищно-строительных организаций, коммерческого банка, банка развития, а также прочих структур, предоставляющих в качестве пособий ипотечные кредиты своим работникам, были выданы в общей сложности 624 928 кредитов и субсидий.  Из этого количества 63,2% кредитов пошли на приобретение жилья, а остальные 36,8% - на улучшение жилищных условий и другие цели.  Эта работа потребовала выделения из бюджета порядка 82,5 млрд. песо.</w:t>
      </w:r>
    </w:p>
    <w:p w:rsidR="00000000" w:rsidRDefault="00000000">
      <w:pPr>
        <w:rPr>
          <w:bCs/>
          <w:szCs w:val="22"/>
        </w:rPr>
      </w:pPr>
    </w:p>
    <w:p w:rsidR="00000000" w:rsidRDefault="00000000">
      <w:pPr>
        <w:tabs>
          <w:tab w:val="left" w:pos="748"/>
        </w:tabs>
      </w:pPr>
      <w:r>
        <w:t>1167.</w:t>
      </w:r>
      <w:r>
        <w:tab/>
      </w:r>
      <w:r>
        <w:tab/>
      </w:r>
      <w:r>
        <w:rPr>
          <w:bCs/>
          <w:szCs w:val="22"/>
        </w:rPr>
        <w:t>Согласно предварительным данным, на декабрь 2003 года на жилищное строительство было выделено в общей сложности 692 607 разного рода кредитов и субсидий, из которых 72,2% были потрачены на приобретение нового жилья, а 27,8% - на улучшение жилищных условий и прочие нужды.  Всего кредитов было выделено на сумму свыше 111 000 млн. песо.</w:t>
      </w:r>
    </w:p>
    <w:p w:rsidR="00000000" w:rsidRDefault="00000000">
      <w:pPr>
        <w:tabs>
          <w:tab w:val="left" w:pos="748"/>
        </w:tabs>
        <w:rPr>
          <w:i/>
          <w:iCs/>
        </w:rPr>
      </w:pPr>
    </w:p>
    <w:p w:rsidR="00000000" w:rsidRDefault="00000000">
      <w:pPr>
        <w:tabs>
          <w:tab w:val="left" w:pos="748"/>
        </w:tabs>
        <w:ind w:left="567" w:hanging="567"/>
        <w:rPr>
          <w:b/>
          <w:bCs/>
          <w:i/>
          <w:iCs/>
        </w:rPr>
      </w:pPr>
      <w:r>
        <w:rPr>
          <w:b/>
          <w:bCs/>
          <w:i/>
          <w:iCs/>
        </w:rPr>
        <w:tab/>
        <w:t>42.</w:t>
      </w:r>
      <w:r>
        <w:rPr>
          <w:b/>
          <w:bCs/>
          <w:i/>
          <w:iCs/>
        </w:rPr>
        <w:tab/>
        <w:t>Комитет настоятельно призывает государство-участника продолжать принятие более эффективных мер по обеспечению доступа к основным медицинским услугам для всех детей и бороться с проблемой недоедания, особенно среди детей, принадлежащих к группам коренного населения, проживающим в сельских и отдаленных районах.</w:t>
      </w:r>
    </w:p>
    <w:p w:rsidR="00000000" w:rsidRDefault="00000000">
      <w:pPr>
        <w:tabs>
          <w:tab w:val="left" w:pos="748"/>
        </w:tabs>
      </w:pPr>
    </w:p>
    <w:p w:rsidR="00000000" w:rsidRDefault="00000000">
      <w:pPr>
        <w:tabs>
          <w:tab w:val="left" w:pos="748"/>
        </w:tabs>
      </w:pPr>
      <w:r>
        <w:t>1168.</w:t>
      </w:r>
      <w:r>
        <w:tab/>
      </w:r>
      <w:r>
        <w:tab/>
      </w:r>
      <w:r>
        <w:rPr>
          <w:bCs/>
          <w:szCs w:val="22"/>
        </w:rPr>
        <w:t>В апреле 2003 года Национальный конгресс утвердил изменения к общему закону о здравоохранении.  В результате была создана Система социальной защиты в области здравоохранении, которая позволит устранить существующее неравноправие в этой сфере и защитить те семьи, которые выпадают из системы социального страхования.</w:t>
      </w:r>
    </w:p>
    <w:p w:rsidR="00000000" w:rsidRDefault="00000000">
      <w:pPr>
        <w:tabs>
          <w:tab w:val="left" w:pos="748"/>
        </w:tabs>
      </w:pPr>
    </w:p>
    <w:p w:rsidR="00000000" w:rsidRDefault="00000000">
      <w:pPr>
        <w:tabs>
          <w:tab w:val="left" w:pos="748"/>
        </w:tabs>
      </w:pPr>
      <w:r>
        <w:t>1169.</w:t>
      </w:r>
      <w:r>
        <w:tab/>
      </w:r>
      <w:r>
        <w:tab/>
      </w:r>
      <w:r>
        <w:rPr>
          <w:bCs/>
          <w:szCs w:val="22"/>
        </w:rPr>
        <w:t>Оперативной основой этой системы является т.н. народная страховка, которая начала действовать сперва в пяти штатах.  К 2002 году ею были охвачены 20 субъектов федерации, а в 2003 году к ней подключились еще 4 штата.  В настоящее время с 24 субъектами федерации подписаны соглашения о сотрудничестве в деле внедрения данной программы.  К концу 2003 года в этой программе уже участвовали 622 819 семей из 24 субъектов федерации.</w:t>
      </w:r>
    </w:p>
    <w:p w:rsidR="00000000" w:rsidRDefault="00000000">
      <w:pPr>
        <w:tabs>
          <w:tab w:val="left" w:pos="748"/>
        </w:tabs>
      </w:pPr>
      <w:r>
        <w:t>1170.</w:t>
      </w:r>
      <w:r>
        <w:tab/>
      </w:r>
      <w:r>
        <w:tab/>
      </w:r>
      <w:r>
        <w:rPr>
          <w:bCs/>
          <w:szCs w:val="22"/>
        </w:rPr>
        <w:t>В том же году было дано 1,4 миллиона консультаций первой помощи и оказано свыше 266 000 специальных медицинских услуг.  К сентябрю 2003 года к системе медицинского страхования населения (МСЗ) подключились 938 медицинских учреждений и 111 больниц общего профиля и госпиталей.</w:t>
      </w:r>
    </w:p>
    <w:p w:rsidR="00000000" w:rsidRDefault="00000000">
      <w:pPr>
        <w:tabs>
          <w:tab w:val="left" w:pos="748"/>
        </w:tabs>
      </w:pPr>
    </w:p>
    <w:p w:rsidR="00000000" w:rsidRDefault="00000000">
      <w:pPr>
        <w:tabs>
          <w:tab w:val="left" w:pos="748"/>
        </w:tabs>
      </w:pPr>
      <w:r>
        <w:t>1171.</w:t>
      </w:r>
      <w:r>
        <w:tab/>
      </w:r>
      <w:r>
        <w:tab/>
      </w:r>
      <w:r>
        <w:rPr>
          <w:bCs/>
          <w:szCs w:val="22"/>
        </w:rPr>
        <w:t>Система МСЗ в первую очередь рассчитана на семьи с ограниченным достатком.  Из общего числа семей, задействованных в этой системе, 98,0% находятся на первых четырех ступеньках по уровню достатка.</w:t>
      </w:r>
    </w:p>
    <w:p w:rsidR="00000000" w:rsidRDefault="00000000">
      <w:pPr>
        <w:tabs>
          <w:tab w:val="left" w:pos="748"/>
        </w:tabs>
      </w:pPr>
    </w:p>
    <w:p w:rsidR="00000000" w:rsidRDefault="00000000">
      <w:pPr>
        <w:tabs>
          <w:tab w:val="left" w:pos="748"/>
        </w:tabs>
      </w:pPr>
      <w:r>
        <w:t>1172.</w:t>
      </w:r>
      <w:r>
        <w:tab/>
      </w:r>
      <w:r>
        <w:tab/>
      </w:r>
      <w:r>
        <w:rPr>
          <w:bCs/>
          <w:szCs w:val="22"/>
        </w:rPr>
        <w:t>С помощью Программы здоровья и питания для коренных народов было налажено снабжение мультивитаминами и микроэлементами 400 641 ребенка в возрасте от 6 до 24 месяцев и 217 492 беременных и кормящих женщин из числа представительниц коренных народностей, проживающих в 594 муниципиях 21 федеративного образования.</w:t>
      </w:r>
    </w:p>
    <w:p w:rsidR="00000000" w:rsidRDefault="00000000">
      <w:pPr>
        <w:tabs>
          <w:tab w:val="left" w:pos="748"/>
        </w:tabs>
      </w:pPr>
    </w:p>
    <w:p w:rsidR="00000000" w:rsidRDefault="00000000">
      <w:pPr>
        <w:tabs>
          <w:tab w:val="left" w:pos="748"/>
        </w:tabs>
      </w:pPr>
      <w:r>
        <w:t>1173.</w:t>
      </w:r>
      <w:r>
        <w:tab/>
      </w:r>
      <w:r>
        <w:tab/>
      </w:r>
      <w:r>
        <w:rPr>
          <w:bCs/>
          <w:szCs w:val="22"/>
        </w:rPr>
        <w:t>В 2003 году было начато производство мультивитаминной добавки для детей в возрасте от 6 до 24 месяцев с улучшенными вкусовыми качествами.</w:t>
      </w:r>
    </w:p>
    <w:p w:rsidR="00000000" w:rsidRDefault="00000000">
      <w:pPr>
        <w:tabs>
          <w:tab w:val="left" w:pos="748"/>
        </w:tabs>
      </w:pPr>
    </w:p>
    <w:p w:rsidR="00000000" w:rsidRDefault="00000000">
      <w:pPr>
        <w:tabs>
          <w:tab w:val="left" w:pos="748"/>
        </w:tabs>
      </w:pPr>
      <w:r>
        <w:t>1174.</w:t>
      </w:r>
      <w:r>
        <w:tab/>
      </w:r>
      <w:r>
        <w:tab/>
      </w:r>
      <w:r>
        <w:rPr>
          <w:bCs/>
          <w:szCs w:val="22"/>
        </w:rPr>
        <w:t xml:space="preserve">Согласно результатам внешней оценки, за период с 1997 по 2002 годы, благодаря успешной реализации на селе Программы </w:t>
      </w:r>
      <w:r>
        <w:t xml:space="preserve">человеческого развития "Возможности" </w:t>
      </w:r>
      <w:r>
        <w:rPr>
          <w:bCs/>
          <w:szCs w:val="22"/>
        </w:rPr>
        <w:t>в аспекте здравоохранения, на 49% увеличилось число консультаций по питанию детей в возрасте до 5 лет.</w:t>
      </w:r>
    </w:p>
    <w:p w:rsidR="00000000" w:rsidRDefault="00000000">
      <w:pPr>
        <w:tabs>
          <w:tab w:val="left" w:pos="748"/>
        </w:tabs>
      </w:pPr>
    </w:p>
    <w:p w:rsidR="00000000" w:rsidRDefault="00000000">
      <w:pPr>
        <w:tabs>
          <w:tab w:val="left" w:pos="748"/>
        </w:tabs>
      </w:pPr>
      <w:r>
        <w:t>1175.</w:t>
      </w:r>
      <w:r>
        <w:tab/>
      </w:r>
      <w:r>
        <w:tab/>
      </w:r>
      <w:r>
        <w:rPr>
          <w:bCs/>
          <w:szCs w:val="22"/>
        </w:rPr>
        <w:t>В свою очередь по линии Национальной системы всестороннего развития семьи (ВРС) были проведены следующие мероприятия.</w:t>
      </w:r>
    </w:p>
    <w:p w:rsidR="00000000" w:rsidRDefault="00000000">
      <w:pPr>
        <w:tabs>
          <w:tab w:val="left" w:pos="748"/>
        </w:tabs>
      </w:pPr>
    </w:p>
    <w:p w:rsidR="00000000" w:rsidRDefault="00000000">
      <w:pPr>
        <w:tabs>
          <w:tab w:val="left" w:pos="748"/>
        </w:tabs>
      </w:pPr>
      <w:r>
        <w:t>1176.</w:t>
      </w:r>
      <w:r>
        <w:tab/>
      </w:r>
      <w:r>
        <w:tab/>
      </w:r>
      <w:r>
        <w:rPr>
          <w:bCs/>
          <w:szCs w:val="22"/>
        </w:rPr>
        <w:t>В 2003 году были произведены закупки 390,3 млн. доз пищевых добавок для детей в возрасте до 5 лет.  Эти пищевые добавки для каждодневного применения покрывают 100% суточной потребности детского организма в микроэлементах и обеспечивают 20% калорий, необходимых для восполнения энергетических затрат.</w:t>
      </w:r>
    </w:p>
    <w:p w:rsidR="00000000" w:rsidRDefault="00000000">
      <w:pPr>
        <w:tabs>
          <w:tab w:val="left" w:pos="748"/>
        </w:tabs>
      </w:pPr>
    </w:p>
    <w:p w:rsidR="00000000" w:rsidRDefault="00000000">
      <w:pPr>
        <w:tabs>
          <w:tab w:val="left" w:pos="748"/>
        </w:tabs>
      </w:pPr>
      <w:r>
        <w:t>1177.</w:t>
      </w:r>
      <w:r>
        <w:tab/>
      </w:r>
      <w:r>
        <w:tab/>
      </w:r>
      <w:r>
        <w:rPr>
          <w:bCs/>
          <w:szCs w:val="22"/>
        </w:rPr>
        <w:t>В ходе проверок оказанного эффекта, проведенных в 1998-1999 годах, было установлено объективное увеличение на 16% роста среди детей в возрасте от 12 до 36 месяцев и сокращение на 12% заболеваемости среди детей в возрасте до 5 лет.</w:t>
      </w:r>
    </w:p>
    <w:p w:rsidR="00000000" w:rsidRDefault="00000000">
      <w:pPr>
        <w:tabs>
          <w:tab w:val="left" w:pos="748"/>
        </w:tabs>
      </w:pPr>
    </w:p>
    <w:p w:rsidR="00000000" w:rsidRDefault="00000000">
      <w:pPr>
        <w:tabs>
          <w:tab w:val="left" w:pos="748"/>
        </w:tabs>
        <w:rPr>
          <w:bCs/>
          <w:szCs w:val="22"/>
        </w:rPr>
      </w:pPr>
      <w:r>
        <w:t>1178.</w:t>
      </w:r>
      <w:r>
        <w:tab/>
      </w:r>
      <w:r>
        <w:tab/>
      </w:r>
      <w:r>
        <w:rPr>
          <w:bCs/>
          <w:szCs w:val="22"/>
        </w:rPr>
        <w:t xml:space="preserve">С вводом в действие новой политики в области ВРС предполагается, что, прежде чем увеличивать число лиц, задействованных в программе, следует сосредоточиться на повышении и гарантировании качества предоставляемых услуг, донося эти услуги до </w:t>
      </w:r>
    </w:p>
    <w:p w:rsidR="00000000" w:rsidRDefault="00000000">
      <w:pPr>
        <w:tabs>
          <w:tab w:val="left" w:pos="748"/>
        </w:tabs>
      </w:pPr>
      <w:r>
        <w:rPr>
          <w:bCs/>
          <w:szCs w:val="22"/>
        </w:rPr>
        <w:br w:type="page"/>
        <w:t>отдельного гражданина, семьи и общины.  При этом следует особо заботиться о мальчиках и девочках с признаками недоедания и принадлежащих к группе риска по состоянию здоровья, о беспризорных детях и о жителях общин коренного населения.</w:t>
      </w:r>
    </w:p>
    <w:p w:rsidR="00000000" w:rsidRDefault="00000000">
      <w:pPr>
        <w:tabs>
          <w:tab w:val="left" w:pos="748"/>
        </w:tabs>
      </w:pPr>
    </w:p>
    <w:p w:rsidR="00000000" w:rsidRDefault="00000000">
      <w:pPr>
        <w:tabs>
          <w:tab w:val="left" w:pos="748"/>
        </w:tabs>
      </w:pPr>
      <w:r>
        <w:t>1179.</w:t>
      </w:r>
      <w:r>
        <w:tab/>
      </w:r>
      <w:r>
        <w:tab/>
        <w:t>При</w:t>
      </w:r>
      <w:r>
        <w:rPr>
          <w:bCs/>
          <w:szCs w:val="22"/>
        </w:rPr>
        <w:t xml:space="preserve"> определении лиц, подпадающих под действие льготных программ, применяются новые приемы отбора, основанные на использовании показателя социальной уязвимости - инструмента, позволяющего четко выявлять места наиболее компактного проживания уязвимых слоев населения.</w:t>
      </w:r>
    </w:p>
    <w:p w:rsidR="00000000" w:rsidRDefault="00000000">
      <w:pPr>
        <w:tabs>
          <w:tab w:val="left" w:pos="748"/>
        </w:tabs>
      </w:pPr>
    </w:p>
    <w:p w:rsidR="00000000" w:rsidRDefault="00000000">
      <w:pPr>
        <w:tabs>
          <w:tab w:val="left" w:pos="748"/>
        </w:tabs>
      </w:pPr>
      <w:r>
        <w:t>1180.</w:t>
      </w:r>
      <w:r>
        <w:tab/>
      </w:r>
      <w:r>
        <w:tab/>
      </w:r>
      <w:r>
        <w:rPr>
          <w:bCs/>
          <w:szCs w:val="22"/>
        </w:rPr>
        <w:t>Национальная система ВРС зарекомендовала себя структурой, в наибольшей мере ориентированной на комплексное развитие индивидуального человека, семьи и общины.  Для достижения этой цели было предложено унифицировать критерии деятельности и согласовать механизмы координации усилий на различных уровнях правительственной власти (национальном, на уровне штатов и муниципий).  Были созданы рабочие комиссии, одна из которых занимается вопросами пищевой политики.  Эта комиссия выдвинула Национальную стратегию в области питания, которая прошла оценку, была одобрена и принята к исполнению 32 государственными системами ВРС.  Национальная стратегия в области питания (ЕНОА) стала новаторским ответом на провозглашенную новую политику в области ВРС.  Эта стратегия предполагает проведение долгосрочных мероприятий в рамках социальной помощи в области питания;  иными словами, население, являющееся объектом этой стратегии, должно не только получать продовольственную поддержку, но и иметь возможность пользоваться ресурсами своего места проживания, повышая тем самым качество своей жизни.  Основные цели такой стратегии состоят в улучшении питания населения путем возрождения местной культуры питания, а также в приобретении навыков здорового питания.</w:t>
      </w:r>
    </w:p>
    <w:p w:rsidR="00000000" w:rsidRDefault="00000000">
      <w:pPr>
        <w:tabs>
          <w:tab w:val="left" w:pos="748"/>
        </w:tabs>
      </w:pPr>
    </w:p>
    <w:p w:rsidR="00000000" w:rsidRDefault="00000000">
      <w:pPr>
        <w:tabs>
          <w:tab w:val="left" w:pos="748"/>
        </w:tabs>
      </w:pPr>
      <w:r>
        <w:t>1181.</w:t>
      </w:r>
      <w:r>
        <w:tab/>
      </w:r>
      <w:r>
        <w:tab/>
      </w:r>
      <w:r>
        <w:rPr>
          <w:bCs/>
          <w:szCs w:val="22"/>
        </w:rPr>
        <w:t>Национальная система ВРС и Национальный центр охраны здоровья детей и подростков (СНСИА), находящийся в подчинении министерства здравоохранения, достигли "Соглашения о сотрудничестве", имеющего целью проведение совместных мероприятий, направленных на усиление Стратегической программы надзора за питанием детей, охваченных по линии этой программы.  В данном соглашении заложены основы и определены методы осуществления надзора за питанием детей и подростков.  Для этого будет использоваться Национальная карточка вакцинации, которая применяется для оценки уровня и качества питания среди населения, пользующегося услугами служб социальной поддержкой и предупреждения заболеваний;  будет также стимулироваться широкое использование Национальной карточки вакцинации в системах КРС на уровне штатов и муниципалитетов.</w:t>
      </w:r>
    </w:p>
    <w:p w:rsidR="00000000" w:rsidRDefault="00000000">
      <w:pPr>
        <w:tabs>
          <w:tab w:val="left" w:pos="748"/>
        </w:tabs>
      </w:pPr>
    </w:p>
    <w:p w:rsidR="00000000" w:rsidRDefault="00000000">
      <w:pPr>
        <w:tabs>
          <w:tab w:val="left" w:pos="748"/>
        </w:tabs>
      </w:pPr>
      <w:r>
        <w:t>1182.</w:t>
      </w:r>
      <w:r>
        <w:tab/>
      </w:r>
      <w:r>
        <w:tab/>
      </w:r>
      <w:r>
        <w:rPr>
          <w:bCs/>
          <w:szCs w:val="22"/>
        </w:rPr>
        <w:t>В настоящее время Национальной службой санитарии, безвредности и качества сельскохозяйственной продукции (СЕНАСИКА), находящейся в подчинении министерства земледелия, животноводства, сельского развития, рыболовства и питания, ведется работа над Знаком качества, который, по мысли его создателей, должен стимулировать и гарантировать обеспечение высокого качества молока на основе официальных мексиканских стандартов.  Цельное коровье молоко по этому стандарту должно содержать минимум 30 г/л собственных белков, 21 г/л казеина и иметь жирность не менее 30 г/л.</w:t>
      </w:r>
    </w:p>
    <w:p w:rsidR="00000000" w:rsidRDefault="00000000">
      <w:pPr>
        <w:tabs>
          <w:tab w:val="left" w:pos="748"/>
        </w:tabs>
      </w:pPr>
    </w:p>
    <w:p w:rsidR="00000000" w:rsidRDefault="00000000">
      <w:pPr>
        <w:tabs>
          <w:tab w:val="left" w:pos="748"/>
        </w:tabs>
      </w:pPr>
      <w:r>
        <w:t>1183.</w:t>
      </w:r>
      <w:r>
        <w:tab/>
      </w:r>
      <w:r>
        <w:tab/>
      </w:r>
      <w:r>
        <w:rPr>
          <w:bCs/>
          <w:szCs w:val="22"/>
        </w:rPr>
        <w:t>В настоящее время этот проект прорабатывается юридическими службами обоих учреждений.</w:t>
      </w:r>
    </w:p>
    <w:p w:rsidR="00000000" w:rsidRDefault="00000000">
      <w:pPr>
        <w:tabs>
          <w:tab w:val="left" w:pos="748"/>
        </w:tabs>
      </w:pPr>
    </w:p>
    <w:p w:rsidR="00000000" w:rsidRDefault="00000000">
      <w:pPr>
        <w:tabs>
          <w:tab w:val="left" w:pos="748"/>
        </w:tabs>
        <w:ind w:left="567" w:hanging="567"/>
        <w:rPr>
          <w:b/>
          <w:bCs/>
          <w:i/>
          <w:iCs/>
        </w:rPr>
      </w:pPr>
      <w:r>
        <w:rPr>
          <w:b/>
          <w:bCs/>
          <w:i/>
          <w:iCs/>
        </w:rPr>
        <w:tab/>
        <w:t>43.</w:t>
      </w:r>
      <w:r>
        <w:rPr>
          <w:b/>
          <w:bCs/>
          <w:i/>
          <w:iCs/>
        </w:rPr>
        <w:tab/>
        <w:t>Комитет призывает государство-участника пристально следить за коэффициентом смертности женщин и принять меры с целью сокращения числа случаев смерти женщин вследствие абортов.  В частности, Комитет рекомендует государству-участнику активизировать проведение информационно-просветительских кампаний по вопросам сексуального и репродуктивного здоровья женщин и включить эти вопросы в школьную программу.</w:t>
      </w:r>
    </w:p>
    <w:p w:rsidR="00000000" w:rsidRDefault="00000000">
      <w:pPr>
        <w:tabs>
          <w:tab w:val="left" w:pos="748"/>
        </w:tabs>
      </w:pPr>
    </w:p>
    <w:p w:rsidR="00000000" w:rsidRDefault="00000000">
      <w:pPr>
        <w:tabs>
          <w:tab w:val="left" w:pos="748"/>
        </w:tabs>
      </w:pPr>
      <w:r>
        <w:t>1184.</w:t>
      </w:r>
      <w:r>
        <w:tab/>
      </w:r>
      <w:r>
        <w:tab/>
      </w:r>
      <w:r>
        <w:rPr>
          <w:bCs/>
          <w:szCs w:val="22"/>
        </w:rPr>
        <w:t>Начиная с 2004 года, по решению Национального комитета "Стартуем в жизнь вместе", действует механизм активного эпидемиологического контроля за всеми случаями материнской смертности.  В этой связи на медицинские учреждения федеративных образований возлагается обязанность принимать самостоятельные меры, направленные на сокращение числе таких смертей, причем вызванных не только самопроизвольными выкидышами или абортами.</w:t>
      </w:r>
    </w:p>
    <w:p w:rsidR="00000000" w:rsidRDefault="00000000">
      <w:pPr>
        <w:tabs>
          <w:tab w:val="left" w:pos="748"/>
        </w:tabs>
      </w:pPr>
    </w:p>
    <w:p w:rsidR="00000000" w:rsidRDefault="00000000">
      <w:pPr>
        <w:tabs>
          <w:tab w:val="left" w:pos="748"/>
        </w:tabs>
      </w:pPr>
      <w:r>
        <w:t>1185.</w:t>
      </w:r>
      <w:r>
        <w:tab/>
      </w:r>
      <w:r>
        <w:tab/>
      </w:r>
      <w:r>
        <w:rPr>
          <w:bCs/>
          <w:szCs w:val="22"/>
        </w:rPr>
        <w:t>Рекомендации по активизации</w:t>
      </w:r>
      <w:r>
        <w:rPr>
          <w:szCs w:val="22"/>
        </w:rPr>
        <w:t xml:space="preserve"> </w:t>
      </w:r>
      <w:r>
        <w:t>информационно-просветительских кампаний по вопросам</w:t>
      </w:r>
      <w:r>
        <w:rPr>
          <w:bCs/>
          <w:szCs w:val="22"/>
        </w:rPr>
        <w:t xml:space="preserve"> сексуального здоровья содержатся в официальном мексиканском стандарте 005-</w:t>
      </w:r>
      <w:r>
        <w:rPr>
          <w:bCs/>
          <w:szCs w:val="22"/>
          <w:lang w:val="en-US"/>
        </w:rPr>
        <w:t>SSA</w:t>
      </w:r>
      <w:r>
        <w:rPr>
          <w:bCs/>
          <w:szCs w:val="22"/>
        </w:rPr>
        <w:t xml:space="preserve">2-1993 службы планирования семьи.  Они были опубликованы с соответствующими изменениями в </w:t>
      </w:r>
      <w:r>
        <w:t xml:space="preserve">"Федеральном официальном вестнике" от </w:t>
      </w:r>
      <w:r>
        <w:rPr>
          <w:bCs/>
          <w:szCs w:val="22"/>
        </w:rPr>
        <w:t>21 января 2004 года.</w:t>
      </w:r>
    </w:p>
    <w:p w:rsidR="00000000" w:rsidRDefault="00000000">
      <w:pPr>
        <w:tabs>
          <w:tab w:val="left" w:pos="748"/>
        </w:tabs>
      </w:pPr>
    </w:p>
    <w:p w:rsidR="00000000" w:rsidRDefault="00000000">
      <w:pPr>
        <w:tabs>
          <w:tab w:val="left" w:pos="748"/>
        </w:tabs>
      </w:pPr>
      <w:r>
        <w:t>1186.</w:t>
      </w:r>
      <w:r>
        <w:tab/>
      </w:r>
      <w:r>
        <w:tab/>
      </w:r>
      <w:r>
        <w:rPr>
          <w:bCs/>
          <w:szCs w:val="22"/>
        </w:rPr>
        <w:t>Говоря о включении темы сексуального и репродуктивного здоровья женщин в школьные учебные планы, следует отметить, что с 1998 года эта тема включена в программы 5 и 6 классов начальной школы, а с конца 80-х годов - в программы средней школы.</w:t>
      </w:r>
    </w:p>
    <w:p w:rsidR="00000000" w:rsidRDefault="00000000">
      <w:pPr>
        <w:tabs>
          <w:tab w:val="left" w:pos="748"/>
        </w:tabs>
      </w:pPr>
    </w:p>
    <w:p w:rsidR="00000000" w:rsidRDefault="00000000">
      <w:pPr>
        <w:tabs>
          <w:tab w:val="left" w:pos="748"/>
        </w:tabs>
        <w:ind w:left="567" w:hanging="567"/>
        <w:rPr>
          <w:b/>
          <w:bCs/>
          <w:i/>
          <w:iCs/>
        </w:rPr>
      </w:pPr>
      <w:r>
        <w:rPr>
          <w:b/>
          <w:bCs/>
        </w:rPr>
        <w:br w:type="page"/>
      </w:r>
      <w:r>
        <w:rPr>
          <w:b/>
          <w:bCs/>
          <w:i/>
          <w:iCs/>
        </w:rPr>
        <w:tab/>
        <w:t>44.</w:t>
      </w:r>
      <w:r>
        <w:rPr>
          <w:b/>
          <w:bCs/>
          <w:i/>
          <w:iCs/>
        </w:rPr>
        <w:tab/>
        <w:t>Комитет рекомендует, чтобы в штате Чьяпас и в других штатах рассматриваемого региона государство-участник осуществляло контроль и регулировало роль военных и полувоенных формирований с целью обеспечения осуществления программ в области развития и программ социальной помощи при активном участии заинтересованных групп населения и без вмешательства вооруженных сил.</w:t>
      </w:r>
    </w:p>
    <w:p w:rsidR="00000000" w:rsidRDefault="00000000">
      <w:pPr>
        <w:tabs>
          <w:tab w:val="left" w:pos="748"/>
        </w:tabs>
      </w:pPr>
    </w:p>
    <w:p w:rsidR="00000000" w:rsidRDefault="00000000">
      <w:pPr>
        <w:tabs>
          <w:tab w:val="left" w:pos="748"/>
        </w:tabs>
      </w:pPr>
      <w:r>
        <w:t>1187.</w:t>
      </w:r>
      <w:r>
        <w:tab/>
      </w:r>
      <w:r>
        <w:tab/>
        <w:t>Как указывается в ответе на замечание № 25 Комитета, в Мексике не существует полувоенных формирований.</w:t>
      </w:r>
    </w:p>
    <w:p w:rsidR="00000000" w:rsidRDefault="00000000">
      <w:pPr>
        <w:tabs>
          <w:tab w:val="left" w:pos="748"/>
        </w:tabs>
      </w:pPr>
    </w:p>
    <w:p w:rsidR="00000000" w:rsidRDefault="00000000">
      <w:pPr>
        <w:tabs>
          <w:tab w:val="left" w:pos="748"/>
        </w:tabs>
      </w:pPr>
      <w:r>
        <w:t>1188.</w:t>
      </w:r>
      <w:r>
        <w:tab/>
      </w:r>
      <w:r>
        <w:tab/>
      </w:r>
      <w:r>
        <w:rPr>
          <w:bCs/>
          <w:szCs w:val="22"/>
        </w:rPr>
        <w:t>В декабре 2000 года был назначен Координатор для ведения диалога и переговоров в штате Чьяпас, в задачу которого входит изыскание путей для налаживания диалога с повстанцами Сапатистской армии национального освобождения (САНО) и для наведения мостов с целью поддержания постоянных контактов с различными силами, действующими в этом штате.  Одновременно изучаются возможности удовлетворения тех социально-экономических и общинных требований, которые и явились причиной конфликта с САНО.</w:t>
      </w:r>
    </w:p>
    <w:p w:rsidR="00000000" w:rsidRDefault="00000000">
      <w:pPr>
        <w:tabs>
          <w:tab w:val="left" w:pos="748"/>
        </w:tabs>
      </w:pPr>
    </w:p>
    <w:p w:rsidR="00000000" w:rsidRDefault="00000000">
      <w:pPr>
        <w:tabs>
          <w:tab w:val="left" w:pos="748"/>
        </w:tabs>
      </w:pPr>
      <w:r>
        <w:t>1189.</w:t>
      </w:r>
      <w:r>
        <w:tab/>
      </w:r>
      <w:r>
        <w:tab/>
      </w:r>
      <w:r>
        <w:rPr>
          <w:bCs/>
          <w:szCs w:val="22"/>
        </w:rPr>
        <w:t>Работа Координатора в первую очередь была направлена на подтверждение тех сигналов, которые мексиканское правительство посылало в качестве знаков доброй воли с целью возобновления мирного процесса с САНО.  В этой связи 7 декабря 2000 года Координатор встретился с законодателями из состава Комиссии по согласию и примирению (КОКОПА) и с министром внутренних дел.  Эта встреча была призвана создать благоприятные условия для диалога и справедливого мира в Чьяпасе.</w:t>
      </w:r>
    </w:p>
    <w:p w:rsidR="00000000" w:rsidRDefault="00000000">
      <w:pPr>
        <w:tabs>
          <w:tab w:val="left" w:pos="748"/>
        </w:tabs>
      </w:pPr>
    </w:p>
    <w:p w:rsidR="00000000" w:rsidRDefault="00000000">
      <w:pPr>
        <w:tabs>
          <w:tab w:val="left" w:pos="748"/>
        </w:tabs>
      </w:pPr>
      <w:r>
        <w:t>1190.</w:t>
      </w:r>
      <w:r>
        <w:tab/>
      </w:r>
      <w:r>
        <w:tab/>
      </w:r>
      <w:r>
        <w:rPr>
          <w:bCs/>
          <w:szCs w:val="22"/>
        </w:rPr>
        <w:t>В том же месяце координатор принял участие в освобождении - по требованию САПО - заключенных из тюрьмы "Серро-Уэко" в городе Тустла-Гутьеррес.  На свободу были выпущены 17 человек, что позволило выполнить все три требования, выдвинутых сапатистами в качестве условия возобновления мирного процесса.  Вот эти требования:  а)  вывод мексиканской армии из семи районов штата Чьяпас,  b)  освобождение заключенных  и c) утверждение конституционной реформы в области прав и культуры коренных народов, которую предложила в свое время Комиссия КОКОПА.</w:t>
      </w:r>
    </w:p>
    <w:p w:rsidR="00000000" w:rsidRDefault="00000000">
      <w:pPr>
        <w:tabs>
          <w:tab w:val="left" w:pos="748"/>
        </w:tabs>
      </w:pPr>
    </w:p>
    <w:p w:rsidR="00000000" w:rsidRDefault="00000000">
      <w:pPr>
        <w:tabs>
          <w:tab w:val="left" w:pos="748"/>
        </w:tabs>
        <w:rPr>
          <w:bCs/>
          <w:szCs w:val="22"/>
        </w:rPr>
      </w:pPr>
      <w:r>
        <w:t>1191.</w:t>
      </w:r>
      <w:r>
        <w:tab/>
      </w:r>
      <w:r>
        <w:tab/>
      </w:r>
      <w:r>
        <w:rPr>
          <w:bCs/>
          <w:szCs w:val="22"/>
        </w:rPr>
        <w:t xml:space="preserve">В начале 2001 года Координатор по вопросу диалога с повстанцами принял участие в различных встречах между министром внутренних дел, членами Комиссии КОКОПА и представителем САПО по вопросам вывода правительственных войск из семи районов вблизи зон расположения сапатистов:  Амадор-Эрнандес, Хольначох, Куксулха, </w:t>
      </w:r>
    </w:p>
    <w:p w:rsidR="00000000" w:rsidRDefault="00000000">
      <w:pPr>
        <w:tabs>
          <w:tab w:val="left" w:pos="748"/>
        </w:tabs>
      </w:pPr>
      <w:r>
        <w:rPr>
          <w:bCs/>
          <w:szCs w:val="22"/>
        </w:rPr>
        <w:br w:type="page"/>
        <w:t>Роберто-Барриос, Ла-Гарруча, Рио-Эусеба и Гуадалупе-Тепеяк.  После вывода 20 апреля 2001 года войск из двух последних анклавов соответствующее требование сапатистов было выполнено.</w:t>
      </w:r>
    </w:p>
    <w:p w:rsidR="00000000" w:rsidRDefault="00000000">
      <w:pPr>
        <w:tabs>
          <w:tab w:val="left" w:pos="748"/>
        </w:tabs>
      </w:pPr>
    </w:p>
    <w:p w:rsidR="00000000" w:rsidRDefault="00000000">
      <w:pPr>
        <w:tabs>
          <w:tab w:val="left" w:pos="748"/>
        </w:tabs>
      </w:pPr>
      <w:r>
        <w:t>1192.</w:t>
      </w:r>
      <w:r>
        <w:tab/>
      </w:r>
      <w:r>
        <w:tab/>
      </w:r>
      <w:r>
        <w:rPr>
          <w:bCs/>
          <w:szCs w:val="22"/>
        </w:rPr>
        <w:t>Кроме того, Комиссия КОКОПА гарантировала условия личной безопасности и уважения контингенту сапатистов, который в конце февраля 2001 года предпринял переход из штата Чьяпас в Федеральный округ, что не только стало небывалым событием в политической жизни Мексики, но и позволило руководству сапатистов высказать свою позицию с самой высокой трибуны нации - в Национальном конгрессе - и изложить свои доводы в пользу принятия предложений КОКОПА по вопросам прав и культуры коренных народов.</w:t>
      </w:r>
    </w:p>
    <w:p w:rsidR="00000000" w:rsidRDefault="00000000">
      <w:pPr>
        <w:tabs>
          <w:tab w:val="left" w:pos="748"/>
        </w:tabs>
      </w:pPr>
    </w:p>
    <w:p w:rsidR="00000000" w:rsidRDefault="00000000">
      <w:pPr>
        <w:tabs>
          <w:tab w:val="left" w:pos="748"/>
        </w:tabs>
      </w:pPr>
      <w:r>
        <w:t>1193.</w:t>
      </w:r>
      <w:r>
        <w:tab/>
      </w:r>
      <w:r>
        <w:tab/>
      </w:r>
      <w:r>
        <w:rPr>
          <w:bCs/>
          <w:szCs w:val="22"/>
        </w:rPr>
        <w:t>В течение 2002 года Координатор диалога усилил свою переговорную работу с главными действующими лицами и экспертами по проблеме штата Чьяпас.  Кроме того, им были проведены встречи с губернатором штата Чьяпас, представителями Международного комитета Красного Креста, законодателями штата Чьяпас и епископами города Сан-Кристобаль-де-лас-Касас;  во втором полугодии начались консультации с главами муниципалитетов, расположенных в зоне тропических лесов, в северных и высокогорных районах, для выяснения их мнений по поводу положения дел в зоне конфликта.</w:t>
      </w:r>
    </w:p>
    <w:p w:rsidR="00000000" w:rsidRDefault="00000000">
      <w:pPr>
        <w:tabs>
          <w:tab w:val="left" w:pos="748"/>
        </w:tabs>
      </w:pPr>
    </w:p>
    <w:p w:rsidR="00000000" w:rsidRDefault="00000000">
      <w:pPr>
        <w:tabs>
          <w:tab w:val="left" w:pos="748"/>
        </w:tabs>
      </w:pPr>
      <w:r>
        <w:t>1194.</w:t>
      </w:r>
      <w:r>
        <w:tab/>
      </w:r>
      <w:r>
        <w:tab/>
      </w:r>
      <w:r>
        <w:rPr>
          <w:bCs/>
          <w:szCs w:val="22"/>
        </w:rPr>
        <w:t>С учреждением в середине 2002 года своего бюро связи в городе Сан-Кристобаль-де-лас-Касас, Комиссия КОКОПА начала планомерный объезд конфликтных районов с тремя основными целями:  1)  наладить диалог с общинами коренных народов, 2)  попытаться выяснить настроения пострадавших от конфликта жителей, их отношение к муниципальным властям, познакомиться с существующими производствами и группами населения, не поддерживающими сапатистов,  и 3)  найти пути преодоления социальной и экономической оторванности, в которой живут общины коренных народов этого региона, и устранить причины, породившие конфликт.</w:t>
      </w:r>
    </w:p>
    <w:p w:rsidR="00000000" w:rsidRDefault="00000000">
      <w:pPr>
        <w:tabs>
          <w:tab w:val="left" w:pos="748"/>
        </w:tabs>
      </w:pPr>
    </w:p>
    <w:p w:rsidR="00000000" w:rsidRDefault="00000000">
      <w:pPr>
        <w:tabs>
          <w:tab w:val="left" w:pos="748"/>
        </w:tabs>
      </w:pPr>
      <w:r>
        <w:t>1195.</w:t>
      </w:r>
      <w:r>
        <w:tab/>
      </w:r>
      <w:r>
        <w:tab/>
      </w:r>
      <w:r>
        <w:rPr>
          <w:bCs/>
          <w:szCs w:val="22"/>
        </w:rPr>
        <w:t>На встречах с главами муниципалитетов и представителями коренных общин жители высказывали свои требования социально-экономического характера.  Суть этих требований сводится к тому, что в условиях постоянного конфликта не только невозможно развивать какое-либо производство и решать проблемы социального развития, но и - в силу нарастающей нестабильности, захватов земель, конфликтов между общинами и внутри самих общин - стала невозможной сама традиционная жизнь коренных народов.</w:t>
      </w:r>
    </w:p>
    <w:p w:rsidR="00000000" w:rsidRDefault="00000000">
      <w:pPr>
        <w:tabs>
          <w:tab w:val="left" w:pos="748"/>
        </w:tabs>
      </w:pPr>
    </w:p>
    <w:p w:rsidR="00000000" w:rsidRDefault="00000000">
      <w:pPr>
        <w:tabs>
          <w:tab w:val="left" w:pos="748"/>
        </w:tabs>
        <w:rPr>
          <w:bCs/>
          <w:szCs w:val="22"/>
        </w:rPr>
      </w:pPr>
      <w:r>
        <w:t>1196.</w:t>
      </w:r>
      <w:r>
        <w:tab/>
      </w:r>
      <w:r>
        <w:tab/>
      </w:r>
      <w:r>
        <w:rPr>
          <w:bCs/>
          <w:szCs w:val="22"/>
        </w:rPr>
        <w:t>В ходе частых поездок по общинам Координатор диалога неоднократно и настойчиво разъяснял твердую решимость нынешнего федерального правительства принести людям мир, его готовность к открытому разговору с главными действующими лицами конфликта, а также полную прозрачность его действий и намерений.  Но, в первую очередь, он подчеркивал, что главными участниками диалога должны стать представители общин, которые испытывают наибольшие тяготы от неспособности наладить процесс мирных переговоров.</w:t>
      </w:r>
    </w:p>
    <w:p w:rsidR="00000000" w:rsidRDefault="00000000">
      <w:pPr>
        <w:tabs>
          <w:tab w:val="left" w:pos="748"/>
        </w:tabs>
        <w:rPr>
          <w:bCs/>
          <w:szCs w:val="22"/>
        </w:rPr>
      </w:pPr>
    </w:p>
    <w:p w:rsidR="00000000" w:rsidRDefault="00000000">
      <w:pPr>
        <w:tabs>
          <w:tab w:val="left" w:pos="748"/>
        </w:tabs>
      </w:pPr>
      <w:r>
        <w:t>1197.</w:t>
      </w:r>
      <w:r>
        <w:tab/>
      </w:r>
      <w:r>
        <w:tab/>
      </w:r>
      <w:r>
        <w:rPr>
          <w:bCs/>
          <w:szCs w:val="22"/>
        </w:rPr>
        <w:t>Эта работа на местах позволила узнать, что называется, из первых рук, в каком социально-экономическом запустении проживают коренные общины, собрать требования местных жителей и передать их в соответствующие правительственные инстанции.  В ходе своих поездок Координатор ежедневно сталкивается с крайней нищетой и заброшенностью.  Поэтому было принято решение продолжить такие рабочие поездки по штату и привлекать внимание общественности к социально-экономическим проблемам населения, стимулируя тем самым федеральное правительство к выполнению своих обязательств по отношению ко всем мексиканцам.</w:t>
      </w:r>
    </w:p>
    <w:p w:rsidR="00000000" w:rsidRDefault="00000000">
      <w:pPr>
        <w:tabs>
          <w:tab w:val="left" w:pos="748"/>
        </w:tabs>
      </w:pPr>
    </w:p>
    <w:p w:rsidR="00000000" w:rsidRDefault="00000000">
      <w:pPr>
        <w:tabs>
          <w:tab w:val="left" w:pos="748"/>
        </w:tabs>
      </w:pPr>
      <w:r>
        <w:t>1198.</w:t>
      </w:r>
      <w:r>
        <w:tab/>
      </w:r>
      <w:r>
        <w:tab/>
      </w:r>
      <w:r>
        <w:rPr>
          <w:bCs/>
          <w:szCs w:val="22"/>
        </w:rPr>
        <w:t>За период с 2002 по 2003 годы Координационная комиссия по вопросам диалога объехала многие муниципии и собрала 409 требований от общин.  Наибольшее число соответствующих требований - 136 - было получено в муниципии Окосинго.</w:t>
      </w:r>
    </w:p>
    <w:p w:rsidR="00000000" w:rsidRDefault="00000000">
      <w:pPr>
        <w:tabs>
          <w:tab w:val="left" w:pos="748"/>
        </w:tabs>
      </w:pPr>
    </w:p>
    <w:p w:rsidR="00000000" w:rsidRDefault="00000000">
      <w:pPr>
        <w:tabs>
          <w:tab w:val="left" w:pos="748"/>
        </w:tabs>
      </w:pPr>
      <w:r>
        <w:t>1199.</w:t>
      </w:r>
      <w:r>
        <w:tab/>
      </w:r>
      <w:r>
        <w:tab/>
      </w:r>
      <w:r>
        <w:rPr>
          <w:bCs/>
          <w:szCs w:val="22"/>
        </w:rPr>
        <w:t>Анализ выдвинутых требований показывает, что большинство общин, особенно в Сельва-Лакандона и в районе Каньядас, требуют построить дороги, шоссе и мосты, чтобы иметь возможность торговать сельскохозяйственными товарами на рынках и ездить в муниципальные центры.</w:t>
      </w:r>
    </w:p>
    <w:p w:rsidR="00000000" w:rsidRDefault="00000000">
      <w:pPr>
        <w:tabs>
          <w:tab w:val="left" w:pos="748"/>
        </w:tabs>
      </w:pPr>
    </w:p>
    <w:p w:rsidR="00000000" w:rsidRDefault="00000000">
      <w:pPr>
        <w:tabs>
          <w:tab w:val="left" w:pos="748"/>
        </w:tabs>
        <w:ind w:left="567" w:hanging="567"/>
        <w:rPr>
          <w:b/>
          <w:bCs/>
          <w:i/>
          <w:iCs/>
        </w:rPr>
      </w:pPr>
      <w:r>
        <w:rPr>
          <w:b/>
          <w:bCs/>
          <w:i/>
          <w:iCs/>
        </w:rPr>
        <w:tab/>
        <w:t>46.</w:t>
      </w:r>
      <w:r>
        <w:rPr>
          <w:b/>
          <w:bCs/>
          <w:i/>
          <w:iCs/>
        </w:rPr>
        <w:tab/>
        <w:t>Комитет рекомендует государству-участнику принять необходимые меры с целью обеспечения широкого информирования о положениях Пакта всех групп общества, и в особенности судей и представителей административных властей, путем включения вопросов прав человека во все учебные программы.</w:t>
      </w:r>
    </w:p>
    <w:p w:rsidR="00000000" w:rsidRDefault="00000000">
      <w:pPr>
        <w:tabs>
          <w:tab w:val="left" w:pos="748"/>
        </w:tabs>
      </w:pPr>
    </w:p>
    <w:p w:rsidR="00000000" w:rsidRDefault="00000000">
      <w:pPr>
        <w:tabs>
          <w:tab w:val="left" w:pos="748"/>
        </w:tabs>
      </w:pPr>
      <w:r>
        <w:t>1200.</w:t>
      </w:r>
      <w:r>
        <w:tab/>
      </w:r>
      <w:r>
        <w:tab/>
      </w:r>
      <w:r>
        <w:rPr>
          <w:bCs/>
          <w:szCs w:val="22"/>
        </w:rPr>
        <w:t>По линии министерства просвещения реализуется образовательная программа по правам человека.  К числу основных направлений деятельности относятся распространение знаний, привитие навыков и образа мыслей, способствующих осуществлению прав человека.  Для этого преподавателям и учащимся системы базового образования предложены программы и учебные материалы, направленные на обеспечение в стенах школы условий, которые способствуют воспитанию культуры защиты и уважения таких прав.</w:t>
      </w:r>
    </w:p>
    <w:p w:rsidR="00000000" w:rsidRDefault="00000000">
      <w:pPr>
        <w:tabs>
          <w:tab w:val="left" w:pos="748"/>
        </w:tabs>
      </w:pPr>
    </w:p>
    <w:p w:rsidR="00000000" w:rsidRDefault="00000000">
      <w:pPr>
        <w:tabs>
          <w:tab w:val="left" w:pos="748"/>
        </w:tabs>
      </w:pPr>
      <w:r>
        <w:t>1201.</w:t>
      </w:r>
      <w:r>
        <w:tab/>
      </w:r>
      <w:r>
        <w:tab/>
      </w:r>
      <w:r>
        <w:rPr>
          <w:bCs/>
          <w:szCs w:val="22"/>
        </w:rPr>
        <w:t>Начиная с реформы 1993 года, просвещение в области прав человека в системе базового образования велось согласно учебному плану и по трем направлениям.  В первом случае речь идет об учебных предметах, в которых тема прав человека является четко выраженной;  во втором - об остальных предметах учебного плана, заставляющих задуматься над аспектами прав человека.  Третье направление касается исходной подготовки учителей и преподавателей и имеет отношение к каждодневной школьной практике взаимоотношений в школе и в классе с точки зрения прав человека.</w:t>
      </w:r>
    </w:p>
    <w:p w:rsidR="00000000" w:rsidRDefault="00000000">
      <w:pPr>
        <w:tabs>
          <w:tab w:val="left" w:pos="748"/>
        </w:tabs>
      </w:pPr>
    </w:p>
    <w:p w:rsidR="00000000" w:rsidRDefault="00000000">
      <w:pPr>
        <w:tabs>
          <w:tab w:val="left" w:pos="748"/>
        </w:tabs>
      </w:pPr>
      <w:r>
        <w:t>1202.</w:t>
      </w:r>
      <w:r>
        <w:tab/>
      </w:r>
      <w:r>
        <w:tab/>
      </w:r>
      <w:r>
        <w:rPr>
          <w:bCs/>
          <w:szCs w:val="22"/>
        </w:rPr>
        <w:t xml:space="preserve">В 1997 году министерство просвещения затеяло обновление планов подготовки учителей начальной и средней школы.  В этих планах тема прав человека составляет основу содержания учебных предметов, как, например:  </w:t>
      </w:r>
      <w:r>
        <w:rPr>
          <w:bCs/>
          <w:i/>
          <w:szCs w:val="22"/>
        </w:rPr>
        <w:t xml:space="preserve">Этическое и гражданское воспитание в начальной школе </w:t>
      </w:r>
      <w:r>
        <w:rPr>
          <w:bCs/>
          <w:i/>
          <w:szCs w:val="22"/>
          <w:lang w:val="en-US"/>
        </w:rPr>
        <w:t>I</w:t>
      </w:r>
      <w:r>
        <w:rPr>
          <w:bCs/>
          <w:i/>
          <w:szCs w:val="22"/>
        </w:rPr>
        <w:t xml:space="preserve"> и </w:t>
      </w:r>
      <w:r>
        <w:rPr>
          <w:bCs/>
          <w:i/>
          <w:szCs w:val="22"/>
          <w:lang w:val="en-US"/>
        </w:rPr>
        <w:t>II</w:t>
      </w:r>
      <w:r>
        <w:rPr>
          <w:bCs/>
          <w:i/>
          <w:szCs w:val="22"/>
        </w:rPr>
        <w:t xml:space="preserve"> уровней;  Принципы законности и индивидуальные гарантии, права человека и социальные права.</w:t>
      </w:r>
    </w:p>
    <w:p w:rsidR="00000000" w:rsidRDefault="00000000">
      <w:pPr>
        <w:tabs>
          <w:tab w:val="left" w:pos="748"/>
        </w:tabs>
      </w:pPr>
    </w:p>
    <w:p w:rsidR="00000000" w:rsidRDefault="00000000">
      <w:pPr>
        <w:tabs>
          <w:tab w:val="left" w:pos="748"/>
        </w:tabs>
      </w:pPr>
      <w:r>
        <w:t>1203.</w:t>
      </w:r>
      <w:r>
        <w:tab/>
      </w:r>
      <w:r>
        <w:tab/>
      </w:r>
      <w:r>
        <w:rPr>
          <w:bCs/>
          <w:szCs w:val="22"/>
        </w:rPr>
        <w:t xml:space="preserve">В </w:t>
      </w:r>
      <w:r>
        <w:rPr>
          <w:b/>
          <w:szCs w:val="22"/>
        </w:rPr>
        <w:t xml:space="preserve">приложении </w:t>
      </w:r>
      <w:r>
        <w:rPr>
          <w:b/>
          <w:szCs w:val="22"/>
          <w:lang w:val="en-US"/>
        </w:rPr>
        <w:t>VII</w:t>
      </w:r>
      <w:r>
        <w:rPr>
          <w:bCs/>
          <w:szCs w:val="22"/>
        </w:rPr>
        <w:t xml:space="preserve"> приводится список опубликованных/подготовленных по линии МП печатных и аудиовизуальных материалов по теме прав человека.  В каждом случае уточняется способ распространения этих материалов.</w:t>
      </w:r>
    </w:p>
    <w:p w:rsidR="00000000" w:rsidRDefault="00000000">
      <w:pPr>
        <w:tabs>
          <w:tab w:val="left" w:pos="748"/>
        </w:tabs>
      </w:pPr>
    </w:p>
    <w:p w:rsidR="00000000" w:rsidRDefault="00000000">
      <w:pPr>
        <w:tabs>
          <w:tab w:val="left" w:pos="748"/>
        </w:tabs>
        <w:rPr>
          <w:bCs/>
          <w:szCs w:val="22"/>
        </w:rPr>
      </w:pPr>
      <w:r>
        <w:t>1204.</w:t>
      </w:r>
      <w:r>
        <w:tab/>
      </w:r>
      <w:r>
        <w:tab/>
        <w:t>В соответствии с</w:t>
      </w:r>
      <w:r>
        <w:rPr>
          <w:bCs/>
          <w:szCs w:val="22"/>
        </w:rPr>
        <w:t xml:space="preserve"> </w:t>
      </w:r>
      <w:r>
        <w:rPr>
          <w:bCs/>
          <w:i/>
          <w:iCs/>
          <w:szCs w:val="22"/>
        </w:rPr>
        <w:t xml:space="preserve">Национальным планом образования на 2001-2006 годы </w:t>
      </w:r>
      <w:r>
        <w:rPr>
          <w:bCs/>
          <w:szCs w:val="22"/>
        </w:rPr>
        <w:t xml:space="preserve">министерство просвещения приступило к реализации двух программ, направленных на воспитание культуры в области прав человека.  Речь идет о следующих программах:  </w:t>
      </w:r>
      <w:r>
        <w:rPr>
          <w:bCs/>
          <w:i/>
          <w:iCs/>
          <w:szCs w:val="22"/>
        </w:rPr>
        <w:t>Комплексная</w:t>
      </w:r>
      <w:r>
        <w:rPr>
          <w:bCs/>
          <w:szCs w:val="22"/>
        </w:rPr>
        <w:t xml:space="preserve"> </w:t>
      </w:r>
      <w:r>
        <w:rPr>
          <w:bCs/>
          <w:i/>
          <w:szCs w:val="22"/>
        </w:rPr>
        <w:t>реформа системы среднего образования</w:t>
      </w:r>
      <w:r>
        <w:rPr>
          <w:bCs/>
          <w:szCs w:val="22"/>
        </w:rPr>
        <w:t xml:space="preserve"> и </w:t>
      </w:r>
      <w:r>
        <w:rPr>
          <w:bCs/>
          <w:i/>
          <w:szCs w:val="22"/>
        </w:rPr>
        <w:t>Программа воспитания гражданина и культуры законности</w:t>
      </w:r>
      <w:r>
        <w:rPr>
          <w:bCs/>
          <w:szCs w:val="22"/>
        </w:rPr>
        <w:t>.  Ниже приводится описание основных особенностей этих программ, прослеживается их связь с воспитанием школьников системы базового образования в духе прав человека и показываются достигнутые в этом деле успехи.</w:t>
      </w:r>
    </w:p>
    <w:p w:rsidR="00000000" w:rsidRDefault="00000000">
      <w:pPr>
        <w:tabs>
          <w:tab w:val="left" w:pos="748"/>
        </w:tabs>
        <w:rPr>
          <w:bCs/>
          <w:szCs w:val="22"/>
        </w:rPr>
      </w:pPr>
    </w:p>
    <w:p w:rsidR="00000000" w:rsidRDefault="00000000">
      <w:pPr>
        <w:tabs>
          <w:tab w:val="left" w:pos="748"/>
        </w:tabs>
      </w:pPr>
      <w:r>
        <w:rPr>
          <w:b/>
          <w:bCs/>
          <w:szCs w:val="22"/>
        </w:rPr>
        <w:tab/>
        <w:t>Комплексная реформа системы среднего образования</w:t>
      </w:r>
    </w:p>
    <w:p w:rsidR="00000000" w:rsidRDefault="00000000">
      <w:pPr>
        <w:tabs>
          <w:tab w:val="left" w:pos="748"/>
        </w:tabs>
      </w:pPr>
    </w:p>
    <w:p w:rsidR="00000000" w:rsidRDefault="00000000">
      <w:pPr>
        <w:tabs>
          <w:tab w:val="left" w:pos="748"/>
        </w:tabs>
      </w:pPr>
      <w:r>
        <w:t>1205.</w:t>
      </w:r>
      <w:r>
        <w:tab/>
      </w:r>
      <w:r>
        <w:tab/>
      </w:r>
      <w:r>
        <w:rPr>
          <w:bCs/>
          <w:szCs w:val="22"/>
        </w:rPr>
        <w:t>С целью обеспечения взаимосвязи между различными уровнями базового образования реформа средней школы предполагает соответствующее изменение учебных планов и организационных программ, а также подготовку нового поколения учителей.  В части пересмотра учебных программ предусмотрено скорректировать преподаваемые предметы с акцентом на воспитании в подростках этических качеств и духа гражданственности с учетом их возрастных настроений и признаваемых за ними прав;  надлежит также прививать им необходимые навыки, способствующие здоровому развитию личности ребенка и его социальной ориентированности на основе чувства личного достоинства и приверженности демократическим ценностям, знания элементарных основ права и государственного устройства нашей страны, что необходимо для развития в ребенке уважения к правам человека.</w:t>
      </w:r>
    </w:p>
    <w:p w:rsidR="00000000" w:rsidRDefault="00000000">
      <w:pPr>
        <w:tabs>
          <w:tab w:val="left" w:pos="748"/>
        </w:tabs>
      </w:pPr>
      <w:r>
        <w:t>1206.</w:t>
      </w:r>
      <w:r>
        <w:tab/>
      </w:r>
      <w:r>
        <w:tab/>
      </w:r>
      <w:r>
        <w:rPr>
          <w:bCs/>
          <w:szCs w:val="22"/>
        </w:rPr>
        <w:t>Кроме того, комплекс предметов, входящих в учебный план, должен изначально способствовать пониманию и признанию сути прав человека в различных областях человеческой деятельности:  во взаимоотношениях между средой обитания и социумом, в контексте устойчивого развития, в вопросах равноправия между полами, в вопросе уважения к разнообразию, в вопросах предупреждения коррупции и преступности и т.д.</w:t>
      </w:r>
    </w:p>
    <w:p w:rsidR="00000000" w:rsidRDefault="00000000">
      <w:pPr>
        <w:tabs>
          <w:tab w:val="left" w:pos="748"/>
        </w:tabs>
      </w:pPr>
    </w:p>
    <w:p w:rsidR="00000000" w:rsidRDefault="00000000">
      <w:pPr>
        <w:tabs>
          <w:tab w:val="left" w:pos="748"/>
        </w:tabs>
        <w:rPr>
          <w:bCs/>
          <w:szCs w:val="22"/>
        </w:rPr>
      </w:pPr>
      <w:r>
        <w:t>1207.</w:t>
      </w:r>
      <w:r>
        <w:tab/>
      </w:r>
      <w:r>
        <w:tab/>
      </w:r>
      <w:r>
        <w:rPr>
          <w:bCs/>
          <w:szCs w:val="22"/>
        </w:rPr>
        <w:t>В организационном плане в настоящее время рассматриваются условия функционирования средней школы, которые нуждаются в обновлении, с тем чтобы способствовать воспитанию культуры, демократических традиций и уважения к правам человека в повседневной школьной жизни.  При этом предполагается установление хороших и доверительных отношений между учениками, учителями, представителями школьной администрации и родителями, которые способны положительно повлиять на усвоение учебных материалов по гражданскому и этическому воспитанию и остальным предметам учебного плана, связанным с вопросами прав человека.  Кроме того, предусматривается, что за счет этого учащиеся и персонал средней школы глубже осознают свою сопричастность коллективу учебного заведения, которое гарантирует школьникам осуществление ими в полной мере права на образование.</w:t>
      </w:r>
    </w:p>
    <w:p w:rsidR="00000000" w:rsidRDefault="00000000">
      <w:pPr>
        <w:tabs>
          <w:tab w:val="left" w:pos="748"/>
        </w:tabs>
        <w:rPr>
          <w:bCs/>
          <w:szCs w:val="22"/>
        </w:rPr>
      </w:pPr>
    </w:p>
    <w:p w:rsidR="00000000" w:rsidRDefault="00000000">
      <w:pPr>
        <w:tabs>
          <w:tab w:val="left" w:pos="748"/>
        </w:tabs>
        <w:rPr>
          <w:bCs/>
          <w:szCs w:val="22"/>
        </w:rPr>
      </w:pPr>
      <w:r>
        <w:t>1208.</w:t>
      </w:r>
      <w:r>
        <w:tab/>
      </w:r>
      <w:r>
        <w:tab/>
      </w:r>
      <w:r>
        <w:rPr>
          <w:bCs/>
          <w:szCs w:val="22"/>
        </w:rPr>
        <w:t>В настоящее время ведется работа по составлению соответствующей учебной программы для ее обнародования в 2004 году.</w:t>
      </w:r>
    </w:p>
    <w:p w:rsidR="00000000" w:rsidRDefault="00000000">
      <w:pPr>
        <w:rPr>
          <w:bCs/>
          <w:szCs w:val="22"/>
        </w:rPr>
      </w:pPr>
    </w:p>
    <w:p w:rsidR="00000000" w:rsidRDefault="00000000">
      <w:pPr>
        <w:rPr>
          <w:b/>
          <w:bCs/>
          <w:szCs w:val="22"/>
        </w:rPr>
      </w:pPr>
      <w:r>
        <w:rPr>
          <w:b/>
          <w:bCs/>
          <w:szCs w:val="22"/>
        </w:rPr>
        <w:tab/>
        <w:t>Программа воспитания гражданина и культуры законности</w:t>
      </w:r>
    </w:p>
    <w:p w:rsidR="00000000" w:rsidRDefault="00000000">
      <w:pPr>
        <w:rPr>
          <w:b/>
          <w:bCs/>
          <w:szCs w:val="22"/>
        </w:rPr>
      </w:pPr>
    </w:p>
    <w:p w:rsidR="00000000" w:rsidRDefault="00000000">
      <w:pPr>
        <w:tabs>
          <w:tab w:val="left" w:pos="748"/>
        </w:tabs>
      </w:pPr>
      <w:r>
        <w:t>1209.</w:t>
      </w:r>
      <w:r>
        <w:tab/>
      </w:r>
      <w:r>
        <w:tab/>
      </w:r>
      <w:r>
        <w:rPr>
          <w:bCs/>
          <w:szCs w:val="22"/>
        </w:rPr>
        <w:t>В качестве составной части этой Программы применительно к начальной школе предлагается введение норм поведения в классе и в школе, способствующих воспитанию учащихся в духе прав человека и основных ценностей, терпимости, равенства и справедливости во взаимоотношениях в школьной среде.  При этом действующие программы по гражданскому воспитанию будут заменены программами для школьников 1 - 6 классов, ориентированными на гражданско-этическое формирование личности ребенка.</w:t>
      </w:r>
    </w:p>
    <w:p w:rsidR="00000000" w:rsidRDefault="00000000">
      <w:pPr>
        <w:tabs>
          <w:tab w:val="left" w:pos="748"/>
        </w:tabs>
      </w:pPr>
    </w:p>
    <w:p w:rsidR="00000000" w:rsidRDefault="00000000">
      <w:pPr>
        <w:tabs>
          <w:tab w:val="left" w:pos="748"/>
        </w:tabs>
      </w:pPr>
      <w:r>
        <w:t>1210.</w:t>
      </w:r>
      <w:r>
        <w:tab/>
      </w:r>
      <w:r>
        <w:tab/>
      </w:r>
      <w:r>
        <w:rPr>
          <w:bCs/>
          <w:szCs w:val="22"/>
        </w:rPr>
        <w:t>В обоих планах (организационном и учебном) предусмотрена возможность усиления демократического начала посредством различных наработок и мероприятий, которые позволяют учащемуся почувствовать себя личностью, понять, что существуют общие нормы и правила, гарантирующие права всем ученикам и всему персоналу школы, что есть такие формы общения и разрешения конфликтов различного свойства, как диалог и переговоры.</w:t>
      </w:r>
    </w:p>
    <w:p w:rsidR="00000000" w:rsidRDefault="00000000">
      <w:pPr>
        <w:tabs>
          <w:tab w:val="left" w:pos="748"/>
        </w:tabs>
      </w:pPr>
    </w:p>
    <w:p w:rsidR="00000000" w:rsidRDefault="00000000">
      <w:pPr>
        <w:tabs>
          <w:tab w:val="left" w:pos="748"/>
        </w:tabs>
      </w:pPr>
      <w:r>
        <w:t>1211.</w:t>
      </w:r>
      <w:r>
        <w:tab/>
      </w:r>
      <w:r>
        <w:tab/>
      </w:r>
      <w:r>
        <w:rPr>
          <w:bCs/>
          <w:szCs w:val="22"/>
        </w:rPr>
        <w:t xml:space="preserve">Формирование гражданской и этической позиции ребенка предполагается вести по трем основным направлениям:  </w:t>
      </w:r>
      <w:r>
        <w:rPr>
          <w:bCs/>
          <w:i/>
          <w:szCs w:val="22"/>
        </w:rPr>
        <w:t>этическое воспитание</w:t>
      </w:r>
      <w:r>
        <w:rPr>
          <w:bCs/>
          <w:szCs w:val="22"/>
        </w:rPr>
        <w:t xml:space="preserve">, когда школьнику пытаются привить понятия личного этического кодекса, основанного на универсальных принципах;  </w:t>
      </w:r>
      <w:r>
        <w:rPr>
          <w:bCs/>
          <w:i/>
          <w:szCs w:val="22"/>
        </w:rPr>
        <w:t>подготовка к современной жизни</w:t>
      </w:r>
      <w:r>
        <w:rPr>
          <w:bCs/>
          <w:szCs w:val="22"/>
        </w:rPr>
        <w:t xml:space="preserve">, когда школьнику прививаются навыки и способности адекватно воспринимать вызовы повседневности, творчески участвовать в этой повседневности при полном и свободном выражении своих взглядов;  </w:t>
      </w:r>
      <w:r>
        <w:rPr>
          <w:bCs/>
          <w:i/>
          <w:szCs w:val="22"/>
        </w:rPr>
        <w:t>формирование гражданина</w:t>
      </w:r>
      <w:r>
        <w:rPr>
          <w:bCs/>
          <w:szCs w:val="22"/>
        </w:rPr>
        <w:t>, когда в ученике развиваются активная жизненная позиция, ценности, принципы и нормы демократического общежития, а также соревновательный дух для сознательного, целеустремленного и законного участия в делах общества.  Эти три направления неразрывно связаны с правами человека.  Всякий раз, когда молодой человек окажется перед лицом этического выбора, ему на помощь придет чувство самосознания и самооценки, требующее от него ясного понимания своей роли в повседневной жизни, а также роли тех структур, которые призваны гарантировать выполнение им своей гражданской миссии.</w:t>
      </w:r>
    </w:p>
    <w:p w:rsidR="00000000" w:rsidRDefault="00000000">
      <w:pPr>
        <w:tabs>
          <w:tab w:val="left" w:pos="748"/>
        </w:tabs>
      </w:pPr>
    </w:p>
    <w:p w:rsidR="00000000" w:rsidRDefault="00000000">
      <w:pPr>
        <w:tabs>
          <w:tab w:val="left" w:pos="748"/>
        </w:tabs>
        <w:rPr>
          <w:bCs/>
          <w:szCs w:val="22"/>
        </w:rPr>
      </w:pPr>
      <w:r>
        <w:t>1212.</w:t>
      </w:r>
      <w:r>
        <w:tab/>
      </w:r>
      <w:r>
        <w:tab/>
      </w:r>
      <w:r>
        <w:rPr>
          <w:bCs/>
          <w:szCs w:val="22"/>
        </w:rPr>
        <w:t>В 2003-2004 учебном году в учебных заведениях четырнадцати субъектов федерации начался эксперимент по апробированию этих программ.  Сейчас готовится предложение по широкому внедрению программ гражданской и этической подготовки на 2005-2006 учебный год.</w:t>
      </w:r>
    </w:p>
    <w:p w:rsidR="00000000" w:rsidRDefault="00000000">
      <w:pPr>
        <w:tabs>
          <w:tab w:val="left" w:pos="748"/>
        </w:tabs>
        <w:rPr>
          <w:bCs/>
          <w:szCs w:val="22"/>
        </w:rPr>
      </w:pPr>
    </w:p>
    <w:p w:rsidR="00000000" w:rsidRDefault="00000000">
      <w:pPr>
        <w:tabs>
          <w:tab w:val="left" w:pos="748"/>
        </w:tabs>
      </w:pPr>
      <w:r>
        <w:rPr>
          <w:b/>
          <w:bCs/>
          <w:szCs w:val="22"/>
        </w:rPr>
        <w:tab/>
        <w:t>Общие курсы повышения квалификации</w:t>
      </w:r>
    </w:p>
    <w:p w:rsidR="00000000" w:rsidRDefault="00000000">
      <w:pPr>
        <w:tabs>
          <w:tab w:val="left" w:pos="748"/>
        </w:tabs>
      </w:pPr>
    </w:p>
    <w:p w:rsidR="00000000" w:rsidRDefault="00000000">
      <w:pPr>
        <w:tabs>
          <w:tab w:val="left" w:pos="748"/>
        </w:tabs>
      </w:pPr>
      <w:r>
        <w:t>1213.</w:t>
      </w:r>
      <w:r>
        <w:tab/>
      </w:r>
      <w:r>
        <w:tab/>
      </w:r>
      <w:r>
        <w:rPr>
          <w:bCs/>
          <w:szCs w:val="22"/>
        </w:rPr>
        <w:t>Национальная программа повышения квалификации и переподготовки учителей базового уровня образования (ПРОНАП) включает ряд мероприятий, направленных на повышение качества преподавания путем постоянного совершенствования работы учителей, пополнения их знаний и расширения их дидактических навыков и способностей.  Среди возможностей, предусмотренных для повышения профессионального уровня учителей страны, на первый план выходят общие курсы повышения квалификации и курсы повышения квалификации на уровне штатов, в рамках которых охватываются темы, относящиеся и к Программе просвещения в области прав человека.</w:t>
      </w:r>
    </w:p>
    <w:p w:rsidR="00000000" w:rsidRDefault="00000000">
      <w:pPr>
        <w:tabs>
          <w:tab w:val="left" w:pos="748"/>
        </w:tabs>
      </w:pPr>
    </w:p>
    <w:p w:rsidR="00000000" w:rsidRDefault="00000000">
      <w:pPr>
        <w:tabs>
          <w:tab w:val="left" w:pos="748"/>
        </w:tabs>
      </w:pPr>
      <w:r>
        <w:t>1214.</w:t>
      </w:r>
      <w:r>
        <w:tab/>
      </w:r>
      <w:r>
        <w:tab/>
      </w:r>
      <w:r>
        <w:rPr>
          <w:bCs/>
          <w:szCs w:val="22"/>
        </w:rPr>
        <w:t>Эти курсы представляют собой учебные программы, разработанные различными подразделениями министерства просвещения и другими правительственными ведомствами.</w:t>
      </w:r>
    </w:p>
    <w:p w:rsidR="00000000" w:rsidRDefault="00000000">
      <w:pPr>
        <w:tabs>
          <w:tab w:val="left" w:pos="748"/>
        </w:tabs>
      </w:pPr>
    </w:p>
    <w:p w:rsidR="00000000" w:rsidRDefault="00000000">
      <w:pPr>
        <w:tabs>
          <w:tab w:val="left" w:pos="748"/>
        </w:tabs>
        <w:rPr>
          <w:bCs/>
          <w:szCs w:val="22"/>
        </w:rPr>
      </w:pPr>
      <w:r>
        <w:t>1215.</w:t>
      </w:r>
      <w:r>
        <w:tab/>
      </w:r>
      <w:r>
        <w:tab/>
      </w:r>
      <w:r>
        <w:rPr>
          <w:bCs/>
          <w:szCs w:val="22"/>
        </w:rPr>
        <w:t>Основными целями этих программ являются следующие:</w:t>
      </w:r>
    </w:p>
    <w:p w:rsidR="00000000" w:rsidRDefault="00000000">
      <w:pPr>
        <w:tabs>
          <w:tab w:val="left" w:pos="748"/>
        </w:tabs>
        <w:rPr>
          <w:bCs/>
          <w:szCs w:val="22"/>
        </w:rPr>
      </w:pPr>
    </w:p>
    <w:p w:rsidR="00000000" w:rsidRDefault="00000000">
      <w:pPr>
        <w:numPr>
          <w:ilvl w:val="0"/>
          <w:numId w:val="508"/>
        </w:numPr>
        <w:tabs>
          <w:tab w:val="clear" w:pos="1068"/>
          <w:tab w:val="clear" w:pos="1701"/>
        </w:tabs>
        <w:ind w:left="1134" w:hanging="567"/>
        <w:rPr>
          <w:bCs/>
          <w:szCs w:val="22"/>
        </w:rPr>
      </w:pPr>
      <w:r>
        <w:rPr>
          <w:bCs/>
          <w:szCs w:val="22"/>
        </w:rPr>
        <w:t>дать учителям инструмент развития различных образовательных программ и проектов, предлагаемых федеральным правительством, для различных уровней и разновидностей базового образования;</w:t>
      </w:r>
    </w:p>
    <w:p w:rsidR="00000000" w:rsidRDefault="00000000">
      <w:pPr>
        <w:tabs>
          <w:tab w:val="clear" w:pos="1701"/>
        </w:tabs>
        <w:ind w:left="1134" w:hanging="567"/>
        <w:rPr>
          <w:bCs/>
          <w:szCs w:val="22"/>
        </w:rPr>
      </w:pPr>
    </w:p>
    <w:p w:rsidR="00000000" w:rsidRDefault="00000000">
      <w:pPr>
        <w:numPr>
          <w:ilvl w:val="0"/>
          <w:numId w:val="508"/>
        </w:numPr>
        <w:tabs>
          <w:tab w:val="clear" w:pos="1068"/>
          <w:tab w:val="clear" w:pos="1701"/>
        </w:tabs>
        <w:ind w:left="1134" w:hanging="567"/>
        <w:rPr>
          <w:bCs/>
          <w:szCs w:val="22"/>
        </w:rPr>
      </w:pPr>
      <w:r>
        <w:rPr>
          <w:bCs/>
          <w:szCs w:val="22"/>
        </w:rPr>
        <w:t>внести в график профессиональной переподготовки преподавателей важные образовательные темы, не получившие до сих пор должного развития, но между тем представляющие общенациональный интерес, а также те, что вытекают из реформ учебных программ и планов базового образования.</w:t>
      </w:r>
    </w:p>
    <w:p w:rsidR="00000000" w:rsidRDefault="00000000">
      <w:pPr>
        <w:rPr>
          <w:bCs/>
          <w:szCs w:val="22"/>
        </w:rPr>
      </w:pPr>
    </w:p>
    <w:p w:rsidR="00000000" w:rsidRDefault="00000000">
      <w:pPr>
        <w:tabs>
          <w:tab w:val="left" w:pos="748"/>
        </w:tabs>
      </w:pPr>
      <w:r>
        <w:t>1216.</w:t>
      </w:r>
      <w:r>
        <w:tab/>
      </w:r>
      <w:r>
        <w:tab/>
      </w:r>
      <w:r>
        <w:rPr>
          <w:bCs/>
          <w:szCs w:val="22"/>
        </w:rPr>
        <w:t>Общие курсы, внесенные в Национальный реестр курсов повышения квалификации, могут быть задействованы руководящими органами системы образования штатов и предложены учителям базового уровня образования.</w:t>
      </w:r>
    </w:p>
    <w:p w:rsidR="00000000" w:rsidRDefault="00000000">
      <w:pPr>
        <w:tabs>
          <w:tab w:val="left" w:pos="748"/>
        </w:tabs>
      </w:pPr>
    </w:p>
    <w:tbl>
      <w:tblPr>
        <w:tblW w:w="5062" w:type="pct"/>
        <w:jc w:val="center"/>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1"/>
        <w:gridCol w:w="5237"/>
        <w:gridCol w:w="1384"/>
      </w:tblGrid>
      <w:tr w:rsidR="00000000">
        <w:tblPrEx>
          <w:tblCellMar>
            <w:top w:w="0" w:type="dxa"/>
            <w:bottom w:w="0" w:type="dxa"/>
          </w:tblCellMar>
        </w:tblPrEx>
        <w:trPr>
          <w:tblHeader/>
          <w:jc w:val="center"/>
        </w:trPr>
        <w:tc>
          <w:tcPr>
            <w:tcW w:w="1556" w:type="pct"/>
            <w:vAlign w:val="center"/>
          </w:tcPr>
          <w:p w:rsidR="00000000" w:rsidRDefault="00000000">
            <w:pPr>
              <w:tabs>
                <w:tab w:val="left" w:pos="748"/>
              </w:tabs>
              <w:jc w:val="center"/>
              <w:rPr>
                <w:i/>
                <w:sz w:val="18"/>
              </w:rPr>
            </w:pPr>
            <w:r>
              <w:rPr>
                <w:i/>
                <w:sz w:val="18"/>
              </w:rPr>
              <w:t>Учреждение</w:t>
            </w:r>
          </w:p>
        </w:tc>
        <w:tc>
          <w:tcPr>
            <w:tcW w:w="2724" w:type="pct"/>
            <w:vAlign w:val="center"/>
          </w:tcPr>
          <w:p w:rsidR="00000000" w:rsidRDefault="00000000">
            <w:pPr>
              <w:tabs>
                <w:tab w:val="left" w:pos="748"/>
              </w:tabs>
              <w:jc w:val="center"/>
              <w:rPr>
                <w:i/>
                <w:sz w:val="18"/>
              </w:rPr>
            </w:pPr>
            <w:r>
              <w:rPr>
                <w:i/>
                <w:sz w:val="18"/>
              </w:rPr>
              <w:t>Курс</w:t>
            </w:r>
          </w:p>
        </w:tc>
        <w:tc>
          <w:tcPr>
            <w:tcW w:w="720" w:type="pct"/>
            <w:vAlign w:val="center"/>
          </w:tcPr>
          <w:p w:rsidR="00000000" w:rsidRDefault="00000000">
            <w:pPr>
              <w:tabs>
                <w:tab w:val="left" w:pos="748"/>
              </w:tabs>
              <w:jc w:val="center"/>
              <w:rPr>
                <w:i/>
                <w:sz w:val="18"/>
              </w:rPr>
            </w:pPr>
            <w:r>
              <w:rPr>
                <w:i/>
                <w:sz w:val="18"/>
              </w:rPr>
              <w:t>Запросившие заведения</w:t>
            </w:r>
          </w:p>
        </w:tc>
      </w:tr>
      <w:tr w:rsidR="00000000">
        <w:tblPrEx>
          <w:tblCellMar>
            <w:top w:w="0" w:type="dxa"/>
            <w:bottom w:w="0" w:type="dxa"/>
          </w:tblCellMar>
        </w:tblPrEx>
        <w:trPr>
          <w:jc w:val="center"/>
        </w:trPr>
        <w:tc>
          <w:tcPr>
            <w:tcW w:w="1556" w:type="pct"/>
          </w:tcPr>
          <w:p w:rsidR="00000000" w:rsidRDefault="00000000">
            <w:pPr>
              <w:tabs>
                <w:tab w:val="left" w:pos="748"/>
              </w:tabs>
              <w:rPr>
                <w:sz w:val="18"/>
              </w:rPr>
            </w:pPr>
            <w:r>
              <w:rPr>
                <w:sz w:val="18"/>
              </w:rPr>
              <w:t>Национальный институт по проблемам женщин</w:t>
            </w:r>
          </w:p>
        </w:tc>
        <w:tc>
          <w:tcPr>
            <w:tcW w:w="2724" w:type="pct"/>
          </w:tcPr>
          <w:p w:rsidR="00000000" w:rsidRDefault="00000000">
            <w:pPr>
              <w:tabs>
                <w:tab w:val="left" w:pos="748"/>
              </w:tabs>
              <w:rPr>
                <w:sz w:val="18"/>
              </w:rPr>
            </w:pPr>
            <w:r>
              <w:rPr>
                <w:sz w:val="18"/>
              </w:rPr>
              <w:t>"За равенство по признаку пола в начальной школе"</w:t>
            </w:r>
          </w:p>
        </w:tc>
        <w:tc>
          <w:tcPr>
            <w:tcW w:w="720" w:type="pct"/>
            <w:vAlign w:val="bottom"/>
          </w:tcPr>
          <w:p w:rsidR="00000000" w:rsidRDefault="00000000">
            <w:pPr>
              <w:tabs>
                <w:tab w:val="left" w:pos="748"/>
              </w:tabs>
              <w:jc w:val="center"/>
              <w:rPr>
                <w:sz w:val="18"/>
              </w:rPr>
            </w:pPr>
            <w:r>
              <w:rPr>
                <w:sz w:val="18"/>
              </w:rPr>
              <w:t>15</w:t>
            </w:r>
          </w:p>
        </w:tc>
      </w:tr>
      <w:tr w:rsidR="00000000">
        <w:tblPrEx>
          <w:tblCellMar>
            <w:top w:w="0" w:type="dxa"/>
            <w:bottom w:w="0" w:type="dxa"/>
          </w:tblCellMar>
        </w:tblPrEx>
        <w:trPr>
          <w:jc w:val="center"/>
        </w:trPr>
        <w:tc>
          <w:tcPr>
            <w:tcW w:w="1556" w:type="pct"/>
          </w:tcPr>
          <w:p w:rsidR="00000000" w:rsidRDefault="00000000">
            <w:pPr>
              <w:tabs>
                <w:tab w:val="left" w:pos="748"/>
              </w:tabs>
              <w:rPr>
                <w:sz w:val="18"/>
              </w:rPr>
            </w:pPr>
            <w:r>
              <w:rPr>
                <w:sz w:val="18"/>
              </w:rPr>
              <w:t>Национальный совет по развитию образования</w:t>
            </w:r>
          </w:p>
        </w:tc>
        <w:tc>
          <w:tcPr>
            <w:tcW w:w="2724" w:type="pct"/>
          </w:tcPr>
          <w:p w:rsidR="00000000" w:rsidRDefault="00000000">
            <w:pPr>
              <w:tabs>
                <w:tab w:val="left" w:pos="748"/>
              </w:tabs>
              <w:rPr>
                <w:sz w:val="18"/>
              </w:rPr>
            </w:pPr>
            <w:r>
              <w:rPr>
                <w:sz w:val="18"/>
              </w:rPr>
              <w:t>"По пути к среднему образованию.  Меры в поддержку доступа к среднему образованию с точки зрения равенства по признаку пола"</w:t>
            </w:r>
          </w:p>
        </w:tc>
        <w:tc>
          <w:tcPr>
            <w:tcW w:w="720" w:type="pct"/>
            <w:vAlign w:val="bottom"/>
          </w:tcPr>
          <w:p w:rsidR="00000000" w:rsidRDefault="00000000">
            <w:pPr>
              <w:tabs>
                <w:tab w:val="left" w:pos="748"/>
              </w:tabs>
              <w:jc w:val="center"/>
              <w:rPr>
                <w:sz w:val="18"/>
              </w:rPr>
            </w:pPr>
            <w:r>
              <w:rPr>
                <w:sz w:val="18"/>
              </w:rPr>
              <w:t>2</w:t>
            </w:r>
          </w:p>
        </w:tc>
      </w:tr>
      <w:tr w:rsidR="00000000">
        <w:tblPrEx>
          <w:tblCellMar>
            <w:top w:w="0" w:type="dxa"/>
            <w:bottom w:w="0" w:type="dxa"/>
          </w:tblCellMar>
        </w:tblPrEx>
        <w:trPr>
          <w:cantSplit/>
          <w:jc w:val="center"/>
        </w:trPr>
        <w:tc>
          <w:tcPr>
            <w:tcW w:w="1556" w:type="pct"/>
            <w:vMerge w:val="restart"/>
          </w:tcPr>
          <w:p w:rsidR="00000000" w:rsidRDefault="00000000">
            <w:pPr>
              <w:tabs>
                <w:tab w:val="left" w:pos="748"/>
              </w:tabs>
              <w:rPr>
                <w:sz w:val="18"/>
              </w:rPr>
            </w:pPr>
            <w:r>
              <w:rPr>
                <w:sz w:val="18"/>
              </w:rPr>
              <w:t>Федеральный избирательный институт</w:t>
            </w:r>
          </w:p>
        </w:tc>
        <w:tc>
          <w:tcPr>
            <w:tcW w:w="2724" w:type="pct"/>
          </w:tcPr>
          <w:p w:rsidR="00000000" w:rsidRDefault="00000000">
            <w:pPr>
              <w:tabs>
                <w:tab w:val="left" w:pos="748"/>
              </w:tabs>
              <w:rPr>
                <w:sz w:val="18"/>
              </w:rPr>
            </w:pPr>
            <w:r>
              <w:rPr>
                <w:sz w:val="18"/>
              </w:rPr>
              <w:t>"Развитие гражданских и этических навыков у дошкольников.  Участие в демократических преобразованиях"</w:t>
            </w:r>
          </w:p>
        </w:tc>
        <w:tc>
          <w:tcPr>
            <w:tcW w:w="720" w:type="pct"/>
            <w:vAlign w:val="bottom"/>
          </w:tcPr>
          <w:p w:rsidR="00000000" w:rsidRDefault="00000000">
            <w:pPr>
              <w:tabs>
                <w:tab w:val="left" w:pos="748"/>
              </w:tabs>
              <w:jc w:val="center"/>
              <w:rPr>
                <w:sz w:val="18"/>
              </w:rPr>
            </w:pPr>
            <w:r>
              <w:rPr>
                <w:sz w:val="18"/>
              </w:rPr>
              <w:t>5</w:t>
            </w:r>
          </w:p>
        </w:tc>
      </w:tr>
      <w:tr w:rsidR="00000000">
        <w:tblPrEx>
          <w:tblCellMar>
            <w:top w:w="0" w:type="dxa"/>
            <w:bottom w:w="0" w:type="dxa"/>
          </w:tblCellMar>
        </w:tblPrEx>
        <w:trPr>
          <w:cantSplit/>
          <w:jc w:val="center"/>
        </w:trPr>
        <w:tc>
          <w:tcPr>
            <w:tcW w:w="1556" w:type="pct"/>
            <w:vMerge/>
          </w:tcPr>
          <w:p w:rsidR="00000000" w:rsidRDefault="00000000">
            <w:pPr>
              <w:tabs>
                <w:tab w:val="left" w:pos="748"/>
              </w:tabs>
              <w:rPr>
                <w:sz w:val="18"/>
              </w:rPr>
            </w:pPr>
          </w:p>
        </w:tc>
        <w:tc>
          <w:tcPr>
            <w:tcW w:w="2724" w:type="pct"/>
          </w:tcPr>
          <w:p w:rsidR="00000000" w:rsidRDefault="00000000">
            <w:pPr>
              <w:tabs>
                <w:tab w:val="left" w:pos="748"/>
              </w:tabs>
              <w:rPr>
                <w:sz w:val="18"/>
              </w:rPr>
            </w:pPr>
            <w:r>
              <w:rPr>
                <w:sz w:val="18"/>
              </w:rPr>
              <w:t>"Детский сад как инструмент привития навыков и культуры демократии"</w:t>
            </w:r>
          </w:p>
        </w:tc>
        <w:tc>
          <w:tcPr>
            <w:tcW w:w="720" w:type="pct"/>
            <w:vAlign w:val="bottom"/>
          </w:tcPr>
          <w:p w:rsidR="00000000" w:rsidRDefault="00000000">
            <w:pPr>
              <w:tabs>
                <w:tab w:val="left" w:pos="748"/>
              </w:tabs>
              <w:jc w:val="center"/>
              <w:rPr>
                <w:sz w:val="18"/>
              </w:rPr>
            </w:pPr>
            <w:r>
              <w:rPr>
                <w:sz w:val="18"/>
              </w:rPr>
              <w:t>4</w:t>
            </w:r>
          </w:p>
        </w:tc>
      </w:tr>
      <w:tr w:rsidR="00000000">
        <w:tblPrEx>
          <w:tblCellMar>
            <w:top w:w="0" w:type="dxa"/>
            <w:bottom w:w="0" w:type="dxa"/>
          </w:tblCellMar>
        </w:tblPrEx>
        <w:trPr>
          <w:cantSplit/>
          <w:jc w:val="center"/>
        </w:trPr>
        <w:tc>
          <w:tcPr>
            <w:tcW w:w="1556" w:type="pct"/>
            <w:vMerge/>
          </w:tcPr>
          <w:p w:rsidR="00000000" w:rsidRDefault="00000000">
            <w:pPr>
              <w:tabs>
                <w:tab w:val="left" w:pos="748"/>
              </w:tabs>
              <w:rPr>
                <w:sz w:val="18"/>
              </w:rPr>
            </w:pPr>
          </w:p>
        </w:tc>
        <w:tc>
          <w:tcPr>
            <w:tcW w:w="2724" w:type="pct"/>
          </w:tcPr>
          <w:p w:rsidR="00000000" w:rsidRDefault="00000000">
            <w:pPr>
              <w:tabs>
                <w:tab w:val="left" w:pos="748"/>
              </w:tabs>
              <w:rPr>
                <w:sz w:val="18"/>
              </w:rPr>
            </w:pPr>
            <w:r>
              <w:rPr>
                <w:sz w:val="18"/>
              </w:rPr>
              <w:t>"Воспитание гражданской позиции и привитие этических навыков среди учащихся начальной школы"</w:t>
            </w:r>
          </w:p>
        </w:tc>
        <w:tc>
          <w:tcPr>
            <w:tcW w:w="720" w:type="pct"/>
            <w:vAlign w:val="bottom"/>
          </w:tcPr>
          <w:p w:rsidR="00000000" w:rsidRDefault="00000000">
            <w:pPr>
              <w:tabs>
                <w:tab w:val="left" w:pos="748"/>
              </w:tabs>
              <w:jc w:val="center"/>
              <w:rPr>
                <w:sz w:val="18"/>
              </w:rPr>
            </w:pPr>
            <w:r>
              <w:rPr>
                <w:sz w:val="18"/>
              </w:rPr>
              <w:t>6</w:t>
            </w:r>
          </w:p>
        </w:tc>
      </w:tr>
      <w:tr w:rsidR="00000000">
        <w:tblPrEx>
          <w:tblCellMar>
            <w:top w:w="0" w:type="dxa"/>
            <w:bottom w:w="0" w:type="dxa"/>
          </w:tblCellMar>
        </w:tblPrEx>
        <w:trPr>
          <w:cantSplit/>
          <w:jc w:val="center"/>
        </w:trPr>
        <w:tc>
          <w:tcPr>
            <w:tcW w:w="1556" w:type="pct"/>
            <w:vMerge w:val="restart"/>
          </w:tcPr>
          <w:p w:rsidR="00000000" w:rsidRDefault="00000000">
            <w:pPr>
              <w:tabs>
                <w:tab w:val="left" w:pos="748"/>
              </w:tabs>
              <w:rPr>
                <w:sz w:val="18"/>
              </w:rPr>
            </w:pPr>
            <w:r>
              <w:rPr>
                <w:sz w:val="18"/>
              </w:rPr>
              <w:t xml:space="preserve">Главный координационный совет по вопросам межкультурного двуязычного образования </w:t>
            </w:r>
          </w:p>
        </w:tc>
        <w:tc>
          <w:tcPr>
            <w:tcW w:w="2724" w:type="pct"/>
          </w:tcPr>
          <w:p w:rsidR="00000000" w:rsidRDefault="00000000">
            <w:pPr>
              <w:tabs>
                <w:tab w:val="left" w:pos="748"/>
              </w:tabs>
              <w:rPr>
                <w:sz w:val="18"/>
              </w:rPr>
            </w:pPr>
            <w:r>
              <w:rPr>
                <w:sz w:val="18"/>
              </w:rPr>
              <w:t>"Воспитание дошкольников в духе культурного многообразия"</w:t>
            </w:r>
          </w:p>
        </w:tc>
        <w:tc>
          <w:tcPr>
            <w:tcW w:w="720" w:type="pct"/>
            <w:vAlign w:val="bottom"/>
          </w:tcPr>
          <w:p w:rsidR="00000000" w:rsidRDefault="00000000">
            <w:pPr>
              <w:tabs>
                <w:tab w:val="left" w:pos="748"/>
              </w:tabs>
              <w:jc w:val="center"/>
              <w:rPr>
                <w:sz w:val="18"/>
              </w:rPr>
            </w:pPr>
            <w:r>
              <w:rPr>
                <w:sz w:val="18"/>
              </w:rPr>
              <w:t>11</w:t>
            </w:r>
          </w:p>
        </w:tc>
      </w:tr>
      <w:tr w:rsidR="00000000">
        <w:tblPrEx>
          <w:tblCellMar>
            <w:top w:w="0" w:type="dxa"/>
            <w:bottom w:w="0" w:type="dxa"/>
          </w:tblCellMar>
        </w:tblPrEx>
        <w:trPr>
          <w:cantSplit/>
          <w:jc w:val="center"/>
        </w:trPr>
        <w:tc>
          <w:tcPr>
            <w:tcW w:w="1556" w:type="pct"/>
            <w:vMerge/>
          </w:tcPr>
          <w:p w:rsidR="00000000" w:rsidRDefault="00000000">
            <w:pPr>
              <w:keepNext/>
              <w:tabs>
                <w:tab w:val="left" w:pos="748"/>
              </w:tabs>
              <w:rPr>
                <w:sz w:val="18"/>
              </w:rPr>
            </w:pPr>
          </w:p>
        </w:tc>
        <w:tc>
          <w:tcPr>
            <w:tcW w:w="2724" w:type="pct"/>
          </w:tcPr>
          <w:p w:rsidR="00000000" w:rsidRDefault="00000000">
            <w:pPr>
              <w:keepNext/>
              <w:tabs>
                <w:tab w:val="left" w:pos="748"/>
              </w:tabs>
              <w:rPr>
                <w:sz w:val="18"/>
              </w:rPr>
            </w:pPr>
            <w:r>
              <w:rPr>
                <w:sz w:val="18"/>
              </w:rPr>
              <w:t>"О важном значении групп педагогической поддержки для целей воспитания в духе культурного многообразия"</w:t>
            </w:r>
          </w:p>
        </w:tc>
        <w:tc>
          <w:tcPr>
            <w:tcW w:w="720" w:type="pct"/>
            <w:vAlign w:val="bottom"/>
          </w:tcPr>
          <w:p w:rsidR="00000000" w:rsidRDefault="00000000">
            <w:pPr>
              <w:keepNext/>
              <w:tabs>
                <w:tab w:val="left" w:pos="748"/>
              </w:tabs>
              <w:jc w:val="center"/>
              <w:rPr>
                <w:sz w:val="18"/>
              </w:rPr>
            </w:pPr>
            <w:r>
              <w:rPr>
                <w:sz w:val="18"/>
              </w:rPr>
              <w:t>4</w:t>
            </w:r>
          </w:p>
        </w:tc>
      </w:tr>
      <w:tr w:rsidR="00000000">
        <w:tblPrEx>
          <w:tblCellMar>
            <w:top w:w="0" w:type="dxa"/>
            <w:bottom w:w="0" w:type="dxa"/>
          </w:tblCellMar>
        </w:tblPrEx>
        <w:trPr>
          <w:cantSplit/>
          <w:jc w:val="center"/>
        </w:trPr>
        <w:tc>
          <w:tcPr>
            <w:tcW w:w="1556" w:type="pct"/>
            <w:vMerge/>
          </w:tcPr>
          <w:p w:rsidR="00000000" w:rsidRDefault="00000000">
            <w:pPr>
              <w:tabs>
                <w:tab w:val="left" w:pos="748"/>
              </w:tabs>
              <w:rPr>
                <w:sz w:val="18"/>
              </w:rPr>
            </w:pPr>
          </w:p>
        </w:tc>
        <w:tc>
          <w:tcPr>
            <w:tcW w:w="2724" w:type="pct"/>
          </w:tcPr>
          <w:p w:rsidR="00000000" w:rsidRDefault="00000000">
            <w:pPr>
              <w:tabs>
                <w:tab w:val="left" w:pos="748"/>
              </w:tabs>
              <w:rPr>
                <w:sz w:val="18"/>
              </w:rPr>
            </w:pPr>
            <w:r>
              <w:rPr>
                <w:sz w:val="18"/>
              </w:rPr>
              <w:t>"Воспитание в духе культурного многообразия"</w:t>
            </w:r>
          </w:p>
        </w:tc>
        <w:tc>
          <w:tcPr>
            <w:tcW w:w="720" w:type="pct"/>
            <w:vAlign w:val="bottom"/>
          </w:tcPr>
          <w:p w:rsidR="00000000" w:rsidRDefault="00000000">
            <w:pPr>
              <w:tabs>
                <w:tab w:val="left" w:pos="748"/>
              </w:tabs>
              <w:jc w:val="center"/>
              <w:rPr>
                <w:sz w:val="18"/>
              </w:rPr>
            </w:pPr>
            <w:r>
              <w:rPr>
                <w:sz w:val="18"/>
              </w:rPr>
              <w:t>3</w:t>
            </w:r>
          </w:p>
        </w:tc>
      </w:tr>
      <w:tr w:rsidR="00000000">
        <w:tblPrEx>
          <w:tblCellMar>
            <w:top w:w="0" w:type="dxa"/>
            <w:bottom w:w="0" w:type="dxa"/>
          </w:tblCellMar>
        </w:tblPrEx>
        <w:trPr>
          <w:cantSplit/>
          <w:jc w:val="center"/>
        </w:trPr>
        <w:tc>
          <w:tcPr>
            <w:tcW w:w="1556" w:type="pct"/>
            <w:vMerge/>
          </w:tcPr>
          <w:p w:rsidR="00000000" w:rsidRDefault="00000000">
            <w:pPr>
              <w:tabs>
                <w:tab w:val="left" w:pos="748"/>
              </w:tabs>
              <w:rPr>
                <w:sz w:val="18"/>
              </w:rPr>
            </w:pPr>
          </w:p>
        </w:tc>
        <w:tc>
          <w:tcPr>
            <w:tcW w:w="2724" w:type="pct"/>
          </w:tcPr>
          <w:p w:rsidR="00000000" w:rsidRDefault="00000000">
            <w:pPr>
              <w:tabs>
                <w:tab w:val="left" w:pos="748"/>
              </w:tabs>
              <w:rPr>
                <w:sz w:val="18"/>
              </w:rPr>
            </w:pPr>
            <w:r>
              <w:rPr>
                <w:sz w:val="18"/>
              </w:rPr>
              <w:t>"К вопросу о директивном управлении применительно к воспитанию в духе культурного многообразия"</w:t>
            </w:r>
          </w:p>
        </w:tc>
        <w:tc>
          <w:tcPr>
            <w:tcW w:w="720" w:type="pct"/>
            <w:vAlign w:val="bottom"/>
          </w:tcPr>
          <w:p w:rsidR="00000000" w:rsidRDefault="00000000">
            <w:pPr>
              <w:tabs>
                <w:tab w:val="left" w:pos="748"/>
              </w:tabs>
              <w:jc w:val="center"/>
              <w:rPr>
                <w:sz w:val="18"/>
              </w:rPr>
            </w:pPr>
            <w:r>
              <w:rPr>
                <w:sz w:val="18"/>
              </w:rPr>
              <w:t>5</w:t>
            </w:r>
          </w:p>
        </w:tc>
      </w:tr>
      <w:tr w:rsidR="00000000">
        <w:tblPrEx>
          <w:tblCellMar>
            <w:top w:w="0" w:type="dxa"/>
            <w:bottom w:w="0" w:type="dxa"/>
          </w:tblCellMar>
        </w:tblPrEx>
        <w:trPr>
          <w:jc w:val="center"/>
        </w:trPr>
        <w:tc>
          <w:tcPr>
            <w:tcW w:w="1556" w:type="pct"/>
          </w:tcPr>
          <w:p w:rsidR="00000000" w:rsidRDefault="00000000">
            <w:pPr>
              <w:tabs>
                <w:tab w:val="left" w:pos="748"/>
              </w:tabs>
              <w:rPr>
                <w:sz w:val="18"/>
              </w:rPr>
            </w:pPr>
            <w:r>
              <w:rPr>
                <w:sz w:val="18"/>
              </w:rPr>
              <w:t>Главное управление по исследованиям в сфере образования</w:t>
            </w:r>
          </w:p>
        </w:tc>
        <w:tc>
          <w:tcPr>
            <w:tcW w:w="2724" w:type="pct"/>
          </w:tcPr>
          <w:p w:rsidR="00000000" w:rsidRDefault="00000000">
            <w:pPr>
              <w:tabs>
                <w:tab w:val="left" w:pos="748"/>
              </w:tabs>
              <w:rPr>
                <w:sz w:val="18"/>
              </w:rPr>
            </w:pPr>
            <w:r>
              <w:rPr>
                <w:sz w:val="18"/>
              </w:rPr>
              <w:t>Курс повышения квалификации учителей системы специального и общего образования по теме "Охват образовательными услугами"</w:t>
            </w:r>
          </w:p>
        </w:tc>
        <w:tc>
          <w:tcPr>
            <w:tcW w:w="720" w:type="pct"/>
            <w:vAlign w:val="bottom"/>
          </w:tcPr>
          <w:p w:rsidR="00000000" w:rsidRDefault="00000000">
            <w:pPr>
              <w:tabs>
                <w:tab w:val="left" w:pos="748"/>
              </w:tabs>
              <w:jc w:val="center"/>
              <w:rPr>
                <w:sz w:val="18"/>
              </w:rPr>
            </w:pPr>
            <w:r>
              <w:rPr>
                <w:sz w:val="18"/>
              </w:rPr>
              <w:t>15</w:t>
            </w:r>
          </w:p>
        </w:tc>
      </w:tr>
      <w:tr w:rsidR="00000000">
        <w:tblPrEx>
          <w:tblCellMar>
            <w:top w:w="0" w:type="dxa"/>
            <w:bottom w:w="0" w:type="dxa"/>
          </w:tblCellMar>
        </w:tblPrEx>
        <w:trPr>
          <w:jc w:val="center"/>
        </w:trPr>
        <w:tc>
          <w:tcPr>
            <w:tcW w:w="1556" w:type="pct"/>
          </w:tcPr>
          <w:p w:rsidR="00000000" w:rsidRDefault="00000000">
            <w:pPr>
              <w:tabs>
                <w:tab w:val="left" w:pos="748"/>
              </w:tabs>
              <w:rPr>
                <w:sz w:val="18"/>
              </w:rPr>
            </w:pPr>
            <w:r>
              <w:rPr>
                <w:sz w:val="18"/>
              </w:rPr>
              <w:t>Штат Веракрус</w:t>
            </w:r>
            <w:r>
              <w:rPr>
                <w:rStyle w:val="FootnoteReference"/>
                <w:sz w:val="18"/>
              </w:rPr>
              <w:footnoteReference w:customMarkFollows="1" w:id="25"/>
              <w:t>24</w:t>
            </w:r>
          </w:p>
        </w:tc>
        <w:tc>
          <w:tcPr>
            <w:tcW w:w="2724" w:type="pct"/>
          </w:tcPr>
          <w:p w:rsidR="00000000" w:rsidRDefault="00000000">
            <w:pPr>
              <w:tabs>
                <w:tab w:val="left" w:pos="748"/>
              </w:tabs>
              <w:rPr>
                <w:sz w:val="18"/>
              </w:rPr>
            </w:pPr>
            <w:r>
              <w:rPr>
                <w:sz w:val="18"/>
              </w:rPr>
              <w:t>"Основные аспекты и стратегические направления работы с родителями посещающих детские сады детей, испытывающих особые потребности в плане обучения"</w:t>
            </w:r>
          </w:p>
        </w:tc>
        <w:tc>
          <w:tcPr>
            <w:tcW w:w="720" w:type="pct"/>
            <w:vAlign w:val="bottom"/>
          </w:tcPr>
          <w:p w:rsidR="00000000" w:rsidRDefault="00000000">
            <w:pPr>
              <w:tabs>
                <w:tab w:val="left" w:pos="748"/>
              </w:tabs>
              <w:jc w:val="center"/>
              <w:rPr>
                <w:sz w:val="18"/>
              </w:rPr>
            </w:pPr>
            <w:r>
              <w:rPr>
                <w:sz w:val="18"/>
              </w:rPr>
              <w:t>19</w:t>
            </w:r>
          </w:p>
        </w:tc>
      </w:tr>
    </w:tbl>
    <w:p w:rsidR="00000000" w:rsidRDefault="00000000">
      <w:pPr>
        <w:tabs>
          <w:tab w:val="left" w:pos="748"/>
        </w:tabs>
      </w:pPr>
    </w:p>
    <w:p w:rsidR="00000000" w:rsidRDefault="00000000">
      <w:pPr>
        <w:tabs>
          <w:tab w:val="left" w:pos="748"/>
        </w:tabs>
        <w:rPr>
          <w:sz w:val="18"/>
        </w:rPr>
      </w:pPr>
      <w:r>
        <w:rPr>
          <w:i/>
          <w:iCs/>
          <w:sz w:val="18"/>
        </w:rPr>
        <w:t>Источник</w:t>
      </w:r>
      <w:r>
        <w:rPr>
          <w:sz w:val="18"/>
        </w:rPr>
        <w:t>:  министерство просвещения.</w:t>
      </w:r>
    </w:p>
    <w:p w:rsidR="00000000" w:rsidRDefault="00000000">
      <w:pPr>
        <w:tabs>
          <w:tab w:val="left" w:pos="748"/>
        </w:tabs>
      </w:pPr>
    </w:p>
    <w:p w:rsidR="00000000" w:rsidRDefault="00000000">
      <w:pPr>
        <w:tabs>
          <w:tab w:val="left" w:pos="748"/>
        </w:tabs>
      </w:pPr>
      <w:r>
        <w:rPr>
          <w:b/>
          <w:bCs/>
          <w:szCs w:val="22"/>
        </w:rPr>
        <w:br w:type="page"/>
      </w:r>
      <w:r>
        <w:rPr>
          <w:b/>
          <w:bCs/>
          <w:szCs w:val="22"/>
        </w:rPr>
        <w:tab/>
        <w:t>Курсы повышения квалификации на уровне штатов</w:t>
      </w:r>
    </w:p>
    <w:p w:rsidR="00000000" w:rsidRDefault="00000000">
      <w:pPr>
        <w:tabs>
          <w:tab w:val="left" w:pos="748"/>
        </w:tabs>
      </w:pPr>
    </w:p>
    <w:p w:rsidR="00000000" w:rsidRDefault="00000000">
      <w:pPr>
        <w:tabs>
          <w:tab w:val="left" w:pos="748"/>
        </w:tabs>
      </w:pPr>
      <w:r>
        <w:t>1217.</w:t>
      </w:r>
      <w:r>
        <w:tab/>
      </w:r>
      <w:r>
        <w:tab/>
      </w:r>
      <w:r>
        <w:rPr>
          <w:bCs/>
          <w:szCs w:val="22"/>
        </w:rPr>
        <w:t>Они являются действенной альтернативой в деле повышения квалификации учителей системы базового образования и открывают широкие возможности в плане дальнейшего развития их профессиональных навыков.</w:t>
      </w:r>
    </w:p>
    <w:p w:rsidR="00000000" w:rsidRDefault="00000000">
      <w:pPr>
        <w:tabs>
          <w:tab w:val="left" w:pos="748"/>
        </w:tabs>
      </w:pPr>
    </w:p>
    <w:p w:rsidR="00000000" w:rsidRDefault="00000000">
      <w:pPr>
        <w:tabs>
          <w:tab w:val="left" w:pos="748"/>
        </w:tabs>
      </w:pPr>
      <w:r>
        <w:t>1218.</w:t>
      </w:r>
      <w:r>
        <w:tab/>
      </w:r>
      <w:r>
        <w:tab/>
        <w:t>К</w:t>
      </w:r>
      <w:r>
        <w:rPr>
          <w:bCs/>
          <w:szCs w:val="22"/>
        </w:rPr>
        <w:t>урсы повышения квалификации на уровне штатов (СЕА) являются по существу учебными программами, разработка которых, организация сборов и само преподавание возложено на руководящее звено системы образования различных субъектов Федерации.  Для обеспечения соответствующего качества данных программ министерство просвещения разработало общие направления этой работы и осуществляет проверку ее исполнения.</w:t>
      </w:r>
    </w:p>
    <w:p w:rsidR="00000000" w:rsidRDefault="00000000">
      <w:pPr>
        <w:tabs>
          <w:tab w:val="left" w:pos="748"/>
        </w:tabs>
      </w:pPr>
    </w:p>
    <w:p w:rsidR="00000000" w:rsidRDefault="00000000">
      <w:pPr>
        <w:tabs>
          <w:tab w:val="left" w:pos="748"/>
        </w:tabs>
      </w:pPr>
      <w:r>
        <w:t>1219.</w:t>
      </w:r>
      <w:r>
        <w:tab/>
      </w:r>
      <w:r>
        <w:tab/>
      </w:r>
      <w:r>
        <w:rPr>
          <w:bCs/>
          <w:szCs w:val="22"/>
        </w:rPr>
        <w:t>Эти курсы носят прямой или очный характер.  Занятия ведутся на основе единого методического пособия и с использованием специального руководства;  обучаемые получают различные материалы, как, например, рабочие тетради, антологии, картотеки и учебные пособия.</w:t>
      </w:r>
    </w:p>
    <w:p w:rsidR="00000000" w:rsidRDefault="00000000">
      <w:pPr>
        <w:tabs>
          <w:tab w:val="left" w:pos="748"/>
        </w:tabs>
      </w:pPr>
    </w:p>
    <w:p w:rsidR="00000000" w:rsidRDefault="00000000">
      <w:pPr>
        <w:tabs>
          <w:tab w:val="left" w:pos="748"/>
        </w:tabs>
      </w:pPr>
      <w:r>
        <w:t>1220.</w:t>
      </w:r>
      <w:r>
        <w:tab/>
      </w:r>
      <w:r>
        <w:tab/>
      </w:r>
      <w:r>
        <w:rPr>
          <w:bCs/>
          <w:szCs w:val="22"/>
        </w:rPr>
        <w:t>Средняя продолжительность курсов составляет 30-40 академических часов, и обычно они проводятся в период с ноября по май.  Официальная оценка выставляется по результатам работы обучаемого в течение сессии.</w:t>
      </w:r>
    </w:p>
    <w:p w:rsidR="00000000" w:rsidRDefault="00000000">
      <w:pPr>
        <w:tabs>
          <w:tab w:val="left" w:pos="748"/>
        </w:tabs>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7624"/>
      </w:tblGrid>
      <w:tr w:rsidR="00000000">
        <w:tblPrEx>
          <w:tblCellMar>
            <w:top w:w="0" w:type="dxa"/>
            <w:bottom w:w="0" w:type="dxa"/>
          </w:tblCellMar>
        </w:tblPrEx>
        <w:trPr>
          <w:tblHeader/>
          <w:jc w:val="center"/>
        </w:trPr>
        <w:tc>
          <w:tcPr>
            <w:tcW w:w="985" w:type="pct"/>
          </w:tcPr>
          <w:p w:rsidR="00000000" w:rsidRDefault="00000000">
            <w:pPr>
              <w:tabs>
                <w:tab w:val="left" w:pos="748"/>
              </w:tabs>
              <w:jc w:val="center"/>
              <w:rPr>
                <w:i/>
                <w:iCs/>
                <w:sz w:val="18"/>
              </w:rPr>
            </w:pPr>
            <w:r>
              <w:rPr>
                <w:i/>
                <w:iCs/>
                <w:sz w:val="18"/>
              </w:rPr>
              <w:br w:type="page"/>
            </w:r>
            <w:r>
              <w:rPr>
                <w:i/>
                <w:iCs/>
                <w:sz w:val="18"/>
              </w:rPr>
              <w:br w:type="page"/>
            </w:r>
            <w:r>
              <w:rPr>
                <w:i/>
                <w:iCs/>
                <w:sz w:val="18"/>
              </w:rPr>
              <w:br w:type="page"/>
            </w:r>
            <w:r>
              <w:rPr>
                <w:i/>
                <w:iCs/>
                <w:sz w:val="18"/>
              </w:rPr>
              <w:br w:type="page"/>
            </w:r>
            <w:r>
              <w:rPr>
                <w:i/>
                <w:iCs/>
                <w:sz w:val="18"/>
              </w:rPr>
              <w:br w:type="page"/>
              <w:t>Субъект</w:t>
            </w:r>
          </w:p>
        </w:tc>
        <w:tc>
          <w:tcPr>
            <w:tcW w:w="4015" w:type="pct"/>
            <w:vAlign w:val="center"/>
          </w:tcPr>
          <w:p w:rsidR="00000000" w:rsidRDefault="00000000">
            <w:pPr>
              <w:tabs>
                <w:tab w:val="left" w:pos="748"/>
              </w:tabs>
              <w:jc w:val="center"/>
              <w:rPr>
                <w:i/>
                <w:iCs/>
                <w:sz w:val="18"/>
              </w:rPr>
            </w:pPr>
            <w:r>
              <w:rPr>
                <w:i/>
                <w:iCs/>
                <w:sz w:val="18"/>
              </w:rPr>
              <w:t>Курс</w:t>
            </w:r>
          </w:p>
        </w:tc>
      </w:tr>
      <w:tr w:rsidR="00000000">
        <w:tblPrEx>
          <w:tblCellMar>
            <w:top w:w="0" w:type="dxa"/>
            <w:bottom w:w="0" w:type="dxa"/>
          </w:tblCellMar>
        </w:tblPrEx>
        <w:trPr>
          <w:jc w:val="center"/>
        </w:trPr>
        <w:tc>
          <w:tcPr>
            <w:tcW w:w="985" w:type="pct"/>
          </w:tcPr>
          <w:p w:rsidR="00000000" w:rsidRDefault="00000000">
            <w:pPr>
              <w:tabs>
                <w:tab w:val="left" w:pos="748"/>
              </w:tabs>
              <w:rPr>
                <w:sz w:val="18"/>
              </w:rPr>
            </w:pPr>
            <w:r>
              <w:rPr>
                <w:sz w:val="18"/>
              </w:rPr>
              <w:t>Агуаскальентес</w:t>
            </w:r>
          </w:p>
        </w:tc>
        <w:tc>
          <w:tcPr>
            <w:tcW w:w="4015" w:type="pct"/>
          </w:tcPr>
          <w:p w:rsidR="00000000" w:rsidRDefault="00000000">
            <w:pPr>
              <w:tabs>
                <w:tab w:val="left" w:pos="748"/>
              </w:tabs>
              <w:rPr>
                <w:sz w:val="18"/>
              </w:rPr>
            </w:pPr>
            <w:r>
              <w:rPr>
                <w:sz w:val="18"/>
              </w:rPr>
              <w:t>"Равенство по признаку пола как важный фактор сосуществования в системе базового образования"</w:t>
            </w:r>
          </w:p>
        </w:tc>
      </w:tr>
      <w:tr w:rsidR="00000000">
        <w:tblPrEx>
          <w:tblCellMar>
            <w:top w:w="0" w:type="dxa"/>
            <w:bottom w:w="0" w:type="dxa"/>
          </w:tblCellMar>
        </w:tblPrEx>
        <w:trPr>
          <w:jc w:val="center"/>
        </w:trPr>
        <w:tc>
          <w:tcPr>
            <w:tcW w:w="985" w:type="pct"/>
            <w:vAlign w:val="center"/>
          </w:tcPr>
          <w:p w:rsidR="00000000" w:rsidRDefault="00000000">
            <w:pPr>
              <w:tabs>
                <w:tab w:val="left" w:pos="748"/>
              </w:tabs>
              <w:rPr>
                <w:sz w:val="18"/>
              </w:rPr>
            </w:pPr>
            <w:r>
              <w:rPr>
                <w:sz w:val="18"/>
              </w:rPr>
              <w:t>Кампече</w:t>
            </w:r>
          </w:p>
        </w:tc>
        <w:tc>
          <w:tcPr>
            <w:tcW w:w="4015" w:type="pct"/>
          </w:tcPr>
          <w:p w:rsidR="00000000" w:rsidRDefault="00000000">
            <w:pPr>
              <w:tabs>
                <w:tab w:val="left" w:pos="748"/>
              </w:tabs>
              <w:rPr>
                <w:sz w:val="18"/>
              </w:rPr>
            </w:pPr>
            <w:r>
              <w:rPr>
                <w:sz w:val="18"/>
              </w:rPr>
              <w:t>"Обучение детей из числа представителей коренных народов, испытывающих особые потребности:  предлагаемые подходы"</w:t>
            </w:r>
          </w:p>
        </w:tc>
      </w:tr>
      <w:tr w:rsidR="00000000">
        <w:tblPrEx>
          <w:tblCellMar>
            <w:top w:w="0" w:type="dxa"/>
            <w:bottom w:w="0" w:type="dxa"/>
          </w:tblCellMar>
        </w:tblPrEx>
        <w:trPr>
          <w:jc w:val="center"/>
        </w:trPr>
        <w:tc>
          <w:tcPr>
            <w:tcW w:w="985" w:type="pct"/>
          </w:tcPr>
          <w:p w:rsidR="00000000" w:rsidRDefault="00000000">
            <w:pPr>
              <w:tabs>
                <w:tab w:val="left" w:pos="748"/>
              </w:tabs>
              <w:rPr>
                <w:sz w:val="18"/>
              </w:rPr>
            </w:pPr>
            <w:r>
              <w:rPr>
                <w:sz w:val="18"/>
              </w:rPr>
              <w:t>Федеральный округ</w:t>
            </w:r>
          </w:p>
        </w:tc>
        <w:tc>
          <w:tcPr>
            <w:tcW w:w="4015" w:type="pct"/>
          </w:tcPr>
          <w:p w:rsidR="00000000" w:rsidRDefault="00000000">
            <w:pPr>
              <w:tabs>
                <w:tab w:val="left" w:pos="748"/>
              </w:tabs>
              <w:rPr>
                <w:sz w:val="18"/>
              </w:rPr>
            </w:pPr>
            <w:r>
              <w:rPr>
                <w:sz w:val="18"/>
              </w:rPr>
              <w:t>"Сексуальные права и культурное разнообразие"</w:t>
            </w:r>
          </w:p>
        </w:tc>
      </w:tr>
      <w:tr w:rsidR="00000000">
        <w:tblPrEx>
          <w:tblCellMar>
            <w:top w:w="0" w:type="dxa"/>
            <w:bottom w:w="0" w:type="dxa"/>
          </w:tblCellMar>
        </w:tblPrEx>
        <w:trPr>
          <w:jc w:val="center"/>
        </w:trPr>
        <w:tc>
          <w:tcPr>
            <w:tcW w:w="985" w:type="pct"/>
            <w:vAlign w:val="center"/>
          </w:tcPr>
          <w:p w:rsidR="00000000" w:rsidRDefault="00000000">
            <w:pPr>
              <w:tabs>
                <w:tab w:val="left" w:pos="748"/>
              </w:tabs>
              <w:rPr>
                <w:sz w:val="18"/>
              </w:rPr>
            </w:pPr>
            <w:r>
              <w:rPr>
                <w:sz w:val="18"/>
              </w:rPr>
              <w:t>Герреро</w:t>
            </w:r>
          </w:p>
        </w:tc>
        <w:tc>
          <w:tcPr>
            <w:tcW w:w="4015" w:type="pct"/>
          </w:tcPr>
          <w:p w:rsidR="00000000" w:rsidRDefault="00000000">
            <w:pPr>
              <w:tabs>
                <w:tab w:val="left" w:pos="748"/>
              </w:tabs>
              <w:rPr>
                <w:sz w:val="18"/>
              </w:rPr>
            </w:pPr>
            <w:r>
              <w:rPr>
                <w:sz w:val="18"/>
              </w:rPr>
              <w:t>"Скрытые сокровища:  за всеобщее привитие системы ценностей"</w:t>
            </w:r>
          </w:p>
        </w:tc>
      </w:tr>
      <w:tr w:rsidR="00000000">
        <w:tblPrEx>
          <w:tblCellMar>
            <w:top w:w="0" w:type="dxa"/>
            <w:bottom w:w="0" w:type="dxa"/>
          </w:tblCellMar>
        </w:tblPrEx>
        <w:trPr>
          <w:cantSplit/>
          <w:jc w:val="center"/>
        </w:trPr>
        <w:tc>
          <w:tcPr>
            <w:tcW w:w="985" w:type="pct"/>
            <w:vMerge w:val="restart"/>
            <w:vAlign w:val="center"/>
          </w:tcPr>
          <w:p w:rsidR="00000000" w:rsidRDefault="00000000">
            <w:pPr>
              <w:tabs>
                <w:tab w:val="left" w:pos="748"/>
              </w:tabs>
              <w:rPr>
                <w:sz w:val="18"/>
              </w:rPr>
            </w:pPr>
            <w:r>
              <w:rPr>
                <w:sz w:val="18"/>
              </w:rPr>
              <w:t>Идальго</w:t>
            </w:r>
          </w:p>
        </w:tc>
        <w:tc>
          <w:tcPr>
            <w:tcW w:w="4015" w:type="pct"/>
          </w:tcPr>
          <w:p w:rsidR="00000000" w:rsidRDefault="00000000">
            <w:pPr>
              <w:tabs>
                <w:tab w:val="left" w:pos="748"/>
              </w:tabs>
              <w:rPr>
                <w:sz w:val="18"/>
              </w:rPr>
            </w:pPr>
            <w:r>
              <w:rPr>
                <w:sz w:val="18"/>
              </w:rPr>
              <w:t>"Равенство по признаку пола как непременное условие обучения в начальной и средней школе"</w:t>
            </w:r>
          </w:p>
        </w:tc>
      </w:tr>
      <w:tr w:rsidR="00000000">
        <w:tblPrEx>
          <w:tblCellMar>
            <w:top w:w="0" w:type="dxa"/>
            <w:bottom w:w="0" w:type="dxa"/>
          </w:tblCellMar>
        </w:tblPrEx>
        <w:trPr>
          <w:cantSplit/>
          <w:jc w:val="center"/>
        </w:trPr>
        <w:tc>
          <w:tcPr>
            <w:tcW w:w="985" w:type="pct"/>
            <w:vMerge/>
            <w:vAlign w:val="center"/>
          </w:tcPr>
          <w:p w:rsidR="00000000" w:rsidRDefault="00000000">
            <w:pPr>
              <w:tabs>
                <w:tab w:val="left" w:pos="748"/>
              </w:tabs>
              <w:rPr>
                <w:sz w:val="18"/>
              </w:rPr>
            </w:pPr>
          </w:p>
        </w:tc>
        <w:tc>
          <w:tcPr>
            <w:tcW w:w="4015" w:type="pct"/>
          </w:tcPr>
          <w:p w:rsidR="00000000" w:rsidRDefault="00000000">
            <w:pPr>
              <w:tabs>
                <w:tab w:val="left" w:pos="748"/>
              </w:tabs>
              <w:rPr>
                <w:sz w:val="18"/>
              </w:rPr>
            </w:pPr>
            <w:r>
              <w:rPr>
                <w:sz w:val="18"/>
              </w:rPr>
              <w:t>"Аудитория как важнейший стимулятор уважения и признания значимости культурного многообразия"</w:t>
            </w:r>
          </w:p>
        </w:tc>
      </w:tr>
      <w:tr w:rsidR="00000000">
        <w:tblPrEx>
          <w:tblCellMar>
            <w:top w:w="0" w:type="dxa"/>
            <w:bottom w:w="0" w:type="dxa"/>
          </w:tblCellMar>
        </w:tblPrEx>
        <w:trPr>
          <w:jc w:val="center"/>
        </w:trPr>
        <w:tc>
          <w:tcPr>
            <w:tcW w:w="985" w:type="pct"/>
            <w:vAlign w:val="center"/>
          </w:tcPr>
          <w:p w:rsidR="00000000" w:rsidRDefault="00000000">
            <w:pPr>
              <w:tabs>
                <w:tab w:val="left" w:pos="748"/>
              </w:tabs>
              <w:rPr>
                <w:sz w:val="18"/>
              </w:rPr>
            </w:pPr>
            <w:r>
              <w:rPr>
                <w:sz w:val="18"/>
              </w:rPr>
              <w:t>Нуэво-Леон</w:t>
            </w:r>
          </w:p>
        </w:tc>
        <w:tc>
          <w:tcPr>
            <w:tcW w:w="4015" w:type="pct"/>
          </w:tcPr>
          <w:p w:rsidR="00000000" w:rsidRDefault="00000000">
            <w:pPr>
              <w:tabs>
                <w:tab w:val="left" w:pos="748"/>
              </w:tabs>
              <w:rPr>
                <w:sz w:val="18"/>
              </w:rPr>
            </w:pPr>
            <w:r>
              <w:rPr>
                <w:sz w:val="18"/>
              </w:rPr>
              <w:t xml:space="preserve">"Равенство по признаку пола в системе базового образования" </w:t>
            </w:r>
          </w:p>
        </w:tc>
      </w:tr>
      <w:tr w:rsidR="00000000">
        <w:tblPrEx>
          <w:tblCellMar>
            <w:top w:w="0" w:type="dxa"/>
            <w:bottom w:w="0" w:type="dxa"/>
          </w:tblCellMar>
        </w:tblPrEx>
        <w:trPr>
          <w:jc w:val="center"/>
        </w:trPr>
        <w:tc>
          <w:tcPr>
            <w:tcW w:w="985" w:type="pct"/>
            <w:vAlign w:val="center"/>
          </w:tcPr>
          <w:p w:rsidR="00000000" w:rsidRDefault="00000000">
            <w:pPr>
              <w:tabs>
                <w:tab w:val="left" w:pos="748"/>
              </w:tabs>
              <w:rPr>
                <w:sz w:val="18"/>
              </w:rPr>
            </w:pPr>
            <w:r>
              <w:rPr>
                <w:sz w:val="18"/>
              </w:rPr>
              <w:t>Оахака</w:t>
            </w:r>
          </w:p>
        </w:tc>
        <w:tc>
          <w:tcPr>
            <w:tcW w:w="4015" w:type="pct"/>
          </w:tcPr>
          <w:p w:rsidR="00000000" w:rsidRDefault="00000000">
            <w:pPr>
              <w:tabs>
                <w:tab w:val="left" w:pos="748"/>
              </w:tabs>
              <w:rPr>
                <w:sz w:val="18"/>
              </w:rPr>
            </w:pPr>
            <w:r>
              <w:rPr>
                <w:sz w:val="18"/>
              </w:rPr>
              <w:t>"Воспитание в духе равенства по признаку пола.  За равенство возможностей мальчиков и девочек в школьной среде"</w:t>
            </w:r>
          </w:p>
        </w:tc>
      </w:tr>
      <w:tr w:rsidR="00000000">
        <w:tblPrEx>
          <w:tblCellMar>
            <w:top w:w="0" w:type="dxa"/>
            <w:bottom w:w="0" w:type="dxa"/>
          </w:tblCellMar>
        </w:tblPrEx>
        <w:trPr>
          <w:jc w:val="center"/>
        </w:trPr>
        <w:tc>
          <w:tcPr>
            <w:tcW w:w="985" w:type="pct"/>
            <w:vAlign w:val="center"/>
          </w:tcPr>
          <w:p w:rsidR="00000000" w:rsidRDefault="00000000">
            <w:pPr>
              <w:tabs>
                <w:tab w:val="left" w:pos="748"/>
              </w:tabs>
              <w:rPr>
                <w:sz w:val="18"/>
              </w:rPr>
            </w:pPr>
            <w:r>
              <w:rPr>
                <w:sz w:val="18"/>
              </w:rPr>
              <w:t>Синалоа</w:t>
            </w:r>
          </w:p>
        </w:tc>
        <w:tc>
          <w:tcPr>
            <w:tcW w:w="4015" w:type="pct"/>
          </w:tcPr>
          <w:p w:rsidR="00000000" w:rsidRDefault="00000000">
            <w:pPr>
              <w:tabs>
                <w:tab w:val="left" w:pos="748"/>
              </w:tabs>
              <w:rPr>
                <w:sz w:val="18"/>
              </w:rPr>
            </w:pPr>
            <w:r>
              <w:rPr>
                <w:sz w:val="18"/>
              </w:rPr>
              <w:t>"Основные элементы программы гражданского и этического воспитания, ее содержание и направленность"</w:t>
            </w:r>
          </w:p>
        </w:tc>
      </w:tr>
      <w:tr w:rsidR="00000000">
        <w:tblPrEx>
          <w:tblCellMar>
            <w:top w:w="0" w:type="dxa"/>
            <w:bottom w:w="0" w:type="dxa"/>
          </w:tblCellMar>
        </w:tblPrEx>
        <w:trPr>
          <w:jc w:val="center"/>
        </w:trPr>
        <w:tc>
          <w:tcPr>
            <w:tcW w:w="985" w:type="pct"/>
            <w:vAlign w:val="center"/>
          </w:tcPr>
          <w:p w:rsidR="00000000" w:rsidRDefault="00000000">
            <w:pPr>
              <w:tabs>
                <w:tab w:val="left" w:pos="748"/>
              </w:tabs>
              <w:rPr>
                <w:sz w:val="18"/>
              </w:rPr>
            </w:pPr>
            <w:r>
              <w:rPr>
                <w:sz w:val="18"/>
              </w:rPr>
              <w:t>Тласкала</w:t>
            </w:r>
          </w:p>
        </w:tc>
        <w:tc>
          <w:tcPr>
            <w:tcW w:w="4015" w:type="pct"/>
          </w:tcPr>
          <w:p w:rsidR="00000000" w:rsidRDefault="00000000">
            <w:pPr>
              <w:tabs>
                <w:tab w:val="left" w:pos="748"/>
              </w:tabs>
              <w:rPr>
                <w:sz w:val="18"/>
              </w:rPr>
            </w:pPr>
            <w:r>
              <w:rPr>
                <w:sz w:val="18"/>
              </w:rPr>
              <w:t>"За изменение подхода и отношения преподавателей системы базового образования к учащимся в целях обеспечения более благожелательного отношения к ним"</w:t>
            </w:r>
          </w:p>
        </w:tc>
      </w:tr>
      <w:tr w:rsidR="00000000">
        <w:tblPrEx>
          <w:tblCellMar>
            <w:top w:w="0" w:type="dxa"/>
            <w:bottom w:w="0" w:type="dxa"/>
          </w:tblCellMar>
        </w:tblPrEx>
        <w:trPr>
          <w:jc w:val="center"/>
        </w:trPr>
        <w:tc>
          <w:tcPr>
            <w:tcW w:w="985" w:type="pct"/>
            <w:vAlign w:val="center"/>
          </w:tcPr>
          <w:p w:rsidR="00000000" w:rsidRDefault="00000000">
            <w:pPr>
              <w:tabs>
                <w:tab w:val="left" w:pos="748"/>
              </w:tabs>
              <w:rPr>
                <w:sz w:val="18"/>
              </w:rPr>
            </w:pPr>
            <w:r>
              <w:rPr>
                <w:sz w:val="18"/>
              </w:rPr>
              <w:t>Юкатан</w:t>
            </w:r>
          </w:p>
        </w:tc>
        <w:tc>
          <w:tcPr>
            <w:tcW w:w="4015" w:type="pct"/>
          </w:tcPr>
          <w:p w:rsidR="00000000" w:rsidRDefault="00000000">
            <w:pPr>
              <w:tabs>
                <w:tab w:val="left" w:pos="748"/>
              </w:tabs>
              <w:rPr>
                <w:sz w:val="18"/>
              </w:rPr>
            </w:pPr>
            <w:r>
              <w:rPr>
                <w:sz w:val="18"/>
              </w:rPr>
              <w:t>"Сексуальное воспитание в условиях равенства по признаку пола на начальном и дошкольном уровнях"</w:t>
            </w:r>
          </w:p>
        </w:tc>
      </w:tr>
    </w:tbl>
    <w:p w:rsidR="00000000" w:rsidRDefault="00000000">
      <w:pPr>
        <w:tabs>
          <w:tab w:val="left" w:pos="748"/>
        </w:tabs>
      </w:pPr>
    </w:p>
    <w:p w:rsidR="00000000" w:rsidRDefault="00000000">
      <w:pPr>
        <w:tabs>
          <w:tab w:val="left" w:pos="748"/>
        </w:tabs>
      </w:pPr>
      <w:r>
        <w:br w:type="page"/>
        <w:t>1221.</w:t>
      </w:r>
      <w:r>
        <w:tab/>
      </w:r>
      <w:r>
        <w:tab/>
        <w:t>На уровне государственной судебной власти Институт федерального судейского корпуса в качестве вспомогательного органа Федерального совета судей по вопросам исследований, подготовки, переподготовки и повышения квалификации членов федерального судейского корпуса и тех, кто мечтает туда попасть, также включил в свои программы и учебные планы подготовки, переподготовки и повышения квалификации тему прав человека как части общего образовательного процесса, а именно:</w:t>
      </w:r>
    </w:p>
    <w:p w:rsidR="00000000" w:rsidRDefault="00000000">
      <w:pPr>
        <w:tabs>
          <w:tab w:val="left" w:pos="748"/>
        </w:tabs>
      </w:pPr>
    </w:p>
    <w:p w:rsidR="00000000" w:rsidRDefault="00000000">
      <w:pPr>
        <w:numPr>
          <w:ilvl w:val="0"/>
          <w:numId w:val="509"/>
        </w:numPr>
        <w:tabs>
          <w:tab w:val="clear" w:pos="1068"/>
        </w:tabs>
        <w:ind w:left="1134" w:hanging="567"/>
      </w:pPr>
      <w:r>
        <w:t>по специальности "Отправление правосудия на уровне районного суда" данная тема подробно изучается в четырех из шести основных блоков (этико-юридические основы функционирования правосудия;  международная юрисдикция и права человека;  доступ к правосудию;  и вопросы управления в органах юстиции).  Применительно к остальным двум блокам, относящимся к процедуре ампаро и отсрочке исполнения, она рассматривается как факультативная, но рекомендуемая;</w:t>
      </w:r>
    </w:p>
    <w:p w:rsidR="00000000" w:rsidRDefault="00000000"/>
    <w:p w:rsidR="00000000" w:rsidRDefault="00000000">
      <w:pPr>
        <w:numPr>
          <w:ilvl w:val="0"/>
          <w:numId w:val="509"/>
        </w:numPr>
        <w:tabs>
          <w:tab w:val="clear" w:pos="1068"/>
        </w:tabs>
        <w:ind w:left="1134" w:hanging="567"/>
      </w:pPr>
      <w:r>
        <w:t>по специальности "Секретарские обязанности" эта тема изучается как профильная по предметам "Судебная этика" и "Уголовный процесс и права человека" и как вспомогательная - применительно к процедуре ампаро;</w:t>
      </w:r>
    </w:p>
    <w:p w:rsidR="00000000" w:rsidRDefault="00000000"/>
    <w:p w:rsidR="00000000" w:rsidRDefault="00000000">
      <w:pPr>
        <w:numPr>
          <w:ilvl w:val="0"/>
          <w:numId w:val="509"/>
        </w:numPr>
        <w:tabs>
          <w:tab w:val="clear" w:pos="1068"/>
        </w:tabs>
        <w:ind w:left="1134" w:hanging="567"/>
      </w:pPr>
      <w:r>
        <w:t>по специальности "Отправление правосудия на уровне окружного суда" вопросы прав человека изучаются по теме "Доступ к правосудию";</w:t>
      </w:r>
    </w:p>
    <w:p w:rsidR="00000000" w:rsidRDefault="00000000"/>
    <w:p w:rsidR="00000000" w:rsidRDefault="00000000">
      <w:pPr>
        <w:numPr>
          <w:ilvl w:val="0"/>
          <w:numId w:val="509"/>
        </w:numPr>
        <w:tabs>
          <w:tab w:val="clear" w:pos="1068"/>
        </w:tabs>
        <w:ind w:left="1134" w:hanging="567"/>
      </w:pPr>
      <w:r>
        <w:t>на курсах правовой подготовки и специализации к изучению предлагаются предметы "Проблемы глобализации и права человека" и "Конституционное право и индивидуальные гарантии".</w:t>
      </w:r>
    </w:p>
    <w:p w:rsidR="00000000" w:rsidRDefault="00000000"/>
    <w:p w:rsidR="00000000" w:rsidRDefault="00000000">
      <w:pPr>
        <w:tabs>
          <w:tab w:val="left" w:pos="748"/>
        </w:tabs>
      </w:pPr>
      <w:r>
        <w:t>1222.</w:t>
      </w:r>
      <w:r>
        <w:tab/>
      </w:r>
      <w:r>
        <w:tab/>
        <w:t>Кроме того, на различных курсах правовой переподготовки, на семинарах, рабочих совещаниях, на защитах дипломов, конференциях и презентациях книг тема прав человека звучала непосредственно или в качестве ссылки в ходе следующих мероприятий:</w:t>
      </w:r>
    </w:p>
    <w:p w:rsidR="00000000" w:rsidRDefault="00000000"/>
    <w:p w:rsidR="00000000" w:rsidRDefault="00000000">
      <w:pPr>
        <w:numPr>
          <w:ilvl w:val="0"/>
          <w:numId w:val="509"/>
        </w:numPr>
        <w:tabs>
          <w:tab w:val="clear" w:pos="1068"/>
        </w:tabs>
        <w:ind w:left="1134" w:hanging="567"/>
      </w:pPr>
      <w:r>
        <w:t>Курс международного права.  Права человека (2000 год);  Первый курс специализации по правам детей (2001 год);  Курс специализации по правам детей (2002 год);  Право и лингвистическая политика в Мексике (2003 год);  Курс специализации по применению положений международных договоров в судебных решениях:  особый случай уголовного правосудия по делам несовершеннолетних (2003 год).</w:t>
      </w:r>
    </w:p>
    <w:p w:rsidR="00000000" w:rsidRDefault="00000000"/>
    <w:p w:rsidR="00000000" w:rsidRDefault="00000000">
      <w:pPr>
        <w:numPr>
          <w:ilvl w:val="0"/>
          <w:numId w:val="510"/>
        </w:numPr>
        <w:tabs>
          <w:tab w:val="clear" w:pos="1068"/>
        </w:tabs>
        <w:ind w:left="1134" w:hanging="567"/>
      </w:pPr>
      <w:r>
        <w:t>Семинары по темам "Коренные народы:  Нормативные системы, национальное и международное законодательство" (2001 год);  и "Актуальные проблемы конституционного права" (2002 год).</w:t>
      </w:r>
    </w:p>
    <w:p w:rsidR="00000000" w:rsidRDefault="00000000">
      <w:pPr>
        <w:ind w:left="1134" w:hanging="567"/>
      </w:pPr>
    </w:p>
    <w:p w:rsidR="00000000" w:rsidRDefault="00000000">
      <w:pPr>
        <w:numPr>
          <w:ilvl w:val="0"/>
          <w:numId w:val="510"/>
        </w:numPr>
        <w:tabs>
          <w:tab w:val="clear" w:pos="1068"/>
        </w:tabs>
        <w:ind w:left="1134" w:hanging="567"/>
      </w:pPr>
      <w:r>
        <w:t>Дипломная работа по правам коренных народов (2002 год);  Дипломная работа "Судопроизводство, социальный контекст и международное право" (2003 год).  Модули:  III.  Судопроизводство и интернационализация права и IV.  Судопроизводство и права человека;  Дипломная работа "Конституционное право и процедура ампаро" (2001 год).  Модуль II:  Индивидуальные гарантии и права человека.</w:t>
      </w:r>
    </w:p>
    <w:p w:rsidR="00000000" w:rsidRDefault="00000000">
      <w:pPr>
        <w:ind w:left="1134" w:hanging="567"/>
      </w:pPr>
    </w:p>
    <w:p w:rsidR="00000000" w:rsidRDefault="00000000">
      <w:pPr>
        <w:numPr>
          <w:ilvl w:val="0"/>
          <w:numId w:val="510"/>
        </w:numPr>
        <w:tabs>
          <w:tab w:val="clear" w:pos="1068"/>
        </w:tabs>
        <w:ind w:left="1134" w:hanging="567"/>
      </w:pPr>
      <w:r>
        <w:t>Рабочее совещание по теме "Права человека в Мексике" (2000 год).</w:t>
      </w:r>
    </w:p>
    <w:p w:rsidR="00000000" w:rsidRDefault="00000000">
      <w:pPr>
        <w:ind w:left="1134" w:hanging="567"/>
      </w:pPr>
    </w:p>
    <w:p w:rsidR="00000000" w:rsidRDefault="00000000">
      <w:pPr>
        <w:numPr>
          <w:ilvl w:val="0"/>
          <w:numId w:val="510"/>
        </w:numPr>
        <w:tabs>
          <w:tab w:val="clear" w:pos="1068"/>
        </w:tabs>
        <w:ind w:left="1134" w:hanging="567"/>
      </w:pPr>
      <w:r>
        <w:t>Конференция на тему "Индивидуальные гарантии и надлежащее судебное разбирательство" (2001 год).</w:t>
      </w:r>
    </w:p>
    <w:p w:rsidR="00000000" w:rsidRDefault="00000000">
      <w:pPr>
        <w:ind w:left="1134" w:hanging="567"/>
      </w:pPr>
    </w:p>
    <w:p w:rsidR="00000000" w:rsidRDefault="00000000">
      <w:pPr>
        <w:numPr>
          <w:ilvl w:val="0"/>
          <w:numId w:val="510"/>
        </w:numPr>
        <w:tabs>
          <w:tab w:val="clear" w:pos="1068"/>
        </w:tabs>
        <w:ind w:left="1134" w:hanging="567"/>
      </w:pPr>
      <w:r>
        <w:t xml:space="preserve">Презентации книг:  </w:t>
      </w:r>
      <w:r>
        <w:rPr>
          <w:i/>
          <w:iCs/>
        </w:rPr>
        <w:t>El amparo colectivo protector del derecho al ambiente y de otros derechos humanos</w:t>
      </w:r>
      <w:r>
        <w:t xml:space="preserve">, автор - д-р Лусио Кабрера (2001 год);  </w:t>
      </w:r>
      <w:r>
        <w:rPr>
          <w:i/>
          <w:iCs/>
        </w:rPr>
        <w:t>Los derechos humanos en la Constitución y en los tratados internacionales</w:t>
      </w:r>
      <w:r>
        <w:t xml:space="preserve">, автор - советник Энрике Санчес Бангас (2001 год);  </w:t>
      </w:r>
      <w:r>
        <w:rPr>
          <w:i/>
          <w:iCs/>
        </w:rPr>
        <w:t>Las garantías constitucionales en el juicio de amparo indirecto en materia penal</w:t>
      </w:r>
      <w:r>
        <w:t xml:space="preserve">, автор - судья Рикардо Гусман Волфер (2002 год);  </w:t>
      </w:r>
      <w:r>
        <w:rPr>
          <w:i/>
          <w:iCs/>
        </w:rPr>
        <w:t>Las garantías individuales en México.  Su interpretación por el Poder Judicial de la Federación</w:t>
      </w:r>
      <w:r>
        <w:t xml:space="preserve">, автор - судья Ариэль Рохас Кабальеро (2002 год);  </w:t>
      </w:r>
      <w:r>
        <w:rPr>
          <w:i/>
          <w:iCs/>
        </w:rPr>
        <w:t>Derecho, género e infancia.  Mujeres, niños, niñas y adolescentes en los códigos penales de América Latina y el Caribe Hispano</w:t>
      </w:r>
      <w:r>
        <w:t>, автор - Лаура Салинас Беринстайн (2003 год).</w:t>
      </w:r>
    </w:p>
    <w:p w:rsidR="00000000" w:rsidRDefault="00000000"/>
    <w:p w:rsidR="00000000" w:rsidRDefault="00000000">
      <w:pPr>
        <w:numPr>
          <w:ilvl w:val="0"/>
          <w:numId w:val="510"/>
        </w:numPr>
        <w:tabs>
          <w:tab w:val="clear" w:pos="1068"/>
        </w:tabs>
        <w:ind w:left="1134" w:hanging="567"/>
      </w:pPr>
      <w:r>
        <w:t>Прочие мероприятия:  выпуск компактного диска "Учебник по правам человека", автор - д-р Альфредо Ислас Колин (2001 год);  и Встреча федерального судейского корпуса с традиционным судейским корпусом индейцев майя (2002 год).</w:t>
      </w:r>
    </w:p>
    <w:p w:rsidR="00000000" w:rsidRDefault="00000000"/>
    <w:p w:rsidR="00000000" w:rsidRDefault="00000000">
      <w:pPr>
        <w:tabs>
          <w:tab w:val="left" w:pos="748"/>
        </w:tabs>
      </w:pPr>
      <w:r>
        <w:t>1223.</w:t>
      </w:r>
      <w:r>
        <w:tab/>
      </w:r>
      <w:r>
        <w:tab/>
        <w:t>В дополнение к усилиям, предпринимаемым в рамках своей компетенции министерством просвещения и Институтом федерального судейского корпуса, Национальная комиссия по правам человека (НКПЧ) ведет свои исследования, проводит учебные занятия и пропагандирует права человека на национальном и международном уровне.  Для этого НКПЧ располагает собственной программой подготовки, рассчитанной на федеральных гражданских служащих, занятых в органах юстиции, общественной безопасности, миграционных службах, учреждениях здравоохранения и вооруженных силах, причем особый акцент делается организацию курсов для учителей базового уровня образования.  В 2000 году в интересах лиц, занятых в образовательном секторе, было проведено 145 мероприятий с участием 9 011 человек, а именно:</w:t>
      </w:r>
    </w:p>
    <w:p w:rsidR="00000000" w:rsidRDefault="00000000">
      <w:pPr>
        <w:tabs>
          <w:tab w:val="left" w:pos="748"/>
        </w:tabs>
      </w:pPr>
    </w:p>
    <w:tbl>
      <w:tblPr>
        <w:tblW w:w="0" w:type="auto"/>
        <w:jc w:val="center"/>
        <w:tblInd w:w="2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680"/>
        <w:gridCol w:w="1640"/>
      </w:tblGrid>
      <w:tr w:rsidR="00000000">
        <w:tblPrEx>
          <w:tblCellMar>
            <w:top w:w="0" w:type="dxa"/>
            <w:bottom w:w="0" w:type="dxa"/>
          </w:tblCellMar>
        </w:tblPrEx>
        <w:trPr>
          <w:jc w:val="center"/>
        </w:trPr>
        <w:tc>
          <w:tcPr>
            <w:tcW w:w="3600" w:type="dxa"/>
          </w:tcPr>
          <w:p w:rsidR="00000000" w:rsidRDefault="00000000">
            <w:pPr>
              <w:tabs>
                <w:tab w:val="left" w:pos="748"/>
              </w:tabs>
              <w:spacing w:before="80"/>
              <w:jc w:val="center"/>
              <w:rPr>
                <w:i/>
                <w:iCs/>
                <w:sz w:val="18"/>
              </w:rPr>
            </w:pPr>
          </w:p>
        </w:tc>
        <w:tc>
          <w:tcPr>
            <w:tcW w:w="1680" w:type="dxa"/>
          </w:tcPr>
          <w:p w:rsidR="00000000" w:rsidRDefault="00000000">
            <w:pPr>
              <w:tabs>
                <w:tab w:val="left" w:pos="748"/>
              </w:tabs>
              <w:spacing w:before="80"/>
              <w:jc w:val="center"/>
              <w:rPr>
                <w:i/>
                <w:iCs/>
                <w:sz w:val="18"/>
              </w:rPr>
            </w:pPr>
            <w:r>
              <w:rPr>
                <w:i/>
                <w:iCs/>
                <w:sz w:val="18"/>
              </w:rPr>
              <w:t xml:space="preserve">Мероприятия </w:t>
            </w:r>
          </w:p>
        </w:tc>
        <w:tc>
          <w:tcPr>
            <w:tcW w:w="1640" w:type="dxa"/>
          </w:tcPr>
          <w:p w:rsidR="00000000" w:rsidRDefault="00000000">
            <w:pPr>
              <w:tabs>
                <w:tab w:val="left" w:pos="748"/>
              </w:tabs>
              <w:spacing w:before="80"/>
              <w:jc w:val="center"/>
              <w:rPr>
                <w:i/>
                <w:iCs/>
                <w:sz w:val="18"/>
              </w:rPr>
            </w:pPr>
            <w:r>
              <w:rPr>
                <w:i/>
                <w:iCs/>
                <w:sz w:val="18"/>
              </w:rPr>
              <w:t>Участники</w:t>
            </w:r>
          </w:p>
        </w:tc>
      </w:tr>
      <w:tr w:rsidR="00000000">
        <w:tblPrEx>
          <w:tblCellMar>
            <w:top w:w="0" w:type="dxa"/>
            <w:bottom w:w="0" w:type="dxa"/>
          </w:tblCellMar>
        </w:tblPrEx>
        <w:trPr>
          <w:jc w:val="center"/>
        </w:trPr>
        <w:tc>
          <w:tcPr>
            <w:tcW w:w="3600" w:type="dxa"/>
          </w:tcPr>
          <w:p w:rsidR="00000000" w:rsidRDefault="00000000">
            <w:pPr>
              <w:tabs>
                <w:tab w:val="left" w:pos="748"/>
              </w:tabs>
              <w:spacing w:before="80"/>
              <w:rPr>
                <w:sz w:val="18"/>
              </w:rPr>
            </w:pPr>
            <w:r>
              <w:rPr>
                <w:sz w:val="18"/>
              </w:rPr>
              <w:t xml:space="preserve">Высшее образование </w:t>
            </w:r>
          </w:p>
        </w:tc>
        <w:tc>
          <w:tcPr>
            <w:tcW w:w="1680" w:type="dxa"/>
          </w:tcPr>
          <w:p w:rsidR="00000000" w:rsidRDefault="00000000">
            <w:pPr>
              <w:tabs>
                <w:tab w:val="left" w:pos="748"/>
              </w:tabs>
              <w:spacing w:before="80"/>
              <w:ind w:right="547"/>
              <w:jc w:val="right"/>
              <w:rPr>
                <w:sz w:val="18"/>
              </w:rPr>
            </w:pPr>
            <w:r>
              <w:rPr>
                <w:sz w:val="18"/>
              </w:rPr>
              <w:t>68</w:t>
            </w:r>
          </w:p>
        </w:tc>
        <w:tc>
          <w:tcPr>
            <w:tcW w:w="1640" w:type="dxa"/>
          </w:tcPr>
          <w:p w:rsidR="00000000" w:rsidRDefault="00000000">
            <w:pPr>
              <w:tabs>
                <w:tab w:val="left" w:pos="748"/>
              </w:tabs>
              <w:spacing w:before="80"/>
              <w:jc w:val="center"/>
              <w:rPr>
                <w:sz w:val="18"/>
              </w:rPr>
            </w:pPr>
            <w:r>
              <w:rPr>
                <w:sz w:val="18"/>
              </w:rPr>
              <w:t>4 970</w:t>
            </w:r>
          </w:p>
        </w:tc>
      </w:tr>
      <w:tr w:rsidR="00000000">
        <w:tblPrEx>
          <w:tblCellMar>
            <w:top w:w="0" w:type="dxa"/>
            <w:bottom w:w="0" w:type="dxa"/>
          </w:tblCellMar>
        </w:tblPrEx>
        <w:trPr>
          <w:jc w:val="center"/>
        </w:trPr>
        <w:tc>
          <w:tcPr>
            <w:tcW w:w="3600" w:type="dxa"/>
          </w:tcPr>
          <w:p w:rsidR="00000000" w:rsidRDefault="00000000">
            <w:pPr>
              <w:tabs>
                <w:tab w:val="left" w:pos="748"/>
              </w:tabs>
              <w:spacing w:before="80"/>
              <w:rPr>
                <w:sz w:val="18"/>
              </w:rPr>
            </w:pPr>
            <w:r>
              <w:rPr>
                <w:sz w:val="18"/>
              </w:rPr>
              <w:t>Базовое образование</w:t>
            </w:r>
          </w:p>
        </w:tc>
        <w:tc>
          <w:tcPr>
            <w:tcW w:w="1680" w:type="dxa"/>
          </w:tcPr>
          <w:p w:rsidR="00000000" w:rsidRDefault="00000000">
            <w:pPr>
              <w:tabs>
                <w:tab w:val="left" w:pos="748"/>
              </w:tabs>
              <w:spacing w:before="80"/>
              <w:ind w:right="547"/>
              <w:jc w:val="right"/>
              <w:rPr>
                <w:sz w:val="18"/>
              </w:rPr>
            </w:pPr>
            <w:r>
              <w:rPr>
                <w:sz w:val="18"/>
              </w:rPr>
              <w:t>60</w:t>
            </w:r>
          </w:p>
        </w:tc>
        <w:tc>
          <w:tcPr>
            <w:tcW w:w="1640" w:type="dxa"/>
          </w:tcPr>
          <w:p w:rsidR="00000000" w:rsidRDefault="00000000">
            <w:pPr>
              <w:tabs>
                <w:tab w:val="left" w:pos="748"/>
              </w:tabs>
              <w:spacing w:before="80"/>
              <w:jc w:val="center"/>
              <w:rPr>
                <w:sz w:val="18"/>
              </w:rPr>
            </w:pPr>
            <w:r>
              <w:rPr>
                <w:sz w:val="18"/>
              </w:rPr>
              <w:t>2 671</w:t>
            </w:r>
          </w:p>
        </w:tc>
      </w:tr>
      <w:tr w:rsidR="00000000">
        <w:tblPrEx>
          <w:tblCellMar>
            <w:top w:w="0" w:type="dxa"/>
            <w:bottom w:w="0" w:type="dxa"/>
          </w:tblCellMar>
        </w:tblPrEx>
        <w:trPr>
          <w:jc w:val="center"/>
        </w:trPr>
        <w:tc>
          <w:tcPr>
            <w:tcW w:w="3600" w:type="dxa"/>
          </w:tcPr>
          <w:p w:rsidR="00000000" w:rsidRDefault="00000000">
            <w:pPr>
              <w:tabs>
                <w:tab w:val="left" w:pos="748"/>
              </w:tabs>
              <w:spacing w:before="80"/>
              <w:rPr>
                <w:sz w:val="18"/>
              </w:rPr>
            </w:pPr>
            <w:r>
              <w:rPr>
                <w:sz w:val="18"/>
              </w:rPr>
              <w:t>Среднее образование</w:t>
            </w:r>
          </w:p>
        </w:tc>
        <w:tc>
          <w:tcPr>
            <w:tcW w:w="1680" w:type="dxa"/>
          </w:tcPr>
          <w:p w:rsidR="00000000" w:rsidRDefault="00000000">
            <w:pPr>
              <w:tabs>
                <w:tab w:val="left" w:pos="748"/>
              </w:tabs>
              <w:spacing w:before="80"/>
              <w:ind w:right="547"/>
              <w:jc w:val="right"/>
              <w:rPr>
                <w:sz w:val="18"/>
              </w:rPr>
            </w:pPr>
            <w:r>
              <w:rPr>
                <w:sz w:val="18"/>
              </w:rPr>
              <w:t>17</w:t>
            </w:r>
          </w:p>
        </w:tc>
        <w:tc>
          <w:tcPr>
            <w:tcW w:w="1640" w:type="dxa"/>
          </w:tcPr>
          <w:p w:rsidR="00000000" w:rsidRDefault="00000000">
            <w:pPr>
              <w:tabs>
                <w:tab w:val="left" w:pos="748"/>
              </w:tabs>
              <w:spacing w:before="80"/>
              <w:jc w:val="center"/>
              <w:rPr>
                <w:b/>
                <w:sz w:val="18"/>
              </w:rPr>
            </w:pPr>
            <w:r>
              <w:rPr>
                <w:sz w:val="18"/>
              </w:rPr>
              <w:t>1 370</w:t>
            </w:r>
          </w:p>
        </w:tc>
      </w:tr>
      <w:tr w:rsidR="00000000">
        <w:tblPrEx>
          <w:tblCellMar>
            <w:top w:w="0" w:type="dxa"/>
            <w:bottom w:w="0" w:type="dxa"/>
          </w:tblCellMar>
        </w:tblPrEx>
        <w:trPr>
          <w:jc w:val="center"/>
        </w:trPr>
        <w:tc>
          <w:tcPr>
            <w:tcW w:w="3600" w:type="dxa"/>
          </w:tcPr>
          <w:p w:rsidR="00000000" w:rsidRDefault="00000000">
            <w:pPr>
              <w:tabs>
                <w:tab w:val="left" w:pos="748"/>
              </w:tabs>
              <w:spacing w:before="80"/>
              <w:rPr>
                <w:sz w:val="18"/>
              </w:rPr>
            </w:pPr>
            <w:r>
              <w:rPr>
                <w:sz w:val="18"/>
              </w:rPr>
              <w:tab/>
              <w:t>Всего</w:t>
            </w:r>
          </w:p>
        </w:tc>
        <w:tc>
          <w:tcPr>
            <w:tcW w:w="1680" w:type="dxa"/>
          </w:tcPr>
          <w:p w:rsidR="00000000" w:rsidRDefault="00000000">
            <w:pPr>
              <w:tabs>
                <w:tab w:val="left" w:pos="748"/>
              </w:tabs>
              <w:spacing w:before="80"/>
              <w:ind w:right="547"/>
              <w:jc w:val="right"/>
              <w:rPr>
                <w:bCs/>
                <w:sz w:val="18"/>
              </w:rPr>
            </w:pPr>
            <w:r>
              <w:rPr>
                <w:bCs/>
                <w:sz w:val="18"/>
              </w:rPr>
              <w:t>145</w:t>
            </w:r>
          </w:p>
        </w:tc>
        <w:tc>
          <w:tcPr>
            <w:tcW w:w="1640" w:type="dxa"/>
          </w:tcPr>
          <w:p w:rsidR="00000000" w:rsidRDefault="00000000">
            <w:pPr>
              <w:tabs>
                <w:tab w:val="left" w:pos="748"/>
              </w:tabs>
              <w:spacing w:before="80"/>
              <w:jc w:val="center"/>
              <w:rPr>
                <w:bCs/>
                <w:sz w:val="18"/>
              </w:rPr>
            </w:pPr>
            <w:r>
              <w:rPr>
                <w:bCs/>
                <w:sz w:val="18"/>
              </w:rPr>
              <w:t>9 011</w:t>
            </w:r>
          </w:p>
        </w:tc>
      </w:tr>
    </w:tbl>
    <w:p w:rsidR="00000000" w:rsidRDefault="00000000">
      <w:pPr>
        <w:tabs>
          <w:tab w:val="left" w:pos="748"/>
        </w:tabs>
      </w:pPr>
    </w:p>
    <w:p w:rsidR="00000000" w:rsidRDefault="00000000">
      <w:pPr>
        <w:tabs>
          <w:tab w:val="left" w:pos="748"/>
        </w:tabs>
      </w:pPr>
      <w:r>
        <w:t>1224.</w:t>
      </w:r>
      <w:r>
        <w:tab/>
      </w:r>
      <w:r>
        <w:tab/>
        <w:t>В 2001 году - с целью воспитания с ранних лет жизни на принципах уважения прав человека - были проведены 90 мероприятий в рамках базового образования, в которых приняли участие 5 540 человек, среди которых были директора школ, преподаватели, родители, а также учащиеся.</w:t>
      </w:r>
    </w:p>
    <w:p w:rsidR="00000000" w:rsidRDefault="00000000">
      <w:pPr>
        <w:tabs>
          <w:tab w:val="left" w:pos="748"/>
        </w:tabs>
      </w:pPr>
    </w:p>
    <w:p w:rsidR="00000000" w:rsidRDefault="00000000">
      <w:pPr>
        <w:tabs>
          <w:tab w:val="left" w:pos="748"/>
        </w:tabs>
      </w:pPr>
      <w:r>
        <w:t>1225.</w:t>
      </w:r>
      <w:r>
        <w:tab/>
      </w:r>
      <w:r>
        <w:tab/>
        <w:t>Расширенное среднее образование - это особый уровень средней школы со специальным курсом по правам человека.  В рамках этого уровня были проведены 52 мероприятия с участием 3 982 человек.  Также было представлено несколько дипломных работ, проведено несколько курсов, рабочих совещаний, семинаров и встреч.  В сумме получилось 44 мероприятия с участием 3 014 человек.</w:t>
      </w:r>
    </w:p>
    <w:p w:rsidR="00000000" w:rsidRDefault="00000000">
      <w:pPr>
        <w:tabs>
          <w:tab w:val="left" w:pos="748"/>
        </w:tabs>
      </w:pPr>
    </w:p>
    <w:p w:rsidR="00000000" w:rsidRDefault="00000000">
      <w:pPr>
        <w:tabs>
          <w:tab w:val="left" w:pos="748"/>
        </w:tabs>
      </w:pPr>
      <w:r>
        <w:t>1226.</w:t>
      </w:r>
      <w:r>
        <w:tab/>
      </w:r>
      <w:r>
        <w:tab/>
        <w:t>В 2002 году в рамках системы базового образования были проведены 36 мероприятий с участием 1 567 человек.</w:t>
      </w:r>
    </w:p>
    <w:p w:rsidR="00000000" w:rsidRDefault="00000000">
      <w:pPr>
        <w:tabs>
          <w:tab w:val="left" w:pos="748"/>
        </w:tabs>
      </w:pPr>
    </w:p>
    <w:p w:rsidR="00000000" w:rsidRDefault="00000000">
      <w:pPr>
        <w:tabs>
          <w:tab w:val="left" w:pos="748"/>
        </w:tabs>
      </w:pPr>
      <w:r>
        <w:t>1227.</w:t>
      </w:r>
      <w:r>
        <w:tab/>
      </w:r>
      <w:r>
        <w:tab/>
        <w:t>Следует отметить шесть видеофильмов, снятых в рамках учебной программы "Права человека на службе базового образования" и рассчитанных на подготовку учителей базового уровня образования для всей Мексиканской Республики.  В съемках приняли совместное участие министерство просвещения и Латиноамериканский институт связей в области образования.</w:t>
      </w:r>
    </w:p>
    <w:p w:rsidR="00000000" w:rsidRDefault="00000000">
      <w:pPr>
        <w:tabs>
          <w:tab w:val="left" w:pos="748"/>
        </w:tabs>
      </w:pPr>
    </w:p>
    <w:p w:rsidR="00000000" w:rsidRDefault="00000000">
      <w:pPr>
        <w:tabs>
          <w:tab w:val="left" w:pos="748"/>
        </w:tabs>
      </w:pPr>
      <w:r>
        <w:t>1228.</w:t>
      </w:r>
      <w:r>
        <w:tab/>
      </w:r>
      <w:r>
        <w:tab/>
        <w:t>Что касается среднего образования, то были проведены 20 мероприятий с участием 1 759 человек.  Говоря о высшем образовании, следует отметить 47 мероприятий, в которых приняли участие 3 225 человек.  Среди этих мероприятий следует выделить следующие:</w:t>
      </w:r>
    </w:p>
    <w:p w:rsidR="00000000" w:rsidRDefault="00000000">
      <w:pPr>
        <w:tabs>
          <w:tab w:val="left" w:pos="748"/>
        </w:tabs>
      </w:pPr>
    </w:p>
    <w:p w:rsidR="00000000" w:rsidRDefault="00000000">
      <w:pPr>
        <w:tabs>
          <w:tab w:val="left" w:pos="748"/>
        </w:tabs>
      </w:pPr>
      <w:r>
        <w:t>1229.</w:t>
      </w:r>
      <w:r>
        <w:tab/>
      </w:r>
      <w:r>
        <w:tab/>
        <w:t>Первый региональный форум по правам человека, организованный в мае месяце силами Национальной комиссии и Университета города Мариста-де-Мерида, в котором приняли участие студенты университетов из штатов Кинтана-Роо, Кампече и Юкатан.</w:t>
      </w:r>
    </w:p>
    <w:p w:rsidR="00000000" w:rsidRDefault="00000000">
      <w:pPr>
        <w:tabs>
          <w:tab w:val="left" w:pos="748"/>
        </w:tabs>
      </w:pPr>
    </w:p>
    <w:p w:rsidR="00000000" w:rsidRDefault="00000000">
      <w:pPr>
        <w:tabs>
          <w:tab w:val="left" w:pos="748"/>
        </w:tabs>
      </w:pPr>
      <w:r>
        <w:t>1230.</w:t>
      </w:r>
      <w:r>
        <w:tab/>
      </w:r>
      <w:r>
        <w:tab/>
        <w:t>Цикл конференций на тему "Права человека идут в университет", проведенный в мае-июне Национальной комиссией и Главной координационной группой по правам человека при исполнительной власти штата Оахака на базе частных региональных университетов:  юго-восточного;  мезоамериканского;  им. Хосе Васконселоса, а также Автономного университета им. Бенито Хуареса, штат Оахака.</w:t>
      </w:r>
    </w:p>
    <w:p w:rsidR="00000000" w:rsidRDefault="00000000">
      <w:pPr>
        <w:tabs>
          <w:tab w:val="left" w:pos="748"/>
        </w:tabs>
      </w:pPr>
    </w:p>
    <w:p w:rsidR="00000000" w:rsidRDefault="00000000">
      <w:pPr>
        <w:tabs>
          <w:tab w:val="left" w:pos="748"/>
        </w:tabs>
      </w:pPr>
      <w:r>
        <w:t>1231.</w:t>
      </w:r>
      <w:r>
        <w:tab/>
      </w:r>
      <w:r>
        <w:tab/>
        <w:t>Защита дипломных работ по теме "Вопросы прав человека", которая была организована 19 апреля - 15 июня в городе Сакатекас, штат Сакатекас, Национальной комиссией, правительством штата Сакатекас, комиссией штата по правам человека и Автономным университетом Сакатекаса.</w:t>
      </w:r>
    </w:p>
    <w:p w:rsidR="00000000" w:rsidRDefault="00000000">
      <w:pPr>
        <w:tabs>
          <w:tab w:val="left" w:pos="748"/>
        </w:tabs>
      </w:pPr>
    </w:p>
    <w:p w:rsidR="00000000" w:rsidRDefault="00000000">
      <w:pPr>
        <w:tabs>
          <w:tab w:val="left" w:pos="748"/>
        </w:tabs>
      </w:pPr>
      <w:r>
        <w:t>1232.</w:t>
      </w:r>
      <w:r>
        <w:tab/>
      </w:r>
      <w:r>
        <w:tab/>
        <w:t>Защита дипломных работ по теме "Вопросы прав человека", которая была организована 24 мая - 31 августа 2002 года в городе Тустла-Гутьеррес, штат Чьяпас, Национальной комиссией, Мексиканским институтом по делам молодежи, Институтом спорта и молодежи при правительстве штата Чьяпас и Автономным университетом Чьяпаса.</w:t>
      </w:r>
    </w:p>
    <w:p w:rsidR="00000000" w:rsidRDefault="00000000">
      <w:pPr>
        <w:tabs>
          <w:tab w:val="left" w:pos="748"/>
        </w:tabs>
      </w:pPr>
    </w:p>
    <w:p w:rsidR="00000000" w:rsidRDefault="00000000">
      <w:pPr>
        <w:tabs>
          <w:tab w:val="left" w:pos="748"/>
        </w:tabs>
      </w:pPr>
      <w:r>
        <w:t>1233.</w:t>
      </w:r>
      <w:r>
        <w:tab/>
      </w:r>
      <w:r>
        <w:tab/>
        <w:t>В 2003 году, по случаю подписания соглашений о сотрудничестве с правительствами штатов Керетаро, Тамаулипас и Табаско в целях осуществления Программы подготовки по вопросам прав человека в системе базового образования (НКПЧ, МП и ИЛКЕ), по этой тематике были организованы 52 мероприятия с участием 2 014 преподавателей базового уровня.  Что касается среднего образования, то были проведены 14 мероприятий при участии 1 010 учащихся и учителей этого уровня.</w:t>
      </w:r>
    </w:p>
    <w:p w:rsidR="00000000" w:rsidRDefault="00000000">
      <w:pPr>
        <w:tabs>
          <w:tab w:val="left" w:pos="748"/>
        </w:tabs>
      </w:pPr>
    </w:p>
    <w:p w:rsidR="00000000" w:rsidRDefault="00000000">
      <w:pPr>
        <w:tabs>
          <w:tab w:val="left" w:pos="748"/>
        </w:tabs>
      </w:pPr>
      <w:r>
        <w:t>1234.</w:t>
      </w:r>
      <w:r>
        <w:tab/>
      </w:r>
      <w:r>
        <w:tab/>
        <w:t>В системе высшего образования было проведено 44 мероприятия с участием 3 913 человек.  Из них следует отметить следующие:</w:t>
      </w:r>
    </w:p>
    <w:p w:rsidR="00000000" w:rsidRDefault="00000000">
      <w:pPr>
        <w:tabs>
          <w:tab w:val="left" w:pos="748"/>
        </w:tabs>
        <w:spacing w:line="216" w:lineRule="auto"/>
      </w:pPr>
    </w:p>
    <w:p w:rsidR="00000000" w:rsidRDefault="00000000">
      <w:pPr>
        <w:numPr>
          <w:ilvl w:val="0"/>
          <w:numId w:val="511"/>
        </w:numPr>
        <w:tabs>
          <w:tab w:val="clear" w:pos="1068"/>
          <w:tab w:val="clear" w:pos="1701"/>
        </w:tabs>
        <w:ind w:left="1134" w:hanging="567"/>
      </w:pPr>
      <w:r>
        <w:t>Защита дипломных работ по теме "Виктимология и права человека", проходившая с начала года по 1 марта 2003 года в Мехико по инициативе Национальной комиссии по правам человека;</w:t>
      </w:r>
    </w:p>
    <w:p w:rsidR="00000000" w:rsidRDefault="00000000">
      <w:pPr>
        <w:tabs>
          <w:tab w:val="clear" w:pos="1701"/>
        </w:tabs>
        <w:ind w:left="1134" w:hanging="567"/>
      </w:pPr>
    </w:p>
    <w:p w:rsidR="00000000" w:rsidRDefault="00000000">
      <w:pPr>
        <w:numPr>
          <w:ilvl w:val="0"/>
          <w:numId w:val="511"/>
        </w:numPr>
        <w:tabs>
          <w:tab w:val="clear" w:pos="1068"/>
          <w:tab w:val="clear" w:pos="1701"/>
        </w:tabs>
        <w:ind w:left="1134" w:hanging="567"/>
      </w:pPr>
      <w:r>
        <w:t>Защита дипломных работ по теме "Вопросы прав человека", которая была организована с 31 января по 2 мая отчетного периода в городе Торреон, штат Коауила, НКПЧ, Комиссией по правам человека штата Коауила и Автономным университетом Коауилы;</w:t>
      </w:r>
    </w:p>
    <w:p w:rsidR="00000000" w:rsidRDefault="00000000">
      <w:pPr>
        <w:tabs>
          <w:tab w:val="clear" w:pos="1701"/>
        </w:tabs>
        <w:ind w:left="1134" w:hanging="567"/>
      </w:pPr>
    </w:p>
    <w:p w:rsidR="00000000" w:rsidRDefault="00000000">
      <w:pPr>
        <w:numPr>
          <w:ilvl w:val="0"/>
          <w:numId w:val="511"/>
        </w:numPr>
        <w:tabs>
          <w:tab w:val="clear" w:pos="1068"/>
          <w:tab w:val="clear" w:pos="1701"/>
        </w:tabs>
        <w:ind w:left="1134" w:hanging="567"/>
      </w:pPr>
      <w:r>
        <w:t>Защита дипломных работ по теме "Вопросы прав человека", которая была организована 14 февраля - 8 мая 2003 года в городе Тепик, штат Наярит, по инициативе НКПЧ, Автономного университета Наярита и Комиссии по защите прав человека штата Наярит;</w:t>
      </w:r>
    </w:p>
    <w:p w:rsidR="00000000" w:rsidRDefault="00000000">
      <w:pPr>
        <w:numPr>
          <w:ilvl w:val="0"/>
          <w:numId w:val="511"/>
        </w:numPr>
        <w:tabs>
          <w:tab w:val="clear" w:pos="1068"/>
        </w:tabs>
        <w:ind w:left="1134" w:hanging="567"/>
      </w:pPr>
      <w:r>
        <w:t>Защита дипломных работ по теме "Вопросы прав человека", которая была организована с 4 апреля по 27 июня отчетного периода в городе Мерида, штат Юкатан, по инициативе НКПЧ, Автономного университета Юкатана и Комиссии по правам человека штата Юкатан;</w:t>
      </w:r>
    </w:p>
    <w:p w:rsidR="00000000" w:rsidRDefault="00000000">
      <w:pPr>
        <w:ind w:left="1134" w:hanging="567"/>
      </w:pPr>
    </w:p>
    <w:p w:rsidR="00000000" w:rsidRDefault="00000000">
      <w:pPr>
        <w:numPr>
          <w:ilvl w:val="0"/>
          <w:numId w:val="511"/>
        </w:numPr>
        <w:tabs>
          <w:tab w:val="clear" w:pos="1068"/>
        </w:tabs>
        <w:ind w:left="1134" w:hanging="567"/>
      </w:pPr>
      <w:r>
        <w:t>Защита дипломных работ по теме "Вопросы прав человека", которая была организована 27 марта - 2 августа в городе Тапачула, штат Чьяпас, Национальной комиссией, Мексиканским институтом по делам молодежи, Институтом спорта и молодежи, а также Управлением по вопросам участия молодежи и делам молодежи штата Чьяпас;</w:t>
      </w:r>
    </w:p>
    <w:p w:rsidR="00000000" w:rsidRDefault="00000000">
      <w:pPr>
        <w:ind w:left="1134" w:hanging="567"/>
      </w:pPr>
    </w:p>
    <w:p w:rsidR="00000000" w:rsidRDefault="00000000">
      <w:pPr>
        <w:numPr>
          <w:ilvl w:val="0"/>
          <w:numId w:val="511"/>
        </w:numPr>
        <w:tabs>
          <w:tab w:val="clear" w:pos="1068"/>
        </w:tabs>
        <w:ind w:left="1134" w:hanging="567"/>
      </w:pPr>
      <w:r>
        <w:t>Защита дипломных работ по теме "Вопросы прав человека", которая была организована с 15 августа по 18 октября отчетного периода в городе Четумаль, штат Кинтана-Роо, по инициативе НКПЧ, Комиссии по правам человека штата Кинтана-Роо и Университетом Кинтана-Роо;</w:t>
      </w:r>
    </w:p>
    <w:p w:rsidR="00000000" w:rsidRDefault="00000000"/>
    <w:p w:rsidR="00000000" w:rsidRDefault="00000000">
      <w:pPr>
        <w:numPr>
          <w:ilvl w:val="0"/>
          <w:numId w:val="511"/>
        </w:numPr>
        <w:tabs>
          <w:tab w:val="clear" w:pos="1068"/>
          <w:tab w:val="clear" w:pos="1701"/>
        </w:tabs>
        <w:ind w:left="1134" w:hanging="567"/>
      </w:pPr>
      <w:r>
        <w:t>Защита дипломных работ по теме "Вопросы прав человека", которая была организована 28 августа - 6 декабря в городе Тустла-Гутьеррес, штат Чьяпас, Национальной комиссией, Мексиканским институтом по делам молодежи, Институтом спорта и молодежи, а также Управлением по вопросам участия молодежи и делам молодежи штата Чьяпас;</w:t>
      </w:r>
    </w:p>
    <w:p w:rsidR="00000000" w:rsidRDefault="00000000">
      <w:pPr>
        <w:tabs>
          <w:tab w:val="clear" w:pos="1701"/>
        </w:tabs>
        <w:ind w:left="1134" w:hanging="567"/>
      </w:pPr>
    </w:p>
    <w:p w:rsidR="00000000" w:rsidRDefault="00000000">
      <w:pPr>
        <w:numPr>
          <w:ilvl w:val="0"/>
          <w:numId w:val="511"/>
        </w:numPr>
        <w:tabs>
          <w:tab w:val="clear" w:pos="1068"/>
          <w:tab w:val="clear" w:pos="1701"/>
        </w:tabs>
        <w:ind w:left="1134" w:hanging="567"/>
      </w:pPr>
      <w:r>
        <w:t>Защита дипломных работ по теме "Вопросы прав человека", которая была организована с 3 октября по 6 декабря отчетного периода в городе Пуэбла, штат Пуэбла, по инициативе НКПЧ, Комиссии по правам человека штата Пуэбла и Свободной школы права Пуэблы.</w:t>
      </w:r>
    </w:p>
    <w:p w:rsidR="00000000" w:rsidRDefault="00000000"/>
    <w:p w:rsidR="00000000" w:rsidRDefault="00000000">
      <w:pPr>
        <w:tabs>
          <w:tab w:val="left" w:pos="748"/>
        </w:tabs>
      </w:pPr>
      <w:r>
        <w:t>1235.</w:t>
      </w:r>
      <w:r>
        <w:tab/>
      </w:r>
      <w:r>
        <w:tab/>
        <w:t>По итогам защиты указанных выше дипломных работ дипломы получили в общей сложности 300 человек.</w:t>
      </w:r>
    </w:p>
    <w:p w:rsidR="00000000" w:rsidRDefault="00000000">
      <w:pPr>
        <w:tabs>
          <w:tab w:val="left" w:pos="748"/>
        </w:tabs>
      </w:pPr>
    </w:p>
    <w:p w:rsidR="00000000" w:rsidRDefault="00000000">
      <w:pPr>
        <w:tabs>
          <w:tab w:val="left" w:pos="748"/>
        </w:tabs>
      </w:pPr>
      <w:r>
        <w:t>1236.</w:t>
      </w:r>
      <w:r>
        <w:tab/>
      </w:r>
      <w:r>
        <w:tab/>
        <w:t>С целью более активного распространения знаний в области прав человека НКПЧ подготовила и выпустила большое число книг, брошюр, плакатов, листовок и прочих материалов по этой тематике для различных слоев общества.</w:t>
      </w:r>
    </w:p>
    <w:p w:rsidR="00000000" w:rsidRDefault="00000000">
      <w:pPr>
        <w:tabs>
          <w:tab w:val="left" w:pos="748"/>
        </w:tabs>
      </w:pPr>
    </w:p>
    <w:p w:rsidR="00000000" w:rsidRDefault="00000000">
      <w:pPr>
        <w:tabs>
          <w:tab w:val="left" w:pos="748"/>
        </w:tabs>
      </w:pPr>
      <w:r>
        <w:t>1237.</w:t>
      </w:r>
      <w:r>
        <w:tab/>
      </w:r>
      <w:r>
        <w:tab/>
        <w:t>Со своей стороны, Национальный комитет по культуре и искусству также предпринимал усилия по реализации программ в области прав человека.  В этой связи следует отметить организацию 15 августа - 6 декабря 2003 года защиты дипломных работ по теме "Положение женщин в местах заключения".</w:t>
      </w:r>
    </w:p>
    <w:p w:rsidR="00000000" w:rsidRDefault="00000000">
      <w:pPr>
        <w:tabs>
          <w:tab w:val="left" w:pos="748"/>
        </w:tabs>
      </w:pPr>
    </w:p>
    <w:p w:rsidR="00000000" w:rsidRDefault="00000000">
      <w:pPr>
        <w:tabs>
          <w:tab w:val="left" w:pos="748"/>
        </w:tabs>
      </w:pPr>
      <w:r>
        <w:t>1238.</w:t>
      </w:r>
      <w:r>
        <w:tab/>
      </w:r>
      <w:r>
        <w:tab/>
        <w:t>Данное мероприятие имело целью проанализировать условия содержания женщин в местах заключения и предложить - с междисциплинарной точки зрения - стратегические направления и возможные пути повышения качества жизни в этих исправительных учреждениях в плане уважения прав человека, равно как стимулировать достойное обращение с женщинами-заключенными и их детьми и соблюдение их законных прав со стороны персонала женских исправительных учреждений.</w:t>
      </w:r>
    </w:p>
    <w:p w:rsidR="00000000" w:rsidRDefault="00000000">
      <w:pPr>
        <w:tabs>
          <w:tab w:val="left" w:pos="748"/>
        </w:tabs>
      </w:pPr>
    </w:p>
    <w:p w:rsidR="00000000" w:rsidRDefault="00000000">
      <w:pPr>
        <w:tabs>
          <w:tab w:val="left" w:pos="748"/>
        </w:tabs>
        <w:rPr>
          <w:b/>
          <w:bCs/>
        </w:rPr>
      </w:pPr>
      <w:r>
        <w:rPr>
          <w:b/>
          <w:bCs/>
        </w:rPr>
        <w:tab/>
        <w:t>Замечания организаций гражданского общества</w:t>
      </w:r>
    </w:p>
    <w:p w:rsidR="00000000" w:rsidRDefault="00000000">
      <w:pPr>
        <w:tabs>
          <w:tab w:val="left" w:pos="748"/>
        </w:tabs>
      </w:pPr>
    </w:p>
    <w:p w:rsidR="00000000" w:rsidRDefault="00000000">
      <w:pPr>
        <w:tabs>
          <w:tab w:val="left" w:pos="748"/>
        </w:tabs>
      </w:pPr>
      <w:r>
        <w:t>1239.</w:t>
      </w:r>
      <w:r>
        <w:tab/>
      </w:r>
      <w:r>
        <w:tab/>
        <w:t>Правительство Мексики желает особо отметить, что при подготовке настоящего доклада оно стремилось выяснить позиции и мнения организаций гражданского общества.  Посредством проведения различных совещаний и встреч, в том числе по линии Подкомиссии по ЭСКП, была обеспечена необходимая возможность для высказывания ими соответствующих замечаний, на основании которых можно было бы скорректировать содержание доклада.</w:t>
      </w:r>
    </w:p>
    <w:p w:rsidR="00000000" w:rsidRDefault="00000000">
      <w:pPr>
        <w:tabs>
          <w:tab w:val="left" w:pos="748"/>
        </w:tabs>
      </w:pPr>
    </w:p>
    <w:p w:rsidR="00000000" w:rsidRDefault="00000000">
      <w:pPr>
        <w:tabs>
          <w:tab w:val="left" w:pos="748"/>
        </w:tabs>
      </w:pPr>
      <w:r>
        <w:t>1240.</w:t>
      </w:r>
      <w:r>
        <w:tab/>
      </w:r>
      <w:r>
        <w:tab/>
        <w:t>Письменные замечания были получены от следующих общественных и гражданских организаций, составляющих группу поддержки в пользу подготовки второго альтернативного доклада по экономическим, социальным и культурным правам, как то:</w:t>
      </w:r>
    </w:p>
    <w:p w:rsidR="00000000" w:rsidRDefault="00000000">
      <w:pPr>
        <w:tabs>
          <w:tab w:val="left" w:pos="748"/>
        </w:tabs>
      </w:pPr>
    </w:p>
    <w:p w:rsidR="00000000" w:rsidRDefault="00000000">
      <w:pPr>
        <w:tabs>
          <w:tab w:val="left" w:pos="748"/>
        </w:tabs>
      </w:pPr>
      <w:r>
        <w:tab/>
        <w:t>Организация "Дом и город" мексиканской коалиции "Хабитат";</w:t>
      </w:r>
    </w:p>
    <w:p w:rsidR="00000000" w:rsidRDefault="00000000">
      <w:pPr>
        <w:tabs>
          <w:tab w:val="left" w:pos="748"/>
        </w:tabs>
      </w:pPr>
      <w:r>
        <w:tab/>
        <w:t>Кафедра ЮНЕСКО по правам человека при НАУМ;</w:t>
      </w:r>
    </w:p>
    <w:p w:rsidR="00000000" w:rsidRDefault="00000000">
      <w:pPr>
        <w:tabs>
          <w:tab w:val="left" w:pos="748"/>
        </w:tabs>
      </w:pPr>
      <w:r>
        <w:tab/>
        <w:t>Центр по экономическим, социальным и культурным правам человека (ЦЭСКПЧ);</w:t>
      </w:r>
    </w:p>
    <w:p w:rsidR="00000000" w:rsidRDefault="00000000">
      <w:pPr>
        <w:tabs>
          <w:tab w:val="left" w:pos="748"/>
        </w:tabs>
      </w:pPr>
      <w:r>
        <w:tab/>
        <w:t>Центр по правам человека "Фрай Франсиско де Виториа О.П.";</w:t>
      </w:r>
    </w:p>
    <w:p w:rsidR="00000000" w:rsidRDefault="00000000">
      <w:pPr>
        <w:tabs>
          <w:tab w:val="left" w:pos="748"/>
        </w:tabs>
      </w:pPr>
      <w:r>
        <w:tab/>
        <w:t>Центр по правам человека "Мигель Агустин про Хуарес" (ПРОДХ);</w:t>
      </w:r>
    </w:p>
    <w:p w:rsidR="00000000" w:rsidRDefault="00000000">
      <w:pPr>
        <w:tabs>
          <w:tab w:val="left" w:pos="748"/>
        </w:tabs>
      </w:pPr>
      <w:r>
        <w:tab/>
        <w:t xml:space="preserve">Центр социальных и культурных исследований им. Антонио де Монтесиноса </w:t>
      </w:r>
      <w:r>
        <w:tab/>
        <w:t>(ЦАМ);</w:t>
      </w:r>
    </w:p>
    <w:p w:rsidR="00000000" w:rsidRDefault="00000000">
      <w:pPr>
        <w:tabs>
          <w:tab w:val="left" w:pos="748"/>
        </w:tabs>
      </w:pPr>
      <w:r>
        <w:tab/>
        <w:t>Центр экуменических исследований (ЦЭИ);</w:t>
      </w:r>
    </w:p>
    <w:p w:rsidR="00000000" w:rsidRDefault="00000000">
      <w:pPr>
        <w:tabs>
          <w:tab w:val="left" w:pos="748"/>
        </w:tabs>
      </w:pPr>
      <w:r>
        <w:tab/>
        <w:t>Центр исследований в области сельскохозяйственного развития (ЦИСР);</w:t>
      </w:r>
    </w:p>
    <w:p w:rsidR="00000000" w:rsidRDefault="00000000">
      <w:pPr>
        <w:tabs>
          <w:tab w:val="left" w:pos="748"/>
        </w:tabs>
        <w:ind w:left="567" w:hanging="567"/>
      </w:pPr>
      <w:r>
        <w:tab/>
        <w:t>Центр по вопросам подготовки кадров и исследований на муниципальном уровне (СЕФИМАК);</w:t>
      </w:r>
    </w:p>
    <w:p w:rsidR="00000000" w:rsidRDefault="00000000">
      <w:pPr>
        <w:tabs>
          <w:tab w:val="left" w:pos="748"/>
        </w:tabs>
      </w:pPr>
      <w:r>
        <w:tab/>
        <w:t>Центр по правам человека и вопросам местного развития "Фрай Хулиан Гарсес";</w:t>
      </w:r>
    </w:p>
    <w:p w:rsidR="00000000" w:rsidRDefault="00000000">
      <w:pPr>
        <w:tabs>
          <w:tab w:val="left" w:pos="748"/>
        </w:tabs>
      </w:pPr>
      <w:r>
        <w:tab/>
        <w:t>Мексиканский центр по экологическому праву (МЦЭП);</w:t>
      </w:r>
    </w:p>
    <w:p w:rsidR="00000000" w:rsidRDefault="00000000">
      <w:pPr>
        <w:tabs>
          <w:tab w:val="left" w:pos="748"/>
        </w:tabs>
        <w:ind w:left="567" w:hanging="567"/>
      </w:pPr>
      <w:r>
        <w:tab/>
        <w:t>Центр по вопросам трудовых отношений и трудовой деятельности (СЕРЕАЛ) Фонда развития культуры и образования;</w:t>
      </w:r>
    </w:p>
    <w:p w:rsidR="00000000" w:rsidRDefault="00000000">
      <w:pPr>
        <w:tabs>
          <w:tab w:val="left" w:pos="748"/>
        </w:tabs>
      </w:pPr>
      <w:r>
        <w:tab/>
        <w:t>Национальный центр общественных связей (СЕНКОС);</w:t>
      </w:r>
    </w:p>
    <w:p w:rsidR="00000000" w:rsidRDefault="00000000">
      <w:pPr>
        <w:tabs>
          <w:tab w:val="left" w:pos="748"/>
        </w:tabs>
      </w:pPr>
      <w:r>
        <w:tab/>
        <w:t>Комитет по улучшению положения молодежи штата Табаско;</w:t>
      </w:r>
    </w:p>
    <w:p w:rsidR="00000000" w:rsidRDefault="00000000">
      <w:pPr>
        <w:tabs>
          <w:tab w:val="left" w:pos="748"/>
        </w:tabs>
      </w:pPr>
      <w:r>
        <w:tab/>
        <w:t>Союз гражданских организаций за демократию;</w:t>
      </w:r>
    </w:p>
    <w:p w:rsidR="00000000" w:rsidRDefault="00000000">
      <w:pPr>
        <w:tabs>
          <w:tab w:val="left" w:pos="748"/>
        </w:tabs>
      </w:pPr>
      <w:r>
        <w:tab/>
        <w:t>Координационный совет по делам общины Миравалье (КОКОМИ);</w:t>
      </w:r>
    </w:p>
    <w:p w:rsidR="00000000" w:rsidRDefault="00000000">
      <w:pPr>
        <w:tabs>
          <w:tab w:val="left" w:pos="748"/>
        </w:tabs>
      </w:pPr>
      <w:r>
        <w:tab/>
        <w:t>Народная группа ДЕКА;</w:t>
      </w:r>
    </w:p>
    <w:p w:rsidR="00000000" w:rsidRDefault="00000000">
      <w:pPr>
        <w:tabs>
          <w:tab w:val="left" w:pos="748"/>
        </w:tabs>
      </w:pPr>
      <w:r>
        <w:tab/>
        <w:t>Управление защитника права на здоровье;</w:t>
      </w:r>
    </w:p>
    <w:p w:rsidR="00000000" w:rsidRDefault="00000000">
      <w:pPr>
        <w:tabs>
          <w:tab w:val="left" w:pos="748"/>
        </w:tabs>
      </w:pPr>
      <w:r>
        <w:tab/>
        <w:t>Организация "Взаимодействие, связь и подготовка" (Взаимодействие);</w:t>
      </w:r>
    </w:p>
    <w:p w:rsidR="00000000" w:rsidRDefault="00000000">
      <w:pPr>
        <w:tabs>
          <w:tab w:val="left" w:pos="748"/>
        </w:tabs>
      </w:pPr>
      <w:r>
        <w:tab/>
        <w:t>Мексиканское отделение ФИАН;</w:t>
      </w:r>
    </w:p>
    <w:p w:rsidR="00000000" w:rsidRDefault="00000000">
      <w:pPr>
        <w:tabs>
          <w:tab w:val="left" w:pos="748"/>
        </w:tabs>
      </w:pPr>
      <w:r>
        <w:tab/>
        <w:t>Форум "За устойчивое развитие";</w:t>
      </w:r>
    </w:p>
    <w:p w:rsidR="00000000" w:rsidRDefault="00000000">
      <w:pPr>
        <w:tabs>
          <w:tab w:val="left" w:pos="748"/>
        </w:tabs>
      </w:pPr>
      <w:r>
        <w:tab/>
        <w:t>Аналитический и исследовательский центр ФУНДАР;</w:t>
      </w:r>
    </w:p>
    <w:p w:rsidR="00000000" w:rsidRDefault="00000000">
      <w:pPr>
        <w:tabs>
          <w:tab w:val="left" w:pos="748"/>
        </w:tabs>
      </w:pPr>
      <w:r>
        <w:tab/>
        <w:t>Инициативная группа за правосубъектность и против отчужденности (ИНИСИА);</w:t>
      </w:r>
    </w:p>
    <w:p w:rsidR="00000000" w:rsidRDefault="00000000">
      <w:pPr>
        <w:tabs>
          <w:tab w:val="left" w:pos="748"/>
        </w:tabs>
      </w:pPr>
      <w:r>
        <w:tab/>
        <w:t>Мексиканский институт по вопросам развития общин (МИРО);</w:t>
      </w:r>
    </w:p>
    <w:p w:rsidR="00000000" w:rsidRDefault="00000000">
      <w:pPr>
        <w:tabs>
          <w:tab w:val="left" w:pos="748"/>
        </w:tabs>
      </w:pPr>
      <w:r>
        <w:tab/>
        <w:t>Мексиканская лиги защиты прав человека (ЛИМЕДХ);</w:t>
      </w:r>
    </w:p>
    <w:p w:rsidR="00000000" w:rsidRDefault="00000000">
      <w:pPr>
        <w:tabs>
          <w:tab w:val="left" w:pos="748"/>
        </w:tabs>
      </w:pPr>
      <w:r>
        <w:tab/>
        <w:t>Гражданское движение за демократию (ГДД);</w:t>
      </w:r>
    </w:p>
    <w:p w:rsidR="00000000" w:rsidRDefault="00000000">
      <w:pPr>
        <w:tabs>
          <w:tab w:val="left" w:pos="748"/>
        </w:tabs>
      </w:pPr>
      <w:r>
        <w:tab/>
        <w:t>Региональное управление по Латинской Америке коалиции "Хабитат";</w:t>
      </w:r>
    </w:p>
    <w:p w:rsidR="00000000" w:rsidRDefault="00000000">
      <w:pPr>
        <w:tabs>
          <w:tab w:val="left" w:pos="748"/>
        </w:tabs>
      </w:pPr>
      <w:r>
        <w:tab/>
        <w:t>Программа по правам человека Иберо-американского университета;</w:t>
      </w:r>
    </w:p>
    <w:p w:rsidR="00000000" w:rsidRDefault="00000000">
      <w:pPr>
        <w:tabs>
          <w:tab w:val="left" w:pos="748"/>
        </w:tabs>
        <w:ind w:left="567" w:hanging="567"/>
      </w:pPr>
      <w:r>
        <w:tab/>
        <w:t>Организация "Поощрение экономических и социальных прав женщин и воспитание в духе их уважения" (ПРОКАДЕСК);</w:t>
      </w:r>
    </w:p>
    <w:p w:rsidR="00000000" w:rsidRDefault="00000000">
      <w:pPr>
        <w:tabs>
          <w:tab w:val="left" w:pos="748"/>
        </w:tabs>
        <w:ind w:left="567" w:hanging="567"/>
      </w:pPr>
      <w:r>
        <w:tab/>
        <w:t>Сеть молодежных объединений за сексуальные и репродуктивные права (ЭЛИХЕ);</w:t>
      </w:r>
    </w:p>
    <w:p w:rsidR="00000000" w:rsidRDefault="00000000">
      <w:pPr>
        <w:tabs>
          <w:tab w:val="left" w:pos="748"/>
        </w:tabs>
        <w:ind w:left="567" w:hanging="567"/>
      </w:pPr>
      <w:r>
        <w:tab/>
        <w:t>Мексиканская сеть групп исследователей и изыскателей (РЕМИСОК);</w:t>
      </w:r>
    </w:p>
    <w:p w:rsidR="00000000" w:rsidRDefault="00000000">
      <w:pPr>
        <w:tabs>
          <w:tab w:val="left" w:pos="748"/>
        </w:tabs>
        <w:ind w:left="567" w:hanging="567"/>
      </w:pPr>
      <w:r>
        <w:tab/>
        <w:t>Сеть объединений за право на детство в Мексике;</w:t>
      </w:r>
    </w:p>
    <w:p w:rsidR="00000000" w:rsidRDefault="00000000">
      <w:pPr>
        <w:tabs>
          <w:tab w:val="left" w:pos="748"/>
        </w:tabs>
        <w:ind w:left="567" w:hanging="567"/>
      </w:pPr>
      <w:r>
        <w:tab/>
        <w:t>Организация "Комплексное здоровье для женщины" (СИПАМ);</w:t>
      </w:r>
    </w:p>
    <w:p w:rsidR="00000000" w:rsidRDefault="00000000">
      <w:pPr>
        <w:tabs>
          <w:tab w:val="left" w:pos="748"/>
        </w:tabs>
        <w:ind w:left="567" w:hanging="567"/>
      </w:pPr>
      <w:r>
        <w:tab/>
        <w:t>Организация "Система альтернативного образования" (ЭДУКА);</w:t>
      </w:r>
    </w:p>
    <w:p w:rsidR="00000000" w:rsidRDefault="00000000">
      <w:pPr>
        <w:tabs>
          <w:tab w:val="left" w:pos="748"/>
        </w:tabs>
        <w:ind w:left="567" w:hanging="567"/>
      </w:pPr>
      <w:r>
        <w:tab/>
        <w:t>Организация "Солидарная поддержка в Мексике".</w:t>
      </w:r>
    </w:p>
    <w:p w:rsidR="00000000" w:rsidRDefault="00000000">
      <w:pPr>
        <w:tabs>
          <w:tab w:val="left" w:pos="748"/>
        </w:tabs>
      </w:pPr>
    </w:p>
    <w:p w:rsidR="00000000" w:rsidRDefault="00000000">
      <w:pPr>
        <w:tabs>
          <w:tab w:val="left" w:pos="748"/>
        </w:tabs>
      </w:pPr>
      <w:r>
        <w:t>1241.</w:t>
      </w:r>
      <w:r>
        <w:tab/>
      </w:r>
      <w:r>
        <w:tab/>
        <w:t>Кроме того, были рассмотрены и учтены следующие замечания в отношении проекта настоящего доклада, высказанные организациями, составляющими группу поддержки в пользу подготовки второго альтернативного доклада по ЭСКП:</w:t>
      </w:r>
    </w:p>
    <w:p w:rsidR="00000000" w:rsidRDefault="00000000">
      <w:pPr>
        <w:tabs>
          <w:tab w:val="left" w:pos="748"/>
        </w:tabs>
      </w:pPr>
    </w:p>
    <w:p w:rsidR="00000000" w:rsidRDefault="00000000">
      <w:pPr>
        <w:numPr>
          <w:ilvl w:val="0"/>
          <w:numId w:val="512"/>
        </w:numPr>
        <w:tabs>
          <w:tab w:val="clear" w:pos="567"/>
          <w:tab w:val="clear" w:pos="720"/>
        </w:tabs>
        <w:ind w:left="1134" w:hanging="567"/>
      </w:pPr>
      <w:r>
        <w:t>в проекте имеется ряд существенных пробелов, не позволяющих получить четкое и полное представление о реализуемых правительством страны мерах в сфере экономических, социальных и культурных прав;</w:t>
      </w:r>
    </w:p>
    <w:p w:rsidR="00000000" w:rsidRDefault="00000000">
      <w:pPr>
        <w:tabs>
          <w:tab w:val="clear" w:pos="567"/>
        </w:tabs>
        <w:ind w:left="1134" w:hanging="567"/>
      </w:pPr>
    </w:p>
    <w:p w:rsidR="00000000" w:rsidRDefault="00000000">
      <w:pPr>
        <w:numPr>
          <w:ilvl w:val="0"/>
          <w:numId w:val="512"/>
        </w:numPr>
        <w:tabs>
          <w:tab w:val="clear" w:pos="567"/>
          <w:tab w:val="clear" w:pos="720"/>
        </w:tabs>
        <w:ind w:left="1134" w:hanging="567"/>
      </w:pPr>
      <w:r>
        <w:t>в докладе недостаточно четко отражены перспективы изменения</w:t>
      </w:r>
      <w:r>
        <w:rPr>
          <w:b/>
          <w:bCs/>
          <w:i/>
          <w:iCs/>
        </w:rPr>
        <w:t xml:space="preserve"> </w:t>
      </w:r>
      <w:r>
        <w:t>положения дел</w:t>
      </w:r>
      <w:r>
        <w:rPr>
          <w:b/>
          <w:bCs/>
          <w:i/>
          <w:iCs/>
        </w:rPr>
        <w:t xml:space="preserve"> </w:t>
      </w:r>
      <w:r>
        <w:t>с правами человека, поскольку в нем просто представлены информационные блоки, упомянуты различные законы и охарактеризованы общие направления многочисленных программ, что не позволяет обоснованно судить о степени соблюдения государством обязательств по Пакту, причем рекомендациям Комитета Организации Объединенных Наций по ЭСКП дается ограничительное толкование;</w:t>
      </w:r>
    </w:p>
    <w:p w:rsidR="00000000" w:rsidRDefault="00000000">
      <w:pPr>
        <w:tabs>
          <w:tab w:val="clear" w:pos="567"/>
        </w:tabs>
        <w:ind w:left="1134" w:hanging="567"/>
      </w:pPr>
      <w:r>
        <w:br w:type="page"/>
      </w:r>
    </w:p>
    <w:p w:rsidR="00000000" w:rsidRDefault="00000000">
      <w:pPr>
        <w:numPr>
          <w:ilvl w:val="0"/>
          <w:numId w:val="512"/>
        </w:numPr>
        <w:tabs>
          <w:tab w:val="clear" w:pos="567"/>
          <w:tab w:val="clear" w:pos="720"/>
        </w:tabs>
        <w:ind w:left="1134" w:hanging="567"/>
      </w:pPr>
      <w:r>
        <w:t>в этой связи также вызывает обеспокоенность весьма слабая проработка соответствующих аспектов с точки зрения комплексной перспективы развития экономических, социальных и культурных прав;  в частности, речь идет о праве на самоопределение и о праве на здоровую окружающую среду;</w:t>
      </w:r>
    </w:p>
    <w:p w:rsidR="00000000" w:rsidRDefault="00000000">
      <w:pPr>
        <w:tabs>
          <w:tab w:val="clear" w:pos="567"/>
        </w:tabs>
        <w:ind w:left="1134" w:hanging="567"/>
      </w:pPr>
    </w:p>
    <w:p w:rsidR="00000000" w:rsidRDefault="00000000">
      <w:pPr>
        <w:numPr>
          <w:ilvl w:val="0"/>
          <w:numId w:val="512"/>
        </w:numPr>
        <w:tabs>
          <w:tab w:val="clear" w:pos="567"/>
          <w:tab w:val="clear" w:pos="720"/>
        </w:tabs>
        <w:ind w:left="1134" w:hanging="567"/>
      </w:pPr>
      <w:r>
        <w:t>особенно серьезные нарекания вызывает недостаточное освещение имеющихся проблем и трудностей в плане реального осуществления различных прав и, соответственно, шагов, предпринятых в целях их урегулирования или устранения;</w:t>
      </w:r>
    </w:p>
    <w:p w:rsidR="00000000" w:rsidRDefault="00000000">
      <w:pPr>
        <w:tabs>
          <w:tab w:val="left" w:pos="748"/>
        </w:tabs>
      </w:pPr>
    </w:p>
    <w:p w:rsidR="00000000" w:rsidRDefault="00000000">
      <w:pPr>
        <w:numPr>
          <w:ilvl w:val="0"/>
          <w:numId w:val="512"/>
        </w:numPr>
        <w:tabs>
          <w:tab w:val="clear" w:pos="567"/>
          <w:tab w:val="clear" w:pos="720"/>
        </w:tabs>
        <w:ind w:left="1134" w:hanging="567"/>
      </w:pPr>
      <w:r>
        <w:t>среди приводимых статистических показателей преобладают количественные, а не качественные параметры, которые не подкрепляют должным образом информацию применительно к соответствующему отчетному периоду;</w:t>
      </w:r>
    </w:p>
    <w:p w:rsidR="00000000" w:rsidRDefault="00000000">
      <w:pPr>
        <w:tabs>
          <w:tab w:val="left" w:pos="748"/>
        </w:tabs>
      </w:pPr>
    </w:p>
    <w:p w:rsidR="00000000" w:rsidRDefault="00000000">
      <w:pPr>
        <w:numPr>
          <w:ilvl w:val="0"/>
          <w:numId w:val="512"/>
        </w:numPr>
        <w:tabs>
          <w:tab w:val="clear" w:pos="567"/>
          <w:tab w:val="clear" w:pos="720"/>
        </w:tabs>
        <w:ind w:left="1134" w:hanging="567"/>
      </w:pPr>
      <w:r>
        <w:t>в случае целого ряда программ была опущена описательная часть, что не позволяет получить четкого представления о проблемах, возникших в процессе их разработки и осуществления, не говоря уже об оценке практических результатов и отдачи от их реализации;</w:t>
      </w:r>
    </w:p>
    <w:p w:rsidR="00000000" w:rsidRDefault="00000000">
      <w:pPr>
        <w:tabs>
          <w:tab w:val="left" w:pos="748"/>
        </w:tabs>
      </w:pPr>
    </w:p>
    <w:p w:rsidR="00000000" w:rsidRDefault="00000000">
      <w:pPr>
        <w:numPr>
          <w:ilvl w:val="0"/>
          <w:numId w:val="512"/>
        </w:numPr>
        <w:tabs>
          <w:tab w:val="clear" w:pos="567"/>
          <w:tab w:val="clear" w:pos="720"/>
        </w:tabs>
        <w:ind w:left="1134" w:hanging="567"/>
      </w:pPr>
      <w:r>
        <w:t>не был должным образом указан ряд источников информации.</w:t>
      </w:r>
    </w:p>
    <w:p w:rsidR="00000000" w:rsidRDefault="00000000">
      <w:pPr>
        <w:tabs>
          <w:tab w:val="left" w:pos="748"/>
        </w:tabs>
      </w:pPr>
    </w:p>
    <w:p w:rsidR="00000000" w:rsidRDefault="00000000">
      <w:pPr>
        <w:tabs>
          <w:tab w:val="left" w:pos="748"/>
        </w:tabs>
      </w:pPr>
      <w:r>
        <w:t>1242.</w:t>
      </w:r>
      <w:r>
        <w:tab/>
      </w:r>
      <w:r>
        <w:tab/>
        <w:t>Правительство Мексики заявляет, что оно разделяет многие вышеуказанные соображения, высказанные организациями гражданского общества как в устной форме в ходе совещаний и встреч, так и препровожденные в письменном виде, и что все они были учтены при подготовке настоящего доклада.</w:t>
      </w:r>
    </w:p>
    <w:p w:rsidR="00000000" w:rsidRDefault="00000000">
      <w:pPr>
        <w:tabs>
          <w:tab w:val="left" w:pos="748"/>
        </w:tabs>
      </w:pPr>
    </w:p>
    <w:p w:rsidR="00000000" w:rsidRDefault="00000000">
      <w:pPr>
        <w:tabs>
          <w:tab w:val="left" w:pos="748"/>
        </w:tabs>
        <w:jc w:val="center"/>
        <w:rPr>
          <w:b/>
          <w:bCs/>
        </w:rPr>
      </w:pPr>
      <w:r>
        <w:rPr>
          <w:b/>
          <w:bCs/>
        </w:rPr>
        <w:t>IV.</w:t>
      </w:r>
      <w:r>
        <w:rPr>
          <w:b/>
          <w:bCs/>
        </w:rPr>
        <w:tab/>
        <w:t>ВЫВОДЫ</w:t>
      </w:r>
    </w:p>
    <w:p w:rsidR="00000000" w:rsidRDefault="00000000">
      <w:pPr>
        <w:tabs>
          <w:tab w:val="left" w:pos="748"/>
        </w:tabs>
      </w:pPr>
    </w:p>
    <w:p w:rsidR="00000000" w:rsidRDefault="00000000">
      <w:pPr>
        <w:tabs>
          <w:tab w:val="left" w:pos="748"/>
        </w:tabs>
      </w:pPr>
      <w:r>
        <w:t>1243.</w:t>
      </w:r>
      <w:r>
        <w:tab/>
      </w:r>
      <w:r>
        <w:tab/>
        <w:t>Подготовка настоящего доклада стала для правительства Мексики важной возможностью осветить в рамках одного документа все усилия и меры, предпринимаемые в порядке обеспечения соблюдения прав, закрепленных в Международном пакте об экономических, социальных и культурных правах.</w:t>
      </w:r>
    </w:p>
    <w:p w:rsidR="00000000" w:rsidRDefault="00000000">
      <w:pPr>
        <w:tabs>
          <w:tab w:val="left" w:pos="748"/>
        </w:tabs>
      </w:pPr>
    </w:p>
    <w:p w:rsidR="00000000" w:rsidRDefault="00000000">
      <w:pPr>
        <w:tabs>
          <w:tab w:val="left" w:pos="748"/>
        </w:tabs>
      </w:pPr>
      <w:r>
        <w:t>1244.</w:t>
      </w:r>
      <w:r>
        <w:tab/>
      </w:r>
      <w:r>
        <w:tab/>
        <w:t>Мексика твердо привержена возлагаемому на государства обязательству создавать условия, обеспечивающие каждому человеку возможность пользоваться своими экономическими, социальными и культурными, равно как гражданскими и политическими правами, ибо только таким образом человеческой личности гарантируется подлинная свобода.</w:t>
      </w:r>
    </w:p>
    <w:p w:rsidR="00000000" w:rsidRDefault="00000000">
      <w:pPr>
        <w:tabs>
          <w:tab w:val="left" w:pos="748"/>
        </w:tabs>
      </w:pPr>
      <w:r>
        <w:t>1245.</w:t>
      </w:r>
      <w:r>
        <w:tab/>
      </w:r>
      <w:r>
        <w:tab/>
        <w:t>Хотя правительство Мексики и считает, что в деле прогрессивного развития этих прав произошли важные подвижки, оно сознает, что многое еще предстоит сделать для реального обеспечения всем без исключения мексиканцам возможности пользоваться ими.</w:t>
      </w:r>
    </w:p>
    <w:p w:rsidR="00000000" w:rsidRDefault="00000000">
      <w:pPr>
        <w:tabs>
          <w:tab w:val="left" w:pos="748"/>
        </w:tabs>
      </w:pPr>
    </w:p>
    <w:p w:rsidR="00000000" w:rsidRDefault="00000000">
      <w:pPr>
        <w:tabs>
          <w:tab w:val="left" w:pos="748"/>
        </w:tabs>
      </w:pPr>
      <w:r>
        <w:t>1246.</w:t>
      </w:r>
      <w:r>
        <w:tab/>
      </w:r>
      <w:r>
        <w:tab/>
        <w:t>В Мексике насчитывается примерно 40 миллионов бедняков, а посему одной из первейших забот и задач правительства является искоренение нищеты, причем добиться этого можно лишь посредством обеспечения всему населению реального доступа к соответствующим правам.  С этой целью выделяются значительные средства и ресурсы на разработку и реализацию государственных программ и стратегий, призванных гарантировать эффективное осуществление экономических, социальных и культурных прав и их все более прогрессивное развитие.</w:t>
      </w:r>
    </w:p>
    <w:p w:rsidR="00000000" w:rsidRDefault="00000000">
      <w:pPr>
        <w:tabs>
          <w:tab w:val="left" w:pos="748"/>
        </w:tabs>
      </w:pPr>
    </w:p>
    <w:p w:rsidR="00000000" w:rsidRDefault="00000000">
      <w:pPr>
        <w:tabs>
          <w:tab w:val="left" w:pos="748"/>
        </w:tabs>
      </w:pPr>
      <w:r>
        <w:t>1247.</w:t>
      </w:r>
      <w:r>
        <w:tab/>
      </w:r>
      <w:r>
        <w:tab/>
        <w:t>Подлинное торжество экономических, социальных и культурных прав в значительной мере зависит от экономического и ресурсного потенциала стран.  Мексика, будучи развивающейся страной, сталкивается с серьезными препятствиями, которые необходимо безотлагательно преодолеть, если мы хотим гарантировать всем свои гражданам возможность осуществлять свои права.  Однако эта задача является весьма непростой и требует постоянного напряжения сил.</w:t>
      </w:r>
    </w:p>
    <w:p w:rsidR="00000000" w:rsidRDefault="00000000">
      <w:pPr>
        <w:tabs>
          <w:tab w:val="left" w:pos="748"/>
        </w:tabs>
      </w:pPr>
    </w:p>
    <w:p w:rsidR="00000000" w:rsidRDefault="00000000">
      <w:pPr>
        <w:tabs>
          <w:tab w:val="left" w:pos="748"/>
        </w:tabs>
      </w:pPr>
      <w:r>
        <w:t>1248.</w:t>
      </w:r>
      <w:r>
        <w:tab/>
      </w:r>
      <w:r>
        <w:tab/>
        <w:t>Кроме того, учитывая переживаемый Мексикой период демократических преобразований, политическая ситуация в стране является довольно нестабильной и неоднозначной.  Поэтому - в силу различных затруднений - действие целого ряда выгодных для страны соглашений было прервано.  Тем не менее, издержки, сопряженные с подобного рода переходным периодом, в конечном счете окупятся, и можно будет начать более продуктивный и обстоятельный процесс переговоров о заключении соглашений, способствующих прогрессивному развитию данных прав.</w:t>
      </w:r>
    </w:p>
    <w:p w:rsidR="00000000" w:rsidRDefault="00000000">
      <w:pPr>
        <w:tabs>
          <w:tab w:val="left" w:pos="748"/>
        </w:tabs>
      </w:pPr>
    </w:p>
    <w:p w:rsidR="00000000" w:rsidRDefault="00000000">
      <w:pPr>
        <w:tabs>
          <w:tab w:val="left" w:pos="748"/>
        </w:tabs>
      </w:pPr>
      <w:r>
        <w:t>1249.</w:t>
      </w:r>
      <w:r>
        <w:tab/>
      </w:r>
      <w:r>
        <w:tab/>
        <w:t>При подготовке настоящего доклада к организациям гражданского общества был обращен призыв высказать свои соответствующие замечания и комментарии, которые были получены правительством Мексики и отражены в тексте доклада.</w:t>
      </w:r>
    </w:p>
    <w:p w:rsidR="00000000" w:rsidRDefault="00000000">
      <w:pPr>
        <w:tabs>
          <w:tab w:val="left" w:pos="748"/>
        </w:tabs>
      </w:pPr>
    </w:p>
    <w:p w:rsidR="00000000" w:rsidRDefault="00000000">
      <w:pPr>
        <w:tabs>
          <w:tab w:val="left" w:pos="748"/>
        </w:tabs>
      </w:pPr>
      <w:r>
        <w:t>1250.</w:t>
      </w:r>
      <w:r>
        <w:tab/>
      </w:r>
      <w:r>
        <w:tab/>
        <w:t>Невзирая на сохраняющиеся трудности на пути полного осуществления ЭСКП, в контексте настоящего доклада правительство Мексики выражает свою политическую решимость добиваться обеспечения условий для реализации как этих, так и всех остальных прав человека, и будет неустанно стремиться к достижению этой цели.</w:t>
      </w:r>
    </w:p>
    <w:p w:rsidR="00000000" w:rsidRDefault="00000000">
      <w:pPr>
        <w:tabs>
          <w:tab w:val="left" w:pos="748"/>
        </w:tabs>
      </w:pPr>
    </w:p>
    <w:p w:rsidR="00000000" w:rsidRDefault="00000000">
      <w:pPr>
        <w:tabs>
          <w:tab w:val="left" w:pos="748"/>
        </w:tabs>
      </w:pPr>
    </w:p>
    <w:p w:rsidR="00000000" w:rsidRDefault="00000000">
      <w:pPr>
        <w:tabs>
          <w:tab w:val="left" w:pos="748"/>
        </w:tabs>
        <w:jc w:val="center"/>
        <w:rPr>
          <w:lang w:val="en-US"/>
        </w:rPr>
      </w:pPr>
      <w:r>
        <w:t>- - - - -</w:t>
      </w:r>
    </w:p>
    <w:sectPr w:rsidR="00000000">
      <w:headerReference w:type="even" r:id="rId190"/>
      <w:headerReference w:type="default" r:id="rId19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line="216" w:lineRule="auto"/>
      </w:pPr>
      <w:r>
        <w:rPr>
          <w:rStyle w:val="FootnoteReference"/>
        </w:rPr>
        <w:footnoteRef/>
      </w:r>
      <w:r>
        <w:tab/>
        <w:t>В пункте 3 статьи 1 Конституции о дискриминации устанавливается следующее:  "Запрещается любая дискриминация по признаку этнического или национального происхождения, пола, возраста, различия в способностях, социального положения, состояния здоровья, религии, мнений и предпочтений, гражданского статуса или любых других особенностей, ущемляющая человеческое достоинство и имеющая целью отрицание или ущемление прав и свобод человека".</w:t>
      </w:r>
    </w:p>
  </w:footnote>
  <w:footnote w:id="2">
    <w:p w:rsidR="00000000" w:rsidRDefault="00000000">
      <w:pPr>
        <w:pStyle w:val="FootnoteText"/>
        <w:rPr>
          <w:lang w:val="en-US"/>
        </w:rPr>
      </w:pPr>
      <w:r>
        <w:rPr>
          <w:rStyle w:val="FootnoteReference"/>
        </w:rPr>
        <w:footnoteRef/>
      </w:r>
      <w:r>
        <w:t xml:space="preserve"> </w:t>
      </w:r>
      <w:r>
        <w:tab/>
        <w:t>Статья 4 федерального закона о предупреждении и искоренении дискриминации.</w:t>
      </w:r>
    </w:p>
    <w:p w:rsidR="00000000" w:rsidRDefault="00000000">
      <w:pPr>
        <w:pStyle w:val="FootnoteText"/>
        <w:rPr>
          <w:lang w:val="en-US"/>
        </w:rPr>
      </w:pPr>
    </w:p>
  </w:footnote>
  <w:footnote w:id="3">
    <w:p w:rsidR="00000000" w:rsidRDefault="00000000">
      <w:pPr>
        <w:pStyle w:val="FootnoteText"/>
      </w:pPr>
      <w:r>
        <w:rPr>
          <w:rStyle w:val="FootnoteReference"/>
        </w:rPr>
        <w:footnoteRef/>
      </w:r>
      <w:r>
        <w:t xml:space="preserve"> </w:t>
      </w:r>
      <w:r>
        <w:tab/>
        <w:t>В состав этого органа входит пять представителей федеральной исполнительной власти и пять членов, назначаемых Консультативной ассамблеей.  Федеральную исполнительную власть представляют министерство внутренних дел, министерство финансов и государственного кредита, министерство народного просвещения, министерство здравоохранения и министерство труда и социального обеспечения.  Кроме того, для целей участия в работе этого органа на постоянной основе приглашаются по одному представителю от следующих общественных организаций:  Национального института по делам женщин, Мексиканского института по делам молодежи, Национальной комиссии по вопросам развития коренных народов, Национального института по делам пожилых людей, Конасида и Национальной системы всестороннего развития семьи.</w:t>
      </w:r>
    </w:p>
  </w:footnote>
  <w:footnote w:id="4">
    <w:p w:rsidR="00000000" w:rsidRDefault="00000000">
      <w:pPr>
        <w:pStyle w:val="FootnoteText"/>
        <w:rPr>
          <w:lang w:val="en-US"/>
        </w:rPr>
      </w:pPr>
      <w:r>
        <w:rPr>
          <w:rStyle w:val="FootnoteReference"/>
          <w:sz w:val="28"/>
        </w:rPr>
        <w:sym w:font="Symbol" w:char="F02A"/>
      </w:r>
      <w:r>
        <w:rPr>
          <w:sz w:val="28"/>
          <w:lang w:val="en-US"/>
        </w:rPr>
        <w:tab/>
      </w:r>
      <w:r>
        <w:rPr>
          <w:lang w:val="en-US"/>
        </w:rPr>
        <w:t>HRI/GEN/2/Rev.2.</w:t>
      </w:r>
    </w:p>
    <w:p w:rsidR="00000000" w:rsidRDefault="00000000">
      <w:pPr>
        <w:pStyle w:val="FootnoteText"/>
        <w:rPr>
          <w:sz w:val="28"/>
          <w:lang w:val="en-US"/>
        </w:rPr>
      </w:pPr>
    </w:p>
  </w:footnote>
  <w:footnote w:id="5">
    <w:p w:rsidR="00000000" w:rsidRDefault="00000000">
      <w:pPr>
        <w:pStyle w:val="FootnoteText"/>
      </w:pPr>
      <w:r>
        <w:rPr>
          <w:rStyle w:val="FootnoteReference"/>
        </w:rPr>
        <w:footnoteRef/>
      </w:r>
      <w:r>
        <w:t xml:space="preserve"> </w:t>
      </w:r>
      <w:r>
        <w:tab/>
        <w:t>Согласно переписи населения 2000 года население Мексики составляло 97 483 412 человек, а показатель ежегодного прироста населения равнялся 1,9%.</w:t>
      </w:r>
    </w:p>
    <w:p w:rsidR="00000000" w:rsidRDefault="00000000">
      <w:pPr>
        <w:pStyle w:val="FootnoteText"/>
      </w:pPr>
    </w:p>
  </w:footnote>
  <w:footnote w:id="6">
    <w:p w:rsidR="00000000" w:rsidRDefault="00000000">
      <w:pPr>
        <w:pStyle w:val="FootnoteText"/>
        <w:rPr>
          <w:sz w:val="23"/>
        </w:rPr>
      </w:pPr>
      <w:r>
        <w:rPr>
          <w:rStyle w:val="FootnoteReference"/>
          <w:sz w:val="23"/>
        </w:rPr>
        <w:footnoteRef/>
      </w:r>
      <w:r>
        <w:rPr>
          <w:sz w:val="23"/>
        </w:rPr>
        <w:t xml:space="preserve"> </w:t>
      </w:r>
      <w:r>
        <w:rPr>
          <w:sz w:val="23"/>
        </w:rPr>
        <w:tab/>
        <w:t>"Статья 5.  (…)  Пользование этим правом может быть запрещено только решением суда в тех случаях, когда нарушаются права других лиц, или распоряжением администрации, изданным в указанном законом порядке, когда нарушаются права общества.  Никто не может быть лишен результатов своего труда иначе, как по судебному решению.</w:t>
      </w:r>
    </w:p>
    <w:p w:rsidR="00000000" w:rsidRDefault="00000000">
      <w:pPr>
        <w:pStyle w:val="FootnoteText"/>
        <w:rPr>
          <w:sz w:val="23"/>
        </w:rPr>
      </w:pPr>
    </w:p>
    <w:p w:rsidR="00000000" w:rsidRDefault="00000000">
      <w:pPr>
        <w:pStyle w:val="FootnoteText"/>
        <w:rPr>
          <w:sz w:val="23"/>
        </w:rPr>
      </w:pPr>
      <w:r>
        <w:rPr>
          <w:sz w:val="23"/>
        </w:rPr>
        <w:tab/>
        <w:t>Закон определяет в каждом штате профессии, требующие для своего занятия диплома, а также указывает условия его получения и органы, уполномоченные его выдавать.</w:t>
      </w:r>
    </w:p>
    <w:p w:rsidR="00000000" w:rsidRDefault="00000000">
      <w:pPr>
        <w:pStyle w:val="FootnoteText"/>
        <w:rPr>
          <w:sz w:val="23"/>
        </w:rPr>
      </w:pPr>
    </w:p>
    <w:p w:rsidR="00000000" w:rsidRDefault="00000000">
      <w:pPr>
        <w:pStyle w:val="FootnoteText"/>
        <w:rPr>
          <w:sz w:val="23"/>
        </w:rPr>
      </w:pPr>
      <w:r>
        <w:rPr>
          <w:sz w:val="23"/>
        </w:rPr>
        <w:tab/>
        <w:t>Никто не может быть принужден к выполнению работы без должного вознаграждения и без его полного согласия, кроме работы, назначаемой судебной властью в качестве меры наказания в соответствии с положениями, установленными пунктами I и II статьи 123.</w:t>
      </w:r>
    </w:p>
    <w:p w:rsidR="00000000" w:rsidRDefault="00000000">
      <w:pPr>
        <w:pStyle w:val="FootnoteText"/>
        <w:rPr>
          <w:sz w:val="23"/>
        </w:rPr>
      </w:pPr>
    </w:p>
    <w:p w:rsidR="00000000" w:rsidRDefault="00000000">
      <w:pPr>
        <w:pStyle w:val="FootnoteText"/>
        <w:rPr>
          <w:sz w:val="23"/>
        </w:rPr>
      </w:pPr>
      <w:r>
        <w:rPr>
          <w:sz w:val="23"/>
        </w:rPr>
        <w:tab/>
        <w:t>Обязательными в пределах, установленных соответствующими законами, являются лишь следующие общественные обязанности:  воинская служба, функции присяжного заседателя, должность муниципального советника, а также должности, занимаемые по народным выборам, прямым или косвенным.  Обязанности в связи с выборами и народными переписями являются принудительными и бесплатными.  Выплата денежного вознаграждения предусматривается только в связи с теми обязанностями, которые выполняются в профессиональном порядке на условиях, предусмотренных настоящей Конституцией и соответствующими законами.  Профессиональная деятельность общественного характера является обязательной и оплачивается в законном порядке, за исключениями, предусмотренными законом.</w:t>
      </w:r>
    </w:p>
    <w:p w:rsidR="00000000" w:rsidRDefault="00000000">
      <w:pPr>
        <w:pStyle w:val="FootnoteText"/>
        <w:rPr>
          <w:sz w:val="23"/>
        </w:rPr>
      </w:pPr>
    </w:p>
    <w:p w:rsidR="00000000" w:rsidRDefault="00000000">
      <w:pPr>
        <w:pStyle w:val="FootnoteText"/>
        <w:rPr>
          <w:sz w:val="23"/>
        </w:rPr>
      </w:pPr>
      <w:r>
        <w:rPr>
          <w:sz w:val="23"/>
        </w:rPr>
        <w:tab/>
        <w:t>Государство не допускает договоров, условий или соглашений, выполнение которых имеет целью ограничение, потерю или безвозвратный отказ от свободы личности по какой бы то ни было причине.</w:t>
      </w:r>
    </w:p>
    <w:p w:rsidR="00000000" w:rsidRDefault="00000000">
      <w:pPr>
        <w:pStyle w:val="FootnoteText"/>
        <w:rPr>
          <w:sz w:val="23"/>
        </w:rPr>
      </w:pPr>
    </w:p>
    <w:p w:rsidR="00000000" w:rsidRDefault="00000000">
      <w:pPr>
        <w:pStyle w:val="FootnoteText"/>
        <w:rPr>
          <w:sz w:val="23"/>
        </w:rPr>
      </w:pPr>
      <w:r>
        <w:rPr>
          <w:sz w:val="23"/>
        </w:rPr>
        <w:tab/>
        <w:t>Равным образом запрещаются договоренности, по которым лицо подлежит высылке или изгнанию или на временной или постоянной основе лишается права заниматься какой-либо профессией или промышленной или торговой деятельностью.</w:t>
      </w:r>
    </w:p>
    <w:p w:rsidR="00000000" w:rsidRDefault="00000000">
      <w:pPr>
        <w:pStyle w:val="FootnoteText"/>
        <w:rPr>
          <w:sz w:val="23"/>
        </w:rPr>
      </w:pPr>
    </w:p>
    <w:p w:rsidR="00000000" w:rsidRDefault="00000000">
      <w:pPr>
        <w:pStyle w:val="FootnoteText"/>
        <w:rPr>
          <w:sz w:val="23"/>
        </w:rPr>
      </w:pPr>
      <w:r>
        <w:rPr>
          <w:sz w:val="23"/>
        </w:rPr>
        <w:tab/>
        <w:t>Трудовой договор обязывает лишь выполнять определенную работу на время, которое определяет закон и которое не может превышать один год в ущерб интересам рабочего;  трудовой договор ни в коем случае не может предусматривать отказ от политических или гражданских прав, их потерю или ограничение.</w:t>
      </w:r>
    </w:p>
    <w:p w:rsidR="00000000" w:rsidRDefault="00000000">
      <w:pPr>
        <w:pStyle w:val="FootnoteText"/>
        <w:rPr>
          <w:sz w:val="23"/>
        </w:rPr>
      </w:pPr>
    </w:p>
    <w:p w:rsidR="00000000" w:rsidRDefault="00000000">
      <w:pPr>
        <w:pStyle w:val="FootnoteText"/>
        <w:rPr>
          <w:sz w:val="23"/>
        </w:rPr>
      </w:pPr>
      <w:r>
        <w:rPr>
          <w:sz w:val="23"/>
        </w:rPr>
        <w:tab/>
        <w:t>Невыполнение трудового договора со стороны рабочего влечет за собой для него лишь гражданскую ответственность за причиненный ущерб, но ни в коем случае не может влечь за собой насилие над личностью".</w:t>
      </w:r>
    </w:p>
  </w:footnote>
  <w:footnote w:id="7">
    <w:p w:rsidR="00000000" w:rsidRDefault="00000000">
      <w:pPr>
        <w:pStyle w:val="FootnoteText"/>
      </w:pPr>
      <w:r>
        <w:rPr>
          <w:rStyle w:val="FootnoteReference"/>
        </w:rPr>
        <w:footnoteRef/>
      </w:r>
      <w:r>
        <w:t xml:space="preserve"> </w:t>
      </w:r>
      <w:r>
        <w:tab/>
        <w:t>"Статья 4.  (…)</w:t>
      </w:r>
    </w:p>
    <w:p w:rsidR="00000000" w:rsidRDefault="00000000">
      <w:pPr>
        <w:pStyle w:val="FootnoteText"/>
      </w:pPr>
    </w:p>
    <w:p w:rsidR="00000000" w:rsidRDefault="00000000">
      <w:pPr>
        <w:pStyle w:val="FootnoteText"/>
      </w:pPr>
      <w:r>
        <w:tab/>
        <w:t>I.</w:t>
      </w:r>
      <w:r>
        <w:tab/>
        <w:t>Ущемление прав третьих лиц в предусмотренных законом случаях и в следующих ситуациях:</w:t>
      </w:r>
    </w:p>
    <w:p w:rsidR="00000000" w:rsidRDefault="00000000">
      <w:pPr>
        <w:pStyle w:val="FootnoteText"/>
      </w:pPr>
    </w:p>
    <w:p w:rsidR="00000000" w:rsidRDefault="00000000">
      <w:pPr>
        <w:pStyle w:val="FootnoteText"/>
        <w:ind w:left="1701" w:hanging="1701"/>
      </w:pPr>
      <w:r>
        <w:tab/>
      </w:r>
      <w:r>
        <w:tab/>
        <w:t>а)</w:t>
      </w:r>
      <w:r>
        <w:tab/>
        <w:t>если речь идет о временной или постоянной замене рабочего, который был отстранен от работы без рассмотрения его дела Советом по примирению и арбитражу;</w:t>
      </w:r>
    </w:p>
    <w:p w:rsidR="00000000" w:rsidRDefault="00000000">
      <w:pPr>
        <w:pStyle w:val="FootnoteText"/>
      </w:pPr>
    </w:p>
    <w:p w:rsidR="00000000" w:rsidRDefault="00000000">
      <w:pPr>
        <w:pStyle w:val="FootnoteText"/>
        <w:ind w:left="1701" w:hanging="1701"/>
      </w:pPr>
      <w:r>
        <w:tab/>
      </w:r>
      <w:r>
        <w:tab/>
        <w:t>b)</w:t>
      </w:r>
      <w:r>
        <w:tab/>
        <w:t>если рабочий лишается права занимать тот же пост, от которого он был отстранен по причине заболевания или форс-мажорных обстоятельств или по уважительной причине после возобновления им трудовой деятельности.</w:t>
      </w:r>
    </w:p>
    <w:p w:rsidR="00000000" w:rsidRDefault="00000000">
      <w:pPr>
        <w:pStyle w:val="FootnoteText"/>
      </w:pPr>
    </w:p>
    <w:p w:rsidR="00000000" w:rsidRDefault="00000000">
      <w:pPr>
        <w:pStyle w:val="FootnoteText"/>
      </w:pPr>
      <w:r>
        <w:tab/>
        <w:t>II.</w:t>
      </w:r>
      <w:r>
        <w:tab/>
        <w:t>Посягательство на общественные права в предусмотренных законом случаях и следующих ситуациях:</w:t>
      </w:r>
    </w:p>
    <w:p w:rsidR="00000000" w:rsidRDefault="00000000">
      <w:pPr>
        <w:pStyle w:val="FootnoteText"/>
      </w:pPr>
    </w:p>
    <w:p w:rsidR="00000000" w:rsidRDefault="00000000">
      <w:pPr>
        <w:pStyle w:val="FootnoteText"/>
        <w:ind w:left="1701" w:hanging="1701"/>
      </w:pPr>
      <w:r>
        <w:tab/>
      </w:r>
      <w:r>
        <w:tab/>
        <w:t>а)</w:t>
      </w:r>
      <w:r>
        <w:tab/>
        <w:t>если после объявления в соответствии с положениями настоящего закона забастовки предпринимаются попытки заменить или осуществляется замена забастовщиков другими лицами на их рабочих местах без разрешения конфликта, являющегося причиной объявления забастовки, за исключением случаев, предусмотренных в статье 468;</w:t>
      </w:r>
    </w:p>
    <w:p w:rsidR="00000000" w:rsidRDefault="00000000">
      <w:pPr>
        <w:pStyle w:val="FootnoteText"/>
      </w:pPr>
    </w:p>
    <w:p w:rsidR="00000000" w:rsidRDefault="00000000">
      <w:pPr>
        <w:pStyle w:val="FootnoteText"/>
        <w:ind w:left="1701" w:hanging="1701"/>
      </w:pPr>
      <w:r>
        <w:tab/>
      </w:r>
      <w:r>
        <w:tab/>
        <w:t>b)</w:t>
      </w:r>
      <w:r>
        <w:tab/>
        <w:t>если после объявления забастовки на аналогично законных условиях большинством трудящихся какого-либо предприятия меньшая часть трудящихся намеревается возобновить работу или продолжает работать".</w:t>
      </w:r>
    </w:p>
  </w:footnote>
  <w:footnote w:id="8">
    <w:p w:rsidR="00000000" w:rsidRDefault="00000000">
      <w:pPr>
        <w:pStyle w:val="FootnoteText"/>
      </w:pPr>
      <w:r>
        <w:rPr>
          <w:rStyle w:val="FootnoteReference"/>
        </w:rPr>
        <w:footnoteRef/>
      </w:r>
      <w:r>
        <w:t xml:space="preserve"> </w:t>
      </w:r>
      <w:r>
        <w:tab/>
        <w:t>"Статья 1.  В Мексиканских Соединенных Штатах каждый человек пользуется правами, которые предоставляет настоящая Конституция;  эти права не могут ограничиваться, и действие их не может приостанавливаться иначе, как в случаях и при условиях, установленных настоящей Конституцией.</w:t>
      </w:r>
    </w:p>
    <w:p w:rsidR="00000000" w:rsidRDefault="00000000">
      <w:pPr>
        <w:pStyle w:val="FootnoteText"/>
      </w:pPr>
    </w:p>
    <w:p w:rsidR="00000000" w:rsidRDefault="00000000">
      <w:pPr>
        <w:spacing w:line="240" w:lineRule="auto"/>
      </w:pPr>
      <w:r>
        <w:tab/>
        <w:t>Запрещается рабство в Мексиканских Соединенных Штатах.  Иностранные рабы, которые оказываются на национальной территории, в силу одного этого факта обретают свободу и пользуются защитой со стороны закона.</w:t>
      </w:r>
    </w:p>
    <w:p w:rsidR="00000000" w:rsidRDefault="00000000">
      <w:pPr>
        <w:spacing w:line="240" w:lineRule="auto"/>
      </w:pPr>
    </w:p>
    <w:p w:rsidR="00000000" w:rsidRDefault="00000000">
      <w:pPr>
        <w:spacing w:line="240" w:lineRule="auto"/>
      </w:pPr>
      <w:r>
        <w:tab/>
        <w:t>Запрещается любая дискриминация по признаку этнического или национального происхождения, пола, возраста, различий в способностях, социального положения, состояния здоровья, религии, мнений и предпочтений, гражданского статуса или любых других особенностей, ущемляющая человеческое достоинство и имеющая целью отрицание или умаление прав и свобод человека".</w:t>
      </w:r>
    </w:p>
    <w:p w:rsidR="00000000" w:rsidRDefault="00000000"/>
  </w:footnote>
  <w:footnote w:id="9">
    <w:p w:rsidR="00000000" w:rsidRDefault="00000000">
      <w:pPr>
        <w:spacing w:line="240" w:lineRule="auto"/>
      </w:pPr>
      <w:r>
        <w:rPr>
          <w:rStyle w:val="FootnoteReference"/>
        </w:rPr>
        <w:footnoteRef/>
      </w:r>
      <w:r>
        <w:t xml:space="preserve"> </w:t>
      </w:r>
      <w:r>
        <w:tab/>
        <w:t>"Статья 3.  Труд является социальным правом и социальной обязанностью.  Труд не может служить объектом торга, требует уважения, свободы и достоинства трудящегося и осуществляется в условиях, гарантирующих жизнь, здоровье и адекватный экономический уровень трудящегося и его семьи.</w:t>
      </w:r>
    </w:p>
    <w:p w:rsidR="00000000" w:rsidRDefault="00000000">
      <w:pPr>
        <w:spacing w:line="240" w:lineRule="auto"/>
      </w:pPr>
    </w:p>
    <w:p w:rsidR="00000000" w:rsidRDefault="00000000">
      <w:pPr>
        <w:spacing w:line="240" w:lineRule="auto"/>
      </w:pPr>
      <w:r>
        <w:tab/>
        <w:t>Запрещается проведение разграничений между трудящимися по признаку расы, пола, возраста, религиозных верований, политических убеждений или социального положения.</w:t>
      </w:r>
    </w:p>
    <w:p w:rsidR="00000000" w:rsidRDefault="00000000">
      <w:pPr>
        <w:spacing w:line="240" w:lineRule="auto"/>
      </w:pPr>
    </w:p>
    <w:p w:rsidR="00000000" w:rsidRDefault="00000000">
      <w:pPr>
        <w:spacing w:line="240" w:lineRule="auto"/>
      </w:pPr>
      <w:r>
        <w:tab/>
        <w:t>В этой связи принимаются меры по созданию рабочих мест и совершенствованию социальной организации труда".</w:t>
      </w:r>
    </w:p>
  </w:footnote>
  <w:footnote w:id="10">
    <w:p w:rsidR="00000000" w:rsidRDefault="00000000">
      <w:pPr>
        <w:pStyle w:val="FootnoteText"/>
      </w:pPr>
      <w:r>
        <w:rPr>
          <w:rStyle w:val="FootnoteReference"/>
        </w:rPr>
        <w:footnoteRef/>
      </w:r>
      <w:r>
        <w:t xml:space="preserve"> </w:t>
      </w:r>
      <w:r>
        <w:tab/>
        <w:t>"Статья 206.  Наказание в виде лишения свободы на срок от одного года до трех лет и штрафа в размере минимальной заработной платы за период от 50 до 200 дней…".</w:t>
      </w:r>
    </w:p>
  </w:footnote>
  <w:footnote w:id="11">
    <w:p w:rsidR="00000000" w:rsidRDefault="00000000">
      <w:pPr>
        <w:pStyle w:val="FootnoteText"/>
        <w:spacing w:before="20"/>
      </w:pPr>
      <w:r>
        <w:rPr>
          <w:rStyle w:val="FootnoteReference"/>
        </w:rPr>
        <w:footnoteRef/>
      </w:r>
      <w:r>
        <w:t xml:space="preserve"> </w:t>
      </w:r>
      <w:r>
        <w:tab/>
        <w:t>Статья 154 Правил:</w:t>
      </w:r>
      <w:r>
        <w:br/>
      </w:r>
    </w:p>
    <w:p w:rsidR="00000000" w:rsidRDefault="00000000">
      <w:pPr>
        <w:tabs>
          <w:tab w:val="clear" w:pos="567"/>
          <w:tab w:val="clear" w:pos="1134"/>
          <w:tab w:val="clear" w:pos="1701"/>
          <w:tab w:val="right" w:pos="924"/>
          <w:tab w:val="left" w:pos="1400"/>
        </w:tabs>
        <w:spacing w:before="20" w:line="240" w:lineRule="auto"/>
        <w:ind w:left="1400" w:hanging="1400"/>
      </w:pPr>
      <w:r>
        <w:tab/>
        <w:t>I.</w:t>
      </w:r>
      <w:r>
        <w:tab/>
        <w:t>обработка, транспортировка или складирование тератогенных или мутагенных веществ;</w:t>
      </w:r>
    </w:p>
    <w:p w:rsidR="00000000" w:rsidRDefault="00000000">
      <w:pPr>
        <w:tabs>
          <w:tab w:val="clear" w:pos="567"/>
          <w:tab w:val="clear" w:pos="1134"/>
          <w:tab w:val="clear" w:pos="1701"/>
          <w:tab w:val="right" w:pos="924"/>
          <w:tab w:val="left" w:pos="1400"/>
        </w:tabs>
        <w:spacing w:before="20" w:line="240" w:lineRule="auto"/>
        <w:ind w:left="1400" w:hanging="1400"/>
      </w:pPr>
      <w:r>
        <w:tab/>
        <w:t>II.</w:t>
      </w:r>
      <w:r>
        <w:tab/>
        <w:t>наличие источников излучающей радиации, способных привести к заражению рабочего места в соответствии с юридическими положениями и применимыми регламентами или нормами;</w:t>
      </w:r>
    </w:p>
    <w:p w:rsidR="00000000" w:rsidRDefault="00000000">
      <w:pPr>
        <w:tabs>
          <w:tab w:val="clear" w:pos="567"/>
          <w:tab w:val="clear" w:pos="1134"/>
          <w:tab w:val="clear" w:pos="1701"/>
          <w:tab w:val="right" w:pos="924"/>
          <w:tab w:val="left" w:pos="1400"/>
        </w:tabs>
        <w:spacing w:before="20" w:line="240" w:lineRule="auto"/>
        <w:ind w:left="1400" w:hanging="1400"/>
      </w:pPr>
      <w:r>
        <w:tab/>
        <w:t>III.</w:t>
      </w:r>
      <w:r>
        <w:tab/>
        <w:t>превышающее нормы воздушное давление или аномальная термосреда;</w:t>
      </w:r>
    </w:p>
    <w:p w:rsidR="00000000" w:rsidRDefault="00000000">
      <w:pPr>
        <w:tabs>
          <w:tab w:val="clear" w:pos="567"/>
          <w:tab w:val="clear" w:pos="1134"/>
          <w:tab w:val="clear" w:pos="1701"/>
          <w:tab w:val="right" w:pos="924"/>
          <w:tab w:val="left" w:pos="1400"/>
        </w:tabs>
        <w:spacing w:before="20" w:line="240" w:lineRule="auto"/>
        <w:ind w:left="1400" w:hanging="1400"/>
      </w:pPr>
      <w:r>
        <w:tab/>
        <w:t>IV.</w:t>
      </w:r>
      <w:r>
        <w:tab/>
        <w:t>мышечные усилия, способные нанести ущерб плоду;</w:t>
      </w:r>
    </w:p>
    <w:p w:rsidR="00000000" w:rsidRDefault="00000000">
      <w:pPr>
        <w:tabs>
          <w:tab w:val="clear" w:pos="567"/>
          <w:tab w:val="clear" w:pos="1134"/>
          <w:tab w:val="clear" w:pos="1701"/>
          <w:tab w:val="right" w:pos="924"/>
          <w:tab w:val="left" w:pos="1400"/>
        </w:tabs>
        <w:spacing w:before="20" w:line="240" w:lineRule="auto"/>
        <w:ind w:left="1400" w:hanging="1400"/>
      </w:pPr>
      <w:r>
        <w:tab/>
        <w:t>V.</w:t>
      </w:r>
      <w:r>
        <w:tab/>
        <w:t>работа на буровых установках или морских платформах;</w:t>
      </w:r>
    </w:p>
    <w:p w:rsidR="00000000" w:rsidRDefault="00000000">
      <w:pPr>
        <w:tabs>
          <w:tab w:val="clear" w:pos="567"/>
          <w:tab w:val="clear" w:pos="1134"/>
          <w:tab w:val="clear" w:pos="1701"/>
          <w:tab w:val="right" w:pos="924"/>
          <w:tab w:val="left" w:pos="1400"/>
        </w:tabs>
        <w:spacing w:before="20" w:line="240" w:lineRule="auto"/>
        <w:ind w:left="1400" w:hanging="1400"/>
      </w:pPr>
      <w:r>
        <w:tab/>
        <w:t>VI.</w:t>
      </w:r>
      <w:r>
        <w:tab/>
        <w:t>работа под водой, под землей или в открытых карьерах;</w:t>
      </w:r>
    </w:p>
    <w:p w:rsidR="00000000" w:rsidRDefault="00000000">
      <w:pPr>
        <w:tabs>
          <w:tab w:val="clear" w:pos="567"/>
          <w:tab w:val="clear" w:pos="1134"/>
          <w:tab w:val="clear" w:pos="1701"/>
          <w:tab w:val="right" w:pos="924"/>
          <w:tab w:val="left" w:pos="1400"/>
        </w:tabs>
        <w:spacing w:before="20" w:line="240" w:lineRule="auto"/>
        <w:ind w:left="1400" w:hanging="1400"/>
      </w:pPr>
      <w:r>
        <w:tab/>
        <w:t>VII.</w:t>
      </w:r>
      <w:r>
        <w:tab/>
        <w:t>работа в замкнутом пространстве;</w:t>
      </w:r>
    </w:p>
    <w:p w:rsidR="00000000" w:rsidRDefault="00000000">
      <w:pPr>
        <w:tabs>
          <w:tab w:val="clear" w:pos="567"/>
          <w:tab w:val="clear" w:pos="1134"/>
          <w:tab w:val="clear" w:pos="1701"/>
          <w:tab w:val="right" w:pos="924"/>
          <w:tab w:val="left" w:pos="1400"/>
        </w:tabs>
        <w:spacing w:before="20" w:line="240" w:lineRule="auto"/>
        <w:ind w:left="1400" w:hanging="1400"/>
      </w:pPr>
      <w:r>
        <w:tab/>
        <w:t>VIII.</w:t>
      </w:r>
      <w:r>
        <w:tab/>
        <w:t>сварочные работы;  а также</w:t>
      </w:r>
    </w:p>
    <w:p w:rsidR="00000000" w:rsidRDefault="00000000">
      <w:pPr>
        <w:tabs>
          <w:tab w:val="clear" w:pos="567"/>
          <w:tab w:val="clear" w:pos="1134"/>
          <w:tab w:val="clear" w:pos="1701"/>
          <w:tab w:val="right" w:pos="924"/>
          <w:tab w:val="left" w:pos="1400"/>
        </w:tabs>
        <w:spacing w:before="20" w:line="240" w:lineRule="auto"/>
        <w:ind w:left="1400" w:hanging="1400"/>
      </w:pPr>
      <w:r>
        <w:tab/>
      </w:r>
      <w:r>
        <w:rPr>
          <w:lang w:val="en-US"/>
        </w:rPr>
        <w:t>IX</w:t>
      </w:r>
      <w:r>
        <w:t>.</w:t>
      </w:r>
      <w:r>
        <w:tab/>
        <w:t>другие виды трудовой деятельности, которые квалифицируются в качестве опасных или вредных в соответствии с применимыми законами, регламентами и нормами.</w:t>
      </w:r>
    </w:p>
  </w:footnote>
  <w:footnote w:id="12">
    <w:p w:rsidR="00000000" w:rsidRDefault="00000000">
      <w:pPr>
        <w:pStyle w:val="FootnoteText"/>
      </w:pPr>
      <w:r>
        <w:rPr>
          <w:rStyle w:val="FootnoteReference"/>
        </w:rPr>
        <w:footnoteRef/>
      </w:r>
      <w:r>
        <w:t xml:space="preserve"> </w:t>
      </w:r>
      <w:r>
        <w:tab/>
        <w:t>Статьи 570</w:t>
      </w:r>
      <w:r>
        <w:noBreakHyphen/>
        <w:t>574 федерального закона о труде.</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 xml:space="preserve">"Статья 1.  В Мексиканских Соединенных Штатах каждый человек пользуется правами, которые предоставляет настоящая Конституция;  эти права не могут ограничиваться, и действие их не может приостанавливаться иначе, как в случаях и при условиях, установленных настоящей Конституцией.  </w:t>
      </w:r>
    </w:p>
    <w:p w:rsidR="00000000" w:rsidRDefault="00000000">
      <w:pPr>
        <w:pStyle w:val="FootnoteText"/>
      </w:pPr>
    </w:p>
    <w:p w:rsidR="00000000" w:rsidRDefault="00000000">
      <w:pPr>
        <w:pStyle w:val="FootnoteText"/>
        <w:rPr>
          <w:lang w:val="en-US"/>
        </w:rPr>
      </w:pPr>
      <w:r>
        <w:tab/>
        <w:t>Запрещается рабство в Мексиканских Соединенных Штатах.  Иностранные рабы, которые оказываются на национальной территории, в силу одного этого факта обретают свободу и пользуются защитой со стороны закона.</w:t>
      </w:r>
    </w:p>
    <w:p w:rsidR="00000000" w:rsidRDefault="00000000">
      <w:pPr>
        <w:pStyle w:val="FootnoteText"/>
        <w:rPr>
          <w:lang w:val="en-US"/>
        </w:rPr>
      </w:pPr>
    </w:p>
    <w:p w:rsidR="00000000" w:rsidRDefault="00000000">
      <w:pPr>
        <w:pStyle w:val="FootnoteText"/>
      </w:pPr>
      <w:r>
        <w:tab/>
        <w:t>Запрещается любая дискриминация по признаку этнического или национального происхождения, пола, возраста, различий в способностях, социального положения, состояния здоровья, религии, мнений и предпочтений, гражданского статуса или любых других особенностей, ущемляющая человеческое достоинство и имеющая целью отрицание или ущемление прав и свобод человека.</w:t>
      </w:r>
    </w:p>
    <w:p w:rsidR="00000000" w:rsidRDefault="00000000">
      <w:pPr>
        <w:pStyle w:val="FootnoteText"/>
      </w:pPr>
    </w:p>
    <w:p w:rsidR="00000000" w:rsidRDefault="00000000">
      <w:pPr>
        <w:pStyle w:val="FootnoteText"/>
      </w:pPr>
      <w:r>
        <w:tab/>
        <w:t>Статья 4.  Мужчины и женщины равны перед законом…".</w:t>
      </w:r>
    </w:p>
  </w:footnote>
  <w:footnote w:id="14">
    <w:p w:rsidR="00000000" w:rsidRDefault="00000000">
      <w:pPr>
        <w:pStyle w:val="FootnoteText"/>
      </w:pPr>
      <w:r>
        <w:rPr>
          <w:rStyle w:val="FootnoteReference"/>
        </w:rPr>
        <w:footnoteRef/>
      </w:r>
      <w:r>
        <w:t xml:space="preserve"> </w:t>
      </w:r>
      <w:r>
        <w:tab/>
        <w:t>Приложение V, статьи 58-68 федерального закона о труде.</w:t>
      </w:r>
    </w:p>
  </w:footnote>
  <w:footnote w:id="15">
    <w:p w:rsidR="00000000" w:rsidRDefault="00000000">
      <w:pPr>
        <w:pStyle w:val="FootnoteText"/>
        <w:rPr>
          <w:sz w:val="22"/>
        </w:rPr>
      </w:pPr>
      <w:r>
        <w:rPr>
          <w:rStyle w:val="FootnoteReference"/>
          <w:sz w:val="22"/>
        </w:rPr>
        <w:footnoteRef/>
      </w:r>
      <w:r>
        <w:rPr>
          <w:sz w:val="22"/>
        </w:rPr>
        <w:t xml:space="preserve"> </w:t>
      </w:r>
      <w:r>
        <w:rPr>
          <w:sz w:val="22"/>
        </w:rPr>
        <w:tab/>
        <w:t xml:space="preserve">См. сайт Международной организации труда:  </w:t>
      </w:r>
      <w:hyperlink r:id="rId1" w:history="1">
        <w:r>
          <w:rPr>
            <w:rStyle w:val="Hyperlink"/>
            <w:sz w:val="22"/>
            <w:u w:val="none"/>
            <w:lang w:val="en-US"/>
          </w:rPr>
          <w:t>http</w:t>
        </w:r>
        <w:r>
          <w:rPr>
            <w:rStyle w:val="Hyperlink"/>
            <w:sz w:val="22"/>
            <w:u w:val="none"/>
          </w:rPr>
          <w:t>://</w:t>
        </w:r>
        <w:r>
          <w:rPr>
            <w:rStyle w:val="Hyperlink"/>
            <w:sz w:val="22"/>
            <w:u w:val="none"/>
            <w:lang w:val="en-US"/>
          </w:rPr>
          <w:t>www</w:t>
        </w:r>
        <w:r>
          <w:rPr>
            <w:rStyle w:val="Hyperlink"/>
            <w:sz w:val="22"/>
            <w:u w:val="none"/>
          </w:rPr>
          <w:t>.</w:t>
        </w:r>
        <w:r>
          <w:rPr>
            <w:rStyle w:val="Hyperlink"/>
            <w:sz w:val="22"/>
            <w:u w:val="none"/>
            <w:lang w:val="en-US"/>
          </w:rPr>
          <w:t>ilo</w:t>
        </w:r>
        <w:r>
          <w:rPr>
            <w:rStyle w:val="Hyperlink"/>
            <w:sz w:val="22"/>
            <w:u w:val="none"/>
          </w:rPr>
          <w:t>.</w:t>
        </w:r>
        <w:r>
          <w:rPr>
            <w:rStyle w:val="Hyperlink"/>
            <w:sz w:val="22"/>
            <w:u w:val="none"/>
            <w:lang w:val="en-US"/>
          </w:rPr>
          <w:t>org</w:t>
        </w:r>
        <w:r>
          <w:rPr>
            <w:rStyle w:val="Hyperlink"/>
            <w:sz w:val="22"/>
            <w:u w:val="none"/>
          </w:rPr>
          <w:t>/</w:t>
        </w:r>
        <w:r>
          <w:rPr>
            <w:rStyle w:val="Hyperlink"/>
            <w:sz w:val="22"/>
            <w:u w:val="none"/>
            <w:lang w:val="en-US"/>
          </w:rPr>
          <w:t>ilolex</w:t>
        </w:r>
        <w:r>
          <w:rPr>
            <w:rStyle w:val="Hyperlink"/>
            <w:sz w:val="22"/>
            <w:u w:val="none"/>
          </w:rPr>
          <w:t>/</w:t>
        </w:r>
        <w:r>
          <w:rPr>
            <w:rStyle w:val="Hyperlink"/>
            <w:sz w:val="22"/>
            <w:u w:val="none"/>
            <w:lang w:val="en-US"/>
          </w:rPr>
          <w:t>spanish</w:t>
        </w:r>
        <w:r>
          <w:rPr>
            <w:rStyle w:val="Hyperlink"/>
            <w:sz w:val="22"/>
            <w:u w:val="none"/>
          </w:rPr>
          <w:t>/</w:t>
        </w:r>
        <w:r>
          <w:rPr>
            <w:rStyle w:val="Hyperlink"/>
            <w:sz w:val="22"/>
            <w:u w:val="none"/>
            <w:lang w:val="en-US"/>
          </w:rPr>
          <w:t>convdisp</w:t>
        </w:r>
        <w:r>
          <w:rPr>
            <w:rStyle w:val="Hyperlink"/>
            <w:sz w:val="22"/>
            <w:u w:val="none"/>
          </w:rPr>
          <w:t>2.</w:t>
        </w:r>
        <w:r>
          <w:rPr>
            <w:rStyle w:val="Hyperlink"/>
            <w:sz w:val="22"/>
            <w:u w:val="none"/>
            <w:lang w:val="en-US"/>
          </w:rPr>
          <w:t>htm</w:t>
        </w:r>
      </w:hyperlink>
      <w:r>
        <w:rPr>
          <w:sz w:val="22"/>
        </w:rPr>
        <w:t>.</w:t>
      </w:r>
    </w:p>
    <w:p w:rsidR="00000000" w:rsidRDefault="00000000">
      <w:pPr>
        <w:pStyle w:val="FootnoteText"/>
        <w:rPr>
          <w:sz w:val="22"/>
        </w:rPr>
      </w:pPr>
    </w:p>
  </w:footnote>
  <w:footnote w:id="16">
    <w:p w:rsidR="00000000" w:rsidRDefault="00000000">
      <w:pPr>
        <w:pStyle w:val="FootnoteText"/>
      </w:pPr>
      <w:r>
        <w:rPr>
          <w:rStyle w:val="FootnoteReference"/>
        </w:rPr>
        <w:footnoteRef/>
      </w:r>
      <w:r>
        <w:t xml:space="preserve"> </w:t>
      </w:r>
      <w:r>
        <w:tab/>
        <w:t xml:space="preserve">См. приложение </w:t>
      </w:r>
      <w:r>
        <w:rPr>
          <w:lang w:val="en-US"/>
        </w:rPr>
        <w:t>VI</w:t>
      </w:r>
      <w:r>
        <w:t>.</w:t>
      </w:r>
    </w:p>
  </w:footnote>
  <w:footnote w:id="17">
    <w:p w:rsidR="00000000" w:rsidRDefault="00000000">
      <w:pPr>
        <w:pStyle w:val="FootnoteText"/>
        <w:rPr>
          <w:lang w:val="fr-FR"/>
        </w:rPr>
      </w:pPr>
      <w:r>
        <w:rPr>
          <w:rStyle w:val="FootnoteReference"/>
        </w:rPr>
        <w:footnoteRef/>
      </w:r>
      <w:r>
        <w:rPr>
          <w:lang w:val="fr-FR"/>
        </w:rPr>
        <w:t xml:space="preserve"> </w:t>
      </w:r>
      <w:r>
        <w:rPr>
          <w:lang w:val="fr-FR"/>
        </w:rPr>
        <w:tab/>
        <w:t>"Hacia una Política de Erradicación del Trabajo Infantil en México" DIF-UNICEF.</w:t>
      </w:r>
    </w:p>
  </w:footnote>
  <w:footnote w:id="18">
    <w:p w:rsidR="00000000" w:rsidRDefault="00000000">
      <w:pPr>
        <w:pStyle w:val="FootnoteText"/>
      </w:pPr>
      <w:r>
        <w:rPr>
          <w:rStyle w:val="FootnoteReference"/>
        </w:rPr>
        <w:footnoteRef/>
      </w:r>
      <w:r>
        <w:t xml:space="preserve"> </w:t>
      </w:r>
      <w:r>
        <w:tab/>
        <w:t>Федеральный закон о труде запрещает использование труда детей младше 14 лет и детей в возрасте от 14 до 16 лет, которые не закончили обязательного образования, помимо исключительных случаев, когда на это получено разрешение компетентного органа (ст. 22).</w:t>
      </w:r>
    </w:p>
  </w:footnote>
  <w:footnote w:id="19">
    <w:p w:rsidR="00000000" w:rsidRDefault="00000000">
      <w:pPr>
        <w:pStyle w:val="FootnoteText"/>
      </w:pPr>
      <w:r>
        <w:rPr>
          <w:rStyle w:val="FootnoteReference"/>
        </w:rPr>
        <w:footnoteRef/>
      </w:r>
      <w:r>
        <w:t xml:space="preserve"> </w:t>
      </w:r>
      <w:r>
        <w:tab/>
        <w:t>О методике выделения этих групп будет сказано ниже.</w:t>
      </w:r>
    </w:p>
  </w:footnote>
  <w:footnote w:id="20">
    <w:p w:rsidR="00000000" w:rsidRDefault="00000000">
      <w:pPr>
        <w:pStyle w:val="FootnoteText"/>
      </w:pPr>
      <w:r>
        <w:rPr>
          <w:rStyle w:val="FootnoteReference"/>
        </w:rPr>
        <w:footnoteRef/>
      </w:r>
      <w:r>
        <w:t xml:space="preserve"> </w:t>
      </w:r>
      <w:r>
        <w:tab/>
        <w:t>В приложении препровождается КД:  "Жилищная статистика за период 1997</w:t>
      </w:r>
      <w:r>
        <w:noBreakHyphen/>
        <w:t>2002 годов" и "Жилищная статистика за период 2001</w:t>
      </w:r>
      <w:r>
        <w:noBreakHyphen/>
        <w:t>2002 годов".</w:t>
      </w:r>
    </w:p>
  </w:footnote>
  <w:footnote w:id="21">
    <w:p w:rsidR="00000000" w:rsidRDefault="00000000">
      <w:pPr>
        <w:pStyle w:val="FootnoteText"/>
      </w:pPr>
      <w:r>
        <w:rPr>
          <w:rStyle w:val="FootnoteReference"/>
        </w:rPr>
        <w:footnoteRef/>
      </w:r>
      <w:r>
        <w:t xml:space="preserve"> </w:t>
      </w:r>
      <w:r>
        <w:tab/>
        <w:t>На 100 000 детей в возрасте до 5 лет.</w:t>
      </w:r>
    </w:p>
  </w:footnote>
  <w:footnote w:id="22">
    <w:p w:rsidR="00000000" w:rsidRDefault="00000000">
      <w:pPr>
        <w:pStyle w:val="FootnoteText"/>
        <w:rPr>
          <w:lang w:val="en-US"/>
        </w:rPr>
      </w:pPr>
      <w:r>
        <w:rPr>
          <w:rStyle w:val="FootnoteReference"/>
        </w:rPr>
        <w:footnoteRef/>
      </w:r>
      <w:r>
        <w:rPr>
          <w:lang w:val="fr-FR"/>
        </w:rPr>
        <w:t xml:space="preserve"> </w:t>
      </w:r>
      <w:r>
        <w:rPr>
          <w:lang w:val="fr-FR"/>
        </w:rPr>
        <w:tab/>
        <w:t xml:space="preserve">Programa de Educación Primaria 10-14.  Lineamientos Generales.  Dorección de contenidos, Métodos y Materiales.  </w:t>
      </w:r>
      <w:r>
        <w:rPr>
          <w:lang w:val="en-US"/>
        </w:rPr>
        <w:t>INFA 1995, págs. 3 a 6.</w:t>
      </w:r>
    </w:p>
  </w:footnote>
  <w:footnote w:id="23">
    <w:p w:rsidR="00000000" w:rsidRDefault="00000000">
      <w:pPr>
        <w:pStyle w:val="FootnoteText"/>
        <w:rPr>
          <w:lang w:val="en-US"/>
        </w:rPr>
      </w:pPr>
      <w:r>
        <w:rPr>
          <w:rStyle w:val="FootnoteReference"/>
        </w:rPr>
        <w:footnoteRef/>
      </w:r>
      <w:r>
        <w:t xml:space="preserve"> </w:t>
      </w:r>
      <w:r>
        <w:tab/>
        <w:t xml:space="preserve">Данные о лицах, владеющих и не владеющих языками коренных народов, включая лиц, которые не владеют языками коренных народов, но считают, что они принадлежат к группе коренного населения.  ИНИ/ПРООН/НСН:  оценки численности коренного населения на основе данных двенадцатой всеобщей переписи населения и жилого фонда 2000 года, НИСГИ, по социально-экономическим показателям коренных народов Мексики, 2002 год.  </w:t>
      </w:r>
      <w:r>
        <w:rPr>
          <w:lang w:val="en-US"/>
        </w:rPr>
        <w:t>INI/UNDP/CONAPO, pa</w:t>
      </w:r>
      <w:r>
        <w:rPr>
          <w:rFonts w:ascii="Tahoma" w:hAnsi="Tahoma" w:cs="Tahoma"/>
          <w:lang w:val="en-US"/>
        </w:rPr>
        <w:t></w:t>
      </w:r>
      <w:r>
        <w:rPr>
          <w:lang w:val="en-US"/>
        </w:rPr>
        <w:t>g. 47.</w:t>
      </w:r>
    </w:p>
  </w:footnote>
  <w:footnote w:id="24">
    <w:p w:rsidR="00000000" w:rsidRDefault="00000000">
      <w:pPr>
        <w:pStyle w:val="FootnoteText"/>
        <w:rPr>
          <w:lang w:val="en-US"/>
        </w:rPr>
      </w:pPr>
      <w:r>
        <w:rPr>
          <w:rStyle w:val="FootnoteReference"/>
        </w:rPr>
        <w:footnoteRef/>
      </w:r>
      <w:r>
        <w:rPr>
          <w:lang w:val="en-US"/>
        </w:rPr>
        <w:t xml:space="preserve"> </w:t>
      </w:r>
      <w:r>
        <w:rPr>
          <w:lang w:val="en-US"/>
        </w:rPr>
        <w:tab/>
        <w:t xml:space="preserve">INI/UNDP/CONAPO, 2002, </w:t>
      </w:r>
      <w:r>
        <w:rPr>
          <w:i/>
          <w:iCs/>
          <w:lang w:val="en-US"/>
        </w:rPr>
        <w:t>op. cit.</w:t>
      </w:r>
    </w:p>
  </w:footnote>
  <w:footnote w:id="25">
    <w:p w:rsidR="00000000" w:rsidRDefault="00000000">
      <w:pPr>
        <w:pStyle w:val="FootnoteText"/>
      </w:pPr>
      <w:r>
        <w:rPr>
          <w:rStyle w:val="FootnoteReference"/>
        </w:rPr>
        <w:t>24</w:t>
      </w:r>
      <w:r>
        <w:t xml:space="preserve"> </w:t>
      </w:r>
      <w:r>
        <w:tab/>
        <w:t xml:space="preserve">Курс "Основные аспекты и стратегические направления работы с родителями посещающих детские сады детей, испытывающих особые потребности в плане обучения" был разработан в штате Веракрус, однако он внесен в </w:t>
      </w:r>
      <w:r>
        <w:rPr>
          <w:bCs/>
          <w:szCs w:val="22"/>
        </w:rPr>
        <w:t>Национальный реестр курсов.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E/C.12/4/Add.16</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rPr>
        <w:lang w:val="en-US"/>
      </w:rPr>
    </w:pPr>
    <w:r>
      <w:rPr>
        <w:lang w:val="en-US"/>
      </w:rPr>
      <w:tab/>
    </w:r>
    <w:r>
      <w:rPr>
        <w:lang w:val="en-US"/>
      </w:rPr>
      <w:tab/>
      <w:t>E/C.12/4/Add.16</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369</w:t>
    </w:r>
    <w:r>
      <w:rPr>
        <w:rStyle w:val="PageNumber"/>
      </w:rPr>
      <w:fldChar w:fldCharType="end"/>
    </w:r>
  </w:p>
  <w:p w:rsidR="00000000" w:rsidRDefault="00000000">
    <w:pPr>
      <w:pStyle w:val="Header"/>
      <w:tabs>
        <w:tab w:val="left" w:pos="7088"/>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8DC86C4"/>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898415AE"/>
    <w:lvl w:ilvl="0">
      <w:numFmt w:val="decimal"/>
      <w:lvlText w:val="*"/>
      <w:lvlJc w:val="left"/>
    </w:lvl>
  </w:abstractNum>
  <w:abstractNum w:abstractNumId="2">
    <w:nsid w:val="007F408D"/>
    <w:multiLevelType w:val="hybridMultilevel"/>
    <w:tmpl w:val="41F47932"/>
    <w:lvl w:ilvl="0" w:tplc="8BDA924E">
      <w:start w:val="6"/>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0CD68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nsid w:val="01280CE9"/>
    <w:multiLevelType w:val="hybridMultilevel"/>
    <w:tmpl w:val="909C5CD0"/>
    <w:lvl w:ilvl="0" w:tplc="171603E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12E00C4"/>
    <w:multiLevelType w:val="hybridMultilevel"/>
    <w:tmpl w:val="F836B4C8"/>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6">
    <w:nsid w:val="01D90848"/>
    <w:multiLevelType w:val="hybridMultilevel"/>
    <w:tmpl w:val="BA40B9A2"/>
    <w:lvl w:ilvl="0" w:tplc="A2424B80">
      <w:start w:val="1"/>
      <w:numFmt w:val="bullet"/>
      <w:lvlText w:val=""/>
      <w:lvlJc w:val="left"/>
      <w:pPr>
        <w:tabs>
          <w:tab w:val="num" w:pos="1496"/>
        </w:tabs>
        <w:ind w:left="1496" w:hanging="360"/>
      </w:pPr>
      <w:rPr>
        <w:rFonts w:ascii="Symbol" w:hAnsi="Symbol" w:cs="Times New Roman"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7">
    <w:nsid w:val="01E71879"/>
    <w:multiLevelType w:val="hybridMultilevel"/>
    <w:tmpl w:val="34FE4BF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8">
    <w:nsid w:val="01FD72CA"/>
    <w:multiLevelType w:val="hybridMultilevel"/>
    <w:tmpl w:val="F972514E"/>
    <w:lvl w:ilvl="0" w:tplc="E43C4C86">
      <w:start w:val="11"/>
      <w:numFmt w:val="decimal"/>
      <w:lvlText w:val="%1)"/>
      <w:lvlJc w:val="left"/>
      <w:pPr>
        <w:tabs>
          <w:tab w:val="num" w:pos="360"/>
        </w:tabs>
        <w:ind w:left="357" w:hanging="357"/>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023A22BA"/>
    <w:multiLevelType w:val="multilevel"/>
    <w:tmpl w:val="E528B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2F646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nsid w:val="0326071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nsid w:val="0379687F"/>
    <w:multiLevelType w:val="hybridMultilevel"/>
    <w:tmpl w:val="24AC542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03EC22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nsid w:val="03F031D9"/>
    <w:multiLevelType w:val="hybridMultilevel"/>
    <w:tmpl w:val="3B92C4F6"/>
    <w:lvl w:ilvl="0" w:tplc="0419000B">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5">
    <w:nsid w:val="04486D4A"/>
    <w:multiLevelType w:val="hybridMultilevel"/>
    <w:tmpl w:val="2222EADA"/>
    <w:lvl w:ilvl="0" w:tplc="FFFFFFFF">
      <w:start w:val="1"/>
      <w:numFmt w:val="bullet"/>
      <w:lvlText w:val=""/>
      <w:lvlJc w:val="left"/>
      <w:pPr>
        <w:tabs>
          <w:tab w:val="num" w:pos="454"/>
        </w:tabs>
        <w:ind w:left="454" w:hanging="454"/>
      </w:pPr>
      <w:rPr>
        <w:rFonts w:ascii="Symbol" w:hAnsi="Symbol" w:hint="default"/>
        <w:b/>
        <w:i w:val="0"/>
        <w:caps w:val="0"/>
        <w:strike w:val="0"/>
        <w:dstrike w:val="0"/>
        <w:shadow w:val="0"/>
        <w:emboss w:val="0"/>
        <w:imprint w:val="0"/>
        <w:vanish w:val="0"/>
        <w:color w:val="auto"/>
        <w:sz w:val="2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04EC7743"/>
    <w:multiLevelType w:val="hybridMultilevel"/>
    <w:tmpl w:val="4A285252"/>
    <w:lvl w:ilvl="0" w:tplc="1D407806">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05163FE1"/>
    <w:multiLevelType w:val="hybridMultilevel"/>
    <w:tmpl w:val="D376F99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8">
    <w:nsid w:val="05594FC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nsid w:val="058E48D8"/>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0">
    <w:nsid w:val="05C2069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nsid w:val="05CE5E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05DA1EA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nsid w:val="06370B38"/>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4">
    <w:nsid w:val="064365F8"/>
    <w:multiLevelType w:val="hybridMultilevel"/>
    <w:tmpl w:val="4A1ED3D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0652240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nsid w:val="06EC41D5"/>
    <w:multiLevelType w:val="hybridMultilevel"/>
    <w:tmpl w:val="8AC89734"/>
    <w:lvl w:ilvl="0" w:tplc="85F805EC">
      <w:start w:val="1"/>
      <w:numFmt w:val="bullet"/>
      <w:lvlText w:val=""/>
      <w:lvlJc w:val="left"/>
      <w:pPr>
        <w:tabs>
          <w:tab w:val="num" w:pos="1134"/>
        </w:tabs>
        <w:ind w:left="1134" w:hanging="567"/>
      </w:pPr>
      <w:rPr>
        <w:rFonts w:ascii="Wingdings 2" w:hAnsi="Wingdings 2"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7045ABB"/>
    <w:multiLevelType w:val="hybridMultilevel"/>
    <w:tmpl w:val="FF54D10C"/>
    <w:lvl w:ilvl="0" w:tplc="9190B08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072136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nsid w:val="076258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nsid w:val="07B43C6E"/>
    <w:multiLevelType w:val="hybridMultilevel"/>
    <w:tmpl w:val="1E668C8C"/>
    <w:lvl w:ilvl="0" w:tplc="0419000B">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1">
    <w:nsid w:val="080424AD"/>
    <w:multiLevelType w:val="hybridMultilevel"/>
    <w:tmpl w:val="01D6AF46"/>
    <w:lvl w:ilvl="0" w:tplc="FFFFFFFF">
      <w:start w:val="1"/>
      <w:numFmt w:val="lowerRoman"/>
      <w:lvlText w:val="%1)"/>
      <w:lvlJc w:val="left"/>
      <w:pPr>
        <w:tabs>
          <w:tab w:val="num" w:pos="1080"/>
        </w:tabs>
        <w:ind w:left="1080" w:hanging="720"/>
      </w:pPr>
      <w:rPr>
        <w:rFonts w:ascii="Arial" w:hAnsi="Arial" w:hint="default"/>
        <w:b/>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082C38DA"/>
    <w:multiLevelType w:val="hybridMultilevel"/>
    <w:tmpl w:val="A99A041C"/>
    <w:lvl w:ilvl="0" w:tplc="744CF430">
      <w:start w:val="1"/>
      <w:numFmt w:val="bullet"/>
      <w:lvlText w:val=""/>
      <w:lvlJc w:val="left"/>
      <w:pPr>
        <w:tabs>
          <w:tab w:val="num" w:pos="360"/>
        </w:tabs>
        <w:ind w:left="360" w:hanging="360"/>
      </w:pPr>
      <w:rPr>
        <w:rFonts w:ascii="Wingdings" w:hAnsi="Wingdings" w:hint="default"/>
      </w:rPr>
    </w:lvl>
    <w:lvl w:ilvl="1" w:tplc="77AC9980">
      <w:start w:val="1"/>
      <w:numFmt w:val="bullet"/>
      <w:lvlText w:val=""/>
      <w:lvlJc w:val="left"/>
      <w:pPr>
        <w:tabs>
          <w:tab w:val="num" w:pos="2190"/>
        </w:tabs>
        <w:ind w:left="2190" w:hanging="360"/>
      </w:pPr>
      <w:rPr>
        <w:rFonts w:ascii="Symbol" w:hAnsi="Symbol" w:hint="default"/>
      </w:rPr>
    </w:lvl>
    <w:lvl w:ilvl="2" w:tplc="40020992" w:tentative="1">
      <w:start w:val="1"/>
      <w:numFmt w:val="bullet"/>
      <w:lvlText w:val=""/>
      <w:lvlJc w:val="left"/>
      <w:pPr>
        <w:tabs>
          <w:tab w:val="num" w:pos="360"/>
        </w:tabs>
        <w:ind w:left="360" w:hanging="360"/>
      </w:pPr>
      <w:rPr>
        <w:rFonts w:ascii="Wingdings" w:hAnsi="Wingdings" w:hint="default"/>
      </w:rPr>
    </w:lvl>
    <w:lvl w:ilvl="3" w:tplc="8BE411E0" w:tentative="1">
      <w:start w:val="1"/>
      <w:numFmt w:val="bullet"/>
      <w:lvlText w:val=""/>
      <w:lvlJc w:val="left"/>
      <w:pPr>
        <w:tabs>
          <w:tab w:val="num" w:pos="1080"/>
        </w:tabs>
        <w:ind w:left="1080" w:hanging="360"/>
      </w:pPr>
      <w:rPr>
        <w:rFonts w:ascii="Symbol" w:hAnsi="Symbol" w:hint="default"/>
      </w:rPr>
    </w:lvl>
    <w:lvl w:ilvl="4" w:tplc="3438AF9A" w:tentative="1">
      <w:start w:val="1"/>
      <w:numFmt w:val="bullet"/>
      <w:lvlText w:val="o"/>
      <w:lvlJc w:val="left"/>
      <w:pPr>
        <w:tabs>
          <w:tab w:val="num" w:pos="1800"/>
        </w:tabs>
        <w:ind w:left="1800" w:hanging="360"/>
      </w:pPr>
      <w:rPr>
        <w:rFonts w:ascii="Courier New" w:hAnsi="Courier New" w:hint="default"/>
      </w:rPr>
    </w:lvl>
    <w:lvl w:ilvl="5" w:tplc="4F107BD4" w:tentative="1">
      <w:start w:val="1"/>
      <w:numFmt w:val="bullet"/>
      <w:lvlText w:val=""/>
      <w:lvlJc w:val="left"/>
      <w:pPr>
        <w:tabs>
          <w:tab w:val="num" w:pos="2520"/>
        </w:tabs>
        <w:ind w:left="2520" w:hanging="360"/>
      </w:pPr>
      <w:rPr>
        <w:rFonts w:ascii="Wingdings" w:hAnsi="Wingdings" w:hint="default"/>
      </w:rPr>
    </w:lvl>
    <w:lvl w:ilvl="6" w:tplc="D472A8C6" w:tentative="1">
      <w:start w:val="1"/>
      <w:numFmt w:val="bullet"/>
      <w:lvlText w:val=""/>
      <w:lvlJc w:val="left"/>
      <w:pPr>
        <w:tabs>
          <w:tab w:val="num" w:pos="3240"/>
        </w:tabs>
        <w:ind w:left="3240" w:hanging="360"/>
      </w:pPr>
      <w:rPr>
        <w:rFonts w:ascii="Symbol" w:hAnsi="Symbol" w:hint="default"/>
      </w:rPr>
    </w:lvl>
    <w:lvl w:ilvl="7" w:tplc="399C64CC" w:tentative="1">
      <w:start w:val="1"/>
      <w:numFmt w:val="bullet"/>
      <w:lvlText w:val="o"/>
      <w:lvlJc w:val="left"/>
      <w:pPr>
        <w:tabs>
          <w:tab w:val="num" w:pos="3960"/>
        </w:tabs>
        <w:ind w:left="3960" w:hanging="360"/>
      </w:pPr>
      <w:rPr>
        <w:rFonts w:ascii="Courier New" w:hAnsi="Courier New" w:hint="default"/>
      </w:rPr>
    </w:lvl>
    <w:lvl w:ilvl="8" w:tplc="50E262B8" w:tentative="1">
      <w:start w:val="1"/>
      <w:numFmt w:val="bullet"/>
      <w:lvlText w:val=""/>
      <w:lvlJc w:val="left"/>
      <w:pPr>
        <w:tabs>
          <w:tab w:val="num" w:pos="4680"/>
        </w:tabs>
        <w:ind w:left="4680" w:hanging="360"/>
      </w:pPr>
      <w:rPr>
        <w:rFonts w:ascii="Wingdings" w:hAnsi="Wingdings" w:hint="default"/>
      </w:rPr>
    </w:lvl>
  </w:abstractNum>
  <w:abstractNum w:abstractNumId="33">
    <w:nsid w:val="088931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
    <w:nsid w:val="08903AF4"/>
    <w:multiLevelType w:val="hybridMultilevel"/>
    <w:tmpl w:val="C2AE05F0"/>
    <w:lvl w:ilvl="0" w:tplc="BA4EE05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089B603B"/>
    <w:multiLevelType w:val="hybridMultilevel"/>
    <w:tmpl w:val="28FA4C8E"/>
    <w:lvl w:ilvl="0" w:tplc="95ECF3E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08A55C05"/>
    <w:multiLevelType w:val="hybridMultilevel"/>
    <w:tmpl w:val="F0F0E766"/>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7">
    <w:nsid w:val="08D20393"/>
    <w:multiLevelType w:val="hybridMultilevel"/>
    <w:tmpl w:val="95E4BF80"/>
    <w:lvl w:ilvl="0" w:tplc="4D6A3C34">
      <w:start w:val="1"/>
      <w:numFmt w:val="bullet"/>
      <w:lvlText w:val=""/>
      <w:lvlJc w:val="left"/>
      <w:pPr>
        <w:tabs>
          <w:tab w:val="num" w:pos="757"/>
        </w:tabs>
        <w:ind w:left="720" w:hanging="360"/>
      </w:pPr>
      <w:rPr>
        <w:rFonts w:ascii="Symbol" w:hAnsi="Symbol" w:hint="default"/>
        <w:color w:val="auto"/>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8">
    <w:nsid w:val="08E27A65"/>
    <w:multiLevelType w:val="hybridMultilevel"/>
    <w:tmpl w:val="786ADF10"/>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08FA1606"/>
    <w:multiLevelType w:val="hybridMultilevel"/>
    <w:tmpl w:val="2D8E299C"/>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0">
    <w:nsid w:val="09292AE5"/>
    <w:multiLevelType w:val="multilevel"/>
    <w:tmpl w:val="AE5C9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09EB1D26"/>
    <w:multiLevelType w:val="hybridMultilevel"/>
    <w:tmpl w:val="CFE66AE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2">
    <w:nsid w:val="0A1D1E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nsid w:val="0A771747"/>
    <w:multiLevelType w:val="hybridMultilevel"/>
    <w:tmpl w:val="74DEF30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4">
    <w:nsid w:val="0ADA76F6"/>
    <w:multiLevelType w:val="hybridMultilevel"/>
    <w:tmpl w:val="1E96C7BA"/>
    <w:lvl w:ilvl="0" w:tplc="FFFFFFFF">
      <w:start w:val="1"/>
      <w:numFmt w:val="lowerLetter"/>
      <w:lvlText w:val="%1)"/>
      <w:lvlJc w:val="left"/>
      <w:pPr>
        <w:tabs>
          <w:tab w:val="num" w:pos="930"/>
        </w:tabs>
        <w:ind w:left="930" w:hanging="360"/>
      </w:pPr>
      <w:rPr>
        <w:rFonts w:hint="default"/>
        <w:b/>
        <w:color w:val="000000"/>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45">
    <w:nsid w:val="0AE233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0B1A23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
    <w:nsid w:val="0B8641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
    <w:nsid w:val="0B933C80"/>
    <w:multiLevelType w:val="hybridMultilevel"/>
    <w:tmpl w:val="63B4807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9">
    <w:nsid w:val="0B9B6EAF"/>
    <w:multiLevelType w:val="hybridMultilevel"/>
    <w:tmpl w:val="1C3C7A4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0BFD2038"/>
    <w:multiLevelType w:val="multilevel"/>
    <w:tmpl w:val="5776E59C"/>
    <w:lvl w:ilvl="0">
      <w:start w:val="6"/>
      <w:numFmt w:val="none"/>
      <w:lvlText w:val="7."/>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0C2F2067"/>
    <w:multiLevelType w:val="hybridMultilevel"/>
    <w:tmpl w:val="8CFC3A0A"/>
    <w:lvl w:ilvl="0" w:tplc="DCDC94AC">
      <w:numFmt w:val="bullet"/>
      <w:lvlText w:val="-"/>
      <w:lvlJc w:val="left"/>
      <w:pPr>
        <w:tabs>
          <w:tab w:val="num" w:pos="720"/>
        </w:tabs>
        <w:ind w:left="720" w:hanging="360"/>
      </w:pPr>
      <w:rPr>
        <w:rFonts w:ascii="Arial" w:eastAsia="Times New Roman" w:hAnsi="Arial" w:cs="Arial" w:hint="default"/>
      </w:rPr>
    </w:lvl>
    <w:lvl w:ilvl="1" w:tplc="4D6A3C34">
      <w:start w:val="1"/>
      <w:numFmt w:val="bullet"/>
      <w:lvlText w:val=""/>
      <w:lvlJc w:val="left"/>
      <w:pPr>
        <w:tabs>
          <w:tab w:val="num" w:pos="1477"/>
        </w:tabs>
        <w:ind w:left="1440" w:hanging="360"/>
      </w:pPr>
      <w:rPr>
        <w:rFonts w:ascii="Symbol" w:hAnsi="Symbol"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52">
    <w:nsid w:val="0C584AB6"/>
    <w:multiLevelType w:val="hybridMultilevel"/>
    <w:tmpl w:val="EE2CB5D4"/>
    <w:lvl w:ilvl="0" w:tplc="DCDC94AC">
      <w:numFmt w:val="bullet"/>
      <w:lvlText w:val="-"/>
      <w:lvlJc w:val="left"/>
      <w:pPr>
        <w:tabs>
          <w:tab w:val="num" w:pos="720"/>
        </w:tabs>
        <w:ind w:left="720" w:hanging="360"/>
      </w:pPr>
      <w:rPr>
        <w:rFonts w:ascii="Arial" w:eastAsia="Times New Roman" w:hAnsi="Arial" w:cs="Aria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53">
    <w:nsid w:val="0C5D1024"/>
    <w:multiLevelType w:val="hybridMultilevel"/>
    <w:tmpl w:val="EDD46F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0CBB2668"/>
    <w:multiLevelType w:val="hybridMultilevel"/>
    <w:tmpl w:val="308A72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0CC17B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
    <w:nsid w:val="0CDA293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57">
    <w:nsid w:val="0CE725A2"/>
    <w:multiLevelType w:val="hybridMultilevel"/>
    <w:tmpl w:val="F70E822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8">
    <w:nsid w:val="0D2208B3"/>
    <w:multiLevelType w:val="hybridMultilevel"/>
    <w:tmpl w:val="CC4071F6"/>
    <w:lvl w:ilvl="0" w:tplc="8BDA924E">
      <w:start w:val="6"/>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nsid w:val="0D2620EF"/>
    <w:multiLevelType w:val="hybridMultilevel"/>
    <w:tmpl w:val="4C8019A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0">
    <w:nsid w:val="0D367F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
    <w:nsid w:val="0D465EA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0DB475A5"/>
    <w:multiLevelType w:val="hybridMultilevel"/>
    <w:tmpl w:val="C4522FA4"/>
    <w:lvl w:ilvl="0" w:tplc="FFFFFFFF">
      <w:start w:val="1"/>
      <w:numFmt w:val="lowerLetter"/>
      <w:lvlText w:val="%1)"/>
      <w:lvlJc w:val="left"/>
      <w:pPr>
        <w:tabs>
          <w:tab w:val="num" w:pos="1065"/>
        </w:tabs>
        <w:ind w:left="1065" w:hanging="705"/>
      </w:pPr>
      <w:rPr>
        <w:rFonts w:hint="default"/>
        <w:b/>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0E4A7176"/>
    <w:multiLevelType w:val="hybridMultilevel"/>
    <w:tmpl w:val="09BCCC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0EE93736"/>
    <w:multiLevelType w:val="hybridMultilevel"/>
    <w:tmpl w:val="919A4BE6"/>
    <w:lvl w:ilvl="0" w:tplc="21A2B454">
      <w:start w:val="1"/>
      <w:numFmt w:val="bullet"/>
      <w:lvlText w:val=""/>
      <w:lvlJc w:val="left"/>
      <w:pPr>
        <w:tabs>
          <w:tab w:val="num" w:pos="720"/>
        </w:tabs>
        <w:ind w:left="720" w:hanging="360"/>
      </w:pPr>
      <w:rPr>
        <w:rFonts w:ascii="Symbol" w:hAnsi="Symbol" w:hint="default"/>
        <w:sz w:val="20"/>
      </w:rPr>
    </w:lvl>
    <w:lvl w:ilvl="1" w:tplc="6FF0B42C" w:tentative="1">
      <w:start w:val="1"/>
      <w:numFmt w:val="bullet"/>
      <w:lvlText w:val="o"/>
      <w:lvlJc w:val="left"/>
      <w:pPr>
        <w:tabs>
          <w:tab w:val="num" w:pos="1440"/>
        </w:tabs>
        <w:ind w:left="1440" w:hanging="360"/>
      </w:pPr>
      <w:rPr>
        <w:rFonts w:ascii="Courier New" w:hAnsi="Courier New" w:hint="default"/>
        <w:sz w:val="20"/>
      </w:rPr>
    </w:lvl>
    <w:lvl w:ilvl="2" w:tplc="A56E1A9A" w:tentative="1">
      <w:start w:val="1"/>
      <w:numFmt w:val="bullet"/>
      <w:lvlText w:val=""/>
      <w:lvlJc w:val="left"/>
      <w:pPr>
        <w:tabs>
          <w:tab w:val="num" w:pos="2160"/>
        </w:tabs>
        <w:ind w:left="2160" w:hanging="360"/>
      </w:pPr>
      <w:rPr>
        <w:rFonts w:ascii="Wingdings" w:hAnsi="Wingdings" w:hint="default"/>
        <w:sz w:val="20"/>
      </w:rPr>
    </w:lvl>
    <w:lvl w:ilvl="3" w:tplc="D54671D0" w:tentative="1">
      <w:start w:val="1"/>
      <w:numFmt w:val="bullet"/>
      <w:lvlText w:val=""/>
      <w:lvlJc w:val="left"/>
      <w:pPr>
        <w:tabs>
          <w:tab w:val="num" w:pos="2880"/>
        </w:tabs>
        <w:ind w:left="2880" w:hanging="360"/>
      </w:pPr>
      <w:rPr>
        <w:rFonts w:ascii="Wingdings" w:hAnsi="Wingdings" w:hint="default"/>
        <w:sz w:val="20"/>
      </w:rPr>
    </w:lvl>
    <w:lvl w:ilvl="4" w:tplc="BD560252" w:tentative="1">
      <w:start w:val="1"/>
      <w:numFmt w:val="bullet"/>
      <w:lvlText w:val=""/>
      <w:lvlJc w:val="left"/>
      <w:pPr>
        <w:tabs>
          <w:tab w:val="num" w:pos="3600"/>
        </w:tabs>
        <w:ind w:left="3600" w:hanging="360"/>
      </w:pPr>
      <w:rPr>
        <w:rFonts w:ascii="Wingdings" w:hAnsi="Wingdings" w:hint="default"/>
        <w:sz w:val="20"/>
      </w:rPr>
    </w:lvl>
    <w:lvl w:ilvl="5" w:tplc="7EFE59AE" w:tentative="1">
      <w:start w:val="1"/>
      <w:numFmt w:val="bullet"/>
      <w:lvlText w:val=""/>
      <w:lvlJc w:val="left"/>
      <w:pPr>
        <w:tabs>
          <w:tab w:val="num" w:pos="4320"/>
        </w:tabs>
        <w:ind w:left="4320" w:hanging="360"/>
      </w:pPr>
      <w:rPr>
        <w:rFonts w:ascii="Wingdings" w:hAnsi="Wingdings" w:hint="default"/>
        <w:sz w:val="20"/>
      </w:rPr>
    </w:lvl>
    <w:lvl w:ilvl="6" w:tplc="D3A4EC22" w:tentative="1">
      <w:start w:val="1"/>
      <w:numFmt w:val="bullet"/>
      <w:lvlText w:val=""/>
      <w:lvlJc w:val="left"/>
      <w:pPr>
        <w:tabs>
          <w:tab w:val="num" w:pos="5040"/>
        </w:tabs>
        <w:ind w:left="5040" w:hanging="360"/>
      </w:pPr>
      <w:rPr>
        <w:rFonts w:ascii="Wingdings" w:hAnsi="Wingdings" w:hint="default"/>
        <w:sz w:val="20"/>
      </w:rPr>
    </w:lvl>
    <w:lvl w:ilvl="7" w:tplc="5C4899D4" w:tentative="1">
      <w:start w:val="1"/>
      <w:numFmt w:val="bullet"/>
      <w:lvlText w:val=""/>
      <w:lvlJc w:val="left"/>
      <w:pPr>
        <w:tabs>
          <w:tab w:val="num" w:pos="5760"/>
        </w:tabs>
        <w:ind w:left="5760" w:hanging="360"/>
      </w:pPr>
      <w:rPr>
        <w:rFonts w:ascii="Wingdings" w:hAnsi="Wingdings" w:hint="default"/>
        <w:sz w:val="20"/>
      </w:rPr>
    </w:lvl>
    <w:lvl w:ilvl="8" w:tplc="E770568E" w:tentative="1">
      <w:start w:val="1"/>
      <w:numFmt w:val="bullet"/>
      <w:lvlText w:val=""/>
      <w:lvlJc w:val="left"/>
      <w:pPr>
        <w:tabs>
          <w:tab w:val="num" w:pos="6480"/>
        </w:tabs>
        <w:ind w:left="6480" w:hanging="360"/>
      </w:pPr>
      <w:rPr>
        <w:rFonts w:ascii="Wingdings" w:hAnsi="Wingdings" w:hint="default"/>
        <w:sz w:val="20"/>
      </w:rPr>
    </w:lvl>
  </w:abstractNum>
  <w:abstractNum w:abstractNumId="65">
    <w:nsid w:val="0F503243"/>
    <w:multiLevelType w:val="hybridMultilevel"/>
    <w:tmpl w:val="549C63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6">
    <w:nsid w:val="10053C5C"/>
    <w:multiLevelType w:val="hybridMultilevel"/>
    <w:tmpl w:val="D25C8F6A"/>
    <w:lvl w:ilvl="0" w:tplc="775A2258">
      <w:start w:val="1"/>
      <w:numFmt w:val="bullet"/>
      <w:lvlText w:val=""/>
      <w:lvlJc w:val="left"/>
      <w:pPr>
        <w:tabs>
          <w:tab w:val="num" w:pos="780"/>
        </w:tabs>
        <w:ind w:left="78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10565B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
    <w:nsid w:val="1086224A"/>
    <w:multiLevelType w:val="hybridMultilevel"/>
    <w:tmpl w:val="2E9431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1110563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
    <w:nsid w:val="11E119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
    <w:nsid w:val="11FA5100"/>
    <w:multiLevelType w:val="hybridMultilevel"/>
    <w:tmpl w:val="0130CA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nsid w:val="12020276"/>
    <w:multiLevelType w:val="hybridMultilevel"/>
    <w:tmpl w:val="6A56E6D6"/>
    <w:lvl w:ilvl="0" w:tplc="FFFFFFFF">
      <w:start w:val="3"/>
      <w:numFmt w:val="lowerLetter"/>
      <w:lvlText w:val="%1)"/>
      <w:lvlJc w:val="left"/>
      <w:pPr>
        <w:tabs>
          <w:tab w:val="num" w:pos="930"/>
        </w:tabs>
        <w:ind w:left="930" w:hanging="36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73">
    <w:nsid w:val="12521822"/>
    <w:multiLevelType w:val="hybridMultilevel"/>
    <w:tmpl w:val="A4140F04"/>
    <w:lvl w:ilvl="0" w:tplc="A4B2DB24">
      <w:start w:val="427"/>
      <w:numFmt w:val="decimal"/>
      <w:lvlText w:val="%1."/>
      <w:lvlJc w:val="left"/>
      <w:pPr>
        <w:tabs>
          <w:tab w:val="num" w:pos="825"/>
        </w:tabs>
        <w:ind w:left="825" w:hanging="465"/>
      </w:pPr>
      <w:rPr>
        <w:rFonts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nsid w:val="127C648B"/>
    <w:multiLevelType w:val="hybridMultilevel"/>
    <w:tmpl w:val="DEB8C37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5">
    <w:nsid w:val="12A612CB"/>
    <w:multiLevelType w:val="hybridMultilevel"/>
    <w:tmpl w:val="76CCFE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6">
    <w:nsid w:val="12B73396"/>
    <w:multiLevelType w:val="hybridMultilevel"/>
    <w:tmpl w:val="69F0BE9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7">
    <w:nsid w:val="12BC6B33"/>
    <w:multiLevelType w:val="hybridMultilevel"/>
    <w:tmpl w:val="2788FD0E"/>
    <w:lvl w:ilvl="0" w:tplc="E6887AE8">
      <w:start w:val="419"/>
      <w:numFmt w:val="none"/>
      <w:lvlText w:val="j. "/>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nsid w:val="12BD20FA"/>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79">
    <w:nsid w:val="13253152"/>
    <w:multiLevelType w:val="hybridMultilevel"/>
    <w:tmpl w:val="DDB03904"/>
    <w:lvl w:ilvl="0" w:tplc="FFFFFFFF">
      <w:start w:val="1"/>
      <w:numFmt w:val="bullet"/>
      <w:lvlText w:val=""/>
      <w:lvlJc w:val="left"/>
      <w:pPr>
        <w:tabs>
          <w:tab w:val="num" w:pos="397"/>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
    <w:nsid w:val="137A73B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
    <w:nsid w:val="138E717D"/>
    <w:multiLevelType w:val="hybridMultilevel"/>
    <w:tmpl w:val="17047D8C"/>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2">
    <w:nsid w:val="13BD777D"/>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83">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84">
    <w:nsid w:val="1408283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5">
    <w:nsid w:val="14356728"/>
    <w:multiLevelType w:val="hybridMultilevel"/>
    <w:tmpl w:val="57025A5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
    <w:nsid w:val="147B6D7A"/>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87">
    <w:nsid w:val="14D2764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
    <w:nsid w:val="14D96B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9">
    <w:nsid w:val="14E66A2E"/>
    <w:multiLevelType w:val="hybridMultilevel"/>
    <w:tmpl w:val="362EF486"/>
    <w:lvl w:ilvl="0" w:tplc="FFFFFFFF">
      <w:start w:val="1"/>
      <w:numFmt w:val="bullet"/>
      <w:lvlText w:val=""/>
      <w:lvlJc w:val="left"/>
      <w:pPr>
        <w:tabs>
          <w:tab w:val="num" w:pos="340"/>
        </w:tabs>
        <w:ind w:left="340" w:hanging="340"/>
      </w:pPr>
      <w:rPr>
        <w:rFonts w:ascii="Symbol" w:hAnsi="Symbol" w:hint="default"/>
      </w:rPr>
    </w:lvl>
    <w:lvl w:ilvl="1" w:tplc="9A7038D0">
      <w:start w:val="1"/>
      <w:numFmt w:val="bullet"/>
      <w:lvlText w:val=""/>
      <w:lvlJc w:val="left"/>
      <w:pPr>
        <w:tabs>
          <w:tab w:val="num" w:pos="1440"/>
        </w:tabs>
        <w:ind w:left="1437" w:hanging="357"/>
      </w:pPr>
      <w:rPr>
        <w:rFonts w:ascii="Symbol" w:hAnsi="Symbol" w:hint="default"/>
        <w:sz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150109C2"/>
    <w:multiLevelType w:val="multilevel"/>
    <w:tmpl w:val="80D4EA38"/>
    <w:lvl w:ilvl="0">
      <w:start w:val="8"/>
      <w:numFmt w:val="decimal"/>
      <w:lvlText w:val="%1."/>
      <w:lvlJc w:val="left"/>
      <w:pPr>
        <w:tabs>
          <w:tab w:val="num" w:pos="360"/>
        </w:tabs>
        <w:ind w:left="357" w:hanging="357"/>
      </w:pPr>
      <w:rPr>
        <w:rFonts w:hint="default"/>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nsid w:val="15412221"/>
    <w:multiLevelType w:val="hybridMultilevel"/>
    <w:tmpl w:val="20DE30FE"/>
    <w:lvl w:ilvl="0" w:tplc="CA584CE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2">
    <w:nsid w:val="16014CF1"/>
    <w:multiLevelType w:val="hybridMultilevel"/>
    <w:tmpl w:val="208C1868"/>
    <w:lvl w:ilvl="0" w:tplc="A0102932">
      <w:start w:val="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nsid w:val="16086667"/>
    <w:multiLevelType w:val="hybridMultilevel"/>
    <w:tmpl w:val="9258E288"/>
    <w:lvl w:ilvl="0" w:tplc="FFFFFFFF">
      <w:start w:val="1"/>
      <w:numFmt w:val="lowerLetter"/>
      <w:lvlText w:val="%1)"/>
      <w:lvlJc w:val="left"/>
      <w:pPr>
        <w:tabs>
          <w:tab w:val="num" w:pos="1080"/>
        </w:tabs>
        <w:ind w:left="1080" w:hanging="360"/>
      </w:pPr>
      <w:rPr>
        <w:rFonts w:hint="default"/>
        <w:color w:val="000000"/>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4">
    <w:nsid w:val="163A5BC9"/>
    <w:multiLevelType w:val="hybridMultilevel"/>
    <w:tmpl w:val="B19AFBA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5">
    <w:nsid w:val="1670786B"/>
    <w:multiLevelType w:val="hybridMultilevel"/>
    <w:tmpl w:val="ECCAA8E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6">
    <w:nsid w:val="168D437E"/>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97">
    <w:nsid w:val="168D603C"/>
    <w:multiLevelType w:val="multilevel"/>
    <w:tmpl w:val="9ACAA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16A56B9C"/>
    <w:multiLevelType w:val="hybridMultilevel"/>
    <w:tmpl w:val="386AAF72"/>
    <w:lvl w:ilvl="0" w:tplc="4D6A3C34">
      <w:start w:val="1"/>
      <w:numFmt w:val="bullet"/>
      <w:lvlText w:val=""/>
      <w:lvlJc w:val="left"/>
      <w:pPr>
        <w:tabs>
          <w:tab w:val="num" w:pos="397"/>
        </w:tabs>
        <w:ind w:left="36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99">
    <w:nsid w:val="16B24E92"/>
    <w:multiLevelType w:val="hybridMultilevel"/>
    <w:tmpl w:val="6B00666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0">
    <w:nsid w:val="16D934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
    <w:nsid w:val="17053D6F"/>
    <w:multiLevelType w:val="hybridMultilevel"/>
    <w:tmpl w:val="0A2E07D8"/>
    <w:lvl w:ilvl="0" w:tplc="FFFFFFFF">
      <w:start w:val="1"/>
      <w:numFmt w:val="bullet"/>
      <w:lvlText w:val=""/>
      <w:lvlJc w:val="left"/>
      <w:pPr>
        <w:tabs>
          <w:tab w:val="num" w:pos="454"/>
        </w:tabs>
        <w:ind w:left="454" w:hanging="454"/>
      </w:pPr>
      <w:rPr>
        <w:rFonts w:ascii="Symbol" w:hAnsi="Symbol" w:hint="default"/>
        <w:b/>
        <w:i w:val="0"/>
        <w:caps w:val="0"/>
        <w:strike w:val="0"/>
        <w:dstrike w:val="0"/>
        <w:shadow w:val="0"/>
        <w:emboss w:val="0"/>
        <w:imprint w:val="0"/>
        <w:vanish w:val="0"/>
        <w:color w:val="auto"/>
        <w:sz w:val="2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2">
    <w:nsid w:val="1741475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3">
    <w:nsid w:val="1835505D"/>
    <w:multiLevelType w:val="hybridMultilevel"/>
    <w:tmpl w:val="1B1A10E2"/>
    <w:lvl w:ilvl="0" w:tplc="3A6A81E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4">
    <w:nsid w:val="187905E5"/>
    <w:multiLevelType w:val="hybridMultilevel"/>
    <w:tmpl w:val="ACCA3A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5">
    <w:nsid w:val="18A94D5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6">
    <w:nsid w:val="190A4FB1"/>
    <w:multiLevelType w:val="hybridMultilevel"/>
    <w:tmpl w:val="F1B08606"/>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7">
    <w:nsid w:val="191C6B34"/>
    <w:multiLevelType w:val="hybridMultilevel"/>
    <w:tmpl w:val="E800E264"/>
    <w:lvl w:ilvl="0" w:tplc="04190001">
      <w:start w:val="1"/>
      <w:numFmt w:val="bullet"/>
      <w:lvlText w:val=""/>
      <w:lvlJc w:val="left"/>
      <w:pPr>
        <w:tabs>
          <w:tab w:val="num" w:pos="1434"/>
        </w:tabs>
        <w:ind w:left="1434" w:hanging="360"/>
      </w:pPr>
      <w:rPr>
        <w:rFonts w:ascii="Symbol" w:hAnsi="Symbol" w:hint="default"/>
      </w:rPr>
    </w:lvl>
    <w:lvl w:ilvl="1" w:tplc="04190003" w:tentative="1">
      <w:start w:val="1"/>
      <w:numFmt w:val="bullet"/>
      <w:lvlText w:val="o"/>
      <w:lvlJc w:val="left"/>
      <w:pPr>
        <w:tabs>
          <w:tab w:val="num" w:pos="2154"/>
        </w:tabs>
        <w:ind w:left="2154" w:hanging="360"/>
      </w:pPr>
      <w:rPr>
        <w:rFonts w:ascii="Courier New" w:hAnsi="Courier New" w:cs="Courier New" w:hint="default"/>
      </w:rPr>
    </w:lvl>
    <w:lvl w:ilvl="2" w:tplc="04190005" w:tentative="1">
      <w:start w:val="1"/>
      <w:numFmt w:val="bullet"/>
      <w:lvlText w:val=""/>
      <w:lvlJc w:val="left"/>
      <w:pPr>
        <w:tabs>
          <w:tab w:val="num" w:pos="2874"/>
        </w:tabs>
        <w:ind w:left="2874" w:hanging="360"/>
      </w:pPr>
      <w:rPr>
        <w:rFonts w:ascii="Wingdings" w:hAnsi="Wingdings" w:hint="default"/>
      </w:rPr>
    </w:lvl>
    <w:lvl w:ilvl="3" w:tplc="04190001" w:tentative="1">
      <w:start w:val="1"/>
      <w:numFmt w:val="bullet"/>
      <w:lvlText w:val=""/>
      <w:lvlJc w:val="left"/>
      <w:pPr>
        <w:tabs>
          <w:tab w:val="num" w:pos="3594"/>
        </w:tabs>
        <w:ind w:left="3594" w:hanging="360"/>
      </w:pPr>
      <w:rPr>
        <w:rFonts w:ascii="Symbol" w:hAnsi="Symbol" w:hint="default"/>
      </w:rPr>
    </w:lvl>
    <w:lvl w:ilvl="4" w:tplc="04190003" w:tentative="1">
      <w:start w:val="1"/>
      <w:numFmt w:val="bullet"/>
      <w:lvlText w:val="o"/>
      <w:lvlJc w:val="left"/>
      <w:pPr>
        <w:tabs>
          <w:tab w:val="num" w:pos="4314"/>
        </w:tabs>
        <w:ind w:left="4314" w:hanging="360"/>
      </w:pPr>
      <w:rPr>
        <w:rFonts w:ascii="Courier New" w:hAnsi="Courier New" w:cs="Courier New" w:hint="default"/>
      </w:rPr>
    </w:lvl>
    <w:lvl w:ilvl="5" w:tplc="04190005" w:tentative="1">
      <w:start w:val="1"/>
      <w:numFmt w:val="bullet"/>
      <w:lvlText w:val=""/>
      <w:lvlJc w:val="left"/>
      <w:pPr>
        <w:tabs>
          <w:tab w:val="num" w:pos="5034"/>
        </w:tabs>
        <w:ind w:left="5034" w:hanging="360"/>
      </w:pPr>
      <w:rPr>
        <w:rFonts w:ascii="Wingdings" w:hAnsi="Wingdings" w:hint="default"/>
      </w:rPr>
    </w:lvl>
    <w:lvl w:ilvl="6" w:tplc="04190001" w:tentative="1">
      <w:start w:val="1"/>
      <w:numFmt w:val="bullet"/>
      <w:lvlText w:val=""/>
      <w:lvlJc w:val="left"/>
      <w:pPr>
        <w:tabs>
          <w:tab w:val="num" w:pos="5754"/>
        </w:tabs>
        <w:ind w:left="5754" w:hanging="360"/>
      </w:pPr>
      <w:rPr>
        <w:rFonts w:ascii="Symbol" w:hAnsi="Symbol" w:hint="default"/>
      </w:rPr>
    </w:lvl>
    <w:lvl w:ilvl="7" w:tplc="04190003" w:tentative="1">
      <w:start w:val="1"/>
      <w:numFmt w:val="bullet"/>
      <w:lvlText w:val="o"/>
      <w:lvlJc w:val="left"/>
      <w:pPr>
        <w:tabs>
          <w:tab w:val="num" w:pos="6474"/>
        </w:tabs>
        <w:ind w:left="6474" w:hanging="360"/>
      </w:pPr>
      <w:rPr>
        <w:rFonts w:ascii="Courier New" w:hAnsi="Courier New" w:cs="Courier New" w:hint="default"/>
      </w:rPr>
    </w:lvl>
    <w:lvl w:ilvl="8" w:tplc="04190005" w:tentative="1">
      <w:start w:val="1"/>
      <w:numFmt w:val="bullet"/>
      <w:lvlText w:val=""/>
      <w:lvlJc w:val="left"/>
      <w:pPr>
        <w:tabs>
          <w:tab w:val="num" w:pos="7194"/>
        </w:tabs>
        <w:ind w:left="7194" w:hanging="360"/>
      </w:pPr>
      <w:rPr>
        <w:rFonts w:ascii="Wingdings" w:hAnsi="Wingdings" w:hint="default"/>
      </w:rPr>
    </w:lvl>
  </w:abstractNum>
  <w:abstractNum w:abstractNumId="108">
    <w:nsid w:val="191E45A4"/>
    <w:multiLevelType w:val="hybridMultilevel"/>
    <w:tmpl w:val="2C68EDC0"/>
    <w:lvl w:ilvl="0" w:tplc="9D0C60BA">
      <w:start w:val="2"/>
      <w:numFmt w:val="lowerRoman"/>
      <w:lvlText w:val="%1)"/>
      <w:lvlJc w:val="left"/>
      <w:pPr>
        <w:tabs>
          <w:tab w:val="num" w:pos="1830"/>
        </w:tabs>
        <w:ind w:left="1830" w:hanging="720"/>
      </w:pPr>
      <w:rPr>
        <w:rFonts w:hint="default"/>
      </w:rPr>
    </w:lvl>
    <w:lvl w:ilvl="1" w:tplc="0C0A0019" w:tentative="1">
      <w:start w:val="1"/>
      <w:numFmt w:val="lowerLetter"/>
      <w:lvlText w:val="%2."/>
      <w:lvlJc w:val="left"/>
      <w:pPr>
        <w:tabs>
          <w:tab w:val="num" w:pos="2190"/>
        </w:tabs>
        <w:ind w:left="2190" w:hanging="360"/>
      </w:pPr>
    </w:lvl>
    <w:lvl w:ilvl="2" w:tplc="0C0A001B" w:tentative="1">
      <w:start w:val="1"/>
      <w:numFmt w:val="lowerRoman"/>
      <w:lvlText w:val="%3."/>
      <w:lvlJc w:val="right"/>
      <w:pPr>
        <w:tabs>
          <w:tab w:val="num" w:pos="2910"/>
        </w:tabs>
        <w:ind w:left="2910" w:hanging="180"/>
      </w:pPr>
    </w:lvl>
    <w:lvl w:ilvl="3" w:tplc="0C0A000F" w:tentative="1">
      <w:start w:val="1"/>
      <w:numFmt w:val="decimal"/>
      <w:lvlText w:val="%4."/>
      <w:lvlJc w:val="left"/>
      <w:pPr>
        <w:tabs>
          <w:tab w:val="num" w:pos="3630"/>
        </w:tabs>
        <w:ind w:left="3630" w:hanging="360"/>
      </w:pPr>
    </w:lvl>
    <w:lvl w:ilvl="4" w:tplc="0C0A0019" w:tentative="1">
      <w:start w:val="1"/>
      <w:numFmt w:val="lowerLetter"/>
      <w:lvlText w:val="%5."/>
      <w:lvlJc w:val="left"/>
      <w:pPr>
        <w:tabs>
          <w:tab w:val="num" w:pos="4350"/>
        </w:tabs>
        <w:ind w:left="4350" w:hanging="360"/>
      </w:pPr>
    </w:lvl>
    <w:lvl w:ilvl="5" w:tplc="0C0A001B" w:tentative="1">
      <w:start w:val="1"/>
      <w:numFmt w:val="lowerRoman"/>
      <w:lvlText w:val="%6."/>
      <w:lvlJc w:val="right"/>
      <w:pPr>
        <w:tabs>
          <w:tab w:val="num" w:pos="5070"/>
        </w:tabs>
        <w:ind w:left="5070" w:hanging="180"/>
      </w:pPr>
    </w:lvl>
    <w:lvl w:ilvl="6" w:tplc="0C0A000F" w:tentative="1">
      <w:start w:val="1"/>
      <w:numFmt w:val="decimal"/>
      <w:lvlText w:val="%7."/>
      <w:lvlJc w:val="left"/>
      <w:pPr>
        <w:tabs>
          <w:tab w:val="num" w:pos="5790"/>
        </w:tabs>
        <w:ind w:left="5790" w:hanging="360"/>
      </w:pPr>
    </w:lvl>
    <w:lvl w:ilvl="7" w:tplc="0C0A0019" w:tentative="1">
      <w:start w:val="1"/>
      <w:numFmt w:val="lowerLetter"/>
      <w:lvlText w:val="%8."/>
      <w:lvlJc w:val="left"/>
      <w:pPr>
        <w:tabs>
          <w:tab w:val="num" w:pos="6510"/>
        </w:tabs>
        <w:ind w:left="6510" w:hanging="360"/>
      </w:pPr>
    </w:lvl>
    <w:lvl w:ilvl="8" w:tplc="0C0A001B" w:tentative="1">
      <w:start w:val="1"/>
      <w:numFmt w:val="lowerRoman"/>
      <w:lvlText w:val="%9."/>
      <w:lvlJc w:val="right"/>
      <w:pPr>
        <w:tabs>
          <w:tab w:val="num" w:pos="7230"/>
        </w:tabs>
        <w:ind w:left="7230" w:hanging="180"/>
      </w:pPr>
    </w:lvl>
  </w:abstractNum>
  <w:abstractNum w:abstractNumId="109">
    <w:nsid w:val="199E6E01"/>
    <w:multiLevelType w:val="hybridMultilevel"/>
    <w:tmpl w:val="F0EC13D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0">
    <w:nsid w:val="1A0263AD"/>
    <w:multiLevelType w:val="hybridMultilevel"/>
    <w:tmpl w:val="407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1">
    <w:nsid w:val="1A5740B9"/>
    <w:multiLevelType w:val="hybridMultilevel"/>
    <w:tmpl w:val="3590404A"/>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2">
    <w:nsid w:val="1A684326"/>
    <w:multiLevelType w:val="hybridMultilevel"/>
    <w:tmpl w:val="AB7A03C8"/>
    <w:lvl w:ilvl="0" w:tplc="0C0A000F">
      <w:start w:val="1"/>
      <w:numFmt w:val="decimal"/>
      <w:lvlText w:val="%1."/>
      <w:lvlJc w:val="left"/>
      <w:pPr>
        <w:tabs>
          <w:tab w:val="num" w:pos="1290"/>
        </w:tabs>
        <w:ind w:left="1290" w:hanging="360"/>
      </w:pPr>
    </w:lvl>
    <w:lvl w:ilvl="1" w:tplc="0C0A0019" w:tentative="1">
      <w:start w:val="1"/>
      <w:numFmt w:val="lowerLetter"/>
      <w:lvlText w:val="%2."/>
      <w:lvlJc w:val="left"/>
      <w:pPr>
        <w:tabs>
          <w:tab w:val="num" w:pos="2010"/>
        </w:tabs>
        <w:ind w:left="2010" w:hanging="360"/>
      </w:pPr>
    </w:lvl>
    <w:lvl w:ilvl="2" w:tplc="0C0A001B" w:tentative="1">
      <w:start w:val="1"/>
      <w:numFmt w:val="lowerRoman"/>
      <w:lvlText w:val="%3."/>
      <w:lvlJc w:val="right"/>
      <w:pPr>
        <w:tabs>
          <w:tab w:val="num" w:pos="2730"/>
        </w:tabs>
        <w:ind w:left="2730" w:hanging="180"/>
      </w:pPr>
    </w:lvl>
    <w:lvl w:ilvl="3" w:tplc="0C0A000F" w:tentative="1">
      <w:start w:val="1"/>
      <w:numFmt w:val="decimal"/>
      <w:lvlText w:val="%4."/>
      <w:lvlJc w:val="left"/>
      <w:pPr>
        <w:tabs>
          <w:tab w:val="num" w:pos="3450"/>
        </w:tabs>
        <w:ind w:left="3450" w:hanging="360"/>
      </w:pPr>
    </w:lvl>
    <w:lvl w:ilvl="4" w:tplc="0C0A0019" w:tentative="1">
      <w:start w:val="1"/>
      <w:numFmt w:val="lowerLetter"/>
      <w:lvlText w:val="%5."/>
      <w:lvlJc w:val="left"/>
      <w:pPr>
        <w:tabs>
          <w:tab w:val="num" w:pos="4170"/>
        </w:tabs>
        <w:ind w:left="4170" w:hanging="360"/>
      </w:pPr>
    </w:lvl>
    <w:lvl w:ilvl="5" w:tplc="0C0A001B" w:tentative="1">
      <w:start w:val="1"/>
      <w:numFmt w:val="lowerRoman"/>
      <w:lvlText w:val="%6."/>
      <w:lvlJc w:val="right"/>
      <w:pPr>
        <w:tabs>
          <w:tab w:val="num" w:pos="4890"/>
        </w:tabs>
        <w:ind w:left="4890" w:hanging="180"/>
      </w:pPr>
    </w:lvl>
    <w:lvl w:ilvl="6" w:tplc="0C0A000F" w:tentative="1">
      <w:start w:val="1"/>
      <w:numFmt w:val="decimal"/>
      <w:lvlText w:val="%7."/>
      <w:lvlJc w:val="left"/>
      <w:pPr>
        <w:tabs>
          <w:tab w:val="num" w:pos="5610"/>
        </w:tabs>
        <w:ind w:left="5610" w:hanging="360"/>
      </w:pPr>
    </w:lvl>
    <w:lvl w:ilvl="7" w:tplc="0C0A0019" w:tentative="1">
      <w:start w:val="1"/>
      <w:numFmt w:val="lowerLetter"/>
      <w:lvlText w:val="%8."/>
      <w:lvlJc w:val="left"/>
      <w:pPr>
        <w:tabs>
          <w:tab w:val="num" w:pos="6330"/>
        </w:tabs>
        <w:ind w:left="6330" w:hanging="360"/>
      </w:pPr>
    </w:lvl>
    <w:lvl w:ilvl="8" w:tplc="0C0A001B" w:tentative="1">
      <w:start w:val="1"/>
      <w:numFmt w:val="lowerRoman"/>
      <w:lvlText w:val="%9."/>
      <w:lvlJc w:val="right"/>
      <w:pPr>
        <w:tabs>
          <w:tab w:val="num" w:pos="7050"/>
        </w:tabs>
        <w:ind w:left="7050" w:hanging="180"/>
      </w:pPr>
    </w:lvl>
  </w:abstractNum>
  <w:abstractNum w:abstractNumId="113">
    <w:nsid w:val="1A7E7910"/>
    <w:multiLevelType w:val="hybridMultilevel"/>
    <w:tmpl w:val="6CF6A58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4">
    <w:nsid w:val="1B467063"/>
    <w:multiLevelType w:val="hybridMultilevel"/>
    <w:tmpl w:val="14ECEF82"/>
    <w:lvl w:ilvl="0" w:tplc="FFFFFFFF">
      <w:start w:val="5"/>
      <w:numFmt w:val="decimal"/>
      <w:lvlText w:val="%1."/>
      <w:lvlJc w:val="left"/>
      <w:pPr>
        <w:tabs>
          <w:tab w:val="num" w:pos="1065"/>
        </w:tabs>
        <w:ind w:left="1065" w:hanging="705"/>
      </w:pPr>
      <w:rPr>
        <w:rFonts w:ascii="Arial" w:hAnsi="Arial" w:hint="default"/>
        <w:b/>
        <w:color w:val="000000"/>
      </w:rPr>
    </w:lvl>
    <w:lvl w:ilvl="1" w:tplc="FFFFFFFF">
      <w:start w:val="1"/>
      <w:numFmt w:val="lowerLetter"/>
      <w:lvlText w:val="%2)"/>
      <w:lvlJc w:val="left"/>
      <w:pPr>
        <w:tabs>
          <w:tab w:val="num" w:pos="1440"/>
        </w:tabs>
        <w:ind w:left="1440" w:hanging="360"/>
      </w:pPr>
      <w:rPr>
        <w:rFonts w:ascii="Arial" w:hAnsi="Arial" w:hint="default"/>
        <w:b/>
        <w:color w:val="00000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5">
    <w:nsid w:val="1B775A4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
    <w:nsid w:val="1BA42559"/>
    <w:multiLevelType w:val="hybridMultilevel"/>
    <w:tmpl w:val="0E12152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1BC86D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8">
    <w:nsid w:val="1BFC458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9">
    <w:nsid w:val="1C2F615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
    <w:nsid w:val="1D3D5BD8"/>
    <w:multiLevelType w:val="hybridMultilevel"/>
    <w:tmpl w:val="68E46EA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1">
    <w:nsid w:val="1D84759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2">
    <w:nsid w:val="1D910099"/>
    <w:multiLevelType w:val="hybridMultilevel"/>
    <w:tmpl w:val="6868C984"/>
    <w:lvl w:ilvl="0" w:tplc="77F2DD52">
      <w:start w:val="1"/>
      <w:numFmt w:val="bullet"/>
      <w:lvlText w:val=""/>
      <w:lvlJc w:val="left"/>
      <w:pPr>
        <w:tabs>
          <w:tab w:val="num" w:pos="720"/>
        </w:tabs>
        <w:ind w:left="720" w:hanging="360"/>
      </w:pPr>
      <w:rPr>
        <w:rFonts w:ascii="Wingdings" w:hAnsi="Wingdings" w:hint="default"/>
        <w:sz w:val="16"/>
      </w:rPr>
    </w:lvl>
    <w:lvl w:ilvl="1" w:tplc="878ECFB2">
      <w:start w:val="1"/>
      <w:numFmt w:val="bullet"/>
      <w:lvlText w:val=""/>
      <w:lvlJc w:val="left"/>
      <w:pPr>
        <w:tabs>
          <w:tab w:val="num" w:pos="720"/>
        </w:tabs>
        <w:ind w:left="720" w:hanging="363"/>
      </w:pPr>
      <w:rPr>
        <w:rFonts w:ascii="Wingdings" w:hAnsi="Wingdings" w:hint="default"/>
        <w:sz w:val="16"/>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3">
    <w:nsid w:val="1DBA2725"/>
    <w:multiLevelType w:val="hybridMultilevel"/>
    <w:tmpl w:val="5776E59C"/>
    <w:lvl w:ilvl="0" w:tplc="CFC2EC3E">
      <w:start w:val="6"/>
      <w:numFmt w:val="none"/>
      <w:lvlText w:val="7."/>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nsid w:val="1DC95E6C"/>
    <w:multiLevelType w:val="hybridMultilevel"/>
    <w:tmpl w:val="B5C85586"/>
    <w:lvl w:ilvl="0" w:tplc="FFFFFFFF">
      <w:start w:val="1"/>
      <w:numFmt w:val="lowerLetter"/>
      <w:lvlText w:val="%1."/>
      <w:lvlJc w:val="left"/>
      <w:pPr>
        <w:tabs>
          <w:tab w:val="num" w:pos="360"/>
        </w:tabs>
        <w:ind w:left="360" w:hanging="360"/>
      </w:pPr>
    </w:lvl>
    <w:lvl w:ilvl="1" w:tplc="FFFFFFFF">
      <w:start w:val="1"/>
      <w:numFmt w:val="lowerLetter"/>
      <w:lvlText w:val="%2)"/>
      <w:lvlJc w:val="left"/>
      <w:pPr>
        <w:tabs>
          <w:tab w:val="num" w:pos="1080"/>
        </w:tabs>
        <w:ind w:left="1080" w:hanging="360"/>
      </w:pPr>
      <w:rPr>
        <w:rFonts w:hint="default"/>
      </w:rPr>
    </w:lvl>
    <w:lvl w:ilvl="2" w:tplc="FFFFFFFF">
      <w:start w:val="1"/>
      <w:numFmt w:val="bullet"/>
      <w:lvlText w:val=""/>
      <w:lvlJc w:val="left"/>
      <w:pPr>
        <w:tabs>
          <w:tab w:val="num" w:pos="1980"/>
        </w:tabs>
        <w:ind w:left="1980" w:hanging="360"/>
      </w:pPr>
      <w:rPr>
        <w:rFonts w:ascii="Symbol" w:hAnsi="Symbol" w:hint="default"/>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5">
    <w:nsid w:val="1DD371BB"/>
    <w:multiLevelType w:val="hybridMultilevel"/>
    <w:tmpl w:val="CF14ACB2"/>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26">
    <w:nsid w:val="1E2231A8"/>
    <w:multiLevelType w:val="hybridMultilevel"/>
    <w:tmpl w:val="5416501C"/>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7">
    <w:nsid w:val="1E3F2126"/>
    <w:multiLevelType w:val="hybridMultilevel"/>
    <w:tmpl w:val="5C4A0D70"/>
    <w:lvl w:ilvl="0" w:tplc="FFFFFFFF">
      <w:start w:val="1"/>
      <w:numFmt w:val="low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8">
    <w:nsid w:val="1E6C42C5"/>
    <w:multiLevelType w:val="hybridMultilevel"/>
    <w:tmpl w:val="5E08AE7A"/>
    <w:lvl w:ilvl="0" w:tplc="A2424B80">
      <w:start w:val="1"/>
      <w:numFmt w:val="bullet"/>
      <w:lvlText w:val=""/>
      <w:lvlJc w:val="left"/>
      <w:pPr>
        <w:tabs>
          <w:tab w:val="num" w:pos="2061"/>
        </w:tabs>
        <w:ind w:left="2061" w:hanging="360"/>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9">
    <w:nsid w:val="1EDB638F"/>
    <w:multiLevelType w:val="hybridMultilevel"/>
    <w:tmpl w:val="7B40E590"/>
    <w:lvl w:ilvl="0" w:tplc="F872E7D8">
      <w:start w:val="421"/>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nsid w:val="1F31630C"/>
    <w:multiLevelType w:val="hybridMultilevel"/>
    <w:tmpl w:val="166E0302"/>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31">
    <w:nsid w:val="1F467A0F"/>
    <w:multiLevelType w:val="hybridMultilevel"/>
    <w:tmpl w:val="A03A7432"/>
    <w:lvl w:ilvl="0" w:tplc="3A6A81E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2">
    <w:nsid w:val="20371C80"/>
    <w:multiLevelType w:val="hybridMultilevel"/>
    <w:tmpl w:val="2604B0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3">
    <w:nsid w:val="20465473"/>
    <w:multiLevelType w:val="hybridMultilevel"/>
    <w:tmpl w:val="09BCCCEE"/>
    <w:lvl w:ilvl="0" w:tplc="65A85F6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4">
    <w:nsid w:val="207679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
    <w:nsid w:val="209D6029"/>
    <w:multiLevelType w:val="hybridMultilevel"/>
    <w:tmpl w:val="F466947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72"/>
        </w:tabs>
        <w:ind w:left="372" w:hanging="360"/>
      </w:pPr>
      <w:rPr>
        <w:rFonts w:ascii="Courier New" w:hAnsi="Courier New" w:cs="Tahoma" w:hint="default"/>
      </w:rPr>
    </w:lvl>
    <w:lvl w:ilvl="2" w:tplc="FFFFFFFF" w:tentative="1">
      <w:start w:val="1"/>
      <w:numFmt w:val="bullet"/>
      <w:lvlText w:val=""/>
      <w:lvlJc w:val="left"/>
      <w:pPr>
        <w:tabs>
          <w:tab w:val="num" w:pos="1092"/>
        </w:tabs>
        <w:ind w:left="1092" w:hanging="360"/>
      </w:pPr>
      <w:rPr>
        <w:rFonts w:ascii="Wingdings" w:hAnsi="Wingdings" w:hint="default"/>
      </w:rPr>
    </w:lvl>
    <w:lvl w:ilvl="3" w:tplc="FFFFFFFF" w:tentative="1">
      <w:start w:val="1"/>
      <w:numFmt w:val="bullet"/>
      <w:lvlText w:val=""/>
      <w:lvlJc w:val="left"/>
      <w:pPr>
        <w:tabs>
          <w:tab w:val="num" w:pos="1812"/>
        </w:tabs>
        <w:ind w:left="1812" w:hanging="360"/>
      </w:pPr>
      <w:rPr>
        <w:rFonts w:ascii="Symbol" w:hAnsi="Symbol" w:hint="default"/>
      </w:rPr>
    </w:lvl>
    <w:lvl w:ilvl="4" w:tplc="FFFFFFFF" w:tentative="1">
      <w:start w:val="1"/>
      <w:numFmt w:val="bullet"/>
      <w:lvlText w:val="o"/>
      <w:lvlJc w:val="left"/>
      <w:pPr>
        <w:tabs>
          <w:tab w:val="num" w:pos="2532"/>
        </w:tabs>
        <w:ind w:left="2532" w:hanging="360"/>
      </w:pPr>
      <w:rPr>
        <w:rFonts w:ascii="Courier New" w:hAnsi="Courier New" w:cs="Tahoma" w:hint="default"/>
      </w:rPr>
    </w:lvl>
    <w:lvl w:ilvl="5" w:tplc="FFFFFFFF" w:tentative="1">
      <w:start w:val="1"/>
      <w:numFmt w:val="bullet"/>
      <w:lvlText w:val=""/>
      <w:lvlJc w:val="left"/>
      <w:pPr>
        <w:tabs>
          <w:tab w:val="num" w:pos="3252"/>
        </w:tabs>
        <w:ind w:left="3252" w:hanging="360"/>
      </w:pPr>
      <w:rPr>
        <w:rFonts w:ascii="Wingdings" w:hAnsi="Wingdings" w:hint="default"/>
      </w:rPr>
    </w:lvl>
    <w:lvl w:ilvl="6" w:tplc="FFFFFFFF" w:tentative="1">
      <w:start w:val="1"/>
      <w:numFmt w:val="bullet"/>
      <w:lvlText w:val=""/>
      <w:lvlJc w:val="left"/>
      <w:pPr>
        <w:tabs>
          <w:tab w:val="num" w:pos="3972"/>
        </w:tabs>
        <w:ind w:left="3972" w:hanging="360"/>
      </w:pPr>
      <w:rPr>
        <w:rFonts w:ascii="Symbol" w:hAnsi="Symbol" w:hint="default"/>
      </w:rPr>
    </w:lvl>
    <w:lvl w:ilvl="7" w:tplc="FFFFFFFF" w:tentative="1">
      <w:start w:val="1"/>
      <w:numFmt w:val="bullet"/>
      <w:lvlText w:val="o"/>
      <w:lvlJc w:val="left"/>
      <w:pPr>
        <w:tabs>
          <w:tab w:val="num" w:pos="4692"/>
        </w:tabs>
        <w:ind w:left="4692" w:hanging="360"/>
      </w:pPr>
      <w:rPr>
        <w:rFonts w:ascii="Courier New" w:hAnsi="Courier New" w:cs="Tahoma" w:hint="default"/>
      </w:rPr>
    </w:lvl>
    <w:lvl w:ilvl="8" w:tplc="FFFFFFFF" w:tentative="1">
      <w:start w:val="1"/>
      <w:numFmt w:val="bullet"/>
      <w:lvlText w:val=""/>
      <w:lvlJc w:val="left"/>
      <w:pPr>
        <w:tabs>
          <w:tab w:val="num" w:pos="5412"/>
        </w:tabs>
        <w:ind w:left="5412" w:hanging="360"/>
      </w:pPr>
      <w:rPr>
        <w:rFonts w:ascii="Wingdings" w:hAnsi="Wingdings" w:hint="default"/>
      </w:rPr>
    </w:lvl>
  </w:abstractNum>
  <w:abstractNum w:abstractNumId="136">
    <w:nsid w:val="209E120B"/>
    <w:multiLevelType w:val="multilevel"/>
    <w:tmpl w:val="BF300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20CA0B3E"/>
    <w:multiLevelType w:val="hybridMultilevel"/>
    <w:tmpl w:val="6B68EF76"/>
    <w:lvl w:ilvl="0" w:tplc="FFFFFFFF">
      <w:start w:val="1"/>
      <w:numFmt w:val="bullet"/>
      <w:lvlText w:val=""/>
      <w:lvlJc w:val="left"/>
      <w:pPr>
        <w:tabs>
          <w:tab w:val="num" w:pos="397"/>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8">
    <w:nsid w:val="20F80C2D"/>
    <w:multiLevelType w:val="hybridMultilevel"/>
    <w:tmpl w:val="73CCC050"/>
    <w:lvl w:ilvl="0" w:tplc="02B65EE2">
      <w:start w:val="1"/>
      <w:numFmt w:val="bullet"/>
      <w:lvlText w:val=""/>
      <w:lvlJc w:val="left"/>
      <w:pPr>
        <w:tabs>
          <w:tab w:val="num" w:pos="720"/>
        </w:tabs>
        <w:ind w:left="720" w:hanging="363"/>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9">
    <w:nsid w:val="21A4509E"/>
    <w:multiLevelType w:val="hybridMultilevel"/>
    <w:tmpl w:val="068694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0">
    <w:nsid w:val="226B28AC"/>
    <w:multiLevelType w:val="hybridMultilevel"/>
    <w:tmpl w:val="00B0B6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1">
    <w:nsid w:val="22862417"/>
    <w:multiLevelType w:val="multilevel"/>
    <w:tmpl w:val="7A72CB2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192"/>
        </w:tabs>
        <w:ind w:left="3192" w:hanging="360"/>
      </w:pPr>
      <w:rPr>
        <w:rFonts w:hint="default"/>
      </w:rPr>
    </w:lvl>
    <w:lvl w:ilvl="2">
      <w:start w:val="1"/>
      <w:numFmt w:val="decimal"/>
      <w:lvlText w:val="%1.%2.%3"/>
      <w:lvlJc w:val="left"/>
      <w:pPr>
        <w:tabs>
          <w:tab w:val="num" w:pos="6384"/>
        </w:tabs>
        <w:ind w:left="6384" w:hanging="720"/>
      </w:pPr>
      <w:rPr>
        <w:rFonts w:hint="default"/>
      </w:rPr>
    </w:lvl>
    <w:lvl w:ilvl="3">
      <w:start w:val="1"/>
      <w:numFmt w:val="decimal"/>
      <w:lvlText w:val="%1.%2.%3.%4"/>
      <w:lvlJc w:val="left"/>
      <w:pPr>
        <w:tabs>
          <w:tab w:val="num" w:pos="9216"/>
        </w:tabs>
        <w:ind w:left="9216" w:hanging="720"/>
      </w:pPr>
      <w:rPr>
        <w:rFonts w:hint="default"/>
      </w:rPr>
    </w:lvl>
    <w:lvl w:ilvl="4">
      <w:start w:val="1"/>
      <w:numFmt w:val="decimal"/>
      <w:lvlText w:val="%1.%2.%3.%4.%5"/>
      <w:lvlJc w:val="left"/>
      <w:pPr>
        <w:tabs>
          <w:tab w:val="num" w:pos="12408"/>
        </w:tabs>
        <w:ind w:left="12408" w:hanging="1080"/>
      </w:pPr>
      <w:rPr>
        <w:rFonts w:hint="default"/>
      </w:rPr>
    </w:lvl>
    <w:lvl w:ilvl="5">
      <w:start w:val="1"/>
      <w:numFmt w:val="decimal"/>
      <w:lvlText w:val="%1.%2.%3.%4.%5.%6"/>
      <w:lvlJc w:val="left"/>
      <w:pPr>
        <w:tabs>
          <w:tab w:val="num" w:pos="15240"/>
        </w:tabs>
        <w:ind w:left="15240" w:hanging="1080"/>
      </w:pPr>
      <w:rPr>
        <w:rFonts w:hint="default"/>
      </w:rPr>
    </w:lvl>
    <w:lvl w:ilvl="6">
      <w:start w:val="1"/>
      <w:numFmt w:val="decimal"/>
      <w:lvlText w:val="%1.%2.%3.%4.%5.%6.%7"/>
      <w:lvlJc w:val="left"/>
      <w:pPr>
        <w:tabs>
          <w:tab w:val="num" w:pos="18432"/>
        </w:tabs>
        <w:ind w:left="18432" w:hanging="1440"/>
      </w:pPr>
      <w:rPr>
        <w:rFonts w:hint="default"/>
      </w:rPr>
    </w:lvl>
    <w:lvl w:ilvl="7">
      <w:start w:val="1"/>
      <w:numFmt w:val="decimal"/>
      <w:lvlText w:val="%1.%2.%3.%4.%5.%6.%7.%8"/>
      <w:lvlJc w:val="left"/>
      <w:pPr>
        <w:tabs>
          <w:tab w:val="num" w:pos="21264"/>
        </w:tabs>
        <w:ind w:left="21264" w:hanging="1440"/>
      </w:pPr>
      <w:rPr>
        <w:rFonts w:hint="default"/>
      </w:rPr>
    </w:lvl>
    <w:lvl w:ilvl="8">
      <w:start w:val="1"/>
      <w:numFmt w:val="decimal"/>
      <w:lvlText w:val="%1.%2.%3.%4.%5.%6.%7.%8.%9"/>
      <w:lvlJc w:val="left"/>
      <w:pPr>
        <w:tabs>
          <w:tab w:val="num" w:pos="24456"/>
        </w:tabs>
        <w:ind w:left="24456" w:hanging="1800"/>
      </w:pPr>
      <w:rPr>
        <w:rFonts w:hint="default"/>
      </w:rPr>
    </w:lvl>
  </w:abstractNum>
  <w:abstractNum w:abstractNumId="142">
    <w:nsid w:val="22EB4196"/>
    <w:multiLevelType w:val="hybridMultilevel"/>
    <w:tmpl w:val="99BE72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3">
    <w:nsid w:val="232C01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4">
    <w:nsid w:val="239419B8"/>
    <w:multiLevelType w:val="multilevel"/>
    <w:tmpl w:val="DE46D9D2"/>
    <w:lvl w:ilvl="0">
      <w:start w:val="1"/>
      <w:numFmt w:val="bullet"/>
      <w:lvlText w:val=""/>
      <w:lvlJc w:val="left"/>
      <w:pPr>
        <w:tabs>
          <w:tab w:val="num" w:pos="397"/>
        </w:tabs>
        <w:ind w:left="397" w:hanging="397"/>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5">
    <w:nsid w:val="23B47519"/>
    <w:multiLevelType w:val="hybridMultilevel"/>
    <w:tmpl w:val="11567A22"/>
    <w:lvl w:ilvl="0" w:tplc="FFFFFFFF">
      <w:start w:val="1"/>
      <w:numFmt w:val="bullet"/>
      <w:lvlText w:val=""/>
      <w:lvlJc w:val="left"/>
      <w:pPr>
        <w:tabs>
          <w:tab w:val="num" w:pos="417"/>
        </w:tabs>
        <w:ind w:left="340"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6">
    <w:nsid w:val="241618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7">
    <w:nsid w:val="24324ED2"/>
    <w:multiLevelType w:val="hybridMultilevel"/>
    <w:tmpl w:val="1256E21A"/>
    <w:lvl w:ilvl="0" w:tplc="0C0A0005">
      <w:start w:val="1"/>
      <w:numFmt w:val="bullet"/>
      <w:lvlText w:val=""/>
      <w:lvlJc w:val="left"/>
      <w:pPr>
        <w:tabs>
          <w:tab w:val="num" w:pos="1440"/>
        </w:tabs>
        <w:ind w:left="1440" w:hanging="360"/>
      </w:pPr>
      <w:rPr>
        <w:rFonts w:ascii="Wingdings" w:hAnsi="Wingdings" w:hint="default"/>
      </w:rPr>
    </w:lvl>
    <w:lvl w:ilvl="1" w:tplc="0C0A0019">
      <w:start w:val="1"/>
      <w:numFmt w:val="lowerLetter"/>
      <w:lvlText w:val="%2."/>
      <w:lvlJc w:val="left"/>
      <w:pPr>
        <w:tabs>
          <w:tab w:val="num" w:pos="1440"/>
        </w:tabs>
        <w:ind w:left="1440" w:hanging="360"/>
      </w:pPr>
    </w:lvl>
    <w:lvl w:ilvl="2" w:tplc="B2F60A08">
      <w:start w:val="247"/>
      <w:numFmt w:val="decimal"/>
      <w:lvlText w:val="%3."/>
      <w:lvlJc w:val="left"/>
      <w:pPr>
        <w:tabs>
          <w:tab w:val="num" w:pos="2400"/>
        </w:tabs>
        <w:ind w:left="2400" w:hanging="42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8">
    <w:nsid w:val="247004D0"/>
    <w:multiLevelType w:val="hybridMultilevel"/>
    <w:tmpl w:val="499C5B80"/>
    <w:lvl w:ilvl="0" w:tplc="E62A62A8">
      <w:start w:val="1"/>
      <w:numFmt w:val="lowerLetter"/>
      <w:lvlText w:val="%1)"/>
      <w:lvlJc w:val="left"/>
      <w:pPr>
        <w:tabs>
          <w:tab w:val="num" w:pos="720"/>
        </w:tabs>
        <w:ind w:left="720" w:hanging="360"/>
      </w:pPr>
      <w:rPr>
        <w:rFonts w:hint="default"/>
        <w:b/>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9">
    <w:nsid w:val="24730B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0">
    <w:nsid w:val="24A454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1">
    <w:nsid w:val="24CD1717"/>
    <w:multiLevelType w:val="hybridMultilevel"/>
    <w:tmpl w:val="195AE12E"/>
    <w:lvl w:ilvl="0" w:tplc="77F2DD52">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2">
    <w:nsid w:val="251727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3">
    <w:nsid w:val="25915CA2"/>
    <w:multiLevelType w:val="hybridMultilevel"/>
    <w:tmpl w:val="16144EA4"/>
    <w:lvl w:ilvl="0" w:tplc="02B65EE2">
      <w:start w:val="1"/>
      <w:numFmt w:val="bullet"/>
      <w:lvlText w:val=""/>
      <w:lvlJc w:val="left"/>
      <w:pPr>
        <w:tabs>
          <w:tab w:val="num" w:pos="720"/>
        </w:tabs>
        <w:ind w:left="720" w:hanging="363"/>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4">
    <w:nsid w:val="259B61F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5">
    <w:nsid w:val="25B135D7"/>
    <w:multiLevelType w:val="hybridMultilevel"/>
    <w:tmpl w:val="74E0195C"/>
    <w:lvl w:ilvl="0" w:tplc="6D0A98A4">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156">
    <w:nsid w:val="25BB30A5"/>
    <w:multiLevelType w:val="hybridMultilevel"/>
    <w:tmpl w:val="39A0FB68"/>
    <w:lvl w:ilvl="0" w:tplc="0C0A17A4">
      <w:start w:val="126"/>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7">
    <w:nsid w:val="262B7B4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8">
    <w:nsid w:val="263D3C11"/>
    <w:multiLevelType w:val="hybridMultilevel"/>
    <w:tmpl w:val="1AF2F51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9">
    <w:nsid w:val="26B80B61"/>
    <w:multiLevelType w:val="hybridMultilevel"/>
    <w:tmpl w:val="7C9A89F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60">
    <w:nsid w:val="27035E34"/>
    <w:multiLevelType w:val="hybridMultilevel"/>
    <w:tmpl w:val="72FE1F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1">
    <w:nsid w:val="270D4CCD"/>
    <w:multiLevelType w:val="hybridMultilevel"/>
    <w:tmpl w:val="4D4019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2">
    <w:nsid w:val="273F5069"/>
    <w:multiLevelType w:val="hybridMultilevel"/>
    <w:tmpl w:val="186092CC"/>
    <w:lvl w:ilvl="0" w:tplc="95ECF3E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3">
    <w:nsid w:val="28406A10"/>
    <w:multiLevelType w:val="hybridMultilevel"/>
    <w:tmpl w:val="C1D0DC52"/>
    <w:lvl w:ilvl="0" w:tplc="25F0DC2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4">
    <w:nsid w:val="2876700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5">
    <w:nsid w:val="28C66734"/>
    <w:multiLevelType w:val="hybridMultilevel"/>
    <w:tmpl w:val="13FAE27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66">
    <w:nsid w:val="2979418A"/>
    <w:multiLevelType w:val="hybridMultilevel"/>
    <w:tmpl w:val="3AE863FE"/>
    <w:lvl w:ilvl="0" w:tplc="D1CC0D1C">
      <w:start w:val="3"/>
      <w:numFmt w:val="lowerLetter"/>
      <w:lvlText w:val="%1)"/>
      <w:lvlJc w:val="left"/>
      <w:pPr>
        <w:tabs>
          <w:tab w:val="num" w:pos="417"/>
        </w:tabs>
        <w:ind w:left="41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7">
    <w:nsid w:val="29EB5B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8">
    <w:nsid w:val="2A7348B5"/>
    <w:multiLevelType w:val="multilevel"/>
    <w:tmpl w:val="A9220EC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9">
    <w:nsid w:val="2A8027AC"/>
    <w:multiLevelType w:val="hybridMultilevel"/>
    <w:tmpl w:val="5414DD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0">
    <w:nsid w:val="2A844BF2"/>
    <w:multiLevelType w:val="hybridMultilevel"/>
    <w:tmpl w:val="1242DD62"/>
    <w:lvl w:ilvl="0" w:tplc="D6484706">
      <w:start w:val="427"/>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1">
    <w:nsid w:val="2A8726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2">
    <w:nsid w:val="2AA64DBA"/>
    <w:multiLevelType w:val="hybridMultilevel"/>
    <w:tmpl w:val="95FC71FC"/>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3">
    <w:nsid w:val="2B3424C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4">
    <w:nsid w:val="2B3C66BA"/>
    <w:multiLevelType w:val="hybridMultilevel"/>
    <w:tmpl w:val="9B243448"/>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75">
    <w:nsid w:val="2B3C6A35"/>
    <w:multiLevelType w:val="hybridMultilevel"/>
    <w:tmpl w:val="A32424DA"/>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6">
    <w:nsid w:val="2B4A7EC4"/>
    <w:multiLevelType w:val="hybridMultilevel"/>
    <w:tmpl w:val="F2B6B7F8"/>
    <w:lvl w:ilvl="0" w:tplc="E0747C72">
      <w:start w:val="1"/>
      <w:numFmt w:val="bullet"/>
      <w:lvlText w:val=""/>
      <w:lvlJc w:val="left"/>
      <w:pPr>
        <w:tabs>
          <w:tab w:val="num" w:pos="567"/>
        </w:tabs>
        <w:ind w:left="567" w:hanging="567"/>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7">
    <w:nsid w:val="2BA04E73"/>
    <w:multiLevelType w:val="hybridMultilevel"/>
    <w:tmpl w:val="BC5CBC84"/>
    <w:lvl w:ilvl="0" w:tplc="FFFFFFFF">
      <w:start w:val="1"/>
      <w:numFmt w:val="bullet"/>
      <w:lvlText w:val="–"/>
      <w:lvlJc w:val="left"/>
      <w:pPr>
        <w:tabs>
          <w:tab w:val="num" w:pos="756"/>
        </w:tabs>
        <w:ind w:left="756" w:hanging="396"/>
      </w:pPr>
      <w:rPr>
        <w:rFonts w:ascii="Times New Roman" w:hAnsi="Times New Roman" w:cs="Times New Roman" w:hint="default"/>
        <w:sz w:val="22"/>
        <w:szCs w:val="22"/>
      </w:rPr>
    </w:lvl>
    <w:lvl w:ilvl="1" w:tplc="FFFFFFFF">
      <w:start w:val="1"/>
      <w:numFmt w:val="bullet"/>
      <w:lvlText w:val="o"/>
      <w:lvlJc w:val="left"/>
      <w:pPr>
        <w:tabs>
          <w:tab w:val="num" w:pos="949"/>
        </w:tabs>
        <w:ind w:left="949" w:hanging="360"/>
      </w:pPr>
      <w:rPr>
        <w:rFonts w:ascii="Courier New" w:hAnsi="Courier New" w:cs="Tahoma" w:hint="default"/>
      </w:rPr>
    </w:lvl>
    <w:lvl w:ilvl="2" w:tplc="FFFFFFFF">
      <w:start w:val="1"/>
      <w:numFmt w:val="bullet"/>
      <w:lvlText w:val=""/>
      <w:lvlJc w:val="left"/>
      <w:pPr>
        <w:tabs>
          <w:tab w:val="num" w:pos="1669"/>
        </w:tabs>
        <w:ind w:left="1669" w:hanging="360"/>
      </w:pPr>
      <w:rPr>
        <w:rFonts w:ascii="Wingdings" w:hAnsi="Wingdings" w:cs="Times New Roman" w:hint="default"/>
      </w:rPr>
    </w:lvl>
    <w:lvl w:ilvl="3" w:tplc="FFFFFFFF">
      <w:start w:val="1"/>
      <w:numFmt w:val="bullet"/>
      <w:lvlText w:val=""/>
      <w:lvlJc w:val="left"/>
      <w:pPr>
        <w:tabs>
          <w:tab w:val="num" w:pos="2389"/>
        </w:tabs>
        <w:ind w:left="2389" w:hanging="360"/>
      </w:pPr>
      <w:rPr>
        <w:rFonts w:ascii="Symbol" w:hAnsi="Symbol" w:cs="Times New Roman" w:hint="default"/>
      </w:rPr>
    </w:lvl>
    <w:lvl w:ilvl="4" w:tplc="FFFFFFFF">
      <w:start w:val="1"/>
      <w:numFmt w:val="bullet"/>
      <w:lvlText w:val="o"/>
      <w:lvlJc w:val="left"/>
      <w:pPr>
        <w:tabs>
          <w:tab w:val="num" w:pos="3109"/>
        </w:tabs>
        <w:ind w:left="3109" w:hanging="360"/>
      </w:pPr>
      <w:rPr>
        <w:rFonts w:ascii="Courier New" w:hAnsi="Courier New" w:cs="Tahoma" w:hint="default"/>
      </w:rPr>
    </w:lvl>
    <w:lvl w:ilvl="5" w:tplc="FFFFFFFF">
      <w:start w:val="1"/>
      <w:numFmt w:val="bullet"/>
      <w:lvlText w:val=""/>
      <w:lvlJc w:val="left"/>
      <w:pPr>
        <w:tabs>
          <w:tab w:val="num" w:pos="3829"/>
        </w:tabs>
        <w:ind w:left="3829" w:hanging="360"/>
      </w:pPr>
      <w:rPr>
        <w:rFonts w:ascii="Wingdings" w:hAnsi="Wingdings" w:cs="Times New Roman" w:hint="default"/>
      </w:rPr>
    </w:lvl>
    <w:lvl w:ilvl="6" w:tplc="FFFFFFFF">
      <w:start w:val="1"/>
      <w:numFmt w:val="bullet"/>
      <w:lvlText w:val=""/>
      <w:lvlJc w:val="left"/>
      <w:pPr>
        <w:tabs>
          <w:tab w:val="num" w:pos="4549"/>
        </w:tabs>
        <w:ind w:left="4549" w:hanging="360"/>
      </w:pPr>
      <w:rPr>
        <w:rFonts w:ascii="Symbol" w:hAnsi="Symbol" w:cs="Times New Roman" w:hint="default"/>
      </w:rPr>
    </w:lvl>
    <w:lvl w:ilvl="7" w:tplc="FFFFFFFF">
      <w:start w:val="1"/>
      <w:numFmt w:val="bullet"/>
      <w:lvlText w:val="o"/>
      <w:lvlJc w:val="left"/>
      <w:pPr>
        <w:tabs>
          <w:tab w:val="num" w:pos="5269"/>
        </w:tabs>
        <w:ind w:left="5269" w:hanging="360"/>
      </w:pPr>
      <w:rPr>
        <w:rFonts w:ascii="Courier New" w:hAnsi="Courier New" w:cs="Tahoma" w:hint="default"/>
      </w:rPr>
    </w:lvl>
    <w:lvl w:ilvl="8" w:tplc="FFFFFFFF">
      <w:start w:val="1"/>
      <w:numFmt w:val="bullet"/>
      <w:lvlText w:val=""/>
      <w:lvlJc w:val="left"/>
      <w:pPr>
        <w:tabs>
          <w:tab w:val="num" w:pos="5989"/>
        </w:tabs>
        <w:ind w:left="5989" w:hanging="360"/>
      </w:pPr>
      <w:rPr>
        <w:rFonts w:ascii="Wingdings" w:hAnsi="Wingdings" w:cs="Times New Roman" w:hint="default"/>
      </w:rPr>
    </w:lvl>
  </w:abstractNum>
  <w:abstractNum w:abstractNumId="178">
    <w:nsid w:val="2BB85B1B"/>
    <w:multiLevelType w:val="hybridMultilevel"/>
    <w:tmpl w:val="ECB6C1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9">
    <w:nsid w:val="2BF62EAC"/>
    <w:multiLevelType w:val="hybridMultilevel"/>
    <w:tmpl w:val="6658DF0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0">
    <w:nsid w:val="2C3B1AED"/>
    <w:multiLevelType w:val="hybridMultilevel"/>
    <w:tmpl w:val="32D2FB3C"/>
    <w:lvl w:ilvl="0" w:tplc="5AB42D52">
      <w:start w:val="169"/>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1">
    <w:nsid w:val="2C405135"/>
    <w:multiLevelType w:val="hybridMultilevel"/>
    <w:tmpl w:val="3434377A"/>
    <w:lvl w:ilvl="0" w:tplc="5268E6E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2">
    <w:nsid w:val="2D85042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3">
    <w:nsid w:val="2DC4798C"/>
    <w:multiLevelType w:val="hybridMultilevel"/>
    <w:tmpl w:val="70B06D4A"/>
    <w:lvl w:ilvl="0" w:tplc="DCDC94AC">
      <w:numFmt w:val="bullet"/>
      <w:lvlText w:val="-"/>
      <w:lvlJc w:val="left"/>
      <w:pPr>
        <w:tabs>
          <w:tab w:val="num" w:pos="720"/>
        </w:tabs>
        <w:ind w:left="720" w:hanging="360"/>
      </w:pPr>
      <w:rPr>
        <w:rFonts w:ascii="Arial" w:eastAsia="Times New Roman" w:hAnsi="Arial" w:cs="Aria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84">
    <w:nsid w:val="2DE86464"/>
    <w:multiLevelType w:val="hybridMultilevel"/>
    <w:tmpl w:val="1BB43318"/>
    <w:lvl w:ilvl="0" w:tplc="EF960136">
      <w:start w:val="1"/>
      <w:numFmt w:val="bullet"/>
      <w:lvlText w:val=""/>
      <w:lvlJc w:val="left"/>
      <w:pPr>
        <w:tabs>
          <w:tab w:val="num" w:pos="1291"/>
        </w:tabs>
        <w:ind w:left="1291" w:hanging="360"/>
      </w:pPr>
      <w:rPr>
        <w:rFonts w:ascii="Wingdings 2" w:hAnsi="Wingdings 2"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5">
    <w:nsid w:val="2E2E5309"/>
    <w:multiLevelType w:val="hybridMultilevel"/>
    <w:tmpl w:val="09BCCCEE"/>
    <w:lvl w:ilvl="0" w:tplc="300C978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6">
    <w:nsid w:val="2E6177EB"/>
    <w:multiLevelType w:val="hybridMultilevel"/>
    <w:tmpl w:val="CD9EC8EA"/>
    <w:lvl w:ilvl="0" w:tplc="8B4EA156">
      <w:start w:val="307"/>
      <w:numFmt w:val="decimal"/>
      <w:lvlText w:val="%1."/>
      <w:lvlJc w:val="left"/>
      <w:pPr>
        <w:tabs>
          <w:tab w:val="num" w:pos="825"/>
        </w:tabs>
        <w:ind w:left="825" w:hanging="465"/>
      </w:pPr>
      <w:rPr>
        <w:rFonts w:hint="default"/>
        <w:i/>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7">
    <w:nsid w:val="2E703F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8">
    <w:nsid w:val="2EC038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9">
    <w:nsid w:val="2ED269F4"/>
    <w:multiLevelType w:val="hybridMultilevel"/>
    <w:tmpl w:val="F0E07CE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720"/>
        </w:tabs>
        <w:ind w:left="720" w:hanging="360"/>
      </w:pPr>
      <w:rPr>
        <w:rFonts w:ascii="Courier New" w:hAnsi="Courier New" w:cs="Tahoma"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Tahoma"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Tahoma"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190">
    <w:nsid w:val="2F1C73B3"/>
    <w:multiLevelType w:val="multilevel"/>
    <w:tmpl w:val="9258E288"/>
    <w:lvl w:ilvl="0">
      <w:start w:val="1"/>
      <w:numFmt w:val="lowerLetter"/>
      <w:lvlText w:val="%1)"/>
      <w:lvlJc w:val="left"/>
      <w:pPr>
        <w:tabs>
          <w:tab w:val="num" w:pos="1080"/>
        </w:tabs>
        <w:ind w:left="1080" w:hanging="360"/>
      </w:pPr>
      <w:rPr>
        <w:rFonts w:hint="default"/>
        <w:color w:val="000000"/>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91">
    <w:nsid w:val="2F6155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2">
    <w:nsid w:val="2F7A0D5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3">
    <w:nsid w:val="2FCC57A2"/>
    <w:multiLevelType w:val="hybridMultilevel"/>
    <w:tmpl w:val="45BA7ED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4">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195">
    <w:nsid w:val="2FDD76C0"/>
    <w:multiLevelType w:val="hybridMultilevel"/>
    <w:tmpl w:val="6728036C"/>
    <w:lvl w:ilvl="0" w:tplc="0419000F">
      <w:start w:val="1"/>
      <w:numFmt w:val="decimal"/>
      <w:lvlText w:val="%1."/>
      <w:lvlJc w:val="left"/>
      <w:pPr>
        <w:tabs>
          <w:tab w:val="num" w:pos="1068"/>
        </w:tabs>
        <w:ind w:left="1068" w:hanging="360"/>
      </w:pPr>
    </w:lvl>
    <w:lvl w:ilvl="1" w:tplc="04190001">
      <w:start w:val="1"/>
      <w:numFmt w:val="bullet"/>
      <w:lvlText w:val=""/>
      <w:lvlJc w:val="left"/>
      <w:pPr>
        <w:tabs>
          <w:tab w:val="num" w:pos="1788"/>
        </w:tabs>
        <w:ind w:left="1788" w:hanging="360"/>
      </w:pPr>
      <w:rPr>
        <w:rFonts w:ascii="Symbol" w:hAnsi="Symbol" w:hint="default"/>
      </w:rPr>
    </w:lvl>
    <w:lvl w:ilvl="2" w:tplc="0419001B">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96">
    <w:nsid w:val="30043864"/>
    <w:multiLevelType w:val="hybridMultilevel"/>
    <w:tmpl w:val="059C9D38"/>
    <w:lvl w:ilvl="0" w:tplc="04190007">
      <w:start w:val="1"/>
      <w:numFmt w:val="bullet"/>
      <w:lvlText w:val=""/>
      <w:lvlJc w:val="left"/>
      <w:pPr>
        <w:tabs>
          <w:tab w:val="num" w:pos="720"/>
        </w:tabs>
        <w:ind w:left="720" w:hanging="360"/>
      </w:pPr>
      <w:rPr>
        <w:rFonts w:ascii="Wingdings" w:hAnsi="Wingdings"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7">
    <w:nsid w:val="309F761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8">
    <w:nsid w:val="30FD123B"/>
    <w:multiLevelType w:val="hybridMultilevel"/>
    <w:tmpl w:val="02CA4E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9">
    <w:nsid w:val="310010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0">
    <w:nsid w:val="310C587A"/>
    <w:multiLevelType w:val="hybridMultilevel"/>
    <w:tmpl w:val="15F25C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1">
    <w:nsid w:val="311E041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2">
    <w:nsid w:val="318B6823"/>
    <w:multiLevelType w:val="hybridMultilevel"/>
    <w:tmpl w:val="C6A8B36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3">
    <w:nsid w:val="318D1E84"/>
    <w:multiLevelType w:val="hybridMultilevel"/>
    <w:tmpl w:val="ADEA64F6"/>
    <w:lvl w:ilvl="0" w:tplc="0C0A000B">
      <w:start w:val="1"/>
      <w:numFmt w:val="bullet"/>
      <w:lvlText w:val=""/>
      <w:lvlJc w:val="left"/>
      <w:pPr>
        <w:tabs>
          <w:tab w:val="num" w:pos="720"/>
        </w:tabs>
        <w:ind w:left="720" w:hanging="360"/>
      </w:pPr>
      <w:rPr>
        <w:rFonts w:ascii="Wingdings" w:hAnsi="Wingdings"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4">
    <w:nsid w:val="31A41F7B"/>
    <w:multiLevelType w:val="singleLevel"/>
    <w:tmpl w:val="E178663A"/>
    <w:lvl w:ilvl="0">
      <w:start w:val="1"/>
      <w:numFmt w:val="upperRoman"/>
      <w:lvlText w:val="%1."/>
      <w:lvlJc w:val="left"/>
      <w:pPr>
        <w:tabs>
          <w:tab w:val="num" w:pos="1425"/>
        </w:tabs>
        <w:ind w:left="1425" w:hanging="720"/>
      </w:pPr>
      <w:rPr>
        <w:rFonts w:hint="default"/>
      </w:rPr>
    </w:lvl>
  </w:abstractNum>
  <w:abstractNum w:abstractNumId="205">
    <w:nsid w:val="31F66D75"/>
    <w:multiLevelType w:val="hybridMultilevel"/>
    <w:tmpl w:val="E466CF9A"/>
    <w:lvl w:ilvl="0" w:tplc="8BDA924E">
      <w:start w:val="6"/>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6">
    <w:nsid w:val="32082C31"/>
    <w:multiLevelType w:val="hybridMultilevel"/>
    <w:tmpl w:val="5074C96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24"/>
        </w:tabs>
        <w:ind w:left="24" w:hanging="360"/>
      </w:pPr>
      <w:rPr>
        <w:rFonts w:ascii="Courier New" w:hAnsi="Courier New" w:cs="Tahoma" w:hint="default"/>
      </w:rPr>
    </w:lvl>
    <w:lvl w:ilvl="2" w:tplc="FFFFFFFF">
      <w:start w:val="1"/>
      <w:numFmt w:val="bullet"/>
      <w:lvlText w:val=""/>
      <w:lvlJc w:val="left"/>
      <w:pPr>
        <w:tabs>
          <w:tab w:val="num" w:pos="744"/>
        </w:tabs>
        <w:ind w:left="744" w:hanging="360"/>
      </w:pPr>
      <w:rPr>
        <w:rFonts w:ascii="Wingdings" w:hAnsi="Wingdings" w:hint="default"/>
      </w:rPr>
    </w:lvl>
    <w:lvl w:ilvl="3" w:tplc="FFFFFFFF">
      <w:start w:val="1"/>
      <w:numFmt w:val="bullet"/>
      <w:lvlText w:val=""/>
      <w:lvlJc w:val="left"/>
      <w:pPr>
        <w:tabs>
          <w:tab w:val="num" w:pos="1464"/>
        </w:tabs>
        <w:ind w:left="1464" w:hanging="360"/>
      </w:pPr>
      <w:rPr>
        <w:rFonts w:ascii="Symbol" w:hAnsi="Symbol" w:hint="default"/>
      </w:rPr>
    </w:lvl>
    <w:lvl w:ilvl="4" w:tplc="FFFFFFFF">
      <w:start w:val="1"/>
      <w:numFmt w:val="bullet"/>
      <w:lvlText w:val="o"/>
      <w:lvlJc w:val="left"/>
      <w:pPr>
        <w:tabs>
          <w:tab w:val="num" w:pos="2184"/>
        </w:tabs>
        <w:ind w:left="2184" w:hanging="360"/>
      </w:pPr>
      <w:rPr>
        <w:rFonts w:ascii="Courier New" w:hAnsi="Courier New" w:cs="Tahoma" w:hint="default"/>
      </w:rPr>
    </w:lvl>
    <w:lvl w:ilvl="5" w:tplc="FFFFFFFF" w:tentative="1">
      <w:start w:val="1"/>
      <w:numFmt w:val="bullet"/>
      <w:lvlText w:val=""/>
      <w:lvlJc w:val="left"/>
      <w:pPr>
        <w:tabs>
          <w:tab w:val="num" w:pos="2904"/>
        </w:tabs>
        <w:ind w:left="2904" w:hanging="360"/>
      </w:pPr>
      <w:rPr>
        <w:rFonts w:ascii="Wingdings" w:hAnsi="Wingdings" w:hint="default"/>
      </w:rPr>
    </w:lvl>
    <w:lvl w:ilvl="6" w:tplc="FFFFFFFF" w:tentative="1">
      <w:start w:val="1"/>
      <w:numFmt w:val="bullet"/>
      <w:lvlText w:val=""/>
      <w:lvlJc w:val="left"/>
      <w:pPr>
        <w:tabs>
          <w:tab w:val="num" w:pos="3624"/>
        </w:tabs>
        <w:ind w:left="3624" w:hanging="360"/>
      </w:pPr>
      <w:rPr>
        <w:rFonts w:ascii="Symbol" w:hAnsi="Symbol" w:hint="default"/>
      </w:rPr>
    </w:lvl>
    <w:lvl w:ilvl="7" w:tplc="FFFFFFFF" w:tentative="1">
      <w:start w:val="1"/>
      <w:numFmt w:val="bullet"/>
      <w:lvlText w:val="o"/>
      <w:lvlJc w:val="left"/>
      <w:pPr>
        <w:tabs>
          <w:tab w:val="num" w:pos="4344"/>
        </w:tabs>
        <w:ind w:left="4344" w:hanging="360"/>
      </w:pPr>
      <w:rPr>
        <w:rFonts w:ascii="Courier New" w:hAnsi="Courier New" w:cs="Tahoma" w:hint="default"/>
      </w:rPr>
    </w:lvl>
    <w:lvl w:ilvl="8" w:tplc="FFFFFFFF" w:tentative="1">
      <w:start w:val="1"/>
      <w:numFmt w:val="bullet"/>
      <w:lvlText w:val=""/>
      <w:lvlJc w:val="left"/>
      <w:pPr>
        <w:tabs>
          <w:tab w:val="num" w:pos="5064"/>
        </w:tabs>
        <w:ind w:left="5064" w:hanging="360"/>
      </w:pPr>
      <w:rPr>
        <w:rFonts w:ascii="Wingdings" w:hAnsi="Wingdings" w:hint="default"/>
      </w:rPr>
    </w:lvl>
  </w:abstractNum>
  <w:abstractNum w:abstractNumId="207">
    <w:nsid w:val="322D2DDB"/>
    <w:multiLevelType w:val="hybridMultilevel"/>
    <w:tmpl w:val="AF32ADB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8">
    <w:nsid w:val="323A16EF"/>
    <w:multiLevelType w:val="multilevel"/>
    <w:tmpl w:val="E5FE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nsid w:val="335B7336"/>
    <w:multiLevelType w:val="hybridMultilevel"/>
    <w:tmpl w:val="56C2A788"/>
    <w:lvl w:ilvl="0" w:tplc="DCDC94AC">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0">
    <w:nsid w:val="34694D23"/>
    <w:multiLevelType w:val="hybridMultilevel"/>
    <w:tmpl w:val="0B5AE7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1">
    <w:nsid w:val="351F20B0"/>
    <w:multiLevelType w:val="hybridMultilevel"/>
    <w:tmpl w:val="BF9C72E6"/>
    <w:lvl w:ilvl="0" w:tplc="52DC17DC">
      <w:start w:val="498"/>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2">
    <w:nsid w:val="362E31C6"/>
    <w:multiLevelType w:val="hybridMultilevel"/>
    <w:tmpl w:val="6BD8B1D6"/>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13">
    <w:nsid w:val="3643553A"/>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14">
    <w:nsid w:val="365C1E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5">
    <w:nsid w:val="365F1687"/>
    <w:multiLevelType w:val="hybridMultilevel"/>
    <w:tmpl w:val="E208009A"/>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6">
    <w:nsid w:val="366A2C1E"/>
    <w:multiLevelType w:val="hybridMultilevel"/>
    <w:tmpl w:val="F5E61DB8"/>
    <w:lvl w:ilvl="0" w:tplc="FFFFFFFF">
      <w:start w:val="1"/>
      <w:numFmt w:val="lowerLetter"/>
      <w:lvlText w:val="%1)"/>
      <w:lvlJc w:val="left"/>
      <w:pPr>
        <w:tabs>
          <w:tab w:val="num" w:pos="1413"/>
        </w:tabs>
        <w:ind w:left="1413" w:hanging="705"/>
      </w:pPr>
      <w:rPr>
        <w:rFonts w:hint="default"/>
      </w:rPr>
    </w:lvl>
    <w:lvl w:ilvl="1" w:tplc="FFFFFFFF">
      <w:start w:val="1"/>
      <w:numFmt w:val="bullet"/>
      <w:lvlText w:val=""/>
      <w:lvlJc w:val="left"/>
      <w:pPr>
        <w:tabs>
          <w:tab w:val="num" w:pos="1788"/>
        </w:tabs>
        <w:ind w:left="1788" w:hanging="360"/>
      </w:pPr>
      <w:rPr>
        <w:rFonts w:ascii="Symbol" w:hAnsi="Symbol" w:hint="default"/>
      </w:rPr>
    </w:lvl>
    <w:lvl w:ilvl="2" w:tplc="FFFFFFFF">
      <w:start w:val="1"/>
      <w:numFmt w:val="lowerRoman"/>
      <w:lvlText w:val="%3."/>
      <w:lvlJc w:val="right"/>
      <w:pPr>
        <w:tabs>
          <w:tab w:val="num" w:pos="2508"/>
        </w:tabs>
        <w:ind w:left="2508" w:hanging="180"/>
      </w:pPr>
    </w:lvl>
    <w:lvl w:ilvl="3" w:tplc="612A1FE4">
      <w:start w:val="90"/>
      <w:numFmt w:val="decimal"/>
      <w:lvlText w:val="%4."/>
      <w:lvlJc w:val="left"/>
      <w:pPr>
        <w:tabs>
          <w:tab w:val="num" w:pos="3228"/>
        </w:tabs>
        <w:ind w:left="3228" w:hanging="360"/>
      </w:pPr>
      <w:rPr>
        <w:rFonts w:hint="default"/>
      </w:r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17">
    <w:nsid w:val="36DC4D4A"/>
    <w:multiLevelType w:val="hybridMultilevel"/>
    <w:tmpl w:val="86D40E56"/>
    <w:lvl w:ilvl="0" w:tplc="FFFFFFFF">
      <w:start w:val="6"/>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8">
    <w:nsid w:val="36E51A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9">
    <w:nsid w:val="36E93EFD"/>
    <w:multiLevelType w:val="multilevel"/>
    <w:tmpl w:val="637CF2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0">
    <w:nsid w:val="36EC456A"/>
    <w:multiLevelType w:val="hybridMultilevel"/>
    <w:tmpl w:val="C2F276CE"/>
    <w:lvl w:ilvl="0" w:tplc="FFFFFFFF">
      <w:numFmt w:val="bullet"/>
      <w:lvlText w:val=""/>
      <w:lvlJc w:val="left"/>
      <w:pPr>
        <w:tabs>
          <w:tab w:val="num" w:pos="340"/>
        </w:tabs>
        <w:ind w:left="340" w:hanging="283"/>
      </w:pPr>
      <w:rPr>
        <w:rFonts w:ascii="Symbol" w:hAnsi="Symbol" w:cs="Times New Roman" w:hint="default"/>
        <w:color w:val="auto"/>
        <w:sz w:val="28"/>
        <w:szCs w:val="2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1">
    <w:nsid w:val="37057E8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2">
    <w:nsid w:val="371325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3">
    <w:nsid w:val="373106A9"/>
    <w:multiLevelType w:val="hybridMultilevel"/>
    <w:tmpl w:val="36B4F7C6"/>
    <w:lvl w:ilvl="0" w:tplc="01BA97CE">
      <w:start w:val="1"/>
      <w:numFmt w:val="decimal"/>
      <w:lvlText w:val="%1."/>
      <w:lvlJc w:val="left"/>
      <w:pPr>
        <w:tabs>
          <w:tab w:val="num" w:pos="360"/>
        </w:tabs>
        <w:ind w:left="357" w:hanging="357"/>
      </w:pPr>
      <w:rPr>
        <w:rFonts w:hint="default"/>
      </w:rPr>
    </w:lvl>
    <w:lvl w:ilvl="1" w:tplc="8CFE5F58">
      <w:start w:val="2"/>
      <w:numFmt w:val="upp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4">
    <w:nsid w:val="3755046D"/>
    <w:multiLevelType w:val="hybridMultilevel"/>
    <w:tmpl w:val="850A6DE2"/>
    <w:lvl w:ilvl="0" w:tplc="89EED4A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5">
    <w:nsid w:val="3761452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6">
    <w:nsid w:val="376B348D"/>
    <w:multiLevelType w:val="hybridMultilevel"/>
    <w:tmpl w:val="70FE34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7">
    <w:nsid w:val="37C66FE8"/>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28">
    <w:nsid w:val="37D819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9">
    <w:nsid w:val="37F32814"/>
    <w:multiLevelType w:val="singleLevel"/>
    <w:tmpl w:val="0C0A0011"/>
    <w:lvl w:ilvl="0">
      <w:start w:val="1"/>
      <w:numFmt w:val="decimal"/>
      <w:lvlText w:val="%1)"/>
      <w:lvlJc w:val="left"/>
      <w:pPr>
        <w:tabs>
          <w:tab w:val="num" w:pos="360"/>
        </w:tabs>
        <w:ind w:left="360" w:hanging="360"/>
      </w:pPr>
      <w:rPr>
        <w:rFonts w:hint="default"/>
      </w:rPr>
    </w:lvl>
  </w:abstractNum>
  <w:abstractNum w:abstractNumId="230">
    <w:nsid w:val="37F6119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1">
    <w:nsid w:val="382D492B"/>
    <w:multiLevelType w:val="hybridMultilevel"/>
    <w:tmpl w:val="6A221A6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2">
    <w:nsid w:val="38F37E3D"/>
    <w:multiLevelType w:val="hybridMultilevel"/>
    <w:tmpl w:val="5EE4D98E"/>
    <w:lvl w:ilvl="0" w:tplc="8ED6161C">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3">
    <w:nsid w:val="38F55FD0"/>
    <w:multiLevelType w:val="hybridMultilevel"/>
    <w:tmpl w:val="813413C4"/>
    <w:lvl w:ilvl="0" w:tplc="B20E5662">
      <w:start w:val="3"/>
      <w:numFmt w:val="lowerRoman"/>
      <w:lvlText w:val="%1)"/>
      <w:lvlJc w:val="left"/>
      <w:pPr>
        <w:tabs>
          <w:tab w:val="num" w:pos="1830"/>
        </w:tabs>
        <w:ind w:left="1830" w:hanging="720"/>
      </w:pPr>
      <w:rPr>
        <w:rFonts w:ascii="Arial" w:hAnsi="Arial" w:hint="default"/>
        <w:color w:val="000000"/>
      </w:rPr>
    </w:lvl>
    <w:lvl w:ilvl="1" w:tplc="77AC9980">
      <w:start w:val="1"/>
      <w:numFmt w:val="bullet"/>
      <w:lvlText w:val=""/>
      <w:lvlJc w:val="left"/>
      <w:pPr>
        <w:tabs>
          <w:tab w:val="num" w:pos="2190"/>
        </w:tabs>
        <w:ind w:left="2190" w:hanging="360"/>
      </w:pPr>
      <w:rPr>
        <w:rFonts w:ascii="Symbol" w:hAnsi="Symbol" w:hint="default"/>
        <w:color w:val="000000"/>
      </w:rPr>
    </w:lvl>
    <w:lvl w:ilvl="2" w:tplc="0C0A001B" w:tentative="1">
      <w:start w:val="1"/>
      <w:numFmt w:val="lowerRoman"/>
      <w:lvlText w:val="%3."/>
      <w:lvlJc w:val="right"/>
      <w:pPr>
        <w:tabs>
          <w:tab w:val="num" w:pos="2910"/>
        </w:tabs>
        <w:ind w:left="2910" w:hanging="180"/>
      </w:pPr>
    </w:lvl>
    <w:lvl w:ilvl="3" w:tplc="0C0A000F" w:tentative="1">
      <w:start w:val="1"/>
      <w:numFmt w:val="decimal"/>
      <w:lvlText w:val="%4."/>
      <w:lvlJc w:val="left"/>
      <w:pPr>
        <w:tabs>
          <w:tab w:val="num" w:pos="3630"/>
        </w:tabs>
        <w:ind w:left="3630" w:hanging="360"/>
      </w:pPr>
    </w:lvl>
    <w:lvl w:ilvl="4" w:tplc="0C0A0019" w:tentative="1">
      <w:start w:val="1"/>
      <w:numFmt w:val="lowerLetter"/>
      <w:lvlText w:val="%5."/>
      <w:lvlJc w:val="left"/>
      <w:pPr>
        <w:tabs>
          <w:tab w:val="num" w:pos="4350"/>
        </w:tabs>
        <w:ind w:left="4350" w:hanging="360"/>
      </w:pPr>
    </w:lvl>
    <w:lvl w:ilvl="5" w:tplc="0C0A001B" w:tentative="1">
      <w:start w:val="1"/>
      <w:numFmt w:val="lowerRoman"/>
      <w:lvlText w:val="%6."/>
      <w:lvlJc w:val="right"/>
      <w:pPr>
        <w:tabs>
          <w:tab w:val="num" w:pos="5070"/>
        </w:tabs>
        <w:ind w:left="5070" w:hanging="180"/>
      </w:pPr>
    </w:lvl>
    <w:lvl w:ilvl="6" w:tplc="0C0A000F" w:tentative="1">
      <w:start w:val="1"/>
      <w:numFmt w:val="decimal"/>
      <w:lvlText w:val="%7."/>
      <w:lvlJc w:val="left"/>
      <w:pPr>
        <w:tabs>
          <w:tab w:val="num" w:pos="5790"/>
        </w:tabs>
        <w:ind w:left="5790" w:hanging="360"/>
      </w:pPr>
    </w:lvl>
    <w:lvl w:ilvl="7" w:tplc="0C0A0019" w:tentative="1">
      <w:start w:val="1"/>
      <w:numFmt w:val="lowerLetter"/>
      <w:lvlText w:val="%8."/>
      <w:lvlJc w:val="left"/>
      <w:pPr>
        <w:tabs>
          <w:tab w:val="num" w:pos="6510"/>
        </w:tabs>
        <w:ind w:left="6510" w:hanging="360"/>
      </w:pPr>
    </w:lvl>
    <w:lvl w:ilvl="8" w:tplc="0C0A001B" w:tentative="1">
      <w:start w:val="1"/>
      <w:numFmt w:val="lowerRoman"/>
      <w:lvlText w:val="%9."/>
      <w:lvlJc w:val="right"/>
      <w:pPr>
        <w:tabs>
          <w:tab w:val="num" w:pos="7230"/>
        </w:tabs>
        <w:ind w:left="7230" w:hanging="180"/>
      </w:pPr>
    </w:lvl>
  </w:abstractNum>
  <w:abstractNum w:abstractNumId="234">
    <w:nsid w:val="39872CE5"/>
    <w:multiLevelType w:val="multilevel"/>
    <w:tmpl w:val="0180E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nsid w:val="39926050"/>
    <w:multiLevelType w:val="hybridMultilevel"/>
    <w:tmpl w:val="44363E6A"/>
    <w:lvl w:ilvl="0" w:tplc="DAA6B93A">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6">
    <w:nsid w:val="39BE7E3E"/>
    <w:multiLevelType w:val="hybridMultilevel"/>
    <w:tmpl w:val="A70C1A4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7">
    <w:nsid w:val="39C5047E"/>
    <w:multiLevelType w:val="hybridMultilevel"/>
    <w:tmpl w:val="2BC824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8">
    <w:nsid w:val="39D272AA"/>
    <w:multiLevelType w:val="hybridMultilevel"/>
    <w:tmpl w:val="609A4EA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9">
    <w:nsid w:val="39D602A6"/>
    <w:multiLevelType w:val="hybridMultilevel"/>
    <w:tmpl w:val="909C5C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0">
    <w:nsid w:val="39D72CF1"/>
    <w:multiLevelType w:val="hybridMultilevel"/>
    <w:tmpl w:val="9E9A0392"/>
    <w:lvl w:ilvl="0" w:tplc="FFFFFFFF">
      <w:start w:val="1"/>
      <w:numFmt w:val="bullet"/>
      <w:pStyle w:val="bala"/>
      <w:lvlText w:val=""/>
      <w:lvlJc w:val="left"/>
      <w:pPr>
        <w:tabs>
          <w:tab w:val="num" w:pos="785"/>
        </w:tabs>
        <w:ind w:left="766" w:hanging="341"/>
      </w:pPr>
      <w:rPr>
        <w:rFonts w:ascii="Wingdings" w:hAnsi="Wingdings" w:cs="Times New Roman" w:hint="default"/>
        <w:sz w:val="14"/>
        <w:szCs w:val="14"/>
      </w:rPr>
    </w:lvl>
    <w:lvl w:ilvl="1" w:tplc="FFFFFFFF">
      <w:start w:val="1"/>
      <w:numFmt w:val="bullet"/>
      <w:lvlText w:val=""/>
      <w:lvlJc w:val="left"/>
      <w:pPr>
        <w:tabs>
          <w:tab w:val="num" w:pos="1440"/>
        </w:tabs>
        <w:ind w:left="1307" w:hanging="227"/>
      </w:pPr>
      <w:rPr>
        <w:rFonts w:ascii="Symbol" w:hAnsi="Symbol" w:cs="Times New Roman" w:hint="default"/>
        <w:sz w:val="16"/>
        <w:szCs w:val="16"/>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Tahoma"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Tahoma"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241">
    <w:nsid w:val="39E9719B"/>
    <w:multiLevelType w:val="hybridMultilevel"/>
    <w:tmpl w:val="CAAC9CB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2">
    <w:nsid w:val="3A2F6588"/>
    <w:multiLevelType w:val="singleLevel"/>
    <w:tmpl w:val="4F74AE1C"/>
    <w:lvl w:ilvl="0">
      <w:start w:val="1"/>
      <w:numFmt w:val="lowerLetter"/>
      <w:lvlText w:val="%1)"/>
      <w:lvlJc w:val="left"/>
      <w:pPr>
        <w:tabs>
          <w:tab w:val="num" w:pos="1065"/>
        </w:tabs>
        <w:ind w:left="1065" w:hanging="1065"/>
      </w:pPr>
      <w:rPr>
        <w:rFonts w:hint="default"/>
        <w:b/>
        <w:i w:val="0"/>
      </w:rPr>
    </w:lvl>
  </w:abstractNum>
  <w:abstractNum w:abstractNumId="243">
    <w:nsid w:val="3A702508"/>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44">
    <w:nsid w:val="3A9C408D"/>
    <w:multiLevelType w:val="hybridMultilevel"/>
    <w:tmpl w:val="40661CC8"/>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45">
    <w:nsid w:val="3AB44195"/>
    <w:multiLevelType w:val="singleLevel"/>
    <w:tmpl w:val="0C0A000F"/>
    <w:lvl w:ilvl="0">
      <w:start w:val="6"/>
      <w:numFmt w:val="decimal"/>
      <w:lvlText w:val="%1."/>
      <w:lvlJc w:val="left"/>
      <w:pPr>
        <w:tabs>
          <w:tab w:val="num" w:pos="360"/>
        </w:tabs>
        <w:ind w:left="360" w:hanging="360"/>
      </w:pPr>
      <w:rPr>
        <w:rFonts w:hint="default"/>
      </w:rPr>
    </w:lvl>
  </w:abstractNum>
  <w:abstractNum w:abstractNumId="246">
    <w:nsid w:val="3ABC08FE"/>
    <w:multiLevelType w:val="hybridMultilevel"/>
    <w:tmpl w:val="360E0540"/>
    <w:lvl w:ilvl="0" w:tplc="C84C9666">
      <w:start w:val="1"/>
      <w:numFmt w:val="bullet"/>
      <w:lvlText w:val=""/>
      <w:lvlJc w:val="left"/>
      <w:pPr>
        <w:tabs>
          <w:tab w:val="num" w:pos="1108"/>
        </w:tabs>
        <w:ind w:left="1108" w:hanging="360"/>
      </w:pPr>
      <w:rPr>
        <w:rFonts w:ascii="Symbol" w:hAnsi="Symbol" w:cs="Times New Roman" w:hint="default"/>
      </w:rPr>
    </w:lvl>
    <w:lvl w:ilvl="1" w:tplc="04190003" w:tentative="1">
      <w:start w:val="1"/>
      <w:numFmt w:val="bullet"/>
      <w:lvlText w:val="o"/>
      <w:lvlJc w:val="left"/>
      <w:pPr>
        <w:tabs>
          <w:tab w:val="num" w:pos="1621"/>
        </w:tabs>
        <w:ind w:left="1621" w:hanging="360"/>
      </w:pPr>
      <w:rPr>
        <w:rFonts w:ascii="Courier New" w:hAnsi="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247">
    <w:nsid w:val="3BA31036"/>
    <w:multiLevelType w:val="hybridMultilevel"/>
    <w:tmpl w:val="2A5690FE"/>
    <w:lvl w:ilvl="0" w:tplc="11F2D146">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248">
    <w:nsid w:val="3BB25552"/>
    <w:multiLevelType w:val="hybridMultilevel"/>
    <w:tmpl w:val="E83CED9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49">
    <w:nsid w:val="3BC8380F"/>
    <w:multiLevelType w:val="hybridMultilevel"/>
    <w:tmpl w:val="F46EBF08"/>
    <w:lvl w:ilvl="0" w:tplc="FFFFFFFF">
      <w:start w:val="4"/>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0">
    <w:nsid w:val="3BE50DFA"/>
    <w:multiLevelType w:val="hybridMultilevel"/>
    <w:tmpl w:val="CCA0AE1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51">
    <w:nsid w:val="3BEF77DB"/>
    <w:multiLevelType w:val="hybridMultilevel"/>
    <w:tmpl w:val="C7767C94"/>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2">
    <w:nsid w:val="3C0F5190"/>
    <w:multiLevelType w:val="hybridMultilevel"/>
    <w:tmpl w:val="E876BDCE"/>
    <w:lvl w:ilvl="0" w:tplc="9C62F8F0">
      <w:start w:val="1"/>
      <w:numFmt w:val="decimal"/>
      <w:lvlText w:val="%1."/>
      <w:lvlJc w:val="left"/>
      <w:pPr>
        <w:tabs>
          <w:tab w:val="num" w:pos="207"/>
        </w:tabs>
        <w:ind w:left="-360" w:firstLine="360"/>
      </w:pPr>
      <w:rPr>
        <w:rFonts w:hint="default"/>
      </w:rPr>
    </w:lvl>
    <w:lvl w:ilvl="1" w:tplc="080A0019">
      <w:start w:val="1"/>
      <w:numFmt w:val="lowerLetter"/>
      <w:lvlText w:val="%2."/>
      <w:lvlJc w:val="left"/>
      <w:pPr>
        <w:tabs>
          <w:tab w:val="num" w:pos="1080"/>
        </w:tabs>
        <w:ind w:left="1080" w:hanging="360"/>
      </w:p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253">
    <w:nsid w:val="3C221A21"/>
    <w:multiLevelType w:val="hybridMultilevel"/>
    <w:tmpl w:val="4418C81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4">
    <w:nsid w:val="3C6C32B4"/>
    <w:multiLevelType w:val="hybridMultilevel"/>
    <w:tmpl w:val="41EED6E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72"/>
        </w:tabs>
        <w:ind w:left="372" w:hanging="360"/>
      </w:pPr>
      <w:rPr>
        <w:rFonts w:ascii="Courier New" w:hAnsi="Courier New" w:cs="Tahoma" w:hint="default"/>
      </w:rPr>
    </w:lvl>
    <w:lvl w:ilvl="2" w:tplc="FFFFFFFF" w:tentative="1">
      <w:start w:val="1"/>
      <w:numFmt w:val="bullet"/>
      <w:lvlText w:val=""/>
      <w:lvlJc w:val="left"/>
      <w:pPr>
        <w:tabs>
          <w:tab w:val="num" w:pos="1092"/>
        </w:tabs>
        <w:ind w:left="1092" w:hanging="360"/>
      </w:pPr>
      <w:rPr>
        <w:rFonts w:ascii="Wingdings" w:hAnsi="Wingdings" w:hint="default"/>
      </w:rPr>
    </w:lvl>
    <w:lvl w:ilvl="3" w:tplc="FFFFFFFF" w:tentative="1">
      <w:start w:val="1"/>
      <w:numFmt w:val="bullet"/>
      <w:lvlText w:val=""/>
      <w:lvlJc w:val="left"/>
      <w:pPr>
        <w:tabs>
          <w:tab w:val="num" w:pos="1812"/>
        </w:tabs>
        <w:ind w:left="1812" w:hanging="360"/>
      </w:pPr>
      <w:rPr>
        <w:rFonts w:ascii="Symbol" w:hAnsi="Symbol" w:hint="default"/>
      </w:rPr>
    </w:lvl>
    <w:lvl w:ilvl="4" w:tplc="FFFFFFFF" w:tentative="1">
      <w:start w:val="1"/>
      <w:numFmt w:val="bullet"/>
      <w:lvlText w:val="o"/>
      <w:lvlJc w:val="left"/>
      <w:pPr>
        <w:tabs>
          <w:tab w:val="num" w:pos="2532"/>
        </w:tabs>
        <w:ind w:left="2532" w:hanging="360"/>
      </w:pPr>
      <w:rPr>
        <w:rFonts w:ascii="Courier New" w:hAnsi="Courier New" w:cs="Tahoma" w:hint="default"/>
      </w:rPr>
    </w:lvl>
    <w:lvl w:ilvl="5" w:tplc="FFFFFFFF" w:tentative="1">
      <w:start w:val="1"/>
      <w:numFmt w:val="bullet"/>
      <w:lvlText w:val=""/>
      <w:lvlJc w:val="left"/>
      <w:pPr>
        <w:tabs>
          <w:tab w:val="num" w:pos="3252"/>
        </w:tabs>
        <w:ind w:left="3252" w:hanging="360"/>
      </w:pPr>
      <w:rPr>
        <w:rFonts w:ascii="Wingdings" w:hAnsi="Wingdings" w:hint="default"/>
      </w:rPr>
    </w:lvl>
    <w:lvl w:ilvl="6" w:tplc="FFFFFFFF" w:tentative="1">
      <w:start w:val="1"/>
      <w:numFmt w:val="bullet"/>
      <w:lvlText w:val=""/>
      <w:lvlJc w:val="left"/>
      <w:pPr>
        <w:tabs>
          <w:tab w:val="num" w:pos="3972"/>
        </w:tabs>
        <w:ind w:left="3972" w:hanging="360"/>
      </w:pPr>
      <w:rPr>
        <w:rFonts w:ascii="Symbol" w:hAnsi="Symbol" w:hint="default"/>
      </w:rPr>
    </w:lvl>
    <w:lvl w:ilvl="7" w:tplc="FFFFFFFF" w:tentative="1">
      <w:start w:val="1"/>
      <w:numFmt w:val="bullet"/>
      <w:lvlText w:val="o"/>
      <w:lvlJc w:val="left"/>
      <w:pPr>
        <w:tabs>
          <w:tab w:val="num" w:pos="4692"/>
        </w:tabs>
        <w:ind w:left="4692" w:hanging="360"/>
      </w:pPr>
      <w:rPr>
        <w:rFonts w:ascii="Courier New" w:hAnsi="Courier New" w:cs="Tahoma" w:hint="default"/>
      </w:rPr>
    </w:lvl>
    <w:lvl w:ilvl="8" w:tplc="FFFFFFFF" w:tentative="1">
      <w:start w:val="1"/>
      <w:numFmt w:val="bullet"/>
      <w:lvlText w:val=""/>
      <w:lvlJc w:val="left"/>
      <w:pPr>
        <w:tabs>
          <w:tab w:val="num" w:pos="5412"/>
        </w:tabs>
        <w:ind w:left="5412" w:hanging="360"/>
      </w:pPr>
      <w:rPr>
        <w:rFonts w:ascii="Wingdings" w:hAnsi="Wingdings" w:hint="default"/>
      </w:rPr>
    </w:lvl>
  </w:abstractNum>
  <w:abstractNum w:abstractNumId="255">
    <w:nsid w:val="3C750876"/>
    <w:multiLevelType w:val="hybridMultilevel"/>
    <w:tmpl w:val="76A410AC"/>
    <w:lvl w:ilvl="0" w:tplc="A0102932">
      <w:start w:val="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6">
    <w:nsid w:val="3C8C0AD7"/>
    <w:multiLevelType w:val="hybridMultilevel"/>
    <w:tmpl w:val="2EACE05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57">
    <w:nsid w:val="3C9F543D"/>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58">
    <w:nsid w:val="3D425266"/>
    <w:multiLevelType w:val="hybridMultilevel"/>
    <w:tmpl w:val="8FB0EF58"/>
    <w:lvl w:ilvl="0" w:tplc="DCDC94AC">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9">
    <w:nsid w:val="3D6C0C76"/>
    <w:multiLevelType w:val="hybridMultilevel"/>
    <w:tmpl w:val="BE0C58E6"/>
    <w:lvl w:ilvl="0" w:tplc="FFFFFFFF">
      <w:start w:val="1"/>
      <w:numFmt w:val="bullet"/>
      <w:lvlText w:val=""/>
      <w:lvlJc w:val="left"/>
      <w:pPr>
        <w:tabs>
          <w:tab w:val="num" w:pos="720"/>
        </w:tabs>
        <w:ind w:left="720"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0">
    <w:nsid w:val="3D9406E9"/>
    <w:multiLevelType w:val="hybridMultilevel"/>
    <w:tmpl w:val="B48A9EBC"/>
    <w:lvl w:ilvl="0" w:tplc="AD9EF78A">
      <w:start w:val="419"/>
      <w:numFmt w:val="decimal"/>
      <w:lvlText w:val="%1."/>
      <w:lvlJc w:val="left"/>
      <w:pPr>
        <w:tabs>
          <w:tab w:val="num" w:pos="465"/>
        </w:tabs>
        <w:ind w:left="46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1">
    <w:nsid w:val="3DAE6CD9"/>
    <w:multiLevelType w:val="hybridMultilevel"/>
    <w:tmpl w:val="30A0E6B6"/>
    <w:lvl w:ilvl="0" w:tplc="272E9B68">
      <w:start w:val="1"/>
      <w:numFmt w:val="bullet"/>
      <w:lvlText w:val=""/>
      <w:lvlJc w:val="left"/>
      <w:pPr>
        <w:tabs>
          <w:tab w:val="num" w:pos="720"/>
        </w:tabs>
        <w:ind w:left="720" w:hanging="720"/>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2">
    <w:nsid w:val="3DB34079"/>
    <w:multiLevelType w:val="hybridMultilevel"/>
    <w:tmpl w:val="34423B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3">
    <w:nsid w:val="3DCD147D"/>
    <w:multiLevelType w:val="hybridMultilevel"/>
    <w:tmpl w:val="49F24E4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64">
    <w:nsid w:val="3E8F3B05"/>
    <w:multiLevelType w:val="hybridMultilevel"/>
    <w:tmpl w:val="D59AEF4E"/>
    <w:lvl w:ilvl="0" w:tplc="6D0A98A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5">
    <w:nsid w:val="3EB44965"/>
    <w:multiLevelType w:val="hybridMultilevel"/>
    <w:tmpl w:val="FB62878A"/>
    <w:lvl w:ilvl="0" w:tplc="ABE04D08">
      <w:start w:val="1"/>
      <w:numFmt w:val="bullet"/>
      <w:lvlText w:val=""/>
      <w:lvlJc w:val="left"/>
      <w:pPr>
        <w:tabs>
          <w:tab w:val="num" w:pos="1701"/>
        </w:tabs>
        <w:ind w:left="1701" w:hanging="567"/>
      </w:pPr>
      <w:rPr>
        <w:rFonts w:ascii="Wingdings" w:hAnsi="Wingdings" w:hint="default"/>
        <w:sz w:val="16"/>
      </w:rPr>
    </w:lvl>
    <w:lvl w:ilvl="1" w:tplc="95ECF3E0">
      <w:start w:val="1"/>
      <w:numFmt w:val="bullet"/>
      <w:lvlText w:val=""/>
      <w:lvlJc w:val="left"/>
      <w:pPr>
        <w:tabs>
          <w:tab w:val="num" w:pos="1647"/>
        </w:tabs>
        <w:ind w:left="1647" w:hanging="567"/>
      </w:pPr>
      <w:rPr>
        <w:rFonts w:ascii="Symbol" w:hAnsi="Symbol" w:hint="default"/>
      </w:rPr>
    </w:lvl>
    <w:lvl w:ilvl="2" w:tplc="ABE04D08">
      <w:start w:val="1"/>
      <w:numFmt w:val="bullet"/>
      <w:lvlText w:val=""/>
      <w:lvlJc w:val="left"/>
      <w:pPr>
        <w:tabs>
          <w:tab w:val="num" w:pos="2367"/>
        </w:tabs>
        <w:ind w:left="2367" w:hanging="567"/>
      </w:pPr>
      <w:rPr>
        <w:rFonts w:ascii="Wingdings" w:hAnsi="Wingdings" w:hint="default"/>
        <w:sz w:val="16"/>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6">
    <w:nsid w:val="3EC0150E"/>
    <w:multiLevelType w:val="hybridMultilevel"/>
    <w:tmpl w:val="FED00D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7">
    <w:nsid w:val="3F892DAC"/>
    <w:multiLevelType w:val="singleLevel"/>
    <w:tmpl w:val="CF2A1818"/>
    <w:lvl w:ilvl="0">
      <w:start w:val="1"/>
      <w:numFmt w:val="bullet"/>
      <w:lvlText w:val=""/>
      <w:lvlJc w:val="left"/>
      <w:pPr>
        <w:tabs>
          <w:tab w:val="num" w:pos="360"/>
        </w:tabs>
        <w:ind w:left="360" w:hanging="360"/>
      </w:pPr>
      <w:rPr>
        <w:rFonts w:ascii="Symbol" w:hAnsi="Symbol" w:hint="default"/>
      </w:rPr>
    </w:lvl>
  </w:abstractNum>
  <w:abstractNum w:abstractNumId="268">
    <w:nsid w:val="3FC827ED"/>
    <w:multiLevelType w:val="hybridMultilevel"/>
    <w:tmpl w:val="A508AA3E"/>
    <w:lvl w:ilvl="0" w:tplc="C0DA01F6">
      <w:start w:val="1"/>
      <w:numFmt w:val="bullet"/>
      <w:lvlText w:val=""/>
      <w:lvlJc w:val="left"/>
      <w:pPr>
        <w:tabs>
          <w:tab w:val="num" w:pos="964"/>
        </w:tabs>
        <w:ind w:left="964" w:hanging="39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9">
    <w:nsid w:val="3FC93AA9"/>
    <w:multiLevelType w:val="hybridMultilevel"/>
    <w:tmpl w:val="4C1E8168"/>
    <w:lvl w:ilvl="0" w:tplc="73504F6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0">
    <w:nsid w:val="400B1B07"/>
    <w:multiLevelType w:val="hybridMultilevel"/>
    <w:tmpl w:val="1998607E"/>
    <w:lvl w:ilvl="0" w:tplc="04190001">
      <w:start w:val="1"/>
      <w:numFmt w:val="bullet"/>
      <w:lvlText w:val=""/>
      <w:lvlJc w:val="left"/>
      <w:pPr>
        <w:tabs>
          <w:tab w:val="num" w:pos="2984"/>
        </w:tabs>
        <w:ind w:left="2984" w:hanging="360"/>
      </w:pPr>
      <w:rPr>
        <w:rFonts w:ascii="Symbol" w:hAnsi="Symbol" w:hint="default"/>
      </w:rPr>
    </w:lvl>
    <w:lvl w:ilvl="1" w:tplc="04190003">
      <w:start w:val="1"/>
      <w:numFmt w:val="bullet"/>
      <w:lvlText w:val="o"/>
      <w:lvlJc w:val="left"/>
      <w:pPr>
        <w:tabs>
          <w:tab w:val="num" w:pos="3704"/>
        </w:tabs>
        <w:ind w:left="3704" w:hanging="360"/>
      </w:pPr>
      <w:rPr>
        <w:rFonts w:ascii="Courier New" w:hAnsi="Courier New" w:hint="default"/>
      </w:rPr>
    </w:lvl>
    <w:lvl w:ilvl="2" w:tplc="04190005" w:tentative="1">
      <w:start w:val="1"/>
      <w:numFmt w:val="bullet"/>
      <w:lvlText w:val=""/>
      <w:lvlJc w:val="left"/>
      <w:pPr>
        <w:tabs>
          <w:tab w:val="num" w:pos="4424"/>
        </w:tabs>
        <w:ind w:left="4424" w:hanging="360"/>
      </w:pPr>
      <w:rPr>
        <w:rFonts w:ascii="Wingdings" w:hAnsi="Wingdings" w:hint="default"/>
      </w:rPr>
    </w:lvl>
    <w:lvl w:ilvl="3" w:tplc="04190001" w:tentative="1">
      <w:start w:val="1"/>
      <w:numFmt w:val="bullet"/>
      <w:lvlText w:val=""/>
      <w:lvlJc w:val="left"/>
      <w:pPr>
        <w:tabs>
          <w:tab w:val="num" w:pos="5144"/>
        </w:tabs>
        <w:ind w:left="5144" w:hanging="360"/>
      </w:pPr>
      <w:rPr>
        <w:rFonts w:ascii="Symbol" w:hAnsi="Symbol" w:hint="default"/>
      </w:rPr>
    </w:lvl>
    <w:lvl w:ilvl="4" w:tplc="04190003" w:tentative="1">
      <w:start w:val="1"/>
      <w:numFmt w:val="bullet"/>
      <w:lvlText w:val="o"/>
      <w:lvlJc w:val="left"/>
      <w:pPr>
        <w:tabs>
          <w:tab w:val="num" w:pos="5864"/>
        </w:tabs>
        <w:ind w:left="5864" w:hanging="360"/>
      </w:pPr>
      <w:rPr>
        <w:rFonts w:ascii="Courier New" w:hAnsi="Courier New" w:hint="default"/>
      </w:rPr>
    </w:lvl>
    <w:lvl w:ilvl="5" w:tplc="04190005" w:tentative="1">
      <w:start w:val="1"/>
      <w:numFmt w:val="bullet"/>
      <w:lvlText w:val=""/>
      <w:lvlJc w:val="left"/>
      <w:pPr>
        <w:tabs>
          <w:tab w:val="num" w:pos="6584"/>
        </w:tabs>
        <w:ind w:left="6584" w:hanging="360"/>
      </w:pPr>
      <w:rPr>
        <w:rFonts w:ascii="Wingdings" w:hAnsi="Wingdings" w:hint="default"/>
      </w:rPr>
    </w:lvl>
    <w:lvl w:ilvl="6" w:tplc="04190001" w:tentative="1">
      <w:start w:val="1"/>
      <w:numFmt w:val="bullet"/>
      <w:lvlText w:val=""/>
      <w:lvlJc w:val="left"/>
      <w:pPr>
        <w:tabs>
          <w:tab w:val="num" w:pos="7304"/>
        </w:tabs>
        <w:ind w:left="7304" w:hanging="360"/>
      </w:pPr>
      <w:rPr>
        <w:rFonts w:ascii="Symbol" w:hAnsi="Symbol" w:hint="default"/>
      </w:rPr>
    </w:lvl>
    <w:lvl w:ilvl="7" w:tplc="04190003" w:tentative="1">
      <w:start w:val="1"/>
      <w:numFmt w:val="bullet"/>
      <w:lvlText w:val="o"/>
      <w:lvlJc w:val="left"/>
      <w:pPr>
        <w:tabs>
          <w:tab w:val="num" w:pos="8024"/>
        </w:tabs>
        <w:ind w:left="8024" w:hanging="360"/>
      </w:pPr>
      <w:rPr>
        <w:rFonts w:ascii="Courier New" w:hAnsi="Courier New" w:hint="default"/>
      </w:rPr>
    </w:lvl>
    <w:lvl w:ilvl="8" w:tplc="04190005" w:tentative="1">
      <w:start w:val="1"/>
      <w:numFmt w:val="bullet"/>
      <w:lvlText w:val=""/>
      <w:lvlJc w:val="left"/>
      <w:pPr>
        <w:tabs>
          <w:tab w:val="num" w:pos="8744"/>
        </w:tabs>
        <w:ind w:left="8744" w:hanging="360"/>
      </w:pPr>
      <w:rPr>
        <w:rFonts w:ascii="Wingdings" w:hAnsi="Wingdings" w:hint="default"/>
      </w:rPr>
    </w:lvl>
  </w:abstractNum>
  <w:abstractNum w:abstractNumId="271">
    <w:nsid w:val="4010716D"/>
    <w:multiLevelType w:val="hybridMultilevel"/>
    <w:tmpl w:val="5EE276E8"/>
    <w:lvl w:ilvl="0" w:tplc="838624F0">
      <w:start w:val="420"/>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2">
    <w:nsid w:val="405B1950"/>
    <w:multiLevelType w:val="hybridMultilevel"/>
    <w:tmpl w:val="938A7F5C"/>
    <w:lvl w:ilvl="0" w:tplc="080A0017">
      <w:start w:val="1"/>
      <w:numFmt w:val="lowerLetter"/>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273">
    <w:nsid w:val="40D26ECC"/>
    <w:multiLevelType w:val="hybridMultilevel"/>
    <w:tmpl w:val="2E32B54C"/>
    <w:lvl w:ilvl="0" w:tplc="95ECF3E0">
      <w:start w:val="1"/>
      <w:numFmt w:val="bullet"/>
      <w:lvlText w:val=""/>
      <w:lvlJc w:val="left"/>
      <w:pPr>
        <w:tabs>
          <w:tab w:val="num" w:pos="1134"/>
        </w:tabs>
        <w:ind w:left="1134" w:hanging="567"/>
      </w:pPr>
      <w:rPr>
        <w:rFonts w:ascii="Symbol" w:hAnsi="Symbol" w:hint="default"/>
      </w:rPr>
    </w:lvl>
    <w:lvl w:ilvl="1" w:tplc="D4AAF81A">
      <w:start w:val="1"/>
      <w:numFmt w:val="bullet"/>
      <w:lvlText w:val=""/>
      <w:lvlJc w:val="left"/>
      <w:pPr>
        <w:tabs>
          <w:tab w:val="num" w:pos="1494"/>
        </w:tabs>
        <w:ind w:left="1474" w:hanging="340"/>
      </w:pPr>
      <w:rPr>
        <w:rFonts w:ascii="Wingdings" w:hAnsi="Wingdings" w:hint="default"/>
        <w:sz w:val="16"/>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4">
    <w:nsid w:val="4129787A"/>
    <w:multiLevelType w:val="hybridMultilevel"/>
    <w:tmpl w:val="7EAC34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5">
    <w:nsid w:val="417971F7"/>
    <w:multiLevelType w:val="singleLevel"/>
    <w:tmpl w:val="CD00EDC0"/>
    <w:lvl w:ilvl="0">
      <w:start w:val="1"/>
      <w:numFmt w:val="lowerLetter"/>
      <w:lvlText w:val="%1)"/>
      <w:lvlJc w:val="left"/>
      <w:pPr>
        <w:tabs>
          <w:tab w:val="num" w:pos="540"/>
        </w:tabs>
        <w:ind w:left="540" w:hanging="360"/>
      </w:pPr>
      <w:rPr>
        <w:rFonts w:hint="default"/>
      </w:rPr>
    </w:lvl>
  </w:abstractNum>
  <w:abstractNum w:abstractNumId="276">
    <w:nsid w:val="419F3224"/>
    <w:multiLevelType w:val="hybridMultilevel"/>
    <w:tmpl w:val="7CF89AA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77">
    <w:nsid w:val="42087A59"/>
    <w:multiLevelType w:val="hybridMultilevel"/>
    <w:tmpl w:val="D11233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8">
    <w:nsid w:val="42724260"/>
    <w:multiLevelType w:val="hybridMultilevel"/>
    <w:tmpl w:val="94E45AB4"/>
    <w:lvl w:ilvl="0" w:tplc="C89A37D6">
      <w:start w:val="427"/>
      <w:numFmt w:val="decimal"/>
      <w:lvlText w:val="%1."/>
      <w:lvlJc w:val="left"/>
      <w:pPr>
        <w:tabs>
          <w:tab w:val="num" w:pos="825"/>
        </w:tabs>
        <w:ind w:left="825" w:hanging="465"/>
      </w:pPr>
      <w:rPr>
        <w:rFonts w:hint="default"/>
        <w:b/>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9">
    <w:nsid w:val="42BF4C49"/>
    <w:multiLevelType w:val="multilevel"/>
    <w:tmpl w:val="A9220EC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0">
    <w:nsid w:val="434A3CEC"/>
    <w:multiLevelType w:val="hybridMultilevel"/>
    <w:tmpl w:val="6344848C"/>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1">
      <w:start w:val="1"/>
      <w:numFmt w:val="bullet"/>
      <w:lvlText w:val=""/>
      <w:lvlJc w:val="left"/>
      <w:pPr>
        <w:tabs>
          <w:tab w:val="num" w:pos="2508"/>
        </w:tabs>
        <w:ind w:left="2508" w:hanging="360"/>
      </w:pPr>
      <w:rPr>
        <w:rFonts w:ascii="Symbol" w:hAnsi="Symbol"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81">
    <w:nsid w:val="436F4D23"/>
    <w:multiLevelType w:val="hybridMultilevel"/>
    <w:tmpl w:val="0254A034"/>
    <w:lvl w:ilvl="0" w:tplc="080A000F">
      <w:start w:val="1"/>
      <w:numFmt w:val="decimal"/>
      <w:lvlText w:val="%1."/>
      <w:lvlJc w:val="left"/>
      <w:pPr>
        <w:tabs>
          <w:tab w:val="num" w:pos="360"/>
        </w:tabs>
        <w:ind w:left="360" w:hanging="360"/>
      </w:pPr>
    </w:lvl>
    <w:lvl w:ilvl="1" w:tplc="DCDC94AC">
      <w:numFmt w:val="bullet"/>
      <w:lvlText w:val="-"/>
      <w:lvlJc w:val="left"/>
      <w:pPr>
        <w:tabs>
          <w:tab w:val="num" w:pos="1080"/>
        </w:tabs>
        <w:ind w:left="1080" w:hanging="360"/>
      </w:pPr>
      <w:rPr>
        <w:rFonts w:ascii="Arial" w:eastAsia="Times New Roman" w:hAnsi="Arial" w:cs="Arial" w:hint="default"/>
      </w:rPr>
    </w:lvl>
    <w:lvl w:ilvl="2" w:tplc="44665130">
      <w:start w:val="1"/>
      <w:numFmt w:val="upperRoman"/>
      <w:lvlText w:val="%3."/>
      <w:lvlJc w:val="left"/>
      <w:pPr>
        <w:tabs>
          <w:tab w:val="num" w:pos="2340"/>
        </w:tabs>
        <w:ind w:left="2340" w:hanging="720"/>
      </w:pPr>
      <w:rPr>
        <w:rFonts w:hint="default"/>
      </w:rPr>
    </w:lvl>
    <w:lvl w:ilvl="3" w:tplc="5B00A8B0">
      <w:start w:val="6"/>
      <w:numFmt w:val="lowerLetter"/>
      <w:lvlText w:val="%4)"/>
      <w:lvlJc w:val="left"/>
      <w:pPr>
        <w:tabs>
          <w:tab w:val="num" w:pos="2520"/>
        </w:tabs>
        <w:ind w:left="2520" w:hanging="360"/>
      </w:pPr>
      <w:rPr>
        <w:rFonts w:hint="default"/>
      </w:r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282">
    <w:nsid w:val="43CA4F68"/>
    <w:multiLevelType w:val="hybridMultilevel"/>
    <w:tmpl w:val="03FC4FC2"/>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83">
    <w:nsid w:val="44B7517B"/>
    <w:multiLevelType w:val="hybridMultilevel"/>
    <w:tmpl w:val="33DA81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4">
    <w:nsid w:val="44C31D1A"/>
    <w:multiLevelType w:val="hybridMultilevel"/>
    <w:tmpl w:val="470AA744"/>
    <w:lvl w:ilvl="0" w:tplc="04190001">
      <w:start w:val="1"/>
      <w:numFmt w:val="bullet"/>
      <w:lvlText w:val=""/>
      <w:lvlJc w:val="left"/>
      <w:pPr>
        <w:tabs>
          <w:tab w:val="num" w:pos="1068"/>
        </w:tabs>
        <w:ind w:left="1068" w:hanging="360"/>
      </w:pPr>
      <w:rPr>
        <w:rFonts w:ascii="Symbol" w:hAnsi="Symbol" w:hint="default"/>
      </w:rPr>
    </w:lvl>
    <w:lvl w:ilvl="1" w:tplc="04190001">
      <w:start w:val="1"/>
      <w:numFmt w:val="bullet"/>
      <w:lvlText w:val=""/>
      <w:lvlJc w:val="left"/>
      <w:pPr>
        <w:tabs>
          <w:tab w:val="num" w:pos="1788"/>
        </w:tabs>
        <w:ind w:left="1788" w:hanging="360"/>
      </w:pPr>
      <w:rPr>
        <w:rFonts w:ascii="Symbol" w:hAnsi="Symbol" w:hint="default"/>
      </w:rPr>
    </w:lvl>
    <w:lvl w:ilvl="2" w:tplc="0419001B">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85">
    <w:nsid w:val="44F07972"/>
    <w:multiLevelType w:val="multilevel"/>
    <w:tmpl w:val="71262E50"/>
    <w:lvl w:ilvl="0">
      <w:start w:val="1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6">
    <w:nsid w:val="46766BA1"/>
    <w:multiLevelType w:val="hybridMultilevel"/>
    <w:tmpl w:val="C1D0DC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7">
    <w:nsid w:val="46A15F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8">
    <w:nsid w:val="46AA20C3"/>
    <w:multiLevelType w:val="multilevel"/>
    <w:tmpl w:val="71262E50"/>
    <w:lvl w:ilvl="0">
      <w:start w:val="1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9">
    <w:nsid w:val="46EB617F"/>
    <w:multiLevelType w:val="hybridMultilevel"/>
    <w:tmpl w:val="45D2F7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0">
    <w:nsid w:val="47427B4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1">
    <w:nsid w:val="47874D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2">
    <w:nsid w:val="478A45B1"/>
    <w:multiLevelType w:val="hybridMultilevel"/>
    <w:tmpl w:val="D47C0F1A"/>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93">
    <w:nsid w:val="47DB66A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4">
    <w:nsid w:val="480B04C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5">
    <w:nsid w:val="4860589A"/>
    <w:multiLevelType w:val="multilevel"/>
    <w:tmpl w:val="ACE4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nsid w:val="48826B15"/>
    <w:multiLevelType w:val="hybridMultilevel"/>
    <w:tmpl w:val="BCC437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7">
    <w:nsid w:val="490D46FA"/>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98">
    <w:nsid w:val="490E646D"/>
    <w:multiLevelType w:val="hybridMultilevel"/>
    <w:tmpl w:val="4928D76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99">
    <w:nsid w:val="49505429"/>
    <w:multiLevelType w:val="hybridMultilevel"/>
    <w:tmpl w:val="C368F34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0">
    <w:nsid w:val="49BE36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1">
    <w:nsid w:val="4A7F204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2">
    <w:nsid w:val="4B276C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3">
    <w:nsid w:val="4C25663C"/>
    <w:multiLevelType w:val="hybridMultilevel"/>
    <w:tmpl w:val="BDCEFFCE"/>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304">
    <w:nsid w:val="4C371835"/>
    <w:multiLevelType w:val="hybridMultilevel"/>
    <w:tmpl w:val="D92ABCFE"/>
    <w:lvl w:ilvl="0" w:tplc="04190005">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305">
    <w:nsid w:val="4CA47543"/>
    <w:multiLevelType w:val="hybridMultilevel"/>
    <w:tmpl w:val="A176D1E2"/>
    <w:lvl w:ilvl="0" w:tplc="FFFFFFFF">
      <w:start w:val="1"/>
      <w:numFmt w:val="bullet"/>
      <w:lvlText w:val=""/>
      <w:lvlJc w:val="left"/>
      <w:pPr>
        <w:tabs>
          <w:tab w:val="num" w:pos="397"/>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6">
    <w:nsid w:val="4CC440F4"/>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07">
    <w:nsid w:val="4CF17ED2"/>
    <w:multiLevelType w:val="hybridMultilevel"/>
    <w:tmpl w:val="043CCBD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72"/>
        </w:tabs>
        <w:ind w:left="372" w:hanging="360"/>
      </w:pPr>
      <w:rPr>
        <w:rFonts w:ascii="Courier New" w:hAnsi="Courier New" w:cs="Tahoma" w:hint="default"/>
      </w:rPr>
    </w:lvl>
    <w:lvl w:ilvl="2" w:tplc="FFFFFFFF" w:tentative="1">
      <w:start w:val="1"/>
      <w:numFmt w:val="bullet"/>
      <w:lvlText w:val=""/>
      <w:lvlJc w:val="left"/>
      <w:pPr>
        <w:tabs>
          <w:tab w:val="num" w:pos="1092"/>
        </w:tabs>
        <w:ind w:left="1092" w:hanging="360"/>
      </w:pPr>
      <w:rPr>
        <w:rFonts w:ascii="Wingdings" w:hAnsi="Wingdings" w:hint="default"/>
      </w:rPr>
    </w:lvl>
    <w:lvl w:ilvl="3" w:tplc="FFFFFFFF" w:tentative="1">
      <w:start w:val="1"/>
      <w:numFmt w:val="bullet"/>
      <w:lvlText w:val=""/>
      <w:lvlJc w:val="left"/>
      <w:pPr>
        <w:tabs>
          <w:tab w:val="num" w:pos="1812"/>
        </w:tabs>
        <w:ind w:left="1812" w:hanging="360"/>
      </w:pPr>
      <w:rPr>
        <w:rFonts w:ascii="Symbol" w:hAnsi="Symbol" w:hint="default"/>
      </w:rPr>
    </w:lvl>
    <w:lvl w:ilvl="4" w:tplc="FFFFFFFF" w:tentative="1">
      <w:start w:val="1"/>
      <w:numFmt w:val="bullet"/>
      <w:lvlText w:val="o"/>
      <w:lvlJc w:val="left"/>
      <w:pPr>
        <w:tabs>
          <w:tab w:val="num" w:pos="2532"/>
        </w:tabs>
        <w:ind w:left="2532" w:hanging="360"/>
      </w:pPr>
      <w:rPr>
        <w:rFonts w:ascii="Courier New" w:hAnsi="Courier New" w:cs="Tahoma" w:hint="default"/>
      </w:rPr>
    </w:lvl>
    <w:lvl w:ilvl="5" w:tplc="FFFFFFFF" w:tentative="1">
      <w:start w:val="1"/>
      <w:numFmt w:val="bullet"/>
      <w:lvlText w:val=""/>
      <w:lvlJc w:val="left"/>
      <w:pPr>
        <w:tabs>
          <w:tab w:val="num" w:pos="3252"/>
        </w:tabs>
        <w:ind w:left="3252" w:hanging="360"/>
      </w:pPr>
      <w:rPr>
        <w:rFonts w:ascii="Wingdings" w:hAnsi="Wingdings" w:hint="default"/>
      </w:rPr>
    </w:lvl>
    <w:lvl w:ilvl="6" w:tplc="FFFFFFFF" w:tentative="1">
      <w:start w:val="1"/>
      <w:numFmt w:val="bullet"/>
      <w:lvlText w:val=""/>
      <w:lvlJc w:val="left"/>
      <w:pPr>
        <w:tabs>
          <w:tab w:val="num" w:pos="3972"/>
        </w:tabs>
        <w:ind w:left="3972" w:hanging="360"/>
      </w:pPr>
      <w:rPr>
        <w:rFonts w:ascii="Symbol" w:hAnsi="Symbol" w:hint="default"/>
      </w:rPr>
    </w:lvl>
    <w:lvl w:ilvl="7" w:tplc="FFFFFFFF" w:tentative="1">
      <w:start w:val="1"/>
      <w:numFmt w:val="bullet"/>
      <w:lvlText w:val="o"/>
      <w:lvlJc w:val="left"/>
      <w:pPr>
        <w:tabs>
          <w:tab w:val="num" w:pos="4692"/>
        </w:tabs>
        <w:ind w:left="4692" w:hanging="360"/>
      </w:pPr>
      <w:rPr>
        <w:rFonts w:ascii="Courier New" w:hAnsi="Courier New" w:cs="Tahoma" w:hint="default"/>
      </w:rPr>
    </w:lvl>
    <w:lvl w:ilvl="8" w:tplc="FFFFFFFF" w:tentative="1">
      <w:start w:val="1"/>
      <w:numFmt w:val="bullet"/>
      <w:lvlText w:val=""/>
      <w:lvlJc w:val="left"/>
      <w:pPr>
        <w:tabs>
          <w:tab w:val="num" w:pos="5412"/>
        </w:tabs>
        <w:ind w:left="5412" w:hanging="360"/>
      </w:pPr>
      <w:rPr>
        <w:rFonts w:ascii="Wingdings" w:hAnsi="Wingdings" w:hint="default"/>
      </w:rPr>
    </w:lvl>
  </w:abstractNum>
  <w:abstractNum w:abstractNumId="308">
    <w:nsid w:val="4D0509B7"/>
    <w:multiLevelType w:val="hybridMultilevel"/>
    <w:tmpl w:val="0D96B942"/>
    <w:lvl w:ilvl="0" w:tplc="0C0A000F">
      <w:start w:val="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9">
    <w:nsid w:val="4D27216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0">
    <w:nsid w:val="4D9B7F15"/>
    <w:multiLevelType w:val="hybridMultilevel"/>
    <w:tmpl w:val="1E668C8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11">
    <w:nsid w:val="4DA15F44"/>
    <w:multiLevelType w:val="hybridMultilevel"/>
    <w:tmpl w:val="21CC0484"/>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12">
    <w:nsid w:val="4DAD306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3">
    <w:nsid w:val="4DCF33EF"/>
    <w:multiLevelType w:val="hybridMultilevel"/>
    <w:tmpl w:val="3A506A1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ahoma"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ahoma"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ahoma"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14">
    <w:nsid w:val="4DF91313"/>
    <w:multiLevelType w:val="hybridMultilevel"/>
    <w:tmpl w:val="6256E7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15">
    <w:nsid w:val="4E1D7E39"/>
    <w:multiLevelType w:val="hybridMultilevel"/>
    <w:tmpl w:val="615441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6">
    <w:nsid w:val="4E1E0B3B"/>
    <w:multiLevelType w:val="hybridMultilevel"/>
    <w:tmpl w:val="0F4AFAA0"/>
    <w:lvl w:ilvl="0" w:tplc="99A62520">
      <w:start w:val="4"/>
      <w:numFmt w:val="decimal"/>
      <w:lvlText w:val="%1."/>
      <w:lvlJc w:val="left"/>
      <w:pPr>
        <w:tabs>
          <w:tab w:val="num" w:pos="720"/>
        </w:tabs>
        <w:ind w:left="71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7">
    <w:nsid w:val="4E9C0A27"/>
    <w:multiLevelType w:val="hybridMultilevel"/>
    <w:tmpl w:val="38F0D678"/>
    <w:lvl w:ilvl="0" w:tplc="DAA6B93A">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8">
    <w:nsid w:val="4F02532B"/>
    <w:multiLevelType w:val="hybridMultilevel"/>
    <w:tmpl w:val="E1FE80D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19">
    <w:nsid w:val="4F233E5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0">
    <w:nsid w:val="4F640149"/>
    <w:multiLevelType w:val="hybridMultilevel"/>
    <w:tmpl w:val="05388FF8"/>
    <w:lvl w:ilvl="0" w:tplc="FFFFFFFF">
      <w:start w:val="1"/>
      <w:numFmt w:val="bullet"/>
      <w:lvlText w:val=""/>
      <w:lvlJc w:val="left"/>
      <w:pPr>
        <w:tabs>
          <w:tab w:val="num" w:pos="1068"/>
        </w:tabs>
        <w:ind w:left="1068" w:hanging="360"/>
      </w:pPr>
      <w:rPr>
        <w:rFonts w:ascii="Wingdings" w:hAnsi="Wingdings" w:hint="default"/>
      </w:rPr>
    </w:lvl>
    <w:lvl w:ilvl="1" w:tplc="FFFFFFFF" w:tentative="1">
      <w:start w:val="1"/>
      <w:numFmt w:val="bullet"/>
      <w:lvlText w:val="o"/>
      <w:lvlJc w:val="left"/>
      <w:pPr>
        <w:tabs>
          <w:tab w:val="num" w:pos="348"/>
        </w:tabs>
        <w:ind w:left="348" w:hanging="360"/>
      </w:pPr>
      <w:rPr>
        <w:rFonts w:ascii="Courier New" w:hAnsi="Courier New" w:hint="default"/>
      </w:rPr>
    </w:lvl>
    <w:lvl w:ilvl="2" w:tplc="FFFFFFFF" w:tentative="1">
      <w:start w:val="1"/>
      <w:numFmt w:val="bullet"/>
      <w:lvlText w:val=""/>
      <w:lvlJc w:val="left"/>
      <w:pPr>
        <w:tabs>
          <w:tab w:val="num" w:pos="1068"/>
        </w:tabs>
        <w:ind w:left="1068" w:hanging="360"/>
      </w:pPr>
      <w:rPr>
        <w:rFonts w:ascii="Wingdings" w:hAnsi="Wingdings" w:hint="default"/>
      </w:rPr>
    </w:lvl>
    <w:lvl w:ilvl="3" w:tplc="FFFFFFFF" w:tentative="1">
      <w:start w:val="1"/>
      <w:numFmt w:val="bullet"/>
      <w:lvlText w:val=""/>
      <w:lvlJc w:val="left"/>
      <w:pPr>
        <w:tabs>
          <w:tab w:val="num" w:pos="1788"/>
        </w:tabs>
        <w:ind w:left="1788" w:hanging="360"/>
      </w:pPr>
      <w:rPr>
        <w:rFonts w:ascii="Symbol" w:hAnsi="Symbol" w:hint="default"/>
      </w:rPr>
    </w:lvl>
    <w:lvl w:ilvl="4" w:tplc="FFFFFFFF" w:tentative="1">
      <w:start w:val="1"/>
      <w:numFmt w:val="bullet"/>
      <w:lvlText w:val="o"/>
      <w:lvlJc w:val="left"/>
      <w:pPr>
        <w:tabs>
          <w:tab w:val="num" w:pos="2508"/>
        </w:tabs>
        <w:ind w:left="2508" w:hanging="360"/>
      </w:pPr>
      <w:rPr>
        <w:rFonts w:ascii="Courier New" w:hAnsi="Courier New" w:hint="default"/>
      </w:rPr>
    </w:lvl>
    <w:lvl w:ilvl="5" w:tplc="FFFFFFFF" w:tentative="1">
      <w:start w:val="1"/>
      <w:numFmt w:val="bullet"/>
      <w:lvlText w:val=""/>
      <w:lvlJc w:val="left"/>
      <w:pPr>
        <w:tabs>
          <w:tab w:val="num" w:pos="3228"/>
        </w:tabs>
        <w:ind w:left="3228" w:hanging="360"/>
      </w:pPr>
      <w:rPr>
        <w:rFonts w:ascii="Wingdings" w:hAnsi="Wingdings" w:hint="default"/>
      </w:rPr>
    </w:lvl>
    <w:lvl w:ilvl="6" w:tplc="FFFFFFFF" w:tentative="1">
      <w:start w:val="1"/>
      <w:numFmt w:val="bullet"/>
      <w:lvlText w:val=""/>
      <w:lvlJc w:val="left"/>
      <w:pPr>
        <w:tabs>
          <w:tab w:val="num" w:pos="3948"/>
        </w:tabs>
        <w:ind w:left="3948" w:hanging="360"/>
      </w:pPr>
      <w:rPr>
        <w:rFonts w:ascii="Symbol" w:hAnsi="Symbol" w:hint="default"/>
      </w:rPr>
    </w:lvl>
    <w:lvl w:ilvl="7" w:tplc="FFFFFFFF" w:tentative="1">
      <w:start w:val="1"/>
      <w:numFmt w:val="bullet"/>
      <w:lvlText w:val="o"/>
      <w:lvlJc w:val="left"/>
      <w:pPr>
        <w:tabs>
          <w:tab w:val="num" w:pos="4668"/>
        </w:tabs>
        <w:ind w:left="4668" w:hanging="360"/>
      </w:pPr>
      <w:rPr>
        <w:rFonts w:ascii="Courier New" w:hAnsi="Courier New" w:hint="default"/>
      </w:rPr>
    </w:lvl>
    <w:lvl w:ilvl="8" w:tplc="FFFFFFFF" w:tentative="1">
      <w:start w:val="1"/>
      <w:numFmt w:val="bullet"/>
      <w:lvlText w:val=""/>
      <w:lvlJc w:val="left"/>
      <w:pPr>
        <w:tabs>
          <w:tab w:val="num" w:pos="5388"/>
        </w:tabs>
        <w:ind w:left="5388" w:hanging="360"/>
      </w:pPr>
      <w:rPr>
        <w:rFonts w:ascii="Wingdings" w:hAnsi="Wingdings" w:hint="default"/>
      </w:rPr>
    </w:lvl>
  </w:abstractNum>
  <w:abstractNum w:abstractNumId="321">
    <w:nsid w:val="4FCE6B00"/>
    <w:multiLevelType w:val="hybridMultilevel"/>
    <w:tmpl w:val="71262E50"/>
    <w:lvl w:ilvl="0" w:tplc="8690BB3C">
      <w:start w:val="1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2">
    <w:nsid w:val="4FE41F81"/>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323">
    <w:nsid w:val="501741CC"/>
    <w:multiLevelType w:val="hybridMultilevel"/>
    <w:tmpl w:val="DB1C7F4A"/>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4">
    <w:nsid w:val="50354A04"/>
    <w:multiLevelType w:val="hybridMultilevel"/>
    <w:tmpl w:val="97DC54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5">
    <w:nsid w:val="50A45D88"/>
    <w:multiLevelType w:val="hybridMultilevel"/>
    <w:tmpl w:val="FF54D10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6">
    <w:nsid w:val="50A75C0A"/>
    <w:multiLevelType w:val="hybridMultilevel"/>
    <w:tmpl w:val="70F27216"/>
    <w:lvl w:ilvl="0" w:tplc="04190013">
      <w:start w:val="1"/>
      <w:numFmt w:val="upperRoman"/>
      <w:lvlText w:val="%1."/>
      <w:lvlJc w:val="right"/>
      <w:pPr>
        <w:tabs>
          <w:tab w:val="num" w:pos="1068"/>
        </w:tabs>
        <w:ind w:left="1068" w:hanging="180"/>
      </w:pPr>
      <w:rPr>
        <w:rFonts w:hint="default"/>
      </w:rPr>
    </w:lvl>
    <w:lvl w:ilvl="1" w:tplc="04190003" w:tentative="1">
      <w:start w:val="1"/>
      <w:numFmt w:val="bullet"/>
      <w:lvlText w:val="o"/>
      <w:lvlJc w:val="left"/>
      <w:pPr>
        <w:tabs>
          <w:tab w:val="num" w:pos="1968"/>
        </w:tabs>
        <w:ind w:left="1968" w:hanging="360"/>
      </w:pPr>
      <w:rPr>
        <w:rFonts w:ascii="Courier New" w:hAnsi="Courier New" w:cs="Courier New" w:hint="default"/>
      </w:rPr>
    </w:lvl>
    <w:lvl w:ilvl="2" w:tplc="04190005" w:tentative="1">
      <w:start w:val="1"/>
      <w:numFmt w:val="bullet"/>
      <w:lvlText w:val=""/>
      <w:lvlJc w:val="left"/>
      <w:pPr>
        <w:tabs>
          <w:tab w:val="num" w:pos="2688"/>
        </w:tabs>
        <w:ind w:left="2688" w:hanging="360"/>
      </w:pPr>
      <w:rPr>
        <w:rFonts w:ascii="Wingdings" w:hAnsi="Wingdings" w:hint="default"/>
      </w:rPr>
    </w:lvl>
    <w:lvl w:ilvl="3" w:tplc="04190001" w:tentative="1">
      <w:start w:val="1"/>
      <w:numFmt w:val="bullet"/>
      <w:lvlText w:val=""/>
      <w:lvlJc w:val="left"/>
      <w:pPr>
        <w:tabs>
          <w:tab w:val="num" w:pos="3408"/>
        </w:tabs>
        <w:ind w:left="3408" w:hanging="360"/>
      </w:pPr>
      <w:rPr>
        <w:rFonts w:ascii="Symbol" w:hAnsi="Symbol" w:hint="default"/>
      </w:rPr>
    </w:lvl>
    <w:lvl w:ilvl="4" w:tplc="04190003" w:tentative="1">
      <w:start w:val="1"/>
      <w:numFmt w:val="bullet"/>
      <w:lvlText w:val="o"/>
      <w:lvlJc w:val="left"/>
      <w:pPr>
        <w:tabs>
          <w:tab w:val="num" w:pos="4128"/>
        </w:tabs>
        <w:ind w:left="4128" w:hanging="360"/>
      </w:pPr>
      <w:rPr>
        <w:rFonts w:ascii="Courier New" w:hAnsi="Courier New" w:cs="Courier New" w:hint="default"/>
      </w:rPr>
    </w:lvl>
    <w:lvl w:ilvl="5" w:tplc="04190005" w:tentative="1">
      <w:start w:val="1"/>
      <w:numFmt w:val="bullet"/>
      <w:lvlText w:val=""/>
      <w:lvlJc w:val="left"/>
      <w:pPr>
        <w:tabs>
          <w:tab w:val="num" w:pos="4848"/>
        </w:tabs>
        <w:ind w:left="4848" w:hanging="360"/>
      </w:pPr>
      <w:rPr>
        <w:rFonts w:ascii="Wingdings" w:hAnsi="Wingdings" w:hint="default"/>
      </w:rPr>
    </w:lvl>
    <w:lvl w:ilvl="6" w:tplc="04190001" w:tentative="1">
      <w:start w:val="1"/>
      <w:numFmt w:val="bullet"/>
      <w:lvlText w:val=""/>
      <w:lvlJc w:val="left"/>
      <w:pPr>
        <w:tabs>
          <w:tab w:val="num" w:pos="5568"/>
        </w:tabs>
        <w:ind w:left="5568" w:hanging="360"/>
      </w:pPr>
      <w:rPr>
        <w:rFonts w:ascii="Symbol" w:hAnsi="Symbol" w:hint="default"/>
      </w:rPr>
    </w:lvl>
    <w:lvl w:ilvl="7" w:tplc="04190003" w:tentative="1">
      <w:start w:val="1"/>
      <w:numFmt w:val="bullet"/>
      <w:lvlText w:val="o"/>
      <w:lvlJc w:val="left"/>
      <w:pPr>
        <w:tabs>
          <w:tab w:val="num" w:pos="6288"/>
        </w:tabs>
        <w:ind w:left="6288" w:hanging="360"/>
      </w:pPr>
      <w:rPr>
        <w:rFonts w:ascii="Courier New" w:hAnsi="Courier New" w:cs="Courier New" w:hint="default"/>
      </w:rPr>
    </w:lvl>
    <w:lvl w:ilvl="8" w:tplc="04190005" w:tentative="1">
      <w:start w:val="1"/>
      <w:numFmt w:val="bullet"/>
      <w:lvlText w:val=""/>
      <w:lvlJc w:val="left"/>
      <w:pPr>
        <w:tabs>
          <w:tab w:val="num" w:pos="7008"/>
        </w:tabs>
        <w:ind w:left="7008" w:hanging="360"/>
      </w:pPr>
      <w:rPr>
        <w:rFonts w:ascii="Wingdings" w:hAnsi="Wingdings" w:hint="default"/>
      </w:rPr>
    </w:lvl>
  </w:abstractNum>
  <w:abstractNum w:abstractNumId="327">
    <w:nsid w:val="50E6478E"/>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328">
    <w:nsid w:val="51016A71"/>
    <w:multiLevelType w:val="hybridMultilevel"/>
    <w:tmpl w:val="9B36F6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9">
    <w:nsid w:val="51346B4E"/>
    <w:multiLevelType w:val="hybridMultilevel"/>
    <w:tmpl w:val="B636CC9E"/>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330">
    <w:nsid w:val="51514BC8"/>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1">
    <w:nsid w:val="516B4CE4"/>
    <w:multiLevelType w:val="multilevel"/>
    <w:tmpl w:val="0C94E260"/>
    <w:lvl w:ilvl="0">
      <w:start w:val="419"/>
      <w:numFmt w:val="decimal"/>
      <w:lvlText w:val="%1."/>
      <w:lvlJc w:val="left"/>
      <w:pPr>
        <w:tabs>
          <w:tab w:val="num" w:pos="780"/>
        </w:tabs>
        <w:ind w:left="780" w:hanging="4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2">
    <w:nsid w:val="51B974BC"/>
    <w:multiLevelType w:val="hybridMultilevel"/>
    <w:tmpl w:val="25D005D0"/>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3">
    <w:nsid w:val="51E517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4">
    <w:nsid w:val="51F02003"/>
    <w:multiLevelType w:val="hybridMultilevel"/>
    <w:tmpl w:val="AD0425B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35">
    <w:nsid w:val="521E1146"/>
    <w:multiLevelType w:val="hybridMultilevel"/>
    <w:tmpl w:val="B4EC405A"/>
    <w:lvl w:ilvl="0" w:tplc="FFFFFFFF">
      <w:start w:val="1"/>
      <w:numFmt w:val="bullet"/>
      <w:lvlText w:val=""/>
      <w:lvlJc w:val="left"/>
      <w:pPr>
        <w:tabs>
          <w:tab w:val="num" w:pos="1068"/>
        </w:tabs>
        <w:ind w:left="1068" w:hanging="360"/>
      </w:pPr>
      <w:rPr>
        <w:rFonts w:ascii="Wingdings" w:hAnsi="Wingdings" w:hint="default"/>
      </w:rPr>
    </w:lvl>
    <w:lvl w:ilvl="1" w:tplc="FFFFFFFF">
      <w:start w:val="1"/>
      <w:numFmt w:val="bullet"/>
      <w:lvlText w:val="o"/>
      <w:lvlJc w:val="left"/>
      <w:pPr>
        <w:tabs>
          <w:tab w:val="num" w:pos="348"/>
        </w:tabs>
        <w:ind w:left="348" w:hanging="360"/>
      </w:pPr>
      <w:rPr>
        <w:rFonts w:ascii="Courier New" w:hAnsi="Courier New" w:hint="default"/>
      </w:rPr>
    </w:lvl>
    <w:lvl w:ilvl="2" w:tplc="FFFFFFFF">
      <w:start w:val="1"/>
      <w:numFmt w:val="bullet"/>
      <w:lvlText w:val=""/>
      <w:lvlJc w:val="left"/>
      <w:pPr>
        <w:tabs>
          <w:tab w:val="num" w:pos="1068"/>
        </w:tabs>
        <w:ind w:left="1068" w:hanging="360"/>
      </w:pPr>
      <w:rPr>
        <w:rFonts w:ascii="Wingdings" w:hAnsi="Wingdings" w:hint="default"/>
      </w:rPr>
    </w:lvl>
    <w:lvl w:ilvl="3" w:tplc="FFFFFFFF">
      <w:start w:val="1"/>
      <w:numFmt w:val="bullet"/>
      <w:lvlText w:val=""/>
      <w:lvlJc w:val="left"/>
      <w:pPr>
        <w:tabs>
          <w:tab w:val="num" w:pos="1788"/>
        </w:tabs>
        <w:ind w:left="1788" w:hanging="360"/>
      </w:pPr>
      <w:rPr>
        <w:rFonts w:ascii="Symbol" w:hAnsi="Symbol" w:hint="default"/>
      </w:rPr>
    </w:lvl>
    <w:lvl w:ilvl="4" w:tplc="FFFFFFFF" w:tentative="1">
      <w:start w:val="1"/>
      <w:numFmt w:val="bullet"/>
      <w:lvlText w:val="o"/>
      <w:lvlJc w:val="left"/>
      <w:pPr>
        <w:tabs>
          <w:tab w:val="num" w:pos="2508"/>
        </w:tabs>
        <w:ind w:left="2508" w:hanging="360"/>
      </w:pPr>
      <w:rPr>
        <w:rFonts w:ascii="Courier New" w:hAnsi="Courier New" w:hint="default"/>
      </w:rPr>
    </w:lvl>
    <w:lvl w:ilvl="5" w:tplc="FFFFFFFF" w:tentative="1">
      <w:start w:val="1"/>
      <w:numFmt w:val="bullet"/>
      <w:lvlText w:val=""/>
      <w:lvlJc w:val="left"/>
      <w:pPr>
        <w:tabs>
          <w:tab w:val="num" w:pos="3228"/>
        </w:tabs>
        <w:ind w:left="3228" w:hanging="360"/>
      </w:pPr>
      <w:rPr>
        <w:rFonts w:ascii="Wingdings" w:hAnsi="Wingdings" w:hint="default"/>
      </w:rPr>
    </w:lvl>
    <w:lvl w:ilvl="6" w:tplc="FFFFFFFF" w:tentative="1">
      <w:start w:val="1"/>
      <w:numFmt w:val="bullet"/>
      <w:lvlText w:val=""/>
      <w:lvlJc w:val="left"/>
      <w:pPr>
        <w:tabs>
          <w:tab w:val="num" w:pos="3948"/>
        </w:tabs>
        <w:ind w:left="3948" w:hanging="360"/>
      </w:pPr>
      <w:rPr>
        <w:rFonts w:ascii="Symbol" w:hAnsi="Symbol" w:hint="default"/>
      </w:rPr>
    </w:lvl>
    <w:lvl w:ilvl="7" w:tplc="FFFFFFFF" w:tentative="1">
      <w:start w:val="1"/>
      <w:numFmt w:val="bullet"/>
      <w:lvlText w:val="o"/>
      <w:lvlJc w:val="left"/>
      <w:pPr>
        <w:tabs>
          <w:tab w:val="num" w:pos="4668"/>
        </w:tabs>
        <w:ind w:left="4668" w:hanging="360"/>
      </w:pPr>
      <w:rPr>
        <w:rFonts w:ascii="Courier New" w:hAnsi="Courier New" w:hint="default"/>
      </w:rPr>
    </w:lvl>
    <w:lvl w:ilvl="8" w:tplc="FFFFFFFF" w:tentative="1">
      <w:start w:val="1"/>
      <w:numFmt w:val="bullet"/>
      <w:lvlText w:val=""/>
      <w:lvlJc w:val="left"/>
      <w:pPr>
        <w:tabs>
          <w:tab w:val="num" w:pos="5388"/>
        </w:tabs>
        <w:ind w:left="5388" w:hanging="360"/>
      </w:pPr>
      <w:rPr>
        <w:rFonts w:ascii="Wingdings" w:hAnsi="Wingdings" w:hint="default"/>
      </w:rPr>
    </w:lvl>
  </w:abstractNum>
  <w:abstractNum w:abstractNumId="336">
    <w:nsid w:val="5226315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7">
    <w:nsid w:val="5268388C"/>
    <w:multiLevelType w:val="hybridMultilevel"/>
    <w:tmpl w:val="151ACB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8">
    <w:nsid w:val="52B81727"/>
    <w:multiLevelType w:val="hybridMultilevel"/>
    <w:tmpl w:val="FB28BCB0"/>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39">
    <w:nsid w:val="52BF2D2B"/>
    <w:multiLevelType w:val="hybridMultilevel"/>
    <w:tmpl w:val="0C2C398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40">
    <w:nsid w:val="53151317"/>
    <w:multiLevelType w:val="hybridMultilevel"/>
    <w:tmpl w:val="176E2FD4"/>
    <w:lvl w:ilvl="0" w:tplc="FFFFFFFF">
      <w:start w:val="1"/>
      <w:numFmt w:val="bullet"/>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cs="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cs="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cs="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341">
    <w:nsid w:val="534F4AB4"/>
    <w:multiLevelType w:val="hybridMultilevel"/>
    <w:tmpl w:val="360E0540"/>
    <w:lvl w:ilvl="0" w:tplc="CC5C7ED4">
      <w:start w:val="1"/>
      <w:numFmt w:val="bullet"/>
      <w:lvlText w:val=""/>
      <w:lvlJc w:val="left"/>
      <w:pPr>
        <w:tabs>
          <w:tab w:val="num" w:pos="1315"/>
        </w:tabs>
        <w:ind w:left="1315" w:hanging="567"/>
      </w:pPr>
      <w:rPr>
        <w:rFonts w:ascii="Wingdings" w:hAnsi="Wingdings" w:cs="Times New Roman" w:hint="default"/>
      </w:rPr>
    </w:lvl>
    <w:lvl w:ilvl="1" w:tplc="04190003" w:tentative="1">
      <w:start w:val="1"/>
      <w:numFmt w:val="bullet"/>
      <w:lvlText w:val="o"/>
      <w:lvlJc w:val="left"/>
      <w:pPr>
        <w:tabs>
          <w:tab w:val="num" w:pos="1621"/>
        </w:tabs>
        <w:ind w:left="1621" w:hanging="360"/>
      </w:pPr>
      <w:rPr>
        <w:rFonts w:ascii="Courier New" w:hAnsi="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342">
    <w:nsid w:val="538C5E92"/>
    <w:multiLevelType w:val="hybridMultilevel"/>
    <w:tmpl w:val="B8DEAFAA"/>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43">
    <w:nsid w:val="539261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4">
    <w:nsid w:val="53A774BB"/>
    <w:multiLevelType w:val="hybridMultilevel"/>
    <w:tmpl w:val="9ADEAF18"/>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5">
    <w:nsid w:val="53E545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6">
    <w:nsid w:val="53E66F55"/>
    <w:multiLevelType w:val="hybridMultilevel"/>
    <w:tmpl w:val="826AB04E"/>
    <w:lvl w:ilvl="0" w:tplc="0EEE11D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7">
    <w:nsid w:val="54143BD5"/>
    <w:multiLevelType w:val="hybridMultilevel"/>
    <w:tmpl w:val="F63843F2"/>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48">
    <w:nsid w:val="545B72FB"/>
    <w:multiLevelType w:val="hybridMultilevel"/>
    <w:tmpl w:val="C016A832"/>
    <w:lvl w:ilvl="0" w:tplc="2C72A0FC">
      <w:start w:val="3"/>
      <w:numFmt w:val="decimal"/>
      <w:lvlText w:val="%1."/>
      <w:lvlJc w:val="left"/>
      <w:pPr>
        <w:tabs>
          <w:tab w:val="num" w:pos="360"/>
        </w:tabs>
        <w:ind w:left="0" w:firstLine="0"/>
      </w:pPr>
      <w:rPr>
        <w:rFonts w:hint="default"/>
      </w:rPr>
    </w:lvl>
    <w:lvl w:ilvl="1" w:tplc="1CB6B486">
      <w:start w:val="1"/>
      <w:numFmt w:val="upp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9">
    <w:nsid w:val="5475434F"/>
    <w:multiLevelType w:val="hybridMultilevel"/>
    <w:tmpl w:val="D6AAB970"/>
    <w:lvl w:ilvl="0" w:tplc="04190001">
      <w:start w:val="1"/>
      <w:numFmt w:val="bullet"/>
      <w:lvlText w:val=""/>
      <w:lvlJc w:val="left"/>
      <w:pPr>
        <w:tabs>
          <w:tab w:val="num" w:pos="1289"/>
        </w:tabs>
        <w:ind w:left="1289" w:hanging="360"/>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350">
    <w:nsid w:val="548F3D63"/>
    <w:multiLevelType w:val="hybridMultilevel"/>
    <w:tmpl w:val="68E47728"/>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51">
    <w:nsid w:val="54D24FBB"/>
    <w:multiLevelType w:val="hybridMultilevel"/>
    <w:tmpl w:val="211E058A"/>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52">
    <w:nsid w:val="554F05EA"/>
    <w:multiLevelType w:val="hybridMultilevel"/>
    <w:tmpl w:val="489605B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3">
    <w:nsid w:val="55AB5304"/>
    <w:multiLevelType w:val="hybridMultilevel"/>
    <w:tmpl w:val="2DD8FE1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54">
    <w:nsid w:val="56617F87"/>
    <w:multiLevelType w:val="hybridMultilevel"/>
    <w:tmpl w:val="7BDACA32"/>
    <w:lvl w:ilvl="0" w:tplc="9070B828">
      <w:start w:val="1"/>
      <w:numFmt w:val="upperRoman"/>
      <w:lvlText w:val="%1."/>
      <w:lvlJc w:val="left"/>
      <w:pPr>
        <w:tabs>
          <w:tab w:val="num" w:pos="1800"/>
        </w:tabs>
        <w:ind w:left="1800" w:hanging="720"/>
      </w:pPr>
      <w:rPr>
        <w:rFonts w:hint="default"/>
      </w:rPr>
    </w:lvl>
    <w:lvl w:ilvl="1" w:tplc="0C0A0019">
      <w:start w:val="1"/>
      <w:numFmt w:val="lowerLetter"/>
      <w:lvlText w:val="%2."/>
      <w:lvlJc w:val="left"/>
      <w:pPr>
        <w:tabs>
          <w:tab w:val="num" w:pos="1440"/>
        </w:tabs>
        <w:ind w:left="1440" w:hanging="360"/>
      </w:pPr>
    </w:lvl>
    <w:lvl w:ilvl="2" w:tplc="B2F60A08">
      <w:start w:val="247"/>
      <w:numFmt w:val="decimal"/>
      <w:lvlText w:val="%3."/>
      <w:lvlJc w:val="left"/>
      <w:pPr>
        <w:tabs>
          <w:tab w:val="num" w:pos="2400"/>
        </w:tabs>
        <w:ind w:left="2400" w:hanging="420"/>
      </w:pPr>
      <w:rPr>
        <w:rFonts w:hint="default"/>
      </w:rPr>
    </w:lvl>
    <w:lvl w:ilvl="3" w:tplc="0C0A0005">
      <w:start w:val="1"/>
      <w:numFmt w:val="bullet"/>
      <w:lvlText w:val=""/>
      <w:lvlJc w:val="left"/>
      <w:pPr>
        <w:tabs>
          <w:tab w:val="num" w:pos="2880"/>
        </w:tabs>
        <w:ind w:left="2880" w:hanging="360"/>
      </w:pPr>
      <w:rPr>
        <w:rFonts w:ascii="Wingdings" w:hAnsi="Wingding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5">
    <w:nsid w:val="56FA0199"/>
    <w:multiLevelType w:val="hybridMultilevel"/>
    <w:tmpl w:val="D694902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56">
    <w:nsid w:val="573A1E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7">
    <w:nsid w:val="574B3114"/>
    <w:multiLevelType w:val="singleLevel"/>
    <w:tmpl w:val="17B83744"/>
    <w:lvl w:ilvl="0">
      <w:start w:val="1"/>
      <w:numFmt w:val="lowerLetter"/>
      <w:lvlText w:val="%1)"/>
      <w:lvlJc w:val="left"/>
      <w:pPr>
        <w:tabs>
          <w:tab w:val="num" w:pos="720"/>
        </w:tabs>
        <w:ind w:left="720" w:hanging="360"/>
      </w:pPr>
      <w:rPr>
        <w:rFonts w:hint="default"/>
      </w:rPr>
    </w:lvl>
  </w:abstractNum>
  <w:abstractNum w:abstractNumId="358">
    <w:nsid w:val="57D2592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359">
    <w:nsid w:val="57D67CD7"/>
    <w:multiLevelType w:val="hybridMultilevel"/>
    <w:tmpl w:val="DBC838C4"/>
    <w:lvl w:ilvl="0" w:tplc="95EE463E">
      <w:start w:val="3"/>
      <w:numFmt w:val="lowerRoman"/>
      <w:lvlText w:val="%1)"/>
      <w:lvlJc w:val="left"/>
      <w:pPr>
        <w:tabs>
          <w:tab w:val="num" w:pos="1077"/>
        </w:tabs>
        <w:ind w:left="1077" w:hanging="725"/>
      </w:pPr>
      <w:rPr>
        <w:rFonts w:hint="default"/>
      </w:rPr>
    </w:lvl>
    <w:lvl w:ilvl="1" w:tplc="0C0A0019">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60">
    <w:nsid w:val="58341204"/>
    <w:multiLevelType w:val="hybridMultilevel"/>
    <w:tmpl w:val="93F0E8E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1">
    <w:nsid w:val="585758C8"/>
    <w:multiLevelType w:val="hybridMultilevel"/>
    <w:tmpl w:val="E728AEC8"/>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2">
    <w:nsid w:val="58D81B84"/>
    <w:multiLevelType w:val="hybridMultilevel"/>
    <w:tmpl w:val="8B805688"/>
    <w:lvl w:ilvl="0" w:tplc="1456939C">
      <w:start w:val="252"/>
      <w:numFmt w:val="decimal"/>
      <w:lvlText w:val="%1."/>
      <w:lvlJc w:val="left"/>
      <w:pPr>
        <w:tabs>
          <w:tab w:val="num" w:pos="780"/>
        </w:tabs>
        <w:ind w:left="780" w:hanging="420"/>
      </w:pPr>
      <w:rPr>
        <w:rFonts w:ascii="Arial" w:hAnsi="Arial" w:cs="Arial"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3">
    <w:nsid w:val="59391F0F"/>
    <w:multiLevelType w:val="hybridMultilevel"/>
    <w:tmpl w:val="707A7A02"/>
    <w:lvl w:ilvl="0" w:tplc="DCDC94AC">
      <w:numFmt w:val="bullet"/>
      <w:lvlText w:val="-"/>
      <w:lvlJc w:val="left"/>
      <w:pPr>
        <w:tabs>
          <w:tab w:val="num" w:pos="720"/>
        </w:tabs>
        <w:ind w:left="720" w:hanging="360"/>
      </w:pPr>
      <w:rPr>
        <w:rFonts w:ascii="Arial" w:eastAsia="Times New Roman" w:hAnsi="Arial" w:cs="Aria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64">
    <w:nsid w:val="598D37D0"/>
    <w:multiLevelType w:val="multilevel"/>
    <w:tmpl w:val="E0C44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nsid w:val="59A84AB2"/>
    <w:multiLevelType w:val="hybridMultilevel"/>
    <w:tmpl w:val="8264A4B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66">
    <w:nsid w:val="59FD0C8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7">
    <w:nsid w:val="5A0E1CA7"/>
    <w:multiLevelType w:val="hybridMultilevel"/>
    <w:tmpl w:val="CAA469D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8">
    <w:nsid w:val="5A757B00"/>
    <w:multiLevelType w:val="multilevel"/>
    <w:tmpl w:val="E0C44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9">
    <w:nsid w:val="5AF119CB"/>
    <w:multiLevelType w:val="hybridMultilevel"/>
    <w:tmpl w:val="F58213C6"/>
    <w:lvl w:ilvl="0" w:tplc="04190015">
      <w:start w:val="1"/>
      <w:numFmt w:val="upperLetter"/>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70">
    <w:nsid w:val="5B272189"/>
    <w:multiLevelType w:val="hybridMultilevel"/>
    <w:tmpl w:val="13F27F54"/>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1">
    <w:nsid w:val="5B8A11E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372">
    <w:nsid w:val="5B91265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3">
    <w:nsid w:val="5BB61B74"/>
    <w:multiLevelType w:val="hybridMultilevel"/>
    <w:tmpl w:val="E61A08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4">
    <w:nsid w:val="5BE52A06"/>
    <w:multiLevelType w:val="hybridMultilevel"/>
    <w:tmpl w:val="11B810CC"/>
    <w:lvl w:ilvl="0" w:tplc="67D0233C">
      <w:start w:val="433"/>
      <w:numFmt w:val="decimal"/>
      <w:lvlText w:val="%1."/>
      <w:lvlJc w:val="left"/>
      <w:pPr>
        <w:tabs>
          <w:tab w:val="num" w:pos="825"/>
        </w:tabs>
        <w:ind w:left="825" w:hanging="465"/>
      </w:pPr>
      <w:rPr>
        <w:rFonts w:hint="default"/>
      </w:rPr>
    </w:lvl>
    <w:lvl w:ilvl="1" w:tplc="77AC9980">
      <w:start w:val="1"/>
      <w:numFmt w:val="bullet"/>
      <w:lvlText w:val=""/>
      <w:lvlJc w:val="left"/>
      <w:pPr>
        <w:tabs>
          <w:tab w:val="num" w:pos="1440"/>
        </w:tabs>
        <w:ind w:left="1440" w:hanging="360"/>
      </w:pPr>
      <w:rPr>
        <w:rFonts w:ascii="Symbol" w:hAnsi="Symbol" w:hint="default"/>
      </w:rPr>
    </w:lvl>
    <w:lvl w:ilvl="2" w:tplc="C10EDB46">
      <w:start w:val="2"/>
      <w:numFmt w:val="upp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5">
    <w:nsid w:val="5BFA475F"/>
    <w:multiLevelType w:val="hybridMultilevel"/>
    <w:tmpl w:val="B99AEC24"/>
    <w:lvl w:ilvl="0" w:tplc="FFFFFFFF">
      <w:start w:val="7"/>
      <w:numFmt w:val="decimal"/>
      <w:lvlText w:val="%1."/>
      <w:lvlJc w:val="left"/>
      <w:pPr>
        <w:tabs>
          <w:tab w:val="num" w:pos="704"/>
        </w:tabs>
        <w:ind w:left="704" w:hanging="420"/>
      </w:pPr>
      <w:rPr>
        <w:rFonts w:hint="default"/>
        <w:b/>
        <w:color w:val="000000"/>
        <w:sz w:val="24"/>
        <w:szCs w:val="24"/>
      </w:rPr>
    </w:lvl>
    <w:lvl w:ilvl="1" w:tplc="FFFFFFFF" w:tentative="1">
      <w:start w:val="1"/>
      <w:numFmt w:val="lowerLetter"/>
      <w:lvlText w:val="%2."/>
      <w:lvlJc w:val="left"/>
      <w:pPr>
        <w:tabs>
          <w:tab w:val="num" w:pos="1364"/>
        </w:tabs>
        <w:ind w:left="1364" w:hanging="360"/>
      </w:p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76">
    <w:nsid w:val="5CEF7F88"/>
    <w:multiLevelType w:val="hybridMultilevel"/>
    <w:tmpl w:val="9ADEAF1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7">
    <w:nsid w:val="5D2C21D2"/>
    <w:multiLevelType w:val="hybridMultilevel"/>
    <w:tmpl w:val="2E32B54C"/>
    <w:lvl w:ilvl="0" w:tplc="95ECF3E0">
      <w:start w:val="1"/>
      <w:numFmt w:val="bullet"/>
      <w:lvlText w:val=""/>
      <w:lvlJc w:val="left"/>
      <w:pPr>
        <w:tabs>
          <w:tab w:val="num" w:pos="1134"/>
        </w:tabs>
        <w:ind w:left="1134" w:hanging="567"/>
      </w:pPr>
      <w:rPr>
        <w:rFonts w:ascii="Symbol" w:hAnsi="Symbol" w:hint="default"/>
      </w:rPr>
    </w:lvl>
    <w:lvl w:ilvl="1" w:tplc="ABE04D08">
      <w:start w:val="1"/>
      <w:numFmt w:val="bullet"/>
      <w:lvlText w:val=""/>
      <w:lvlJc w:val="left"/>
      <w:pPr>
        <w:tabs>
          <w:tab w:val="num" w:pos="1701"/>
        </w:tabs>
        <w:ind w:left="1701" w:hanging="567"/>
      </w:pPr>
      <w:rPr>
        <w:rFonts w:ascii="Wingdings" w:hAnsi="Wingdings" w:hint="default"/>
        <w:sz w:val="16"/>
      </w:rPr>
    </w:lvl>
    <w:lvl w:ilvl="2" w:tplc="95ECF3E0">
      <w:start w:val="1"/>
      <w:numFmt w:val="bullet"/>
      <w:lvlText w:val=""/>
      <w:lvlJc w:val="left"/>
      <w:pPr>
        <w:tabs>
          <w:tab w:val="num" w:pos="2367"/>
        </w:tabs>
        <w:ind w:left="2367" w:hanging="567"/>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8">
    <w:nsid w:val="5DD873E8"/>
    <w:multiLevelType w:val="hybridMultilevel"/>
    <w:tmpl w:val="BF20E39E"/>
    <w:lvl w:ilvl="0" w:tplc="EF960136">
      <w:start w:val="1"/>
      <w:numFmt w:val="bullet"/>
      <w:lvlText w:val=""/>
      <w:lvlJc w:val="left"/>
      <w:pPr>
        <w:tabs>
          <w:tab w:val="num" w:pos="1291"/>
        </w:tabs>
        <w:ind w:left="1291" w:hanging="360"/>
      </w:pPr>
      <w:rPr>
        <w:rFonts w:ascii="Wingdings 2" w:hAnsi="Wingdings 2"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9">
    <w:nsid w:val="5DF704FB"/>
    <w:multiLevelType w:val="hybridMultilevel"/>
    <w:tmpl w:val="109A33C4"/>
    <w:lvl w:ilvl="0" w:tplc="7706A47E">
      <w:start w:val="423"/>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0">
    <w:nsid w:val="5EAE03F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1">
    <w:nsid w:val="5EF23963"/>
    <w:multiLevelType w:val="hybridMultilevel"/>
    <w:tmpl w:val="8B6061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2">
    <w:nsid w:val="5F6A2750"/>
    <w:multiLevelType w:val="hybridMultilevel"/>
    <w:tmpl w:val="E0A49B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3">
    <w:nsid w:val="5F730E6E"/>
    <w:multiLevelType w:val="hybridMultilevel"/>
    <w:tmpl w:val="AA94701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84">
    <w:nsid w:val="5F7C5D82"/>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85">
    <w:nsid w:val="5F9644C3"/>
    <w:multiLevelType w:val="hybridMultilevel"/>
    <w:tmpl w:val="45E4AB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6">
    <w:nsid w:val="60270D42"/>
    <w:multiLevelType w:val="hybridMultilevel"/>
    <w:tmpl w:val="4CB65F50"/>
    <w:lvl w:ilvl="0" w:tplc="FFFFFFFF">
      <w:start w:val="1"/>
      <w:numFmt w:val="lowerLetter"/>
      <w:lvlText w:val="%1)"/>
      <w:lvlJc w:val="left"/>
      <w:pPr>
        <w:tabs>
          <w:tab w:val="num" w:pos="930"/>
        </w:tabs>
        <w:ind w:left="930" w:hanging="360"/>
      </w:pPr>
      <w:rPr>
        <w:rFonts w:hint="default"/>
      </w:rPr>
    </w:lvl>
    <w:lvl w:ilvl="1" w:tplc="EDC42F28">
      <w:start w:val="7"/>
      <w:numFmt w:val="decimal"/>
      <w:lvlText w:val="%2."/>
      <w:lvlJc w:val="left"/>
      <w:pPr>
        <w:tabs>
          <w:tab w:val="num" w:pos="1650"/>
        </w:tabs>
        <w:ind w:left="1650" w:hanging="360"/>
      </w:pPr>
      <w:rPr>
        <w:rFonts w:hint="default"/>
        <w:b/>
        <w:color w:val="000000"/>
      </w:r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387">
    <w:nsid w:val="605440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8">
    <w:nsid w:val="6067197E"/>
    <w:multiLevelType w:val="hybridMultilevel"/>
    <w:tmpl w:val="5B8EB8B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9">
    <w:nsid w:val="60B302A4"/>
    <w:multiLevelType w:val="hybridMultilevel"/>
    <w:tmpl w:val="32A666B6"/>
    <w:lvl w:ilvl="0" w:tplc="EDD4674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0">
    <w:nsid w:val="60FC6E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1">
    <w:nsid w:val="618F6C23"/>
    <w:multiLevelType w:val="hybridMultilevel"/>
    <w:tmpl w:val="7834DBCA"/>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2">
    <w:nsid w:val="62703B97"/>
    <w:multiLevelType w:val="hybridMultilevel"/>
    <w:tmpl w:val="98184706"/>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393">
    <w:nsid w:val="62896D62"/>
    <w:multiLevelType w:val="hybridMultilevel"/>
    <w:tmpl w:val="32A666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4">
    <w:nsid w:val="62AE00FF"/>
    <w:multiLevelType w:val="hybridMultilevel"/>
    <w:tmpl w:val="EF5E76B8"/>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95">
    <w:nsid w:val="63045946"/>
    <w:multiLevelType w:val="multilevel"/>
    <w:tmpl w:val="E0EAFECE"/>
    <w:lvl w:ilvl="0">
      <w:start w:val="6"/>
      <w:numFmt w:val="none"/>
      <w:lvlText w:val="6."/>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6">
    <w:nsid w:val="634D3D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7">
    <w:nsid w:val="63517573"/>
    <w:multiLevelType w:val="hybridMultilevel"/>
    <w:tmpl w:val="1A64D6FC"/>
    <w:lvl w:ilvl="0" w:tplc="752A506C">
      <w:start w:val="1"/>
      <w:numFmt w:val="decimal"/>
      <w:lvlText w:val="%1)"/>
      <w:lvlJc w:val="left"/>
      <w:pPr>
        <w:tabs>
          <w:tab w:val="num" w:pos="723"/>
        </w:tabs>
        <w:ind w:left="723" w:hanging="363"/>
      </w:pPr>
      <w:rPr>
        <w:rFonts w:hint="default"/>
        <w:b w:val="0"/>
        <w:i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8">
    <w:nsid w:val="637D6FB0"/>
    <w:multiLevelType w:val="hybridMultilevel"/>
    <w:tmpl w:val="18D28D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9">
    <w:nsid w:val="64513095"/>
    <w:multiLevelType w:val="hybridMultilevel"/>
    <w:tmpl w:val="EEA6F83C"/>
    <w:lvl w:ilvl="0" w:tplc="DAA6B93A">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0">
    <w:nsid w:val="64DB6327"/>
    <w:multiLevelType w:val="hybridMultilevel"/>
    <w:tmpl w:val="3704EAAA"/>
    <w:lvl w:ilvl="0" w:tplc="83723E2A">
      <w:start w:val="5"/>
      <w:numFmt w:val="lowerLetter"/>
      <w:lvlText w:val="%1)"/>
      <w:lvlJc w:val="left"/>
      <w:pPr>
        <w:tabs>
          <w:tab w:val="num" w:pos="1080"/>
        </w:tabs>
        <w:ind w:left="1080" w:hanging="360"/>
      </w:pPr>
      <w:rPr>
        <w:rFonts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1">
    <w:nsid w:val="64E278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2">
    <w:nsid w:val="656D4F5A"/>
    <w:multiLevelType w:val="hybridMultilevel"/>
    <w:tmpl w:val="80A6D626"/>
    <w:lvl w:ilvl="0" w:tplc="40AEAFFA">
      <w:start w:val="355"/>
      <w:numFmt w:val="decimal"/>
      <w:lvlText w:val="%1."/>
      <w:lvlJc w:val="left"/>
      <w:pPr>
        <w:tabs>
          <w:tab w:val="num" w:pos="465"/>
        </w:tabs>
        <w:ind w:left="465" w:hanging="46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3">
    <w:nsid w:val="65A378CC"/>
    <w:multiLevelType w:val="hybridMultilevel"/>
    <w:tmpl w:val="1A64D6F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4">
    <w:nsid w:val="65C45126"/>
    <w:multiLevelType w:val="multilevel"/>
    <w:tmpl w:val="DE46D9D2"/>
    <w:lvl w:ilvl="0">
      <w:start w:val="1"/>
      <w:numFmt w:val="bullet"/>
      <w:lvlText w:val="-"/>
      <w:lvlJc w:val="left"/>
      <w:pPr>
        <w:tabs>
          <w:tab w:val="num" w:pos="360"/>
        </w:tabs>
        <w:ind w:left="340" w:hanging="340"/>
      </w:pPr>
      <w:rPr>
        <w:rFonts w:hint="default"/>
        <w:sz w:val="20"/>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5">
    <w:nsid w:val="65FC51CB"/>
    <w:multiLevelType w:val="hybridMultilevel"/>
    <w:tmpl w:val="2AB24C06"/>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6">
    <w:nsid w:val="66371697"/>
    <w:multiLevelType w:val="hybridMultilevel"/>
    <w:tmpl w:val="30A0E6B6"/>
    <w:lvl w:ilvl="0" w:tplc="9A7038D0">
      <w:start w:val="1"/>
      <w:numFmt w:val="bullet"/>
      <w:lvlText w:val=""/>
      <w:lvlJc w:val="left"/>
      <w:pPr>
        <w:tabs>
          <w:tab w:val="num" w:pos="360"/>
        </w:tabs>
        <w:ind w:left="357" w:hanging="357"/>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7">
    <w:nsid w:val="663E1662"/>
    <w:multiLevelType w:val="hybridMultilevel"/>
    <w:tmpl w:val="B810D07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8">
    <w:nsid w:val="66476C00"/>
    <w:multiLevelType w:val="hybridMultilevel"/>
    <w:tmpl w:val="28B87C5A"/>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Tahoma"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Tahoma"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Tahoma"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409">
    <w:nsid w:val="664A68CB"/>
    <w:multiLevelType w:val="hybridMultilevel"/>
    <w:tmpl w:val="1EEC9046"/>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10">
    <w:nsid w:val="664B08B7"/>
    <w:multiLevelType w:val="hybridMultilevel"/>
    <w:tmpl w:val="057A9338"/>
    <w:lvl w:ilvl="0" w:tplc="52B67716">
      <w:start w:val="497"/>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1">
    <w:nsid w:val="666C1666"/>
    <w:multiLevelType w:val="hybridMultilevel"/>
    <w:tmpl w:val="FD962B04"/>
    <w:lvl w:ilvl="0" w:tplc="A0102932">
      <w:start w:val="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2">
    <w:nsid w:val="669779D7"/>
    <w:multiLevelType w:val="hybridMultilevel"/>
    <w:tmpl w:val="9D984988"/>
    <w:lvl w:ilvl="0" w:tplc="4622047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7669"/>
        </w:tabs>
        <w:ind w:left="7669" w:hanging="360"/>
      </w:pPr>
      <w:rPr>
        <w:rFonts w:ascii="Courier New" w:hAnsi="Courier New" w:hint="default"/>
      </w:rPr>
    </w:lvl>
    <w:lvl w:ilvl="2" w:tplc="04190005" w:tentative="1">
      <w:start w:val="1"/>
      <w:numFmt w:val="bullet"/>
      <w:lvlText w:val=""/>
      <w:lvlJc w:val="left"/>
      <w:pPr>
        <w:tabs>
          <w:tab w:val="num" w:pos="8389"/>
        </w:tabs>
        <w:ind w:left="8389" w:hanging="360"/>
      </w:pPr>
      <w:rPr>
        <w:rFonts w:ascii="Wingdings" w:hAnsi="Wingdings" w:hint="default"/>
      </w:rPr>
    </w:lvl>
    <w:lvl w:ilvl="3" w:tplc="04190001" w:tentative="1">
      <w:start w:val="1"/>
      <w:numFmt w:val="bullet"/>
      <w:lvlText w:val=""/>
      <w:lvlJc w:val="left"/>
      <w:pPr>
        <w:tabs>
          <w:tab w:val="num" w:pos="9109"/>
        </w:tabs>
        <w:ind w:left="9109" w:hanging="360"/>
      </w:pPr>
      <w:rPr>
        <w:rFonts w:ascii="Symbol" w:hAnsi="Symbol" w:hint="default"/>
      </w:rPr>
    </w:lvl>
    <w:lvl w:ilvl="4" w:tplc="04190003" w:tentative="1">
      <w:start w:val="1"/>
      <w:numFmt w:val="bullet"/>
      <w:lvlText w:val="o"/>
      <w:lvlJc w:val="left"/>
      <w:pPr>
        <w:tabs>
          <w:tab w:val="num" w:pos="9829"/>
        </w:tabs>
        <w:ind w:left="9829" w:hanging="360"/>
      </w:pPr>
      <w:rPr>
        <w:rFonts w:ascii="Courier New" w:hAnsi="Courier New" w:hint="default"/>
      </w:rPr>
    </w:lvl>
    <w:lvl w:ilvl="5" w:tplc="04190005" w:tentative="1">
      <w:start w:val="1"/>
      <w:numFmt w:val="bullet"/>
      <w:lvlText w:val=""/>
      <w:lvlJc w:val="left"/>
      <w:pPr>
        <w:tabs>
          <w:tab w:val="num" w:pos="10549"/>
        </w:tabs>
        <w:ind w:left="10549" w:hanging="360"/>
      </w:pPr>
      <w:rPr>
        <w:rFonts w:ascii="Wingdings" w:hAnsi="Wingdings" w:hint="default"/>
      </w:rPr>
    </w:lvl>
    <w:lvl w:ilvl="6" w:tplc="04190001" w:tentative="1">
      <w:start w:val="1"/>
      <w:numFmt w:val="bullet"/>
      <w:lvlText w:val=""/>
      <w:lvlJc w:val="left"/>
      <w:pPr>
        <w:tabs>
          <w:tab w:val="num" w:pos="11269"/>
        </w:tabs>
        <w:ind w:left="11269" w:hanging="360"/>
      </w:pPr>
      <w:rPr>
        <w:rFonts w:ascii="Symbol" w:hAnsi="Symbol" w:hint="default"/>
      </w:rPr>
    </w:lvl>
    <w:lvl w:ilvl="7" w:tplc="04190003" w:tentative="1">
      <w:start w:val="1"/>
      <w:numFmt w:val="bullet"/>
      <w:lvlText w:val="o"/>
      <w:lvlJc w:val="left"/>
      <w:pPr>
        <w:tabs>
          <w:tab w:val="num" w:pos="11989"/>
        </w:tabs>
        <w:ind w:left="11989" w:hanging="360"/>
      </w:pPr>
      <w:rPr>
        <w:rFonts w:ascii="Courier New" w:hAnsi="Courier New" w:hint="default"/>
      </w:rPr>
    </w:lvl>
    <w:lvl w:ilvl="8" w:tplc="04190005" w:tentative="1">
      <w:start w:val="1"/>
      <w:numFmt w:val="bullet"/>
      <w:lvlText w:val=""/>
      <w:lvlJc w:val="left"/>
      <w:pPr>
        <w:tabs>
          <w:tab w:val="num" w:pos="12709"/>
        </w:tabs>
        <w:ind w:left="12709" w:hanging="360"/>
      </w:pPr>
      <w:rPr>
        <w:rFonts w:ascii="Wingdings" w:hAnsi="Wingdings" w:hint="default"/>
      </w:rPr>
    </w:lvl>
  </w:abstractNum>
  <w:abstractNum w:abstractNumId="413">
    <w:nsid w:val="66E53707"/>
    <w:multiLevelType w:val="hybridMultilevel"/>
    <w:tmpl w:val="769A64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4">
    <w:nsid w:val="67690250"/>
    <w:multiLevelType w:val="hybridMultilevel"/>
    <w:tmpl w:val="BB008DB0"/>
    <w:lvl w:ilvl="0" w:tplc="FFFFFFFF">
      <w:start w:val="1"/>
      <w:numFmt w:val="bullet"/>
      <w:lvlText w:val=""/>
      <w:lvlJc w:val="left"/>
      <w:pPr>
        <w:tabs>
          <w:tab w:val="num" w:pos="454"/>
        </w:tabs>
        <w:ind w:left="454" w:hanging="454"/>
      </w:pPr>
      <w:rPr>
        <w:rFonts w:ascii="Symbol" w:hAnsi="Symbol" w:hint="default"/>
        <w:b/>
        <w:i w:val="0"/>
        <w:caps w:val="0"/>
        <w:strike w:val="0"/>
        <w:dstrike w:val="0"/>
        <w:shadow w:val="0"/>
        <w:emboss w:val="0"/>
        <w:imprint w:val="0"/>
        <w:vanish w:val="0"/>
        <w:color w:val="auto"/>
        <w:sz w:val="2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5">
    <w:nsid w:val="677B1AA8"/>
    <w:multiLevelType w:val="singleLevel"/>
    <w:tmpl w:val="0C0A0017"/>
    <w:lvl w:ilvl="0">
      <w:start w:val="1"/>
      <w:numFmt w:val="lowerLetter"/>
      <w:lvlText w:val="%1)"/>
      <w:lvlJc w:val="left"/>
      <w:pPr>
        <w:tabs>
          <w:tab w:val="num" w:pos="360"/>
        </w:tabs>
        <w:ind w:left="360" w:hanging="360"/>
      </w:pPr>
      <w:rPr>
        <w:rFonts w:hint="default"/>
      </w:rPr>
    </w:lvl>
  </w:abstractNum>
  <w:abstractNum w:abstractNumId="416">
    <w:nsid w:val="67F61040"/>
    <w:multiLevelType w:val="hybridMultilevel"/>
    <w:tmpl w:val="12C8C5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7">
    <w:nsid w:val="681542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8">
    <w:nsid w:val="6816548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419">
    <w:nsid w:val="682D63C1"/>
    <w:multiLevelType w:val="hybridMultilevel"/>
    <w:tmpl w:val="472A6EA4"/>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20">
    <w:nsid w:val="687F2B94"/>
    <w:multiLevelType w:val="hybridMultilevel"/>
    <w:tmpl w:val="11DEC994"/>
    <w:lvl w:ilvl="0" w:tplc="04190005">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421">
    <w:nsid w:val="68B4081C"/>
    <w:multiLevelType w:val="multilevel"/>
    <w:tmpl w:val="9670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nsid w:val="69040DAB"/>
    <w:multiLevelType w:val="hybridMultilevel"/>
    <w:tmpl w:val="2D00E58C"/>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23">
    <w:nsid w:val="692E4AA2"/>
    <w:multiLevelType w:val="hybridMultilevel"/>
    <w:tmpl w:val="150E11D4"/>
    <w:lvl w:ilvl="0" w:tplc="6504B040">
      <w:start w:val="357"/>
      <w:numFmt w:val="decimal"/>
      <w:lvlText w:val="%1."/>
      <w:lvlJc w:val="left"/>
      <w:pPr>
        <w:tabs>
          <w:tab w:val="num" w:pos="825"/>
        </w:tabs>
        <w:ind w:left="825" w:hanging="46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4">
    <w:nsid w:val="694140FC"/>
    <w:multiLevelType w:val="hybridMultilevel"/>
    <w:tmpl w:val="6B2AA56E"/>
    <w:lvl w:ilvl="0" w:tplc="3A6A81E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5">
    <w:nsid w:val="695A017C"/>
    <w:multiLevelType w:val="hybridMultilevel"/>
    <w:tmpl w:val="5D363E48"/>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6">
    <w:nsid w:val="696E77D8"/>
    <w:multiLevelType w:val="hybridMultilevel"/>
    <w:tmpl w:val="BC6AD1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7">
    <w:nsid w:val="69856405"/>
    <w:multiLevelType w:val="hybridMultilevel"/>
    <w:tmpl w:val="B34E485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28">
    <w:nsid w:val="698F61D0"/>
    <w:multiLevelType w:val="hybridMultilevel"/>
    <w:tmpl w:val="87E4AE6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9">
    <w:nsid w:val="6A5169DD"/>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430">
    <w:nsid w:val="6AA21939"/>
    <w:multiLevelType w:val="hybridMultilevel"/>
    <w:tmpl w:val="C21A1658"/>
    <w:lvl w:ilvl="0" w:tplc="4D6A3C34">
      <w:start w:val="1"/>
      <w:numFmt w:val="bullet"/>
      <w:lvlText w:val=""/>
      <w:lvlJc w:val="left"/>
      <w:pPr>
        <w:tabs>
          <w:tab w:val="num" w:pos="757"/>
        </w:tabs>
        <w:ind w:left="720" w:hanging="360"/>
      </w:pPr>
      <w:rPr>
        <w:rFonts w:ascii="Symbol" w:hAnsi="Symbol" w:hint="default"/>
        <w:color w:val="auto"/>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31">
    <w:nsid w:val="6BB55983"/>
    <w:multiLevelType w:val="hybridMultilevel"/>
    <w:tmpl w:val="A2424A56"/>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2">
    <w:nsid w:val="6C0D088E"/>
    <w:multiLevelType w:val="hybridMultilevel"/>
    <w:tmpl w:val="70445D36"/>
    <w:lvl w:ilvl="0" w:tplc="FFFFFFFF">
      <w:start w:val="1"/>
      <w:numFmt w:val="bullet"/>
      <w:lvlText w:val=""/>
      <w:lvlJc w:val="left"/>
      <w:pPr>
        <w:tabs>
          <w:tab w:val="num" w:pos="340"/>
        </w:tabs>
        <w:ind w:left="340" w:hanging="340"/>
      </w:pPr>
      <w:rPr>
        <w:rFonts w:ascii="Symbol" w:hAnsi="Symbol" w:hint="default"/>
      </w:rPr>
    </w:lvl>
    <w:lvl w:ilvl="1" w:tplc="8DB4CC3C">
      <w:start w:val="1"/>
      <w:numFmt w:val="bullet"/>
      <w:lvlText w:val=""/>
      <w:lvlJc w:val="left"/>
      <w:pPr>
        <w:tabs>
          <w:tab w:val="num" w:pos="1440"/>
        </w:tabs>
        <w:ind w:left="1440" w:hanging="360"/>
      </w:pPr>
      <w:rPr>
        <w:rFonts w:ascii="Wingdings" w:hAnsi="Wingdings" w:hint="default"/>
        <w:sz w:val="16"/>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3">
    <w:nsid w:val="6C147CC4"/>
    <w:multiLevelType w:val="hybridMultilevel"/>
    <w:tmpl w:val="6868C984"/>
    <w:lvl w:ilvl="0" w:tplc="DCDC94AC">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4">
    <w:nsid w:val="6C280C85"/>
    <w:multiLevelType w:val="hybridMultilevel"/>
    <w:tmpl w:val="E0CEF8C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35">
    <w:nsid w:val="6C2939BE"/>
    <w:multiLevelType w:val="hybridMultilevel"/>
    <w:tmpl w:val="DF7651A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36">
    <w:nsid w:val="6C4A1DD5"/>
    <w:multiLevelType w:val="hybridMultilevel"/>
    <w:tmpl w:val="4CA491BE"/>
    <w:lvl w:ilvl="0" w:tplc="6038CA30">
      <w:start w:val="1"/>
      <w:numFmt w:val="decimal"/>
      <w:lvlText w:val="%1."/>
      <w:lvlJc w:val="left"/>
      <w:pPr>
        <w:tabs>
          <w:tab w:val="num" w:pos="720"/>
        </w:tabs>
        <w:ind w:left="720" w:hanging="360"/>
      </w:pPr>
      <w:rPr>
        <w:rFonts w:ascii="Arial" w:eastAsia="Times New Roman" w:hAnsi="Arial" w:cs="Arial" w:hint="default"/>
      </w:rPr>
    </w:lvl>
    <w:lvl w:ilvl="1" w:tplc="C1FEE660">
      <w:start w:val="1"/>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7">
    <w:nsid w:val="6C816EE5"/>
    <w:multiLevelType w:val="hybridMultilevel"/>
    <w:tmpl w:val="11B25B4A"/>
    <w:lvl w:ilvl="0" w:tplc="8DB4CC3C">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8">
    <w:nsid w:val="6CB771F4"/>
    <w:multiLevelType w:val="multilevel"/>
    <w:tmpl w:val="BBAA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nsid w:val="6CD56D8D"/>
    <w:multiLevelType w:val="hybridMultilevel"/>
    <w:tmpl w:val="212029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0">
    <w:nsid w:val="6D3D7DE8"/>
    <w:multiLevelType w:val="hybridMultilevel"/>
    <w:tmpl w:val="87961758"/>
    <w:lvl w:ilvl="0" w:tplc="FFFFFFFF">
      <w:start w:val="1"/>
      <w:numFmt w:val="bullet"/>
      <w:lvlText w:val=""/>
      <w:lvlJc w:val="left"/>
      <w:pPr>
        <w:tabs>
          <w:tab w:val="num" w:pos="357"/>
        </w:tabs>
        <w:ind w:left="340" w:hanging="34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1">
    <w:nsid w:val="6D483457"/>
    <w:multiLevelType w:val="hybridMultilevel"/>
    <w:tmpl w:val="61A21706"/>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2">
    <w:nsid w:val="6DC908B9"/>
    <w:multiLevelType w:val="hybridMultilevel"/>
    <w:tmpl w:val="B6043534"/>
    <w:lvl w:ilvl="0" w:tplc="A0102932">
      <w:start w:val="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3">
    <w:nsid w:val="6E1612A1"/>
    <w:multiLevelType w:val="hybridMultilevel"/>
    <w:tmpl w:val="BDDE8E8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44">
    <w:nsid w:val="6E2547EC"/>
    <w:multiLevelType w:val="hybridMultilevel"/>
    <w:tmpl w:val="B3EAA468"/>
    <w:lvl w:ilvl="0" w:tplc="CC5C7ED4">
      <w:start w:val="1"/>
      <w:numFmt w:val="bullet"/>
      <w:lvlText w:val=""/>
      <w:lvlJc w:val="left"/>
      <w:pPr>
        <w:tabs>
          <w:tab w:val="num" w:pos="1134"/>
        </w:tabs>
        <w:ind w:left="1134" w:hanging="567"/>
      </w:pPr>
      <w:rPr>
        <w:rFonts w:ascii="Wingdings"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5">
    <w:nsid w:val="6E674381"/>
    <w:multiLevelType w:val="multilevel"/>
    <w:tmpl w:val="126C103A"/>
    <w:lvl w:ilvl="0">
      <w:start w:val="1"/>
      <w:numFmt w:val="decimal"/>
      <w:lvlText w:val="%1."/>
      <w:lvlJc w:val="left"/>
      <w:pPr>
        <w:tabs>
          <w:tab w:val="num" w:pos="360"/>
        </w:tabs>
        <w:ind w:left="357" w:hanging="357"/>
      </w:pPr>
      <w:rPr>
        <w:rFonts w:hint="default"/>
      </w:rPr>
    </w:lvl>
    <w:lvl w:ilvl="1">
      <w:start w:val="5"/>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6">
    <w:nsid w:val="6E865E5B"/>
    <w:multiLevelType w:val="multilevel"/>
    <w:tmpl w:val="150E11D4"/>
    <w:lvl w:ilvl="0">
      <w:start w:val="357"/>
      <w:numFmt w:val="decimal"/>
      <w:lvlText w:val="%1."/>
      <w:lvlJc w:val="left"/>
      <w:pPr>
        <w:tabs>
          <w:tab w:val="num" w:pos="825"/>
        </w:tabs>
        <w:ind w:left="825" w:hanging="46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7">
    <w:nsid w:val="6E92145A"/>
    <w:multiLevelType w:val="hybridMultilevel"/>
    <w:tmpl w:val="B0F8B732"/>
    <w:lvl w:ilvl="0" w:tplc="0419000B">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48">
    <w:nsid w:val="6E993F53"/>
    <w:multiLevelType w:val="hybridMultilevel"/>
    <w:tmpl w:val="4E1029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9">
    <w:nsid w:val="6EB8542C"/>
    <w:multiLevelType w:val="hybridMultilevel"/>
    <w:tmpl w:val="A3045110"/>
    <w:lvl w:ilvl="0" w:tplc="6D0A98A4">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450">
    <w:nsid w:val="6EF57A09"/>
    <w:multiLevelType w:val="hybridMultilevel"/>
    <w:tmpl w:val="F02A1BF4"/>
    <w:lvl w:ilvl="0" w:tplc="EF960136">
      <w:start w:val="1"/>
      <w:numFmt w:val="bullet"/>
      <w:lvlText w:val=""/>
      <w:lvlJc w:val="left"/>
      <w:pPr>
        <w:tabs>
          <w:tab w:val="num" w:pos="1291"/>
        </w:tabs>
        <w:ind w:left="1291" w:hanging="360"/>
      </w:pPr>
      <w:rPr>
        <w:rFonts w:ascii="Wingdings 2" w:hAnsi="Wingdings 2"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1">
    <w:nsid w:val="6F0F567B"/>
    <w:multiLevelType w:val="hybridMultilevel"/>
    <w:tmpl w:val="F2926EFA"/>
    <w:lvl w:ilvl="0" w:tplc="FFFFFFFF">
      <w:start w:val="1"/>
      <w:numFmt w:val="bullet"/>
      <w:lvlText w:val=""/>
      <w:lvlJc w:val="left"/>
      <w:pPr>
        <w:tabs>
          <w:tab w:val="num" w:pos="705"/>
        </w:tabs>
        <w:ind w:left="628" w:hanging="283"/>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452">
    <w:nsid w:val="6F196093"/>
    <w:multiLevelType w:val="hybridMultilevel"/>
    <w:tmpl w:val="076E6D3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3">
    <w:nsid w:val="6FC933FC"/>
    <w:multiLevelType w:val="hybridMultilevel"/>
    <w:tmpl w:val="2722873A"/>
    <w:lvl w:ilvl="0" w:tplc="4D6A3C34">
      <w:start w:val="1"/>
      <w:numFmt w:val="bullet"/>
      <w:lvlText w:val=""/>
      <w:lvlJc w:val="left"/>
      <w:pPr>
        <w:tabs>
          <w:tab w:val="num" w:pos="757"/>
        </w:tabs>
        <w:ind w:left="720" w:hanging="360"/>
      </w:pPr>
      <w:rPr>
        <w:rFonts w:ascii="Symbol" w:hAnsi="Symbol" w:hint="default"/>
        <w:color w:val="auto"/>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54">
    <w:nsid w:val="6FFB3895"/>
    <w:multiLevelType w:val="hybridMultilevel"/>
    <w:tmpl w:val="E0F4774E"/>
    <w:lvl w:ilvl="0" w:tplc="0419000B">
      <w:start w:val="1"/>
      <w:numFmt w:val="bullet"/>
      <w:lvlText w:val=""/>
      <w:lvlJc w:val="left"/>
      <w:pPr>
        <w:tabs>
          <w:tab w:val="num" w:pos="1788"/>
        </w:tabs>
        <w:ind w:left="1788" w:hanging="360"/>
      </w:pPr>
      <w:rPr>
        <w:rFonts w:ascii="Wingdings" w:hAnsi="Wingdings" w:hint="default"/>
      </w:rPr>
    </w:lvl>
    <w:lvl w:ilvl="1" w:tplc="04190003" w:tentative="1">
      <w:start w:val="1"/>
      <w:numFmt w:val="bullet"/>
      <w:lvlText w:val="o"/>
      <w:lvlJc w:val="left"/>
      <w:pPr>
        <w:tabs>
          <w:tab w:val="num" w:pos="2508"/>
        </w:tabs>
        <w:ind w:left="2508" w:hanging="360"/>
      </w:pPr>
      <w:rPr>
        <w:rFonts w:ascii="Courier New" w:hAnsi="Courier New" w:cs="Courier New" w:hint="default"/>
      </w:rPr>
    </w:lvl>
    <w:lvl w:ilvl="2" w:tplc="04190005" w:tentative="1">
      <w:start w:val="1"/>
      <w:numFmt w:val="bullet"/>
      <w:lvlText w:val=""/>
      <w:lvlJc w:val="left"/>
      <w:pPr>
        <w:tabs>
          <w:tab w:val="num" w:pos="3228"/>
        </w:tabs>
        <w:ind w:left="3228" w:hanging="360"/>
      </w:pPr>
      <w:rPr>
        <w:rFonts w:ascii="Wingdings" w:hAnsi="Wingdings" w:hint="default"/>
      </w:rPr>
    </w:lvl>
    <w:lvl w:ilvl="3" w:tplc="04190001" w:tentative="1">
      <w:start w:val="1"/>
      <w:numFmt w:val="bullet"/>
      <w:lvlText w:val=""/>
      <w:lvlJc w:val="left"/>
      <w:pPr>
        <w:tabs>
          <w:tab w:val="num" w:pos="3948"/>
        </w:tabs>
        <w:ind w:left="3948" w:hanging="360"/>
      </w:pPr>
      <w:rPr>
        <w:rFonts w:ascii="Symbol" w:hAnsi="Symbol" w:hint="default"/>
      </w:rPr>
    </w:lvl>
    <w:lvl w:ilvl="4" w:tplc="04190003" w:tentative="1">
      <w:start w:val="1"/>
      <w:numFmt w:val="bullet"/>
      <w:lvlText w:val="o"/>
      <w:lvlJc w:val="left"/>
      <w:pPr>
        <w:tabs>
          <w:tab w:val="num" w:pos="4668"/>
        </w:tabs>
        <w:ind w:left="4668" w:hanging="360"/>
      </w:pPr>
      <w:rPr>
        <w:rFonts w:ascii="Courier New" w:hAnsi="Courier New" w:cs="Courier New" w:hint="default"/>
      </w:rPr>
    </w:lvl>
    <w:lvl w:ilvl="5" w:tplc="04190005" w:tentative="1">
      <w:start w:val="1"/>
      <w:numFmt w:val="bullet"/>
      <w:lvlText w:val=""/>
      <w:lvlJc w:val="left"/>
      <w:pPr>
        <w:tabs>
          <w:tab w:val="num" w:pos="5388"/>
        </w:tabs>
        <w:ind w:left="5388" w:hanging="360"/>
      </w:pPr>
      <w:rPr>
        <w:rFonts w:ascii="Wingdings" w:hAnsi="Wingdings" w:hint="default"/>
      </w:rPr>
    </w:lvl>
    <w:lvl w:ilvl="6" w:tplc="04190001" w:tentative="1">
      <w:start w:val="1"/>
      <w:numFmt w:val="bullet"/>
      <w:lvlText w:val=""/>
      <w:lvlJc w:val="left"/>
      <w:pPr>
        <w:tabs>
          <w:tab w:val="num" w:pos="6108"/>
        </w:tabs>
        <w:ind w:left="6108" w:hanging="360"/>
      </w:pPr>
      <w:rPr>
        <w:rFonts w:ascii="Symbol" w:hAnsi="Symbol" w:hint="default"/>
      </w:rPr>
    </w:lvl>
    <w:lvl w:ilvl="7" w:tplc="04190003" w:tentative="1">
      <w:start w:val="1"/>
      <w:numFmt w:val="bullet"/>
      <w:lvlText w:val="o"/>
      <w:lvlJc w:val="left"/>
      <w:pPr>
        <w:tabs>
          <w:tab w:val="num" w:pos="6828"/>
        </w:tabs>
        <w:ind w:left="6828" w:hanging="360"/>
      </w:pPr>
      <w:rPr>
        <w:rFonts w:ascii="Courier New" w:hAnsi="Courier New" w:cs="Courier New" w:hint="default"/>
      </w:rPr>
    </w:lvl>
    <w:lvl w:ilvl="8" w:tplc="04190005" w:tentative="1">
      <w:start w:val="1"/>
      <w:numFmt w:val="bullet"/>
      <w:lvlText w:val=""/>
      <w:lvlJc w:val="left"/>
      <w:pPr>
        <w:tabs>
          <w:tab w:val="num" w:pos="7548"/>
        </w:tabs>
        <w:ind w:left="7548" w:hanging="360"/>
      </w:pPr>
      <w:rPr>
        <w:rFonts w:ascii="Wingdings" w:hAnsi="Wingdings" w:hint="default"/>
      </w:rPr>
    </w:lvl>
  </w:abstractNum>
  <w:abstractNum w:abstractNumId="455">
    <w:nsid w:val="701523F8"/>
    <w:multiLevelType w:val="hybridMultilevel"/>
    <w:tmpl w:val="15D83F86"/>
    <w:lvl w:ilvl="0" w:tplc="04190001">
      <w:start w:val="1"/>
      <w:numFmt w:val="bullet"/>
      <w:lvlText w:val=""/>
      <w:lvlJc w:val="left"/>
      <w:pPr>
        <w:tabs>
          <w:tab w:val="num" w:pos="845"/>
        </w:tabs>
        <w:ind w:left="845" w:hanging="360"/>
      </w:pPr>
      <w:rPr>
        <w:rFonts w:ascii="Symbol" w:hAnsi="Symbol" w:hint="default"/>
      </w:rPr>
    </w:lvl>
    <w:lvl w:ilvl="1" w:tplc="04190003" w:tentative="1">
      <w:start w:val="1"/>
      <w:numFmt w:val="bullet"/>
      <w:lvlText w:val="o"/>
      <w:lvlJc w:val="left"/>
      <w:pPr>
        <w:tabs>
          <w:tab w:val="num" w:pos="1565"/>
        </w:tabs>
        <w:ind w:left="1565" w:hanging="360"/>
      </w:pPr>
      <w:rPr>
        <w:rFonts w:ascii="Courier New" w:hAnsi="Courier New" w:hint="default"/>
      </w:rPr>
    </w:lvl>
    <w:lvl w:ilvl="2" w:tplc="04190005" w:tentative="1">
      <w:start w:val="1"/>
      <w:numFmt w:val="bullet"/>
      <w:lvlText w:val=""/>
      <w:lvlJc w:val="left"/>
      <w:pPr>
        <w:tabs>
          <w:tab w:val="num" w:pos="2285"/>
        </w:tabs>
        <w:ind w:left="2285" w:hanging="360"/>
      </w:pPr>
      <w:rPr>
        <w:rFonts w:ascii="Wingdings" w:hAnsi="Wingdings" w:hint="default"/>
      </w:rPr>
    </w:lvl>
    <w:lvl w:ilvl="3" w:tplc="04190001" w:tentative="1">
      <w:start w:val="1"/>
      <w:numFmt w:val="bullet"/>
      <w:lvlText w:val=""/>
      <w:lvlJc w:val="left"/>
      <w:pPr>
        <w:tabs>
          <w:tab w:val="num" w:pos="3005"/>
        </w:tabs>
        <w:ind w:left="3005" w:hanging="360"/>
      </w:pPr>
      <w:rPr>
        <w:rFonts w:ascii="Symbol" w:hAnsi="Symbol" w:hint="default"/>
      </w:rPr>
    </w:lvl>
    <w:lvl w:ilvl="4" w:tplc="04190003" w:tentative="1">
      <w:start w:val="1"/>
      <w:numFmt w:val="bullet"/>
      <w:lvlText w:val="o"/>
      <w:lvlJc w:val="left"/>
      <w:pPr>
        <w:tabs>
          <w:tab w:val="num" w:pos="3725"/>
        </w:tabs>
        <w:ind w:left="3725" w:hanging="360"/>
      </w:pPr>
      <w:rPr>
        <w:rFonts w:ascii="Courier New" w:hAnsi="Courier New" w:hint="default"/>
      </w:rPr>
    </w:lvl>
    <w:lvl w:ilvl="5" w:tplc="04190005" w:tentative="1">
      <w:start w:val="1"/>
      <w:numFmt w:val="bullet"/>
      <w:lvlText w:val=""/>
      <w:lvlJc w:val="left"/>
      <w:pPr>
        <w:tabs>
          <w:tab w:val="num" w:pos="4445"/>
        </w:tabs>
        <w:ind w:left="4445" w:hanging="360"/>
      </w:pPr>
      <w:rPr>
        <w:rFonts w:ascii="Wingdings" w:hAnsi="Wingdings" w:hint="default"/>
      </w:rPr>
    </w:lvl>
    <w:lvl w:ilvl="6" w:tplc="04190001" w:tentative="1">
      <w:start w:val="1"/>
      <w:numFmt w:val="bullet"/>
      <w:lvlText w:val=""/>
      <w:lvlJc w:val="left"/>
      <w:pPr>
        <w:tabs>
          <w:tab w:val="num" w:pos="5165"/>
        </w:tabs>
        <w:ind w:left="5165" w:hanging="360"/>
      </w:pPr>
      <w:rPr>
        <w:rFonts w:ascii="Symbol" w:hAnsi="Symbol" w:hint="default"/>
      </w:rPr>
    </w:lvl>
    <w:lvl w:ilvl="7" w:tplc="04190003" w:tentative="1">
      <w:start w:val="1"/>
      <w:numFmt w:val="bullet"/>
      <w:lvlText w:val="o"/>
      <w:lvlJc w:val="left"/>
      <w:pPr>
        <w:tabs>
          <w:tab w:val="num" w:pos="5885"/>
        </w:tabs>
        <w:ind w:left="5885" w:hanging="360"/>
      </w:pPr>
      <w:rPr>
        <w:rFonts w:ascii="Courier New" w:hAnsi="Courier New" w:hint="default"/>
      </w:rPr>
    </w:lvl>
    <w:lvl w:ilvl="8" w:tplc="04190005" w:tentative="1">
      <w:start w:val="1"/>
      <w:numFmt w:val="bullet"/>
      <w:lvlText w:val=""/>
      <w:lvlJc w:val="left"/>
      <w:pPr>
        <w:tabs>
          <w:tab w:val="num" w:pos="6605"/>
        </w:tabs>
        <w:ind w:left="6605" w:hanging="360"/>
      </w:pPr>
      <w:rPr>
        <w:rFonts w:ascii="Wingdings" w:hAnsi="Wingdings" w:hint="default"/>
      </w:rPr>
    </w:lvl>
  </w:abstractNum>
  <w:abstractNum w:abstractNumId="456">
    <w:nsid w:val="70287A22"/>
    <w:multiLevelType w:val="hybridMultilevel"/>
    <w:tmpl w:val="892E52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7">
    <w:nsid w:val="70D624A7"/>
    <w:multiLevelType w:val="multilevel"/>
    <w:tmpl w:val="A9220EC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58">
    <w:nsid w:val="70E53FAD"/>
    <w:multiLevelType w:val="hybridMultilevel"/>
    <w:tmpl w:val="C1D0DC52"/>
    <w:lvl w:ilvl="0" w:tplc="B2B8E32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9">
    <w:nsid w:val="7186670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460">
    <w:nsid w:val="71A64AA1"/>
    <w:multiLevelType w:val="hybridMultilevel"/>
    <w:tmpl w:val="A55C6280"/>
    <w:lvl w:ilvl="0" w:tplc="4D6A3C34">
      <w:start w:val="1"/>
      <w:numFmt w:val="bullet"/>
      <w:lvlText w:val=""/>
      <w:lvlJc w:val="left"/>
      <w:pPr>
        <w:tabs>
          <w:tab w:val="num" w:pos="397"/>
        </w:tabs>
        <w:ind w:left="36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61">
    <w:nsid w:val="71AC1981"/>
    <w:multiLevelType w:val="hybridMultilevel"/>
    <w:tmpl w:val="360E0540"/>
    <w:lvl w:ilvl="0" w:tplc="A2424B80">
      <w:start w:val="1"/>
      <w:numFmt w:val="bullet"/>
      <w:lvlText w:val=""/>
      <w:lvlJc w:val="left"/>
      <w:pPr>
        <w:tabs>
          <w:tab w:val="num" w:pos="1108"/>
        </w:tabs>
        <w:ind w:left="1108" w:hanging="360"/>
      </w:pPr>
      <w:rPr>
        <w:rFonts w:ascii="Symbol" w:hAnsi="Symbol" w:cs="Times New Roman" w:hint="default"/>
      </w:rPr>
    </w:lvl>
    <w:lvl w:ilvl="1" w:tplc="04190003" w:tentative="1">
      <w:start w:val="1"/>
      <w:numFmt w:val="bullet"/>
      <w:lvlText w:val="o"/>
      <w:lvlJc w:val="left"/>
      <w:pPr>
        <w:tabs>
          <w:tab w:val="num" w:pos="1621"/>
        </w:tabs>
        <w:ind w:left="1621" w:hanging="360"/>
      </w:pPr>
      <w:rPr>
        <w:rFonts w:ascii="Courier New" w:hAnsi="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462">
    <w:nsid w:val="721568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3">
    <w:nsid w:val="723934A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4">
    <w:nsid w:val="723941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5">
    <w:nsid w:val="724D4F0D"/>
    <w:multiLevelType w:val="hybridMultilevel"/>
    <w:tmpl w:val="B99E99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6">
    <w:nsid w:val="72520DE4"/>
    <w:multiLevelType w:val="hybridMultilevel"/>
    <w:tmpl w:val="17406B7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7">
    <w:nsid w:val="72E453FC"/>
    <w:multiLevelType w:val="hybridMultilevel"/>
    <w:tmpl w:val="3256766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68">
    <w:nsid w:val="733A49AE"/>
    <w:multiLevelType w:val="hybridMultilevel"/>
    <w:tmpl w:val="B2C4BF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9">
    <w:nsid w:val="73443CA1"/>
    <w:multiLevelType w:val="hybridMultilevel"/>
    <w:tmpl w:val="54362BF0"/>
    <w:lvl w:ilvl="0" w:tplc="0C0A0001">
      <w:start w:val="1"/>
      <w:numFmt w:val="bullet"/>
      <w:lvlText w:val=""/>
      <w:lvlJc w:val="left"/>
      <w:pPr>
        <w:tabs>
          <w:tab w:val="num" w:pos="1080"/>
        </w:tabs>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70">
    <w:nsid w:val="738504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1">
    <w:nsid w:val="73F020D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2">
    <w:nsid w:val="743E4801"/>
    <w:multiLevelType w:val="hybridMultilevel"/>
    <w:tmpl w:val="08563552"/>
    <w:lvl w:ilvl="0" w:tplc="1568831C">
      <w:start w:val="1"/>
      <w:numFmt w:val="bullet"/>
      <w:lvlText w:val=""/>
      <w:lvlJc w:val="left"/>
      <w:pPr>
        <w:tabs>
          <w:tab w:val="num" w:pos="720"/>
        </w:tabs>
        <w:ind w:left="720" w:hanging="360"/>
      </w:pPr>
      <w:rPr>
        <w:rFonts w:ascii="Symbol" w:hAnsi="Symbol" w:hint="default"/>
        <w:sz w:val="20"/>
      </w:rPr>
    </w:lvl>
    <w:lvl w:ilvl="1" w:tplc="4F7A6930" w:tentative="1">
      <w:start w:val="1"/>
      <w:numFmt w:val="bullet"/>
      <w:lvlText w:val="o"/>
      <w:lvlJc w:val="left"/>
      <w:pPr>
        <w:tabs>
          <w:tab w:val="num" w:pos="1440"/>
        </w:tabs>
        <w:ind w:left="1440" w:hanging="360"/>
      </w:pPr>
      <w:rPr>
        <w:rFonts w:ascii="Courier New" w:hAnsi="Courier New" w:hint="default"/>
        <w:sz w:val="20"/>
      </w:rPr>
    </w:lvl>
    <w:lvl w:ilvl="2" w:tplc="C92C30A0" w:tentative="1">
      <w:start w:val="1"/>
      <w:numFmt w:val="bullet"/>
      <w:lvlText w:val=""/>
      <w:lvlJc w:val="left"/>
      <w:pPr>
        <w:tabs>
          <w:tab w:val="num" w:pos="2160"/>
        </w:tabs>
        <w:ind w:left="2160" w:hanging="360"/>
      </w:pPr>
      <w:rPr>
        <w:rFonts w:ascii="Wingdings" w:hAnsi="Wingdings" w:hint="default"/>
        <w:sz w:val="20"/>
      </w:rPr>
    </w:lvl>
    <w:lvl w:ilvl="3" w:tplc="B7EC8A90" w:tentative="1">
      <w:start w:val="1"/>
      <w:numFmt w:val="bullet"/>
      <w:lvlText w:val=""/>
      <w:lvlJc w:val="left"/>
      <w:pPr>
        <w:tabs>
          <w:tab w:val="num" w:pos="2880"/>
        </w:tabs>
        <w:ind w:left="2880" w:hanging="360"/>
      </w:pPr>
      <w:rPr>
        <w:rFonts w:ascii="Wingdings" w:hAnsi="Wingdings" w:hint="default"/>
        <w:sz w:val="20"/>
      </w:rPr>
    </w:lvl>
    <w:lvl w:ilvl="4" w:tplc="305CC58E" w:tentative="1">
      <w:start w:val="1"/>
      <w:numFmt w:val="bullet"/>
      <w:lvlText w:val=""/>
      <w:lvlJc w:val="left"/>
      <w:pPr>
        <w:tabs>
          <w:tab w:val="num" w:pos="3600"/>
        </w:tabs>
        <w:ind w:left="3600" w:hanging="360"/>
      </w:pPr>
      <w:rPr>
        <w:rFonts w:ascii="Wingdings" w:hAnsi="Wingdings" w:hint="default"/>
        <w:sz w:val="20"/>
      </w:rPr>
    </w:lvl>
    <w:lvl w:ilvl="5" w:tplc="7DA225C0" w:tentative="1">
      <w:start w:val="1"/>
      <w:numFmt w:val="bullet"/>
      <w:lvlText w:val=""/>
      <w:lvlJc w:val="left"/>
      <w:pPr>
        <w:tabs>
          <w:tab w:val="num" w:pos="4320"/>
        </w:tabs>
        <w:ind w:left="4320" w:hanging="360"/>
      </w:pPr>
      <w:rPr>
        <w:rFonts w:ascii="Wingdings" w:hAnsi="Wingdings" w:hint="default"/>
        <w:sz w:val="20"/>
      </w:rPr>
    </w:lvl>
    <w:lvl w:ilvl="6" w:tplc="AB9E4390" w:tentative="1">
      <w:start w:val="1"/>
      <w:numFmt w:val="bullet"/>
      <w:lvlText w:val=""/>
      <w:lvlJc w:val="left"/>
      <w:pPr>
        <w:tabs>
          <w:tab w:val="num" w:pos="5040"/>
        </w:tabs>
        <w:ind w:left="5040" w:hanging="360"/>
      </w:pPr>
      <w:rPr>
        <w:rFonts w:ascii="Wingdings" w:hAnsi="Wingdings" w:hint="default"/>
        <w:sz w:val="20"/>
      </w:rPr>
    </w:lvl>
    <w:lvl w:ilvl="7" w:tplc="5B2AE4B8" w:tentative="1">
      <w:start w:val="1"/>
      <w:numFmt w:val="bullet"/>
      <w:lvlText w:val=""/>
      <w:lvlJc w:val="left"/>
      <w:pPr>
        <w:tabs>
          <w:tab w:val="num" w:pos="5760"/>
        </w:tabs>
        <w:ind w:left="5760" w:hanging="360"/>
      </w:pPr>
      <w:rPr>
        <w:rFonts w:ascii="Wingdings" w:hAnsi="Wingdings" w:hint="default"/>
        <w:sz w:val="20"/>
      </w:rPr>
    </w:lvl>
    <w:lvl w:ilvl="8" w:tplc="F5C091E2" w:tentative="1">
      <w:start w:val="1"/>
      <w:numFmt w:val="bullet"/>
      <w:lvlText w:val=""/>
      <w:lvlJc w:val="left"/>
      <w:pPr>
        <w:tabs>
          <w:tab w:val="num" w:pos="6480"/>
        </w:tabs>
        <w:ind w:left="6480" w:hanging="360"/>
      </w:pPr>
      <w:rPr>
        <w:rFonts w:ascii="Wingdings" w:hAnsi="Wingdings" w:hint="default"/>
        <w:sz w:val="20"/>
      </w:rPr>
    </w:lvl>
  </w:abstractNum>
  <w:abstractNum w:abstractNumId="473">
    <w:nsid w:val="745077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4">
    <w:nsid w:val="7471727E"/>
    <w:multiLevelType w:val="hybridMultilevel"/>
    <w:tmpl w:val="1A0455D8"/>
    <w:lvl w:ilvl="0" w:tplc="FFFFFFFF">
      <w:start w:val="1"/>
      <w:numFmt w:val="bullet"/>
      <w:pStyle w:val="GUION"/>
      <w:lvlText w:val="▪"/>
      <w:lvlJc w:val="left"/>
      <w:pPr>
        <w:tabs>
          <w:tab w:val="num" w:pos="454"/>
        </w:tabs>
        <w:ind w:left="510" w:hanging="397"/>
      </w:pPr>
      <w:rPr>
        <w:rFonts w:ascii="Palatino Linotype" w:hAnsi="Palatino Linotype" w:hint="default"/>
        <w:color w:val="auto"/>
        <w:sz w:val="24"/>
        <w:szCs w:val="24"/>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475">
    <w:nsid w:val="74B0436B"/>
    <w:multiLevelType w:val="hybridMultilevel"/>
    <w:tmpl w:val="5CE4F626"/>
    <w:lvl w:ilvl="0" w:tplc="FFFFFFFF">
      <w:start w:val="1"/>
      <w:numFmt w:val="bullet"/>
      <w:lvlText w:val=""/>
      <w:lvlJc w:val="left"/>
      <w:pPr>
        <w:tabs>
          <w:tab w:val="num" w:pos="397"/>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6">
    <w:nsid w:val="74C87C4E"/>
    <w:multiLevelType w:val="hybridMultilevel"/>
    <w:tmpl w:val="174899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7">
    <w:nsid w:val="74E254DF"/>
    <w:multiLevelType w:val="hybridMultilevel"/>
    <w:tmpl w:val="F9420B16"/>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78">
    <w:nsid w:val="753E14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9">
    <w:nsid w:val="75980CDD"/>
    <w:multiLevelType w:val="hybridMultilevel"/>
    <w:tmpl w:val="33221A2E"/>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80">
    <w:nsid w:val="75B9037D"/>
    <w:multiLevelType w:val="hybridMultilevel"/>
    <w:tmpl w:val="E2DEF9C2"/>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Tahoma"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Tahoma"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Tahoma"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481">
    <w:nsid w:val="763B17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2">
    <w:nsid w:val="76557BA0"/>
    <w:multiLevelType w:val="hybridMultilevel"/>
    <w:tmpl w:val="F01E70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3">
    <w:nsid w:val="765A201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4">
    <w:nsid w:val="769A495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5">
    <w:nsid w:val="76D22161"/>
    <w:multiLevelType w:val="multilevel"/>
    <w:tmpl w:val="80A6D626"/>
    <w:lvl w:ilvl="0">
      <w:start w:val="355"/>
      <w:numFmt w:val="decimal"/>
      <w:lvlText w:val="%1."/>
      <w:lvlJc w:val="left"/>
      <w:pPr>
        <w:tabs>
          <w:tab w:val="num" w:pos="465"/>
        </w:tabs>
        <w:ind w:left="465" w:hanging="46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6">
    <w:nsid w:val="773A2D3A"/>
    <w:multiLevelType w:val="hybridMultilevel"/>
    <w:tmpl w:val="832C94DE"/>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87">
    <w:nsid w:val="779E2DF5"/>
    <w:multiLevelType w:val="hybridMultilevel"/>
    <w:tmpl w:val="7EAC34E4"/>
    <w:lvl w:ilvl="0" w:tplc="827EB67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8">
    <w:nsid w:val="77A84C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9">
    <w:nsid w:val="77BD6124"/>
    <w:multiLevelType w:val="hybridMultilevel"/>
    <w:tmpl w:val="E1368CA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90">
    <w:nsid w:val="783F4AA9"/>
    <w:multiLevelType w:val="hybridMultilevel"/>
    <w:tmpl w:val="D2FEEC00"/>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1">
    <w:nsid w:val="7873302B"/>
    <w:multiLevelType w:val="hybridMultilevel"/>
    <w:tmpl w:val="57108F96"/>
    <w:lvl w:ilvl="0" w:tplc="F64ED0D8">
      <w:start w:val="1"/>
      <w:numFmt w:val="bullet"/>
      <w:lvlText w:val=""/>
      <w:lvlJc w:val="left"/>
      <w:pPr>
        <w:tabs>
          <w:tab w:val="num" w:pos="720"/>
        </w:tabs>
        <w:ind w:left="720" w:hanging="360"/>
      </w:pPr>
      <w:rPr>
        <w:rFonts w:ascii="Symbol" w:hAnsi="Symbol" w:hint="default"/>
        <w:sz w:val="20"/>
      </w:rPr>
    </w:lvl>
    <w:lvl w:ilvl="1" w:tplc="9EB0547C" w:tentative="1">
      <w:start w:val="1"/>
      <w:numFmt w:val="bullet"/>
      <w:lvlText w:val="o"/>
      <w:lvlJc w:val="left"/>
      <w:pPr>
        <w:tabs>
          <w:tab w:val="num" w:pos="1440"/>
        </w:tabs>
        <w:ind w:left="1440" w:hanging="360"/>
      </w:pPr>
      <w:rPr>
        <w:rFonts w:ascii="Courier New" w:hAnsi="Courier New" w:hint="default"/>
        <w:sz w:val="20"/>
      </w:rPr>
    </w:lvl>
    <w:lvl w:ilvl="2" w:tplc="7C7068D8" w:tentative="1">
      <w:start w:val="1"/>
      <w:numFmt w:val="bullet"/>
      <w:lvlText w:val=""/>
      <w:lvlJc w:val="left"/>
      <w:pPr>
        <w:tabs>
          <w:tab w:val="num" w:pos="2160"/>
        </w:tabs>
        <w:ind w:left="2160" w:hanging="360"/>
      </w:pPr>
      <w:rPr>
        <w:rFonts w:ascii="Wingdings" w:hAnsi="Wingdings" w:hint="default"/>
        <w:sz w:val="20"/>
      </w:rPr>
    </w:lvl>
    <w:lvl w:ilvl="3" w:tplc="8E9A0E70" w:tentative="1">
      <w:start w:val="1"/>
      <w:numFmt w:val="bullet"/>
      <w:lvlText w:val=""/>
      <w:lvlJc w:val="left"/>
      <w:pPr>
        <w:tabs>
          <w:tab w:val="num" w:pos="2880"/>
        </w:tabs>
        <w:ind w:left="2880" w:hanging="360"/>
      </w:pPr>
      <w:rPr>
        <w:rFonts w:ascii="Wingdings" w:hAnsi="Wingdings" w:hint="default"/>
        <w:sz w:val="20"/>
      </w:rPr>
    </w:lvl>
    <w:lvl w:ilvl="4" w:tplc="51CC544C" w:tentative="1">
      <w:start w:val="1"/>
      <w:numFmt w:val="bullet"/>
      <w:lvlText w:val=""/>
      <w:lvlJc w:val="left"/>
      <w:pPr>
        <w:tabs>
          <w:tab w:val="num" w:pos="3600"/>
        </w:tabs>
        <w:ind w:left="3600" w:hanging="360"/>
      </w:pPr>
      <w:rPr>
        <w:rFonts w:ascii="Wingdings" w:hAnsi="Wingdings" w:hint="default"/>
        <w:sz w:val="20"/>
      </w:rPr>
    </w:lvl>
    <w:lvl w:ilvl="5" w:tplc="60262868" w:tentative="1">
      <w:start w:val="1"/>
      <w:numFmt w:val="bullet"/>
      <w:lvlText w:val=""/>
      <w:lvlJc w:val="left"/>
      <w:pPr>
        <w:tabs>
          <w:tab w:val="num" w:pos="4320"/>
        </w:tabs>
        <w:ind w:left="4320" w:hanging="360"/>
      </w:pPr>
      <w:rPr>
        <w:rFonts w:ascii="Wingdings" w:hAnsi="Wingdings" w:hint="default"/>
        <w:sz w:val="20"/>
      </w:rPr>
    </w:lvl>
    <w:lvl w:ilvl="6" w:tplc="803606FC" w:tentative="1">
      <w:start w:val="1"/>
      <w:numFmt w:val="bullet"/>
      <w:lvlText w:val=""/>
      <w:lvlJc w:val="left"/>
      <w:pPr>
        <w:tabs>
          <w:tab w:val="num" w:pos="5040"/>
        </w:tabs>
        <w:ind w:left="5040" w:hanging="360"/>
      </w:pPr>
      <w:rPr>
        <w:rFonts w:ascii="Wingdings" w:hAnsi="Wingdings" w:hint="default"/>
        <w:sz w:val="20"/>
      </w:rPr>
    </w:lvl>
    <w:lvl w:ilvl="7" w:tplc="6344B244" w:tentative="1">
      <w:start w:val="1"/>
      <w:numFmt w:val="bullet"/>
      <w:lvlText w:val=""/>
      <w:lvlJc w:val="left"/>
      <w:pPr>
        <w:tabs>
          <w:tab w:val="num" w:pos="5760"/>
        </w:tabs>
        <w:ind w:left="5760" w:hanging="360"/>
      </w:pPr>
      <w:rPr>
        <w:rFonts w:ascii="Wingdings" w:hAnsi="Wingdings" w:hint="default"/>
        <w:sz w:val="20"/>
      </w:rPr>
    </w:lvl>
    <w:lvl w:ilvl="8" w:tplc="6874AF50" w:tentative="1">
      <w:start w:val="1"/>
      <w:numFmt w:val="bullet"/>
      <w:lvlText w:val=""/>
      <w:lvlJc w:val="left"/>
      <w:pPr>
        <w:tabs>
          <w:tab w:val="num" w:pos="6480"/>
        </w:tabs>
        <w:ind w:left="6480" w:hanging="360"/>
      </w:pPr>
      <w:rPr>
        <w:rFonts w:ascii="Wingdings" w:hAnsi="Wingdings" w:hint="default"/>
        <w:sz w:val="20"/>
      </w:rPr>
    </w:lvl>
  </w:abstractNum>
  <w:abstractNum w:abstractNumId="492">
    <w:nsid w:val="788611BC"/>
    <w:multiLevelType w:val="hybridMultilevel"/>
    <w:tmpl w:val="0B74E2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3">
    <w:nsid w:val="78C6251C"/>
    <w:multiLevelType w:val="multilevel"/>
    <w:tmpl w:val="AD0C3980"/>
    <w:lvl w:ilvl="0">
      <w:start w:val="1"/>
      <w:numFmt w:val="bullet"/>
      <w:lvlText w:val=""/>
      <w:lvlJc w:val="left"/>
      <w:pPr>
        <w:tabs>
          <w:tab w:val="num" w:pos="397"/>
        </w:tabs>
        <w:ind w:left="397" w:hanging="397"/>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4">
    <w:nsid w:val="78E0749C"/>
    <w:multiLevelType w:val="singleLevel"/>
    <w:tmpl w:val="79E8355A"/>
    <w:lvl w:ilvl="0">
      <w:start w:val="1"/>
      <w:numFmt w:val="bullet"/>
      <w:lvlText w:val=""/>
      <w:lvlJc w:val="left"/>
      <w:pPr>
        <w:tabs>
          <w:tab w:val="num" w:pos="360"/>
        </w:tabs>
        <w:ind w:left="360" w:hanging="360"/>
      </w:pPr>
      <w:rPr>
        <w:rFonts w:ascii="Symbol" w:hAnsi="Symbol" w:hint="default"/>
      </w:rPr>
    </w:lvl>
  </w:abstractNum>
  <w:abstractNum w:abstractNumId="495">
    <w:nsid w:val="7908795E"/>
    <w:multiLevelType w:val="hybridMultilevel"/>
    <w:tmpl w:val="BA48E8BA"/>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96">
    <w:nsid w:val="79225E0A"/>
    <w:multiLevelType w:val="hybridMultilevel"/>
    <w:tmpl w:val="D1B6F27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97">
    <w:nsid w:val="79464378"/>
    <w:multiLevelType w:val="hybridMultilevel"/>
    <w:tmpl w:val="B5482F06"/>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8">
    <w:nsid w:val="795C0802"/>
    <w:multiLevelType w:val="hybridMultilevel"/>
    <w:tmpl w:val="B4107296"/>
    <w:lvl w:ilvl="0" w:tplc="EF960136">
      <w:start w:val="1"/>
      <w:numFmt w:val="bullet"/>
      <w:lvlText w:val=""/>
      <w:lvlJc w:val="left"/>
      <w:pPr>
        <w:tabs>
          <w:tab w:val="num" w:pos="1291"/>
        </w:tabs>
        <w:ind w:left="1291" w:hanging="360"/>
      </w:pPr>
      <w:rPr>
        <w:rFonts w:ascii="Wingdings 2" w:hAnsi="Wingdings 2"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9">
    <w:nsid w:val="79882944"/>
    <w:multiLevelType w:val="hybridMultilevel"/>
    <w:tmpl w:val="7F008B5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00">
    <w:nsid w:val="79B30B99"/>
    <w:multiLevelType w:val="hybridMultilevel"/>
    <w:tmpl w:val="46325C0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1">
    <w:nsid w:val="79FE4885"/>
    <w:multiLevelType w:val="hybridMultilevel"/>
    <w:tmpl w:val="C1183248"/>
    <w:lvl w:ilvl="0" w:tplc="9CDE7F7A">
      <w:start w:val="7"/>
      <w:numFmt w:val="lowerRoman"/>
      <w:lvlText w:val="%1)"/>
      <w:lvlJc w:val="left"/>
      <w:pPr>
        <w:tabs>
          <w:tab w:val="num" w:pos="1077"/>
        </w:tabs>
        <w:ind w:left="720" w:hanging="363"/>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2">
    <w:nsid w:val="7A991CC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3">
    <w:nsid w:val="7B030439"/>
    <w:multiLevelType w:val="hybridMultilevel"/>
    <w:tmpl w:val="76D0A274"/>
    <w:lvl w:ilvl="0" w:tplc="0419000B">
      <w:start w:val="1"/>
      <w:numFmt w:val="bullet"/>
      <w:lvlText w:val=""/>
      <w:lvlJc w:val="left"/>
      <w:pPr>
        <w:tabs>
          <w:tab w:val="num" w:pos="1290"/>
        </w:tabs>
        <w:ind w:left="1290" w:hanging="360"/>
      </w:pPr>
      <w:rPr>
        <w:rFonts w:ascii="Wingdings" w:hAnsi="Wingdings"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504">
    <w:nsid w:val="7B9E2ADA"/>
    <w:multiLevelType w:val="hybridMultilevel"/>
    <w:tmpl w:val="604A7F24"/>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05">
    <w:nsid w:val="7BCC07CE"/>
    <w:multiLevelType w:val="hybridMultilevel"/>
    <w:tmpl w:val="2A6CCA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6">
    <w:nsid w:val="7BCC18A9"/>
    <w:multiLevelType w:val="hybridMultilevel"/>
    <w:tmpl w:val="5EA8DF4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507">
    <w:nsid w:val="7BDC072E"/>
    <w:multiLevelType w:val="multilevel"/>
    <w:tmpl w:val="B3AAF828"/>
    <w:lvl w:ilvl="0">
      <w:start w:val="1"/>
      <w:numFmt w:val="lowerRoman"/>
      <w:lvlText w:val="%1)"/>
      <w:lvlJc w:val="left"/>
      <w:pPr>
        <w:tabs>
          <w:tab w:val="num" w:pos="2133"/>
        </w:tabs>
        <w:ind w:left="2133" w:hanging="720"/>
      </w:pPr>
      <w:rPr>
        <w:rFonts w:hint="default"/>
      </w:rPr>
    </w:lvl>
    <w:lvl w:ilvl="1">
      <w:start w:val="328"/>
      <w:numFmt w:val="decimal"/>
      <w:lvlText w:val="%2."/>
      <w:lvlJc w:val="left"/>
      <w:pPr>
        <w:tabs>
          <w:tab w:val="num" w:pos="2598"/>
        </w:tabs>
        <w:ind w:left="2598" w:hanging="465"/>
      </w:pPr>
      <w:rPr>
        <w:rFonts w:hint="default"/>
      </w:rPr>
    </w:lvl>
    <w:lvl w:ilvl="2">
      <w:start w:val="10"/>
      <w:numFmt w:val="lowerLetter"/>
      <w:lvlText w:val="%3."/>
      <w:lvlJc w:val="left"/>
      <w:pPr>
        <w:tabs>
          <w:tab w:val="num" w:pos="3393"/>
        </w:tabs>
        <w:ind w:left="3393" w:hanging="360"/>
      </w:pPr>
      <w:rPr>
        <w:rFonts w:hint="default"/>
      </w:rPr>
    </w:lvl>
    <w:lvl w:ilvl="3">
      <w:start w:val="1"/>
      <w:numFmt w:val="decimal"/>
      <w:lvlText w:val="%4."/>
      <w:lvlJc w:val="left"/>
      <w:pPr>
        <w:tabs>
          <w:tab w:val="num" w:pos="3933"/>
        </w:tabs>
        <w:ind w:left="3933" w:hanging="360"/>
      </w:pPr>
    </w:lvl>
    <w:lvl w:ilvl="4">
      <w:start w:val="1"/>
      <w:numFmt w:val="lowerLetter"/>
      <w:lvlText w:val="%5."/>
      <w:lvlJc w:val="left"/>
      <w:pPr>
        <w:tabs>
          <w:tab w:val="num" w:pos="4653"/>
        </w:tabs>
        <w:ind w:left="4653" w:hanging="360"/>
      </w:pPr>
    </w:lvl>
    <w:lvl w:ilvl="5">
      <w:start w:val="1"/>
      <w:numFmt w:val="lowerRoman"/>
      <w:lvlText w:val="%6."/>
      <w:lvlJc w:val="right"/>
      <w:pPr>
        <w:tabs>
          <w:tab w:val="num" w:pos="5373"/>
        </w:tabs>
        <w:ind w:left="5373" w:hanging="180"/>
      </w:pPr>
    </w:lvl>
    <w:lvl w:ilvl="6">
      <w:start w:val="1"/>
      <w:numFmt w:val="decimal"/>
      <w:lvlText w:val="%7."/>
      <w:lvlJc w:val="left"/>
      <w:pPr>
        <w:tabs>
          <w:tab w:val="num" w:pos="6093"/>
        </w:tabs>
        <w:ind w:left="6093" w:hanging="360"/>
      </w:pPr>
    </w:lvl>
    <w:lvl w:ilvl="7">
      <w:start w:val="1"/>
      <w:numFmt w:val="lowerLetter"/>
      <w:lvlText w:val="%8."/>
      <w:lvlJc w:val="left"/>
      <w:pPr>
        <w:tabs>
          <w:tab w:val="num" w:pos="6813"/>
        </w:tabs>
        <w:ind w:left="6813" w:hanging="360"/>
      </w:pPr>
    </w:lvl>
    <w:lvl w:ilvl="8">
      <w:start w:val="1"/>
      <w:numFmt w:val="lowerRoman"/>
      <w:lvlText w:val="%9."/>
      <w:lvlJc w:val="right"/>
      <w:pPr>
        <w:tabs>
          <w:tab w:val="num" w:pos="7533"/>
        </w:tabs>
        <w:ind w:left="7533" w:hanging="180"/>
      </w:pPr>
    </w:lvl>
  </w:abstractNum>
  <w:abstractNum w:abstractNumId="508">
    <w:nsid w:val="7BF00034"/>
    <w:multiLevelType w:val="hybridMultilevel"/>
    <w:tmpl w:val="ED7C3D72"/>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509">
    <w:nsid w:val="7C0807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0">
    <w:nsid w:val="7C244898"/>
    <w:multiLevelType w:val="hybridMultilevel"/>
    <w:tmpl w:val="B3AAF828"/>
    <w:lvl w:ilvl="0" w:tplc="FFFFFFFF">
      <w:start w:val="1"/>
      <w:numFmt w:val="lowerRoman"/>
      <w:lvlText w:val="%1)"/>
      <w:lvlJc w:val="left"/>
      <w:pPr>
        <w:tabs>
          <w:tab w:val="num" w:pos="2133"/>
        </w:tabs>
        <w:ind w:left="2133" w:hanging="720"/>
      </w:pPr>
      <w:rPr>
        <w:rFonts w:hint="default"/>
      </w:rPr>
    </w:lvl>
    <w:lvl w:ilvl="1" w:tplc="AA5C2A00">
      <w:start w:val="328"/>
      <w:numFmt w:val="decimal"/>
      <w:lvlText w:val="%2."/>
      <w:lvlJc w:val="left"/>
      <w:pPr>
        <w:tabs>
          <w:tab w:val="num" w:pos="2598"/>
        </w:tabs>
        <w:ind w:left="2598" w:hanging="465"/>
      </w:pPr>
      <w:rPr>
        <w:rFonts w:hint="default"/>
      </w:rPr>
    </w:lvl>
    <w:lvl w:ilvl="2" w:tplc="C2A25DB6">
      <w:start w:val="10"/>
      <w:numFmt w:val="lowerLetter"/>
      <w:lvlText w:val="%3."/>
      <w:lvlJc w:val="left"/>
      <w:pPr>
        <w:tabs>
          <w:tab w:val="num" w:pos="3393"/>
        </w:tabs>
        <w:ind w:left="3393" w:hanging="360"/>
      </w:pPr>
      <w:rPr>
        <w:rFonts w:hint="default"/>
      </w:rPr>
    </w:lvl>
    <w:lvl w:ilvl="3" w:tplc="FFFFFFFF" w:tentative="1">
      <w:start w:val="1"/>
      <w:numFmt w:val="decimal"/>
      <w:lvlText w:val="%4."/>
      <w:lvlJc w:val="left"/>
      <w:pPr>
        <w:tabs>
          <w:tab w:val="num" w:pos="3933"/>
        </w:tabs>
        <w:ind w:left="3933" w:hanging="360"/>
      </w:pPr>
    </w:lvl>
    <w:lvl w:ilvl="4" w:tplc="FFFFFFFF" w:tentative="1">
      <w:start w:val="1"/>
      <w:numFmt w:val="lowerLetter"/>
      <w:lvlText w:val="%5."/>
      <w:lvlJc w:val="left"/>
      <w:pPr>
        <w:tabs>
          <w:tab w:val="num" w:pos="4653"/>
        </w:tabs>
        <w:ind w:left="4653" w:hanging="360"/>
      </w:pPr>
    </w:lvl>
    <w:lvl w:ilvl="5" w:tplc="FFFFFFFF" w:tentative="1">
      <w:start w:val="1"/>
      <w:numFmt w:val="lowerRoman"/>
      <w:lvlText w:val="%6."/>
      <w:lvlJc w:val="right"/>
      <w:pPr>
        <w:tabs>
          <w:tab w:val="num" w:pos="5373"/>
        </w:tabs>
        <w:ind w:left="5373" w:hanging="180"/>
      </w:pPr>
    </w:lvl>
    <w:lvl w:ilvl="6" w:tplc="FFFFFFFF" w:tentative="1">
      <w:start w:val="1"/>
      <w:numFmt w:val="decimal"/>
      <w:lvlText w:val="%7."/>
      <w:lvlJc w:val="left"/>
      <w:pPr>
        <w:tabs>
          <w:tab w:val="num" w:pos="6093"/>
        </w:tabs>
        <w:ind w:left="6093" w:hanging="360"/>
      </w:pPr>
    </w:lvl>
    <w:lvl w:ilvl="7" w:tplc="FFFFFFFF" w:tentative="1">
      <w:start w:val="1"/>
      <w:numFmt w:val="lowerLetter"/>
      <w:lvlText w:val="%8."/>
      <w:lvlJc w:val="left"/>
      <w:pPr>
        <w:tabs>
          <w:tab w:val="num" w:pos="6813"/>
        </w:tabs>
        <w:ind w:left="6813" w:hanging="360"/>
      </w:pPr>
    </w:lvl>
    <w:lvl w:ilvl="8" w:tplc="FFFFFFFF" w:tentative="1">
      <w:start w:val="1"/>
      <w:numFmt w:val="lowerRoman"/>
      <w:lvlText w:val="%9."/>
      <w:lvlJc w:val="right"/>
      <w:pPr>
        <w:tabs>
          <w:tab w:val="num" w:pos="7533"/>
        </w:tabs>
        <w:ind w:left="7533" w:hanging="180"/>
      </w:pPr>
    </w:lvl>
  </w:abstractNum>
  <w:abstractNum w:abstractNumId="511">
    <w:nsid w:val="7CAD4C1F"/>
    <w:multiLevelType w:val="hybridMultilevel"/>
    <w:tmpl w:val="239A3736"/>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12">
    <w:nsid w:val="7CDE2E99"/>
    <w:multiLevelType w:val="hybridMultilevel"/>
    <w:tmpl w:val="A1D279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3">
    <w:nsid w:val="7CE82679"/>
    <w:multiLevelType w:val="hybridMultilevel"/>
    <w:tmpl w:val="08108DEA"/>
    <w:lvl w:ilvl="0" w:tplc="58EA71AA">
      <w:start w:val="1"/>
      <w:numFmt w:val="upperRoman"/>
      <w:lvlText w:val="%1."/>
      <w:lvlJc w:val="left"/>
      <w:pPr>
        <w:tabs>
          <w:tab w:val="num" w:pos="1428"/>
        </w:tabs>
        <w:ind w:left="1428" w:hanging="72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514">
    <w:nsid w:val="7DCD79F2"/>
    <w:multiLevelType w:val="hybridMultilevel"/>
    <w:tmpl w:val="B908DE1C"/>
    <w:lvl w:ilvl="0" w:tplc="A0102932">
      <w:start w:val="1"/>
      <w:numFmt w:val="decimal"/>
      <w:lvlText w:val="%1."/>
      <w:lvlJc w:val="left"/>
      <w:pPr>
        <w:tabs>
          <w:tab w:val="num" w:pos="360"/>
        </w:tabs>
        <w:ind w:left="357" w:hanging="357"/>
      </w:pPr>
      <w:rPr>
        <w:rFonts w:hint="default"/>
      </w:rPr>
    </w:lvl>
    <w:lvl w:ilvl="1" w:tplc="C12AE744">
      <w:start w:val="2"/>
      <w:numFmt w:val="upp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5">
    <w:nsid w:val="7E183BA1"/>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516">
    <w:nsid w:val="7E1E0A4F"/>
    <w:multiLevelType w:val="hybridMultilevel"/>
    <w:tmpl w:val="3D44CD8E"/>
    <w:lvl w:ilvl="0" w:tplc="02B65EE2">
      <w:start w:val="1"/>
      <w:numFmt w:val="bullet"/>
      <w:lvlText w:val=""/>
      <w:lvlJc w:val="left"/>
      <w:pPr>
        <w:tabs>
          <w:tab w:val="num" w:pos="720"/>
        </w:tabs>
        <w:ind w:left="720" w:hanging="363"/>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7">
    <w:nsid w:val="7E677BB6"/>
    <w:multiLevelType w:val="hybridMultilevel"/>
    <w:tmpl w:val="80C2F2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8">
    <w:nsid w:val="7F830BA1"/>
    <w:multiLevelType w:val="hybridMultilevel"/>
    <w:tmpl w:val="B6E631D4"/>
    <w:lvl w:ilvl="0" w:tplc="FFFFFFFF">
      <w:start w:val="5"/>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94"/>
  </w:num>
  <w:num w:numId="2">
    <w:abstractNumId w:val="194"/>
  </w:num>
  <w:num w:numId="3">
    <w:abstractNumId w:val="16"/>
  </w:num>
  <w:num w:numId="4">
    <w:abstractNumId w:val="71"/>
  </w:num>
  <w:num w:numId="5">
    <w:abstractNumId w:val="315"/>
  </w:num>
  <w:num w:numId="6">
    <w:abstractNumId w:val="346"/>
  </w:num>
  <w:num w:numId="7">
    <w:abstractNumId w:val="160"/>
  </w:num>
  <w:num w:numId="8">
    <w:abstractNumId w:val="268"/>
  </w:num>
  <w:num w:numId="9">
    <w:abstractNumId w:val="176"/>
  </w:num>
  <w:num w:numId="10">
    <w:abstractNumId w:val="378"/>
  </w:num>
  <w:num w:numId="11">
    <w:abstractNumId w:val="0"/>
  </w:num>
  <w:num w:numId="12">
    <w:abstractNumId w:val="83"/>
  </w:num>
  <w:num w:numId="13">
    <w:abstractNumId w:val="456"/>
  </w:num>
  <w:num w:numId="14">
    <w:abstractNumId w:val="26"/>
  </w:num>
  <w:num w:numId="15">
    <w:abstractNumId w:val="412"/>
  </w:num>
  <w:num w:numId="16">
    <w:abstractNumId w:val="264"/>
  </w:num>
  <w:num w:numId="17">
    <w:abstractNumId w:val="304"/>
  </w:num>
  <w:num w:numId="18">
    <w:abstractNumId w:val="420"/>
  </w:num>
  <w:num w:numId="19">
    <w:abstractNumId w:val="466"/>
  </w:num>
  <w:num w:numId="20">
    <w:abstractNumId w:val="235"/>
  </w:num>
  <w:num w:numId="21">
    <w:abstractNumId w:val="399"/>
  </w:num>
  <w:num w:numId="22">
    <w:abstractNumId w:val="317"/>
  </w:num>
  <w:num w:numId="23">
    <w:abstractNumId w:val="342"/>
  </w:num>
  <w:num w:numId="24">
    <w:abstractNumId w:val="196"/>
  </w:num>
  <w:num w:numId="25">
    <w:abstractNumId w:val="270"/>
  </w:num>
  <w:num w:numId="26">
    <w:abstractNumId w:val="508"/>
  </w:num>
  <w:num w:numId="27">
    <w:abstractNumId w:val="329"/>
  </w:num>
  <w:num w:numId="28">
    <w:abstractNumId w:val="130"/>
  </w:num>
  <w:num w:numId="29">
    <w:abstractNumId w:val="373"/>
  </w:num>
  <w:num w:numId="30">
    <w:abstractNumId w:val="34"/>
  </w:num>
  <w:num w:numId="31">
    <w:abstractNumId w:val="465"/>
  </w:num>
  <w:num w:numId="32">
    <w:abstractNumId w:val="324"/>
  </w:num>
  <w:num w:numId="33">
    <w:abstractNumId w:val="104"/>
  </w:num>
  <w:num w:numId="34">
    <w:abstractNumId w:val="449"/>
  </w:num>
  <w:num w:numId="35">
    <w:abstractNumId w:val="155"/>
  </w:num>
  <w:num w:numId="36">
    <w:abstractNumId w:val="161"/>
  </w:num>
  <w:num w:numId="37">
    <w:abstractNumId w:val="277"/>
  </w:num>
  <w:num w:numId="38">
    <w:abstractNumId w:val="103"/>
  </w:num>
  <w:num w:numId="39">
    <w:abstractNumId w:val="432"/>
  </w:num>
  <w:num w:numId="40">
    <w:abstractNumId w:val="111"/>
  </w:num>
  <w:num w:numId="41">
    <w:abstractNumId w:val="89"/>
  </w:num>
  <w:num w:numId="42">
    <w:abstractNumId w:val="406"/>
  </w:num>
  <w:num w:numId="43">
    <w:abstractNumId w:val="511"/>
  </w:num>
  <w:num w:numId="44">
    <w:abstractNumId w:val="131"/>
  </w:num>
  <w:num w:numId="45">
    <w:abstractNumId w:val="269"/>
  </w:num>
  <w:num w:numId="46">
    <w:abstractNumId w:val="349"/>
  </w:num>
  <w:num w:numId="47">
    <w:abstractNumId w:val="273"/>
  </w:num>
  <w:num w:numId="48">
    <w:abstractNumId w:val="377"/>
  </w:num>
  <w:num w:numId="49">
    <w:abstractNumId w:val="265"/>
  </w:num>
  <w:num w:numId="50">
    <w:abstractNumId w:val="35"/>
  </w:num>
  <w:num w:numId="51">
    <w:abstractNumId w:val="162"/>
  </w:num>
  <w:num w:numId="52">
    <w:abstractNumId w:val="184"/>
  </w:num>
  <w:num w:numId="53">
    <w:abstractNumId w:val="139"/>
  </w:num>
  <w:num w:numId="54">
    <w:abstractNumId w:val="3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37"/>
  </w:num>
  <w:num w:numId="56">
    <w:abstractNumId w:val="116"/>
  </w:num>
  <w:num w:numId="57">
    <w:abstractNumId w:val="428"/>
  </w:num>
  <w:num w:numId="58">
    <w:abstractNumId w:val="49"/>
  </w:num>
  <w:num w:numId="59">
    <w:abstractNumId w:val="334"/>
  </w:num>
  <w:num w:numId="60">
    <w:abstractNumId w:val="475"/>
  </w:num>
  <w:num w:numId="61">
    <w:abstractNumId w:val="216"/>
  </w:num>
  <w:num w:numId="62">
    <w:abstractNumId w:val="480"/>
  </w:num>
  <w:num w:numId="63">
    <w:abstractNumId w:val="231"/>
  </w:num>
  <w:num w:numId="64">
    <w:abstractNumId w:val="313"/>
  </w:num>
  <w:num w:numId="65">
    <w:abstractNumId w:val="457"/>
  </w:num>
  <w:num w:numId="66">
    <w:abstractNumId w:val="168"/>
  </w:num>
  <w:num w:numId="67">
    <w:abstractNumId w:val="279"/>
  </w:num>
  <w:num w:numId="68">
    <w:abstractNumId w:val="240"/>
  </w:num>
  <w:num w:numId="69">
    <w:abstractNumId w:val="474"/>
  </w:num>
  <w:num w:numId="70">
    <w:abstractNumId w:val="220"/>
  </w:num>
  <w:num w:numId="71">
    <w:abstractNumId w:val="177"/>
  </w:num>
  <w:num w:numId="72">
    <w:abstractNumId w:val="15"/>
  </w:num>
  <w:num w:numId="73">
    <w:abstractNumId w:val="101"/>
  </w:num>
  <w:num w:numId="74">
    <w:abstractNumId w:val="4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38"/>
  </w:num>
  <w:num w:numId="76">
    <w:abstractNumId w:val="518"/>
  </w:num>
  <w:num w:numId="77">
    <w:abstractNumId w:val="357"/>
  </w:num>
  <w:num w:numId="78">
    <w:abstractNumId w:val="242"/>
  </w:num>
  <w:num w:numId="79">
    <w:abstractNumId w:val="245"/>
  </w:num>
  <w:num w:numId="80">
    <w:abstractNumId w:val="275"/>
  </w:num>
  <w:num w:numId="81">
    <w:abstractNumId w:val="320"/>
  </w:num>
  <w:num w:numId="82">
    <w:abstractNumId w:val="335"/>
  </w:num>
  <w:num w:numId="83">
    <w:abstractNumId w:val="113"/>
  </w:num>
  <w:num w:numId="84">
    <w:abstractNumId w:val="259"/>
  </w:num>
  <w:num w:numId="85">
    <w:abstractNumId w:val="343"/>
  </w:num>
  <w:num w:numId="86">
    <w:abstractNumId w:val="387"/>
  </w:num>
  <w:num w:numId="87">
    <w:abstractNumId w:val="33"/>
  </w:num>
  <w:num w:numId="88">
    <w:abstractNumId w:val="345"/>
  </w:num>
  <w:num w:numId="89">
    <w:abstractNumId w:val="167"/>
  </w:num>
  <w:num w:numId="90">
    <w:abstractNumId w:val="249"/>
  </w:num>
  <w:num w:numId="91">
    <w:abstractNumId w:val="305"/>
  </w:num>
  <w:num w:numId="92">
    <w:abstractNumId w:val="137"/>
  </w:num>
  <w:num w:numId="93">
    <w:abstractNumId w:val="79"/>
  </w:num>
  <w:num w:numId="94">
    <w:abstractNumId w:val="1"/>
    <w:lvlOverride w:ilvl="0">
      <w:lvl w:ilvl="0">
        <w:numFmt w:val="bullet"/>
        <w:lvlText w:val="•"/>
        <w:legacy w:legacy="1" w:legacySpace="0" w:legacyIndent="0"/>
        <w:lvlJc w:val="left"/>
        <w:rPr>
          <w:rFonts w:ascii="Arial" w:hAnsi="Arial" w:cs="Arial" w:hint="default"/>
          <w:sz w:val="36"/>
        </w:rPr>
      </w:lvl>
    </w:lvlOverride>
  </w:num>
  <w:num w:numId="95">
    <w:abstractNumId w:val="72"/>
  </w:num>
  <w:num w:numId="96">
    <w:abstractNumId w:val="386"/>
  </w:num>
  <w:num w:numId="97">
    <w:abstractNumId w:val="510"/>
  </w:num>
  <w:num w:numId="98">
    <w:abstractNumId w:val="413"/>
  </w:num>
  <w:num w:numId="99">
    <w:abstractNumId w:val="85"/>
  </w:num>
  <w:num w:numId="100">
    <w:abstractNumId w:val="408"/>
  </w:num>
  <w:num w:numId="101">
    <w:abstractNumId w:val="53"/>
  </w:num>
  <w:num w:numId="102">
    <w:abstractNumId w:val="44"/>
  </w:num>
  <w:num w:numId="103">
    <w:abstractNumId w:val="93"/>
  </w:num>
  <w:num w:numId="104">
    <w:abstractNumId w:val="62"/>
  </w:num>
  <w:num w:numId="105">
    <w:abstractNumId w:val="375"/>
  </w:num>
  <w:num w:numId="106">
    <w:abstractNumId w:val="114"/>
  </w:num>
  <w:num w:numId="107">
    <w:abstractNumId w:val="414"/>
  </w:num>
  <w:num w:numId="108">
    <w:abstractNumId w:val="144"/>
  </w:num>
  <w:num w:numId="109">
    <w:abstractNumId w:val="493"/>
  </w:num>
  <w:num w:numId="110">
    <w:abstractNumId w:val="404"/>
  </w:num>
  <w:num w:numId="111">
    <w:abstractNumId w:val="31"/>
  </w:num>
  <w:num w:numId="112">
    <w:abstractNumId w:val="332"/>
  </w:num>
  <w:num w:numId="113">
    <w:abstractNumId w:val="3"/>
  </w:num>
  <w:num w:numId="114">
    <w:abstractNumId w:val="121"/>
  </w:num>
  <w:num w:numId="115">
    <w:abstractNumId w:val="415"/>
  </w:num>
  <w:num w:numId="116">
    <w:abstractNumId w:val="189"/>
  </w:num>
  <w:num w:numId="117">
    <w:abstractNumId w:val="206"/>
  </w:num>
  <w:num w:numId="118">
    <w:abstractNumId w:val="241"/>
  </w:num>
  <w:num w:numId="119">
    <w:abstractNumId w:val="253"/>
  </w:num>
  <w:num w:numId="120">
    <w:abstractNumId w:val="207"/>
  </w:num>
  <w:num w:numId="121">
    <w:abstractNumId w:val="307"/>
  </w:num>
  <w:num w:numId="122">
    <w:abstractNumId w:val="94"/>
  </w:num>
  <w:num w:numId="123">
    <w:abstractNumId w:val="158"/>
  </w:num>
  <w:num w:numId="124">
    <w:abstractNumId w:val="99"/>
  </w:num>
  <w:num w:numId="125">
    <w:abstractNumId w:val="391"/>
  </w:num>
  <w:num w:numId="126">
    <w:abstractNumId w:val="254"/>
  </w:num>
  <w:num w:numId="127">
    <w:abstractNumId w:val="135"/>
  </w:num>
  <w:num w:numId="128">
    <w:abstractNumId w:val="39"/>
  </w:num>
  <w:num w:numId="129">
    <w:abstractNumId w:val="427"/>
  </w:num>
  <w:num w:numId="130">
    <w:abstractNumId w:val="198"/>
  </w:num>
  <w:num w:numId="131">
    <w:abstractNumId w:val="296"/>
  </w:num>
  <w:num w:numId="132">
    <w:abstractNumId w:val="100"/>
  </w:num>
  <w:num w:numId="133">
    <w:abstractNumId w:val="29"/>
  </w:num>
  <w:num w:numId="134">
    <w:abstractNumId w:val="45"/>
  </w:num>
  <w:num w:numId="135">
    <w:abstractNumId w:val="105"/>
  </w:num>
  <w:num w:numId="136">
    <w:abstractNumId w:val="333"/>
  </w:num>
  <w:num w:numId="137">
    <w:abstractNumId w:val="78"/>
  </w:num>
  <w:num w:numId="138">
    <w:abstractNumId w:val="306"/>
  </w:num>
  <w:num w:numId="139">
    <w:abstractNumId w:val="46"/>
  </w:num>
  <w:num w:numId="140">
    <w:abstractNumId w:val="86"/>
  </w:num>
  <w:num w:numId="141">
    <w:abstractNumId w:val="55"/>
  </w:num>
  <w:num w:numId="142">
    <w:abstractNumId w:val="390"/>
  </w:num>
  <w:num w:numId="143">
    <w:abstractNumId w:val="218"/>
  </w:num>
  <w:num w:numId="144">
    <w:abstractNumId w:val="225"/>
  </w:num>
  <w:num w:numId="145">
    <w:abstractNumId w:val="143"/>
  </w:num>
  <w:num w:numId="146">
    <w:abstractNumId w:val="80"/>
  </w:num>
  <w:num w:numId="147">
    <w:abstractNumId w:val="257"/>
  </w:num>
  <w:num w:numId="148">
    <w:abstractNumId w:val="471"/>
  </w:num>
  <w:num w:numId="149">
    <w:abstractNumId w:val="464"/>
  </w:num>
  <w:num w:numId="150">
    <w:abstractNumId w:val="470"/>
  </w:num>
  <w:num w:numId="151">
    <w:abstractNumId w:val="462"/>
  </w:num>
  <w:num w:numId="152">
    <w:abstractNumId w:val="28"/>
  </w:num>
  <w:num w:numId="153">
    <w:abstractNumId w:val="87"/>
  </w:num>
  <w:num w:numId="154">
    <w:abstractNumId w:val="291"/>
  </w:num>
  <w:num w:numId="155">
    <w:abstractNumId w:val="380"/>
  </w:num>
  <w:num w:numId="156">
    <w:abstractNumId w:val="191"/>
  </w:num>
  <w:num w:numId="157">
    <w:abstractNumId w:val="214"/>
  </w:num>
  <w:num w:numId="158">
    <w:abstractNumId w:val="22"/>
  </w:num>
  <w:num w:numId="159">
    <w:abstractNumId w:val="188"/>
  </w:num>
  <w:num w:numId="160">
    <w:abstractNumId w:val="115"/>
  </w:num>
  <w:num w:numId="161">
    <w:abstractNumId w:val="11"/>
  </w:num>
  <w:num w:numId="162">
    <w:abstractNumId w:val="330"/>
  </w:num>
  <w:num w:numId="163">
    <w:abstractNumId w:val="192"/>
  </w:num>
  <w:num w:numId="164">
    <w:abstractNumId w:val="67"/>
  </w:num>
  <w:num w:numId="165">
    <w:abstractNumId w:val="18"/>
  </w:num>
  <w:num w:numId="166">
    <w:abstractNumId w:val="149"/>
  </w:num>
  <w:num w:numId="167">
    <w:abstractNumId w:val="118"/>
  </w:num>
  <w:num w:numId="168">
    <w:abstractNumId w:val="356"/>
  </w:num>
  <w:num w:numId="169">
    <w:abstractNumId w:val="21"/>
  </w:num>
  <w:num w:numId="170">
    <w:abstractNumId w:val="88"/>
  </w:num>
  <w:num w:numId="171">
    <w:abstractNumId w:val="294"/>
  </w:num>
  <w:num w:numId="172">
    <w:abstractNumId w:val="384"/>
  </w:num>
  <w:num w:numId="173">
    <w:abstractNumId w:val="47"/>
  </w:num>
  <w:num w:numId="174">
    <w:abstractNumId w:val="473"/>
  </w:num>
  <w:num w:numId="175">
    <w:abstractNumId w:val="483"/>
  </w:num>
  <w:num w:numId="176">
    <w:abstractNumId w:val="366"/>
  </w:num>
  <w:num w:numId="177">
    <w:abstractNumId w:val="502"/>
  </w:num>
  <w:num w:numId="178">
    <w:abstractNumId w:val="396"/>
  </w:num>
  <w:num w:numId="179">
    <w:abstractNumId w:val="300"/>
  </w:num>
  <w:num w:numId="180">
    <w:abstractNumId w:val="221"/>
  </w:num>
  <w:num w:numId="181">
    <w:abstractNumId w:val="134"/>
  </w:num>
  <w:num w:numId="182">
    <w:abstractNumId w:val="154"/>
  </w:num>
  <w:num w:numId="183">
    <w:abstractNumId w:val="302"/>
  </w:num>
  <w:num w:numId="184">
    <w:abstractNumId w:val="25"/>
  </w:num>
  <w:num w:numId="185">
    <w:abstractNumId w:val="222"/>
  </w:num>
  <w:num w:numId="186">
    <w:abstractNumId w:val="187"/>
  </w:num>
  <w:num w:numId="187">
    <w:abstractNumId w:val="484"/>
  </w:num>
  <w:num w:numId="188">
    <w:abstractNumId w:val="69"/>
  </w:num>
  <w:num w:numId="189">
    <w:abstractNumId w:val="182"/>
  </w:num>
  <w:num w:numId="190">
    <w:abstractNumId w:val="164"/>
  </w:num>
  <w:num w:numId="191">
    <w:abstractNumId w:val="287"/>
  </w:num>
  <w:num w:numId="192">
    <w:abstractNumId w:val="42"/>
  </w:num>
  <w:num w:numId="193">
    <w:abstractNumId w:val="84"/>
  </w:num>
  <w:num w:numId="194">
    <w:abstractNumId w:val="509"/>
  </w:num>
  <w:num w:numId="195">
    <w:abstractNumId w:val="319"/>
  </w:num>
  <w:num w:numId="196">
    <w:abstractNumId w:val="102"/>
  </w:num>
  <w:num w:numId="197">
    <w:abstractNumId w:val="119"/>
  </w:num>
  <w:num w:numId="198">
    <w:abstractNumId w:val="146"/>
  </w:num>
  <w:num w:numId="199">
    <w:abstractNumId w:val="213"/>
  </w:num>
  <w:num w:numId="200">
    <w:abstractNumId w:val="371"/>
  </w:num>
  <w:num w:numId="201">
    <w:abstractNumId w:val="56"/>
  </w:num>
  <w:num w:numId="202">
    <w:abstractNumId w:val="327"/>
  </w:num>
  <w:num w:numId="203">
    <w:abstractNumId w:val="322"/>
  </w:num>
  <w:num w:numId="204">
    <w:abstractNumId w:val="481"/>
  </w:num>
  <w:num w:numId="205">
    <w:abstractNumId w:val="290"/>
  </w:num>
  <w:num w:numId="206">
    <w:abstractNumId w:val="297"/>
  </w:num>
  <w:num w:numId="207">
    <w:abstractNumId w:val="70"/>
  </w:num>
  <w:num w:numId="208">
    <w:abstractNumId w:val="227"/>
  </w:num>
  <w:num w:numId="209">
    <w:abstractNumId w:val="463"/>
  </w:num>
  <w:num w:numId="210">
    <w:abstractNumId w:val="429"/>
  </w:num>
  <w:num w:numId="211">
    <w:abstractNumId w:val="19"/>
  </w:num>
  <w:num w:numId="212">
    <w:abstractNumId w:val="358"/>
  </w:num>
  <w:num w:numId="213">
    <w:abstractNumId w:val="309"/>
  </w:num>
  <w:num w:numId="214">
    <w:abstractNumId w:val="23"/>
  </w:num>
  <w:num w:numId="215">
    <w:abstractNumId w:val="152"/>
  </w:num>
  <w:num w:numId="216">
    <w:abstractNumId w:val="96"/>
  </w:num>
  <w:num w:numId="217">
    <w:abstractNumId w:val="418"/>
  </w:num>
  <w:num w:numId="218">
    <w:abstractNumId w:val="515"/>
  </w:num>
  <w:num w:numId="219">
    <w:abstractNumId w:val="401"/>
  </w:num>
  <w:num w:numId="220">
    <w:abstractNumId w:val="171"/>
  </w:num>
  <w:num w:numId="221">
    <w:abstractNumId w:val="417"/>
  </w:num>
  <w:num w:numId="222">
    <w:abstractNumId w:val="82"/>
  </w:num>
  <w:num w:numId="223">
    <w:abstractNumId w:val="243"/>
  </w:num>
  <w:num w:numId="224">
    <w:abstractNumId w:val="13"/>
  </w:num>
  <w:num w:numId="225">
    <w:abstractNumId w:val="336"/>
  </w:num>
  <w:num w:numId="226">
    <w:abstractNumId w:val="20"/>
  </w:num>
  <w:num w:numId="227">
    <w:abstractNumId w:val="10"/>
  </w:num>
  <w:num w:numId="228">
    <w:abstractNumId w:val="157"/>
  </w:num>
  <w:num w:numId="229">
    <w:abstractNumId w:val="488"/>
  </w:num>
  <w:num w:numId="230">
    <w:abstractNumId w:val="60"/>
  </w:num>
  <w:num w:numId="231">
    <w:abstractNumId w:val="230"/>
  </w:num>
  <w:num w:numId="232">
    <w:abstractNumId w:val="228"/>
  </w:num>
  <w:num w:numId="233">
    <w:abstractNumId w:val="372"/>
  </w:num>
  <w:num w:numId="234">
    <w:abstractNumId w:val="459"/>
  </w:num>
  <w:num w:numId="235">
    <w:abstractNumId w:val="301"/>
  </w:num>
  <w:num w:numId="236">
    <w:abstractNumId w:val="293"/>
  </w:num>
  <w:num w:numId="237">
    <w:abstractNumId w:val="478"/>
  </w:num>
  <w:num w:numId="238">
    <w:abstractNumId w:val="117"/>
  </w:num>
  <w:num w:numId="239">
    <w:abstractNumId w:val="61"/>
  </w:num>
  <w:num w:numId="240">
    <w:abstractNumId w:val="173"/>
  </w:num>
  <w:num w:numId="241">
    <w:abstractNumId w:val="197"/>
  </w:num>
  <w:num w:numId="242">
    <w:abstractNumId w:val="199"/>
  </w:num>
  <w:num w:numId="243">
    <w:abstractNumId w:val="150"/>
  </w:num>
  <w:num w:numId="244">
    <w:abstractNumId w:val="201"/>
  </w:num>
  <w:num w:numId="245">
    <w:abstractNumId w:val="312"/>
  </w:num>
  <w:num w:numId="246">
    <w:abstractNumId w:val="388"/>
  </w:num>
  <w:num w:numId="247">
    <w:abstractNumId w:val="66"/>
  </w:num>
  <w:num w:numId="248">
    <w:abstractNumId w:val="180"/>
  </w:num>
  <w:num w:numId="249">
    <w:abstractNumId w:val="175"/>
  </w:num>
  <w:num w:numId="250">
    <w:abstractNumId w:val="359"/>
  </w:num>
  <w:num w:numId="251">
    <w:abstractNumId w:val="233"/>
  </w:num>
  <w:num w:numId="252">
    <w:abstractNumId w:val="469"/>
  </w:num>
  <w:num w:numId="253">
    <w:abstractNumId w:val="32"/>
  </w:num>
  <w:num w:numId="254">
    <w:abstractNumId w:val="186"/>
  </w:num>
  <w:num w:numId="255">
    <w:abstractNumId w:val="402"/>
  </w:num>
  <w:num w:numId="256">
    <w:abstractNumId w:val="423"/>
  </w:num>
  <w:num w:numId="257">
    <w:abstractNumId w:val="271"/>
  </w:num>
  <w:num w:numId="258">
    <w:abstractNumId w:val="126"/>
  </w:num>
  <w:num w:numId="259">
    <w:abstractNumId w:val="379"/>
  </w:num>
  <w:num w:numId="260">
    <w:abstractNumId w:val="215"/>
  </w:num>
  <w:num w:numId="261">
    <w:abstractNumId w:val="170"/>
  </w:num>
  <w:num w:numId="262">
    <w:abstractNumId w:val="278"/>
  </w:num>
  <w:num w:numId="263">
    <w:abstractNumId w:val="73"/>
  </w:num>
  <w:num w:numId="264">
    <w:abstractNumId w:val="374"/>
  </w:num>
  <w:num w:numId="265">
    <w:abstractNumId w:val="425"/>
  </w:num>
  <w:num w:numId="266">
    <w:abstractNumId w:val="361"/>
  </w:num>
  <w:num w:numId="267">
    <w:abstractNumId w:val="203"/>
  </w:num>
  <w:num w:numId="268">
    <w:abstractNumId w:val="210"/>
  </w:num>
  <w:num w:numId="269">
    <w:abstractNumId w:val="38"/>
  </w:num>
  <w:num w:numId="270">
    <w:abstractNumId w:val="490"/>
  </w:num>
  <w:num w:numId="271">
    <w:abstractNumId w:val="251"/>
  </w:num>
  <w:num w:numId="272">
    <w:abstractNumId w:val="229"/>
  </w:num>
  <w:num w:numId="273">
    <w:abstractNumId w:val="497"/>
  </w:num>
  <w:num w:numId="274">
    <w:abstractNumId w:val="436"/>
  </w:num>
  <w:num w:numId="275">
    <w:abstractNumId w:val="460"/>
  </w:num>
  <w:num w:numId="276">
    <w:abstractNumId w:val="308"/>
  </w:num>
  <w:num w:numId="277">
    <w:abstractNumId w:val="370"/>
  </w:num>
  <w:num w:numId="278">
    <w:abstractNumId w:val="141"/>
  </w:num>
  <w:num w:numId="279">
    <w:abstractNumId w:val="127"/>
  </w:num>
  <w:num w:numId="280">
    <w:abstractNumId w:val="145"/>
  </w:num>
  <w:num w:numId="281">
    <w:abstractNumId w:val="2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2">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3">
    <w:abstractNumId w:val="451"/>
  </w:num>
  <w:num w:numId="284">
    <w:abstractNumId w:val="124"/>
  </w:num>
  <w:num w:numId="285">
    <w:abstractNumId w:val="2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6">
    <w:abstractNumId w:val="267"/>
    <w:lvlOverride w:ilvl="0"/>
  </w:num>
  <w:num w:numId="287">
    <w:abstractNumId w:val="340"/>
  </w:num>
  <w:num w:numId="288">
    <w:abstractNumId w:val="407"/>
  </w:num>
  <w:num w:numId="289">
    <w:abstractNumId w:val="494"/>
  </w:num>
  <w:num w:numId="290">
    <w:abstractNumId w:val="504"/>
  </w:num>
  <w:num w:numId="291">
    <w:abstractNumId w:val="12"/>
  </w:num>
  <w:num w:numId="292">
    <w:abstractNumId w:val="403"/>
  </w:num>
  <w:num w:numId="293">
    <w:abstractNumId w:val="183"/>
  </w:num>
  <w:num w:numId="294">
    <w:abstractNumId w:val="52"/>
  </w:num>
  <w:num w:numId="295">
    <w:abstractNumId w:val="281"/>
  </w:num>
  <w:num w:numId="296">
    <w:abstractNumId w:val="363"/>
  </w:num>
  <w:num w:numId="297">
    <w:abstractNumId w:val="51"/>
  </w:num>
  <w:num w:numId="298">
    <w:abstractNumId w:val="477"/>
  </w:num>
  <w:num w:numId="299">
    <w:abstractNumId w:val="394"/>
  </w:num>
  <w:num w:numId="300">
    <w:abstractNumId w:val="479"/>
  </w:num>
  <w:num w:numId="301">
    <w:abstractNumId w:val="430"/>
  </w:num>
  <w:num w:numId="302">
    <w:abstractNumId w:val="453"/>
  </w:num>
  <w:num w:numId="303">
    <w:abstractNumId w:val="37"/>
  </w:num>
  <w:num w:numId="304">
    <w:abstractNumId w:val="252"/>
  </w:num>
  <w:num w:numId="305">
    <w:abstractNumId w:val="422"/>
  </w:num>
  <w:num w:numId="306">
    <w:abstractNumId w:val="272"/>
  </w:num>
  <w:num w:numId="307">
    <w:abstractNumId w:val="204"/>
  </w:num>
  <w:num w:numId="308">
    <w:abstractNumId w:val="98"/>
  </w:num>
  <w:num w:numId="309">
    <w:abstractNumId w:val="314"/>
  </w:num>
  <w:num w:numId="310">
    <w:abstractNumId w:val="283"/>
  </w:num>
  <w:num w:numId="311">
    <w:abstractNumId w:val="54"/>
  </w:num>
  <w:num w:numId="312">
    <w:abstractNumId w:val="439"/>
  </w:num>
  <w:num w:numId="313">
    <w:abstractNumId w:val="75"/>
  </w:num>
  <w:num w:numId="314">
    <w:abstractNumId w:val="397"/>
  </w:num>
  <w:num w:numId="315">
    <w:abstractNumId w:val="500"/>
  </w:num>
  <w:num w:numId="316">
    <w:abstractNumId w:val="514"/>
  </w:num>
  <w:num w:numId="317">
    <w:abstractNumId w:val="442"/>
  </w:num>
  <w:num w:numId="318">
    <w:abstractNumId w:val="255"/>
  </w:num>
  <w:num w:numId="319">
    <w:abstractNumId w:val="348"/>
  </w:num>
  <w:num w:numId="320">
    <w:abstractNumId w:val="92"/>
  </w:num>
  <w:num w:numId="321">
    <w:abstractNumId w:val="411"/>
  </w:num>
  <w:num w:numId="322">
    <w:abstractNumId w:val="205"/>
  </w:num>
  <w:num w:numId="323">
    <w:abstractNumId w:val="2"/>
  </w:num>
  <w:num w:numId="324">
    <w:abstractNumId w:val="58"/>
  </w:num>
  <w:num w:numId="325">
    <w:abstractNumId w:val="223"/>
  </w:num>
  <w:num w:numId="326">
    <w:abstractNumId w:val="8"/>
  </w:num>
  <w:num w:numId="327">
    <w:abstractNumId w:val="472"/>
  </w:num>
  <w:num w:numId="328">
    <w:abstractNumId w:val="491"/>
  </w:num>
  <w:num w:numId="329">
    <w:abstractNumId w:val="64"/>
  </w:num>
  <w:num w:numId="330">
    <w:abstractNumId w:val="516"/>
  </w:num>
  <w:num w:numId="331">
    <w:abstractNumId w:val="153"/>
  </w:num>
  <w:num w:numId="332">
    <w:abstractNumId w:val="138"/>
  </w:num>
  <w:num w:numId="333">
    <w:abstractNumId w:val="433"/>
  </w:num>
  <w:num w:numId="334">
    <w:abstractNumId w:val="122"/>
  </w:num>
  <w:num w:numId="335">
    <w:abstractNumId w:val="151"/>
  </w:num>
  <w:num w:numId="336">
    <w:abstractNumId w:val="209"/>
  </w:num>
  <w:num w:numId="337">
    <w:abstractNumId w:val="258"/>
  </w:num>
  <w:num w:numId="338">
    <w:abstractNumId w:val="437"/>
  </w:num>
  <w:num w:numId="339">
    <w:abstractNumId w:val="261"/>
  </w:num>
  <w:num w:numId="340">
    <w:abstractNumId w:val="108"/>
  </w:num>
  <w:num w:numId="341">
    <w:abstractNumId w:val="190"/>
  </w:num>
  <w:num w:numId="342">
    <w:abstractNumId w:val="400"/>
  </w:num>
  <w:num w:numId="343">
    <w:abstractNumId w:val="501"/>
  </w:num>
  <w:num w:numId="344">
    <w:abstractNumId w:val="166"/>
  </w:num>
  <w:num w:numId="345">
    <w:abstractNumId w:val="97"/>
  </w:num>
  <w:num w:numId="346">
    <w:abstractNumId w:val="9"/>
  </w:num>
  <w:num w:numId="347">
    <w:abstractNumId w:val="234"/>
  </w:num>
  <w:num w:numId="348">
    <w:abstractNumId w:val="364"/>
  </w:num>
  <w:num w:numId="349">
    <w:abstractNumId w:val="219"/>
  </w:num>
  <w:num w:numId="350">
    <w:abstractNumId w:val="40"/>
  </w:num>
  <w:num w:numId="351">
    <w:abstractNumId w:val="208"/>
  </w:num>
  <w:num w:numId="352">
    <w:abstractNumId w:val="295"/>
  </w:num>
  <w:num w:numId="353">
    <w:abstractNumId w:val="438"/>
  </w:num>
  <w:num w:numId="354">
    <w:abstractNumId w:val="136"/>
  </w:num>
  <w:num w:numId="355">
    <w:abstractNumId w:val="421"/>
  </w:num>
  <w:num w:numId="356">
    <w:abstractNumId w:val="142"/>
  </w:num>
  <w:num w:numId="357">
    <w:abstractNumId w:val="65"/>
  </w:num>
  <w:num w:numId="358">
    <w:abstractNumId w:val="262"/>
  </w:num>
  <w:num w:numId="359">
    <w:abstractNumId w:val="266"/>
  </w:num>
  <w:num w:numId="360">
    <w:abstractNumId w:val="303"/>
  </w:num>
  <w:num w:numId="361">
    <w:abstractNumId w:val="148"/>
  </w:num>
  <w:num w:numId="362">
    <w:abstractNumId w:val="181"/>
  </w:num>
  <w:num w:numId="363">
    <w:abstractNumId w:val="354"/>
  </w:num>
  <w:num w:numId="364">
    <w:abstractNumId w:val="321"/>
  </w:num>
  <w:num w:numId="365">
    <w:abstractNumId w:val="112"/>
  </w:num>
  <w:num w:numId="366">
    <w:abstractNumId w:val="224"/>
  </w:num>
  <w:num w:numId="367">
    <w:abstractNumId w:val="179"/>
  </w:num>
  <w:num w:numId="368">
    <w:abstractNumId w:val="147"/>
  </w:num>
  <w:num w:numId="369">
    <w:abstractNumId w:val="193"/>
  </w:num>
  <w:num w:numId="370">
    <w:abstractNumId w:val="360"/>
  </w:num>
  <w:num w:numId="371">
    <w:abstractNumId w:val="362"/>
  </w:num>
  <w:num w:numId="372">
    <w:abstractNumId w:val="513"/>
  </w:num>
  <w:num w:numId="373">
    <w:abstractNumId w:val="156"/>
  </w:num>
  <w:num w:numId="374">
    <w:abstractNumId w:val="200"/>
  </w:num>
  <w:num w:numId="375">
    <w:abstractNumId w:val="445"/>
  </w:num>
  <w:num w:numId="376">
    <w:abstractNumId w:val="90"/>
  </w:num>
  <w:num w:numId="377">
    <w:abstractNumId w:val="288"/>
  </w:num>
  <w:num w:numId="378">
    <w:abstractNumId w:val="285"/>
  </w:num>
  <w:num w:numId="379">
    <w:abstractNumId w:val="316"/>
  </w:num>
  <w:num w:numId="380">
    <w:abstractNumId w:val="467"/>
  </w:num>
  <w:num w:numId="381">
    <w:abstractNumId w:val="485"/>
  </w:num>
  <w:num w:numId="382">
    <w:abstractNumId w:val="260"/>
  </w:num>
  <w:num w:numId="383">
    <w:abstractNumId w:val="77"/>
  </w:num>
  <w:num w:numId="384">
    <w:abstractNumId w:val="446"/>
  </w:num>
  <w:num w:numId="385">
    <w:abstractNumId w:val="129"/>
  </w:num>
  <w:num w:numId="386">
    <w:abstractNumId w:val="331"/>
  </w:num>
  <w:num w:numId="387">
    <w:abstractNumId w:val="507"/>
  </w:num>
  <w:num w:numId="388">
    <w:abstractNumId w:val="123"/>
  </w:num>
  <w:num w:numId="389">
    <w:abstractNumId w:val="395"/>
  </w:num>
  <w:num w:numId="390">
    <w:abstractNumId w:val="50"/>
  </w:num>
  <w:num w:numId="391">
    <w:abstractNumId w:val="410"/>
  </w:num>
  <w:num w:numId="392">
    <w:abstractNumId w:val="211"/>
  </w:num>
  <w:num w:numId="393">
    <w:abstractNumId w:val="426"/>
  </w:num>
  <w:num w:numId="394">
    <w:abstractNumId w:val="178"/>
  </w:num>
  <w:num w:numId="395">
    <w:abstractNumId w:val="237"/>
  </w:num>
  <w:num w:numId="396">
    <w:abstractNumId w:val="452"/>
  </w:num>
  <w:num w:numId="397">
    <w:abstractNumId w:val="328"/>
  </w:num>
  <w:num w:numId="398">
    <w:abstractNumId w:val="368"/>
  </w:num>
  <w:num w:numId="399">
    <w:abstractNumId w:val="347"/>
  </w:num>
  <w:num w:numId="400">
    <w:abstractNumId w:val="6"/>
  </w:num>
  <w:num w:numId="401">
    <w:abstractNumId w:val="311"/>
  </w:num>
  <w:num w:numId="402">
    <w:abstractNumId w:val="392"/>
  </w:num>
  <w:num w:numId="403">
    <w:abstractNumId w:val="247"/>
  </w:num>
  <w:num w:numId="404">
    <w:abstractNumId w:val="498"/>
  </w:num>
  <w:num w:numId="405">
    <w:abstractNumId w:val="232"/>
  </w:num>
  <w:num w:numId="406">
    <w:abstractNumId w:val="106"/>
  </w:num>
  <w:num w:numId="407">
    <w:abstractNumId w:val="450"/>
  </w:num>
  <w:num w:numId="408">
    <w:abstractNumId w:val="503"/>
  </w:num>
  <w:num w:numId="409">
    <w:abstractNumId w:val="455"/>
  </w:num>
  <w:num w:numId="410">
    <w:abstractNumId w:val="424"/>
  </w:num>
  <w:num w:numId="411">
    <w:abstractNumId w:val="91"/>
  </w:num>
  <w:num w:numId="412">
    <w:abstractNumId w:val="133"/>
  </w:num>
  <w:num w:numId="413">
    <w:abstractNumId w:val="185"/>
  </w:num>
  <w:num w:numId="414">
    <w:abstractNumId w:val="458"/>
  </w:num>
  <w:num w:numId="415">
    <w:abstractNumId w:val="163"/>
  </w:num>
  <w:num w:numId="416">
    <w:abstractNumId w:val="487"/>
  </w:num>
  <w:num w:numId="417">
    <w:abstractNumId w:val="27"/>
  </w:num>
  <w:num w:numId="418">
    <w:abstractNumId w:val="4"/>
  </w:num>
  <w:num w:numId="419">
    <w:abstractNumId w:val="389"/>
  </w:num>
  <w:num w:numId="420">
    <w:abstractNumId w:val="239"/>
  </w:num>
  <w:num w:numId="421">
    <w:abstractNumId w:val="482"/>
  </w:num>
  <w:num w:numId="422">
    <w:abstractNumId w:val="468"/>
  </w:num>
  <w:num w:numId="423">
    <w:abstractNumId w:val="512"/>
  </w:num>
  <w:num w:numId="424">
    <w:abstractNumId w:val="393"/>
  </w:num>
  <w:num w:numId="425">
    <w:abstractNumId w:val="416"/>
  </w:num>
  <w:num w:numId="426">
    <w:abstractNumId w:val="59"/>
  </w:num>
  <w:num w:numId="427">
    <w:abstractNumId w:val="434"/>
  </w:num>
  <w:num w:numId="428">
    <w:abstractNumId w:val="17"/>
  </w:num>
  <w:num w:numId="429">
    <w:abstractNumId w:val="292"/>
  </w:num>
  <w:num w:numId="430">
    <w:abstractNumId w:val="5"/>
  </w:num>
  <w:num w:numId="431">
    <w:abstractNumId w:val="517"/>
  </w:num>
  <w:num w:numId="432">
    <w:abstractNumId w:val="120"/>
  </w:num>
  <w:num w:numId="433">
    <w:abstractNumId w:val="48"/>
  </w:num>
  <w:num w:numId="434">
    <w:abstractNumId w:val="74"/>
  </w:num>
  <w:num w:numId="435">
    <w:abstractNumId w:val="236"/>
  </w:num>
  <w:num w:numId="436">
    <w:abstractNumId w:val="382"/>
  </w:num>
  <w:num w:numId="437">
    <w:abstractNumId w:val="76"/>
  </w:num>
  <w:num w:numId="438">
    <w:abstractNumId w:val="496"/>
  </w:num>
  <w:num w:numId="439">
    <w:abstractNumId w:val="489"/>
  </w:num>
  <w:num w:numId="440">
    <w:abstractNumId w:val="159"/>
  </w:num>
  <w:num w:numId="441">
    <w:abstractNumId w:val="95"/>
  </w:num>
  <w:num w:numId="442">
    <w:abstractNumId w:val="248"/>
  </w:num>
  <w:num w:numId="443">
    <w:abstractNumId w:val="289"/>
  </w:num>
  <w:num w:numId="444">
    <w:abstractNumId w:val="376"/>
  </w:num>
  <w:num w:numId="445">
    <w:abstractNumId w:val="344"/>
  </w:num>
  <w:num w:numId="446">
    <w:abstractNumId w:val="226"/>
  </w:num>
  <w:num w:numId="447">
    <w:abstractNumId w:val="385"/>
  </w:num>
  <w:num w:numId="448">
    <w:abstractNumId w:val="398"/>
  </w:num>
  <w:num w:numId="449">
    <w:abstractNumId w:val="383"/>
  </w:num>
  <w:num w:numId="450">
    <w:abstractNumId w:val="353"/>
  </w:num>
  <w:num w:numId="451">
    <w:abstractNumId w:val="43"/>
  </w:num>
  <w:num w:numId="452">
    <w:abstractNumId w:val="339"/>
  </w:num>
  <w:num w:numId="453">
    <w:abstractNumId w:val="256"/>
  </w:num>
  <w:num w:numId="454">
    <w:abstractNumId w:val="499"/>
  </w:num>
  <w:num w:numId="455">
    <w:abstractNumId w:val="57"/>
  </w:num>
  <w:num w:numId="456">
    <w:abstractNumId w:val="109"/>
  </w:num>
  <w:num w:numId="457">
    <w:abstractNumId w:val="165"/>
  </w:num>
  <w:num w:numId="458">
    <w:abstractNumId w:val="318"/>
  </w:num>
  <w:num w:numId="459">
    <w:abstractNumId w:val="443"/>
  </w:num>
  <w:num w:numId="460">
    <w:abstractNumId w:val="486"/>
  </w:num>
  <w:num w:numId="461">
    <w:abstractNumId w:val="244"/>
  </w:num>
  <w:num w:numId="462">
    <w:abstractNumId w:val="276"/>
  </w:num>
  <w:num w:numId="463">
    <w:abstractNumId w:val="405"/>
  </w:num>
  <w:num w:numId="464">
    <w:abstractNumId w:val="431"/>
  </w:num>
  <w:num w:numId="465">
    <w:abstractNumId w:val="81"/>
  </w:num>
  <w:num w:numId="466">
    <w:abstractNumId w:val="441"/>
  </w:num>
  <w:num w:numId="467">
    <w:abstractNumId w:val="68"/>
  </w:num>
  <w:num w:numId="468">
    <w:abstractNumId w:val="381"/>
  </w:num>
  <w:num w:numId="469">
    <w:abstractNumId w:val="492"/>
  </w:num>
  <w:num w:numId="470">
    <w:abstractNumId w:val="367"/>
  </w:num>
  <w:num w:numId="471">
    <w:abstractNumId w:val="476"/>
  </w:num>
  <w:num w:numId="472">
    <w:abstractNumId w:val="169"/>
  </w:num>
  <w:num w:numId="473">
    <w:abstractNumId w:val="63"/>
  </w:num>
  <w:num w:numId="474">
    <w:abstractNumId w:val="286"/>
  </w:num>
  <w:num w:numId="475">
    <w:abstractNumId w:val="274"/>
  </w:num>
  <w:num w:numId="476">
    <w:abstractNumId w:val="325"/>
  </w:num>
  <w:num w:numId="477">
    <w:abstractNumId w:val="448"/>
  </w:num>
  <w:num w:numId="478">
    <w:abstractNumId w:val="110"/>
  </w:num>
  <w:num w:numId="479">
    <w:abstractNumId w:val="326"/>
  </w:num>
  <w:num w:numId="480">
    <w:abstractNumId w:val="352"/>
  </w:num>
  <w:num w:numId="481">
    <w:abstractNumId w:val="41"/>
  </w:num>
  <w:num w:numId="482">
    <w:abstractNumId w:val="195"/>
  </w:num>
  <w:num w:numId="483">
    <w:abstractNumId w:val="284"/>
  </w:num>
  <w:num w:numId="484">
    <w:abstractNumId w:val="435"/>
  </w:num>
  <w:num w:numId="485">
    <w:abstractNumId w:val="369"/>
  </w:num>
  <w:num w:numId="486">
    <w:abstractNumId w:val="36"/>
  </w:num>
  <w:num w:numId="487">
    <w:abstractNumId w:val="125"/>
  </w:num>
  <w:num w:numId="488">
    <w:abstractNumId w:val="298"/>
  </w:num>
  <w:num w:numId="489">
    <w:abstractNumId w:val="280"/>
  </w:num>
  <w:num w:numId="490">
    <w:abstractNumId w:val="419"/>
  </w:num>
  <w:num w:numId="491">
    <w:abstractNumId w:val="365"/>
  </w:num>
  <w:num w:numId="492">
    <w:abstractNumId w:val="350"/>
  </w:num>
  <w:num w:numId="493">
    <w:abstractNumId w:val="107"/>
  </w:num>
  <w:num w:numId="494">
    <w:abstractNumId w:val="30"/>
  </w:num>
  <w:num w:numId="495">
    <w:abstractNumId w:val="454"/>
  </w:num>
  <w:num w:numId="496">
    <w:abstractNumId w:val="14"/>
  </w:num>
  <w:num w:numId="497">
    <w:abstractNumId w:val="447"/>
  </w:num>
  <w:num w:numId="498">
    <w:abstractNumId w:val="299"/>
  </w:num>
  <w:num w:numId="499">
    <w:abstractNumId w:val="24"/>
  </w:num>
  <w:num w:numId="500">
    <w:abstractNumId w:val="7"/>
  </w:num>
  <w:num w:numId="501">
    <w:abstractNumId w:val="263"/>
  </w:num>
  <w:num w:numId="502">
    <w:abstractNumId w:val="250"/>
  </w:num>
  <w:num w:numId="503">
    <w:abstractNumId w:val="202"/>
  </w:num>
  <w:num w:numId="504">
    <w:abstractNumId w:val="506"/>
  </w:num>
  <w:num w:numId="505">
    <w:abstractNumId w:val="495"/>
  </w:num>
  <w:num w:numId="506">
    <w:abstractNumId w:val="174"/>
  </w:num>
  <w:num w:numId="507">
    <w:abstractNumId w:val="355"/>
  </w:num>
  <w:num w:numId="508">
    <w:abstractNumId w:val="338"/>
  </w:num>
  <w:num w:numId="509">
    <w:abstractNumId w:val="409"/>
  </w:num>
  <w:num w:numId="510">
    <w:abstractNumId w:val="351"/>
  </w:num>
  <w:num w:numId="511">
    <w:abstractNumId w:val="212"/>
  </w:num>
  <w:num w:numId="512">
    <w:abstractNumId w:val="140"/>
  </w:num>
  <w:num w:numId="513">
    <w:abstractNumId w:val="505"/>
  </w:num>
  <w:num w:numId="514">
    <w:abstractNumId w:val="444"/>
  </w:num>
  <w:num w:numId="515">
    <w:abstractNumId w:val="341"/>
  </w:num>
  <w:num w:numId="516">
    <w:abstractNumId w:val="461"/>
  </w:num>
  <w:num w:numId="517">
    <w:abstractNumId w:val="128"/>
  </w:num>
  <w:num w:numId="518">
    <w:abstractNumId w:val="246"/>
  </w:num>
  <w:num w:numId="519">
    <w:abstractNumId w:val="310"/>
  </w:num>
  <w:num w:numId="520">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12"/>
      </w:numPr>
      <w:tabs>
        <w:tab w:val="left" w:pos="1134"/>
        <w:tab w:val="left" w:pos="1701"/>
        <w:tab w:val="left" w:pos="2268"/>
        <w:tab w:val="left" w:pos="6237"/>
      </w:tabs>
    </w:pPr>
  </w:style>
  <w:style w:type="paragraph" w:styleId="BodyText2">
    <w:name w:val="Body Text 2"/>
    <w:basedOn w:val="Normal"/>
    <w:semiHidden/>
    <w:pPr>
      <w:tabs>
        <w:tab w:val="clear" w:pos="567"/>
        <w:tab w:val="clear" w:pos="1134"/>
        <w:tab w:val="clear" w:pos="1701"/>
        <w:tab w:val="clear" w:pos="2268"/>
        <w:tab w:val="clear" w:pos="6237"/>
      </w:tabs>
      <w:spacing w:line="240" w:lineRule="auto"/>
      <w:jc w:val="both"/>
    </w:pPr>
    <w:rPr>
      <w:sz w:val="32"/>
      <w:szCs w:val="24"/>
      <w:lang w:val="es-ES" w:eastAsia="es-ES"/>
    </w:rPr>
  </w:style>
  <w:style w:type="character" w:styleId="Hyperlink">
    <w:name w:val="Hyperlink"/>
    <w:semiHidden/>
    <w:rPr>
      <w:color w:val="0000FF"/>
      <w:u w:val="single"/>
    </w:rPr>
  </w:style>
  <w:style w:type="paragraph" w:customStyle="1" w:styleId="1">
    <w:name w:val="текст 1"/>
    <w:basedOn w:val="Normal"/>
  </w:style>
  <w:style w:type="paragraph" w:customStyle="1" w:styleId="2">
    <w:name w:val="текст 2"/>
    <w:basedOn w:val="Normal"/>
  </w:style>
  <w:style w:type="paragraph" w:customStyle="1" w:styleId="1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VIETANEGRA">
    <w:name w:val="_VIÑETA NEGRA"/>
    <w:basedOn w:val="Normal"/>
    <w:pPr>
      <w:numPr>
        <w:numId w:val="68"/>
      </w:numPr>
      <w:tabs>
        <w:tab w:val="clear" w:pos="567"/>
        <w:tab w:val="clear" w:pos="1134"/>
        <w:tab w:val="clear" w:pos="1701"/>
        <w:tab w:val="clear" w:pos="2268"/>
        <w:tab w:val="clear" w:pos="6237"/>
      </w:tabs>
      <w:spacing w:before="50" w:after="50" w:line="260" w:lineRule="exact"/>
      <w:jc w:val="both"/>
    </w:pPr>
    <w:rPr>
      <w:sz w:val="22"/>
      <w:szCs w:val="22"/>
      <w:lang w:val="es-ES" w:eastAsia="es-ES"/>
    </w:rPr>
  </w:style>
  <w:style w:type="paragraph" w:customStyle="1" w:styleId="cuadrado">
    <w:name w:val="cuadrado"/>
    <w:basedOn w:val="Normal"/>
    <w:pPr>
      <w:numPr>
        <w:numId w:val="69"/>
      </w:numPr>
      <w:tabs>
        <w:tab w:val="clear" w:pos="567"/>
        <w:tab w:val="clear" w:pos="1134"/>
        <w:tab w:val="clear" w:pos="1701"/>
        <w:tab w:val="clear" w:pos="2268"/>
        <w:tab w:val="clear" w:pos="6237"/>
      </w:tabs>
      <w:spacing w:before="120" w:after="120" w:line="240" w:lineRule="exact"/>
      <w:jc w:val="both"/>
    </w:pPr>
    <w:rPr>
      <w:sz w:val="22"/>
      <w:szCs w:val="24"/>
      <w:lang w:val="es-ES" w:eastAsia="es-ES"/>
    </w:rPr>
  </w:style>
  <w:style w:type="paragraph" w:customStyle="1" w:styleId="bala">
    <w:name w:val="bala"/>
    <w:basedOn w:val="Normal"/>
    <w:pPr>
      <w:numPr>
        <w:numId w:val="70"/>
      </w:numPr>
      <w:tabs>
        <w:tab w:val="clear" w:pos="567"/>
        <w:tab w:val="clear" w:pos="1134"/>
        <w:tab w:val="clear" w:pos="1701"/>
        <w:tab w:val="clear" w:pos="2268"/>
        <w:tab w:val="clear" w:pos="6237"/>
      </w:tabs>
      <w:spacing w:before="120" w:after="120" w:line="240" w:lineRule="exact"/>
      <w:jc w:val="both"/>
    </w:pPr>
    <w:rPr>
      <w:sz w:val="22"/>
      <w:szCs w:val="24"/>
      <w:lang w:val="es-ES" w:eastAsia="es-ES"/>
    </w:rPr>
  </w:style>
  <w:style w:type="paragraph" w:customStyle="1" w:styleId="GUION">
    <w:name w:val="_GUION"/>
    <w:basedOn w:val="Normal"/>
    <w:pPr>
      <w:numPr>
        <w:numId w:val="71"/>
      </w:numPr>
      <w:tabs>
        <w:tab w:val="clear" w:pos="567"/>
        <w:tab w:val="clear" w:pos="1134"/>
        <w:tab w:val="clear" w:pos="1701"/>
        <w:tab w:val="clear" w:pos="2268"/>
        <w:tab w:val="clear" w:pos="6237"/>
        <w:tab w:val="left" w:pos="284"/>
      </w:tabs>
      <w:spacing w:before="50" w:after="50" w:line="260" w:lineRule="exact"/>
      <w:jc w:val="both"/>
    </w:pPr>
    <w:rPr>
      <w:sz w:val="22"/>
      <w:szCs w:val="22"/>
      <w:lang w:val="es-ES" w:eastAsia="es-ES"/>
    </w:rPr>
  </w:style>
  <w:style w:type="paragraph" w:customStyle="1" w:styleId="PRIMERPARRAFO">
    <w:name w:val="_PRIMER PARRAFO"/>
    <w:basedOn w:val="Normal"/>
    <w:pPr>
      <w:tabs>
        <w:tab w:val="clear" w:pos="567"/>
        <w:tab w:val="clear" w:pos="1134"/>
        <w:tab w:val="clear" w:pos="1701"/>
        <w:tab w:val="clear" w:pos="2268"/>
        <w:tab w:val="clear" w:pos="6237"/>
      </w:tabs>
      <w:spacing w:before="120" w:after="120" w:line="240" w:lineRule="exact"/>
      <w:jc w:val="both"/>
    </w:pPr>
    <w:rPr>
      <w:sz w:val="22"/>
      <w:szCs w:val="24"/>
      <w:lang w:val="es-ES" w:eastAsia="es-ES"/>
    </w:rPr>
  </w:style>
  <w:style w:type="paragraph" w:styleId="BodyText">
    <w:name w:val="Body Text"/>
    <w:aliases w:val="Letrero margen"/>
    <w:basedOn w:val="Normal"/>
    <w:semiHidden/>
    <w:pPr>
      <w:tabs>
        <w:tab w:val="clear" w:pos="567"/>
        <w:tab w:val="clear" w:pos="1134"/>
        <w:tab w:val="clear" w:pos="1701"/>
        <w:tab w:val="clear" w:pos="2268"/>
        <w:tab w:val="clear" w:pos="6237"/>
      </w:tabs>
      <w:spacing w:line="240" w:lineRule="auto"/>
      <w:jc w:val="both"/>
    </w:pPr>
    <w:rPr>
      <w:b/>
      <w:bCs/>
      <w:sz w:val="32"/>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void(0);" TargetMode="External"/><Relationship Id="rId21" Type="http://schemas.openxmlformats.org/officeDocument/2006/relationships/image" Target="media/image8.wmf"/><Relationship Id="rId42" Type="http://schemas.openxmlformats.org/officeDocument/2006/relationships/hyperlink" Target="javascript:void(0);" TargetMode="External"/><Relationship Id="rId47" Type="http://schemas.openxmlformats.org/officeDocument/2006/relationships/hyperlink" Target="javascript:void(0);" TargetMode="External"/><Relationship Id="rId63" Type="http://schemas.openxmlformats.org/officeDocument/2006/relationships/hyperlink" Target="javascript:void(0);" TargetMode="External"/><Relationship Id="rId68" Type="http://schemas.openxmlformats.org/officeDocument/2006/relationships/hyperlink" Target="javascript:void(0);" TargetMode="External"/><Relationship Id="rId84" Type="http://schemas.openxmlformats.org/officeDocument/2006/relationships/hyperlink" Target="javascript:void(0);" TargetMode="External"/><Relationship Id="rId89" Type="http://schemas.openxmlformats.org/officeDocument/2006/relationships/hyperlink" Target="javascript:void(0);" TargetMode="External"/><Relationship Id="rId112" Type="http://schemas.openxmlformats.org/officeDocument/2006/relationships/hyperlink" Target="javascript:void(0);" TargetMode="External"/><Relationship Id="rId133" Type="http://schemas.openxmlformats.org/officeDocument/2006/relationships/hyperlink" Target="javascript:void(0);" TargetMode="External"/><Relationship Id="rId138" Type="http://schemas.openxmlformats.org/officeDocument/2006/relationships/hyperlink" Target="javascript:void(0);" TargetMode="External"/><Relationship Id="rId154" Type="http://schemas.openxmlformats.org/officeDocument/2006/relationships/hyperlink" Target="javascript:void(0);" TargetMode="External"/><Relationship Id="rId159" Type="http://schemas.openxmlformats.org/officeDocument/2006/relationships/hyperlink" Target="javascript:void(0);" TargetMode="External"/><Relationship Id="rId175" Type="http://schemas.openxmlformats.org/officeDocument/2006/relationships/oleObject" Target="embeddings/oleObject11.bin"/><Relationship Id="rId170" Type="http://schemas.openxmlformats.org/officeDocument/2006/relationships/hyperlink" Target="javascript:void(0);" TargetMode="External"/><Relationship Id="rId191" Type="http://schemas.openxmlformats.org/officeDocument/2006/relationships/header" Target="header2.xml"/><Relationship Id="rId16" Type="http://schemas.openxmlformats.org/officeDocument/2006/relationships/oleObject" Target="embeddings/oleObject5.bin"/><Relationship Id="rId107" Type="http://schemas.openxmlformats.org/officeDocument/2006/relationships/hyperlink" Target="javascript:void(0);" TargetMode="External"/><Relationship Id="rId11" Type="http://schemas.openxmlformats.org/officeDocument/2006/relationships/image" Target="media/image3.wmf"/><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53" Type="http://schemas.openxmlformats.org/officeDocument/2006/relationships/hyperlink" Target="javascript:void(0);" TargetMode="External"/><Relationship Id="rId58" Type="http://schemas.openxmlformats.org/officeDocument/2006/relationships/hyperlink" Target="javascript:void(0);" TargetMode="External"/><Relationship Id="rId74" Type="http://schemas.openxmlformats.org/officeDocument/2006/relationships/hyperlink" Target="javascript:void(0);" TargetMode="External"/><Relationship Id="rId79" Type="http://schemas.openxmlformats.org/officeDocument/2006/relationships/hyperlink" Target="javascript:void(0);" TargetMode="External"/><Relationship Id="rId102" Type="http://schemas.openxmlformats.org/officeDocument/2006/relationships/hyperlink" Target="javascript:void(0);" TargetMode="External"/><Relationship Id="rId123" Type="http://schemas.openxmlformats.org/officeDocument/2006/relationships/hyperlink" Target="javascript:void(0);" TargetMode="External"/><Relationship Id="rId128" Type="http://schemas.openxmlformats.org/officeDocument/2006/relationships/hyperlink" Target="javascript:void(0);" TargetMode="External"/><Relationship Id="rId144" Type="http://schemas.openxmlformats.org/officeDocument/2006/relationships/hyperlink" Target="javascript:void(0);" TargetMode="External"/><Relationship Id="rId149" Type="http://schemas.openxmlformats.org/officeDocument/2006/relationships/hyperlink" Target="javascript:void(0);" TargetMode="External"/><Relationship Id="rId5" Type="http://schemas.openxmlformats.org/officeDocument/2006/relationships/footnotes" Target="footnotes.xml"/><Relationship Id="rId90" Type="http://schemas.openxmlformats.org/officeDocument/2006/relationships/hyperlink" Target="javascript:void(0);" TargetMode="External"/><Relationship Id="rId95" Type="http://schemas.openxmlformats.org/officeDocument/2006/relationships/hyperlink" Target="javascript:void(0);" TargetMode="External"/><Relationship Id="rId160" Type="http://schemas.openxmlformats.org/officeDocument/2006/relationships/hyperlink" Target="javascript:void(0);" TargetMode="External"/><Relationship Id="rId165" Type="http://schemas.openxmlformats.org/officeDocument/2006/relationships/hyperlink" Target="javascript:void(0);" TargetMode="External"/><Relationship Id="rId181" Type="http://schemas.openxmlformats.org/officeDocument/2006/relationships/oleObject" Target="embeddings/oleObject14.bin"/><Relationship Id="rId186" Type="http://schemas.openxmlformats.org/officeDocument/2006/relationships/image" Target="media/image17.wmf"/><Relationship Id="rId22" Type="http://schemas.openxmlformats.org/officeDocument/2006/relationships/oleObject" Target="embeddings/oleObject8.bin"/><Relationship Id="rId27" Type="http://schemas.openxmlformats.org/officeDocument/2006/relationships/oleObject" Target="embeddings/oleObject10.bin"/><Relationship Id="rId43" Type="http://schemas.openxmlformats.org/officeDocument/2006/relationships/hyperlink" Target="javascript:void(0);" TargetMode="External"/><Relationship Id="rId48" Type="http://schemas.openxmlformats.org/officeDocument/2006/relationships/hyperlink" Target="javascript:void(0);" TargetMode="External"/><Relationship Id="rId64" Type="http://schemas.openxmlformats.org/officeDocument/2006/relationships/hyperlink" Target="javascript:void(0);" TargetMode="External"/><Relationship Id="rId69" Type="http://schemas.openxmlformats.org/officeDocument/2006/relationships/hyperlink" Target="javascript:void(0);" TargetMode="External"/><Relationship Id="rId113" Type="http://schemas.openxmlformats.org/officeDocument/2006/relationships/hyperlink" Target="javascript:void(0);" TargetMode="External"/><Relationship Id="rId118" Type="http://schemas.openxmlformats.org/officeDocument/2006/relationships/hyperlink" Target="javascript:void(0);" TargetMode="External"/><Relationship Id="rId134" Type="http://schemas.openxmlformats.org/officeDocument/2006/relationships/hyperlink" Target="javascript:void(0);" TargetMode="External"/><Relationship Id="rId139" Type="http://schemas.openxmlformats.org/officeDocument/2006/relationships/hyperlink" Target="javascript:void(0);" TargetMode="External"/><Relationship Id="rId80" Type="http://schemas.openxmlformats.org/officeDocument/2006/relationships/hyperlink" Target="javascript:void(0);" TargetMode="External"/><Relationship Id="rId85" Type="http://schemas.openxmlformats.org/officeDocument/2006/relationships/hyperlink" Target="javascript:void(0);" TargetMode="External"/><Relationship Id="rId150" Type="http://schemas.openxmlformats.org/officeDocument/2006/relationships/hyperlink" Target="javascript:void(0);" TargetMode="External"/><Relationship Id="rId155" Type="http://schemas.openxmlformats.org/officeDocument/2006/relationships/hyperlink" Target="javascript:void(0);" TargetMode="External"/><Relationship Id="rId171" Type="http://schemas.openxmlformats.org/officeDocument/2006/relationships/hyperlink" Target="javascript:void(0);" TargetMode="External"/><Relationship Id="rId176" Type="http://schemas.openxmlformats.org/officeDocument/2006/relationships/image" Target="media/image13.wmf"/><Relationship Id="rId192" Type="http://schemas.openxmlformats.org/officeDocument/2006/relationships/fontTable" Target="fontTable.xml"/><Relationship Id="rId12" Type="http://schemas.openxmlformats.org/officeDocument/2006/relationships/oleObject" Target="embeddings/oleObject3.bin"/><Relationship Id="rId17" Type="http://schemas.openxmlformats.org/officeDocument/2006/relationships/image" Target="media/image6.wmf"/><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59" Type="http://schemas.openxmlformats.org/officeDocument/2006/relationships/hyperlink" Target="javascript:void(0);" TargetMode="External"/><Relationship Id="rId103" Type="http://schemas.openxmlformats.org/officeDocument/2006/relationships/hyperlink" Target="javascript:void(0);" TargetMode="External"/><Relationship Id="rId108" Type="http://schemas.openxmlformats.org/officeDocument/2006/relationships/hyperlink" Target="javascript:void(0);" TargetMode="External"/><Relationship Id="rId124" Type="http://schemas.openxmlformats.org/officeDocument/2006/relationships/hyperlink" Target="javascript:void(0);" TargetMode="External"/><Relationship Id="rId129" Type="http://schemas.openxmlformats.org/officeDocument/2006/relationships/hyperlink" Target="javascript:void(0);" TargetMode="External"/><Relationship Id="rId54" Type="http://schemas.openxmlformats.org/officeDocument/2006/relationships/hyperlink" Target="javascript:void(0);" TargetMode="External"/><Relationship Id="rId70" Type="http://schemas.openxmlformats.org/officeDocument/2006/relationships/hyperlink" Target="javascript:void(0);" TargetMode="External"/><Relationship Id="rId75" Type="http://schemas.openxmlformats.org/officeDocument/2006/relationships/hyperlink" Target="javascript:void(0);" TargetMode="External"/><Relationship Id="rId91" Type="http://schemas.openxmlformats.org/officeDocument/2006/relationships/hyperlink" Target="javascript:void(0);" TargetMode="External"/><Relationship Id="rId96" Type="http://schemas.openxmlformats.org/officeDocument/2006/relationships/hyperlink" Target="javascript:void(0);" TargetMode="External"/><Relationship Id="rId140" Type="http://schemas.openxmlformats.org/officeDocument/2006/relationships/hyperlink" Target="javascript:void(0);" TargetMode="External"/><Relationship Id="rId145" Type="http://schemas.openxmlformats.org/officeDocument/2006/relationships/hyperlink" Target="javascript:void(0);" TargetMode="External"/><Relationship Id="rId161" Type="http://schemas.openxmlformats.org/officeDocument/2006/relationships/hyperlink" Target="javascript:void(0);" TargetMode="External"/><Relationship Id="rId166" Type="http://schemas.openxmlformats.org/officeDocument/2006/relationships/hyperlink" Target="javascript:void(0);" TargetMode="External"/><Relationship Id="rId182" Type="http://schemas.openxmlformats.org/officeDocument/2006/relationships/hyperlink" Target="http://www.amc.unam.mx" TargetMode="External"/><Relationship Id="rId187" Type="http://schemas.openxmlformats.org/officeDocument/2006/relationships/oleObject" Target="embeddings/oleObject16.bin"/><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9.wmf"/><Relationship Id="rId28" Type="http://schemas.openxmlformats.org/officeDocument/2006/relationships/hyperlink" Target="http://www.sra.gob.mx" TargetMode="External"/><Relationship Id="rId49" Type="http://schemas.openxmlformats.org/officeDocument/2006/relationships/hyperlink" Target="javascript:void(0);" TargetMode="External"/><Relationship Id="rId114" Type="http://schemas.openxmlformats.org/officeDocument/2006/relationships/hyperlink" Target="javascript:void(0);" TargetMode="External"/><Relationship Id="rId119" Type="http://schemas.openxmlformats.org/officeDocument/2006/relationships/hyperlink" Target="javascript:void(0);" TargetMode="External"/><Relationship Id="rId44" Type="http://schemas.openxmlformats.org/officeDocument/2006/relationships/hyperlink" Target="javascript:void(0);" TargetMode="External"/><Relationship Id="rId60" Type="http://schemas.openxmlformats.org/officeDocument/2006/relationships/hyperlink" Target="javascript:void(0);" TargetMode="External"/><Relationship Id="rId65" Type="http://schemas.openxmlformats.org/officeDocument/2006/relationships/hyperlink" Target="javascript:void(0);" TargetMode="External"/><Relationship Id="rId81" Type="http://schemas.openxmlformats.org/officeDocument/2006/relationships/hyperlink" Target="javascript:void(0);" TargetMode="External"/><Relationship Id="rId86" Type="http://schemas.openxmlformats.org/officeDocument/2006/relationships/hyperlink" Target="javascript:void(0);" TargetMode="External"/><Relationship Id="rId130" Type="http://schemas.openxmlformats.org/officeDocument/2006/relationships/hyperlink" Target="javascript:void(0);" TargetMode="External"/><Relationship Id="rId135" Type="http://schemas.openxmlformats.org/officeDocument/2006/relationships/hyperlink" Target="javascript:void(0);" TargetMode="External"/><Relationship Id="rId151" Type="http://schemas.openxmlformats.org/officeDocument/2006/relationships/hyperlink" Target="javascript:void(0);" TargetMode="External"/><Relationship Id="rId156" Type="http://schemas.openxmlformats.org/officeDocument/2006/relationships/hyperlink" Target="javascript:void(0);" TargetMode="External"/><Relationship Id="rId177" Type="http://schemas.openxmlformats.org/officeDocument/2006/relationships/oleObject" Target="embeddings/oleObject12.bin"/><Relationship Id="rId172" Type="http://schemas.openxmlformats.org/officeDocument/2006/relationships/hyperlink" Target="javascript:void(0);" TargetMode="External"/><Relationship Id="rId193" Type="http://schemas.openxmlformats.org/officeDocument/2006/relationships/theme" Target="theme/theme1.xml"/><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hyperlink" Target="javascript:void(0);" TargetMode="External"/><Relationship Id="rId109" Type="http://schemas.openxmlformats.org/officeDocument/2006/relationships/hyperlink" Target="javascript:void(0);" TargetMode="External"/><Relationship Id="rId34" Type="http://schemas.openxmlformats.org/officeDocument/2006/relationships/hyperlink" Target="javascript:void(0);" TargetMode="External"/><Relationship Id="rId50" Type="http://schemas.openxmlformats.org/officeDocument/2006/relationships/hyperlink" Target="javascript:void(0);" TargetMode="External"/><Relationship Id="rId55" Type="http://schemas.openxmlformats.org/officeDocument/2006/relationships/hyperlink" Target="javascript:void(0);" TargetMode="External"/><Relationship Id="rId76" Type="http://schemas.openxmlformats.org/officeDocument/2006/relationships/hyperlink" Target="javascript:void(0);" TargetMode="External"/><Relationship Id="rId97" Type="http://schemas.openxmlformats.org/officeDocument/2006/relationships/hyperlink" Target="javascript:void(0);" TargetMode="External"/><Relationship Id="rId104" Type="http://schemas.openxmlformats.org/officeDocument/2006/relationships/hyperlink" Target="javascript:void(0);" TargetMode="External"/><Relationship Id="rId120" Type="http://schemas.openxmlformats.org/officeDocument/2006/relationships/hyperlink" Target="javascript:void(0);" TargetMode="External"/><Relationship Id="rId125" Type="http://schemas.openxmlformats.org/officeDocument/2006/relationships/hyperlink" Target="javascript:void(0);" TargetMode="External"/><Relationship Id="rId141" Type="http://schemas.openxmlformats.org/officeDocument/2006/relationships/hyperlink" Target="javascript:void(0);" TargetMode="External"/><Relationship Id="rId146" Type="http://schemas.openxmlformats.org/officeDocument/2006/relationships/hyperlink" Target="javascript:void(0);" TargetMode="External"/><Relationship Id="rId167" Type="http://schemas.openxmlformats.org/officeDocument/2006/relationships/hyperlink" Target="javascript:void(0);" TargetMode="External"/><Relationship Id="rId188" Type="http://schemas.openxmlformats.org/officeDocument/2006/relationships/image" Target="media/image18.wmf"/><Relationship Id="rId7" Type="http://schemas.openxmlformats.org/officeDocument/2006/relationships/image" Target="media/image1.wmf"/><Relationship Id="rId71" Type="http://schemas.openxmlformats.org/officeDocument/2006/relationships/hyperlink" Target="javascript:void(0);" TargetMode="External"/><Relationship Id="rId92" Type="http://schemas.openxmlformats.org/officeDocument/2006/relationships/hyperlink" Target="javascript:void(0);" TargetMode="External"/><Relationship Id="rId162" Type="http://schemas.openxmlformats.org/officeDocument/2006/relationships/hyperlink" Target="javascript:void(0);" TargetMode="External"/><Relationship Id="rId183" Type="http://schemas.openxmlformats.org/officeDocument/2006/relationships/hyperlink" Target="http://www.gob.mx" TargetMode="External"/><Relationship Id="rId2" Type="http://schemas.openxmlformats.org/officeDocument/2006/relationships/styles" Target="styles.xml"/><Relationship Id="rId29" Type="http://schemas.openxmlformats.org/officeDocument/2006/relationships/hyperlink" Target="http://www.salud.gob.mx" TargetMode="External"/><Relationship Id="rId24" Type="http://schemas.openxmlformats.org/officeDocument/2006/relationships/image" Target="media/image10.wmf"/><Relationship Id="rId40" Type="http://schemas.openxmlformats.org/officeDocument/2006/relationships/hyperlink" Target="javascript:void(0);" TargetMode="External"/><Relationship Id="rId45" Type="http://schemas.openxmlformats.org/officeDocument/2006/relationships/hyperlink" Target="javascript:void(0);" TargetMode="External"/><Relationship Id="rId66" Type="http://schemas.openxmlformats.org/officeDocument/2006/relationships/hyperlink" Target="javascript:void(0);" TargetMode="External"/><Relationship Id="rId87" Type="http://schemas.openxmlformats.org/officeDocument/2006/relationships/hyperlink" Target="javascript:void(0);" TargetMode="External"/><Relationship Id="rId110" Type="http://schemas.openxmlformats.org/officeDocument/2006/relationships/hyperlink" Target="javascript:void(0);" TargetMode="External"/><Relationship Id="rId115" Type="http://schemas.openxmlformats.org/officeDocument/2006/relationships/hyperlink" Target="javascript:void(0);" TargetMode="External"/><Relationship Id="rId131" Type="http://schemas.openxmlformats.org/officeDocument/2006/relationships/hyperlink" Target="javascript:void(0);" TargetMode="External"/><Relationship Id="rId136" Type="http://schemas.openxmlformats.org/officeDocument/2006/relationships/hyperlink" Target="javascript:void(0);" TargetMode="External"/><Relationship Id="rId157" Type="http://schemas.openxmlformats.org/officeDocument/2006/relationships/hyperlink" Target="javascript:void(0);" TargetMode="External"/><Relationship Id="rId178" Type="http://schemas.openxmlformats.org/officeDocument/2006/relationships/image" Target="media/image14.wmf"/><Relationship Id="rId61" Type="http://schemas.openxmlformats.org/officeDocument/2006/relationships/hyperlink" Target="javascript:void(0);" TargetMode="External"/><Relationship Id="rId82" Type="http://schemas.openxmlformats.org/officeDocument/2006/relationships/hyperlink" Target="javascript:void(0);" TargetMode="External"/><Relationship Id="rId152" Type="http://schemas.openxmlformats.org/officeDocument/2006/relationships/hyperlink" Target="javascript:void(0);" TargetMode="External"/><Relationship Id="rId173" Type="http://schemas.openxmlformats.org/officeDocument/2006/relationships/hyperlink" Target="javascript:void(0);" TargetMode="External"/><Relationship Id="rId19" Type="http://schemas.openxmlformats.org/officeDocument/2006/relationships/image" Target="media/image7.wmf"/><Relationship Id="rId14" Type="http://schemas.openxmlformats.org/officeDocument/2006/relationships/oleObject" Target="embeddings/oleObject4.bin"/><Relationship Id="rId30" Type="http://schemas.openxmlformats.org/officeDocument/2006/relationships/hyperlink" Target="javascript:void(0);" TargetMode="External"/><Relationship Id="rId35" Type="http://schemas.openxmlformats.org/officeDocument/2006/relationships/hyperlink" Target="javascript:void(0);" TargetMode="External"/><Relationship Id="rId56" Type="http://schemas.openxmlformats.org/officeDocument/2006/relationships/hyperlink" Target="javascript:void(0);" TargetMode="External"/><Relationship Id="rId77" Type="http://schemas.openxmlformats.org/officeDocument/2006/relationships/hyperlink" Target="javascript:void(0);" TargetMode="External"/><Relationship Id="rId100" Type="http://schemas.openxmlformats.org/officeDocument/2006/relationships/hyperlink" Target="javascript:void(0);" TargetMode="External"/><Relationship Id="rId105" Type="http://schemas.openxmlformats.org/officeDocument/2006/relationships/hyperlink" Target="javascript:void(0);" TargetMode="External"/><Relationship Id="rId126" Type="http://schemas.openxmlformats.org/officeDocument/2006/relationships/hyperlink" Target="javascript:void(0);" TargetMode="External"/><Relationship Id="rId147" Type="http://schemas.openxmlformats.org/officeDocument/2006/relationships/hyperlink" Target="javascript:void(0);" TargetMode="External"/><Relationship Id="rId168" Type="http://schemas.openxmlformats.org/officeDocument/2006/relationships/hyperlink" Target="javascript:void(0);" TargetMode="External"/><Relationship Id="rId8" Type="http://schemas.openxmlformats.org/officeDocument/2006/relationships/oleObject" Target="embeddings/oleObject1.bin"/><Relationship Id="rId51" Type="http://schemas.openxmlformats.org/officeDocument/2006/relationships/hyperlink" Target="javascript:void(0);" TargetMode="External"/><Relationship Id="rId72" Type="http://schemas.openxmlformats.org/officeDocument/2006/relationships/hyperlink" Target="javascript:void(0);" TargetMode="External"/><Relationship Id="rId93" Type="http://schemas.openxmlformats.org/officeDocument/2006/relationships/hyperlink" Target="javascript:void(0);" TargetMode="External"/><Relationship Id="rId98" Type="http://schemas.openxmlformats.org/officeDocument/2006/relationships/hyperlink" Target="javascript:void(0);" TargetMode="External"/><Relationship Id="rId121" Type="http://schemas.openxmlformats.org/officeDocument/2006/relationships/hyperlink" Target="javascript:void(0);" TargetMode="External"/><Relationship Id="rId142" Type="http://schemas.openxmlformats.org/officeDocument/2006/relationships/hyperlink" Target="javascript:void(0);" TargetMode="External"/><Relationship Id="rId163" Type="http://schemas.openxmlformats.org/officeDocument/2006/relationships/hyperlink" Target="javascript:void(0);" TargetMode="External"/><Relationship Id="rId184" Type="http://schemas.openxmlformats.org/officeDocument/2006/relationships/image" Target="media/image16.wmf"/><Relationship Id="rId189" Type="http://schemas.openxmlformats.org/officeDocument/2006/relationships/oleObject" Target="embeddings/oleObject17.bin"/><Relationship Id="rId3" Type="http://schemas.openxmlformats.org/officeDocument/2006/relationships/settings" Target="settings.xml"/><Relationship Id="rId25" Type="http://schemas.openxmlformats.org/officeDocument/2006/relationships/oleObject" Target="embeddings/oleObject9.bin"/><Relationship Id="rId46" Type="http://schemas.openxmlformats.org/officeDocument/2006/relationships/hyperlink" Target="javascript:void(0);" TargetMode="External"/><Relationship Id="rId67" Type="http://schemas.openxmlformats.org/officeDocument/2006/relationships/hyperlink" Target="javascript:void(0);" TargetMode="External"/><Relationship Id="rId116" Type="http://schemas.openxmlformats.org/officeDocument/2006/relationships/hyperlink" Target="javascript:void(0);" TargetMode="External"/><Relationship Id="rId137" Type="http://schemas.openxmlformats.org/officeDocument/2006/relationships/hyperlink" Target="javascript:void(0);" TargetMode="External"/><Relationship Id="rId158" Type="http://schemas.openxmlformats.org/officeDocument/2006/relationships/hyperlink" Target="javascript:void(0);" TargetMode="External"/><Relationship Id="rId20" Type="http://schemas.openxmlformats.org/officeDocument/2006/relationships/oleObject" Target="embeddings/oleObject7.bin"/><Relationship Id="rId41" Type="http://schemas.openxmlformats.org/officeDocument/2006/relationships/hyperlink" Target="javascript:void(0);" TargetMode="External"/><Relationship Id="rId62" Type="http://schemas.openxmlformats.org/officeDocument/2006/relationships/hyperlink" Target="javascript:void(0);" TargetMode="External"/><Relationship Id="rId83" Type="http://schemas.openxmlformats.org/officeDocument/2006/relationships/hyperlink" Target="javascript:void(0);" TargetMode="External"/><Relationship Id="rId88" Type="http://schemas.openxmlformats.org/officeDocument/2006/relationships/hyperlink" Target="javascript:void(0);" TargetMode="External"/><Relationship Id="rId111" Type="http://schemas.openxmlformats.org/officeDocument/2006/relationships/hyperlink" Target="javascript:void(0);" TargetMode="External"/><Relationship Id="rId132" Type="http://schemas.openxmlformats.org/officeDocument/2006/relationships/hyperlink" Target="javascript:void(0);" TargetMode="External"/><Relationship Id="rId153" Type="http://schemas.openxmlformats.org/officeDocument/2006/relationships/hyperlink" Target="javascript:void(0);" TargetMode="External"/><Relationship Id="rId174" Type="http://schemas.openxmlformats.org/officeDocument/2006/relationships/image" Target="media/image12.wmf"/><Relationship Id="rId179" Type="http://schemas.openxmlformats.org/officeDocument/2006/relationships/oleObject" Target="embeddings/oleObject13.bin"/><Relationship Id="rId190" Type="http://schemas.openxmlformats.org/officeDocument/2006/relationships/header" Target="header1.xml"/><Relationship Id="rId15" Type="http://schemas.openxmlformats.org/officeDocument/2006/relationships/image" Target="media/image5.wmf"/><Relationship Id="rId36" Type="http://schemas.openxmlformats.org/officeDocument/2006/relationships/hyperlink" Target="javascript:void(0);" TargetMode="External"/><Relationship Id="rId57" Type="http://schemas.openxmlformats.org/officeDocument/2006/relationships/hyperlink" Target="javascript:void(0);" TargetMode="External"/><Relationship Id="rId106" Type="http://schemas.openxmlformats.org/officeDocument/2006/relationships/hyperlink" Target="javascript:void(0);" TargetMode="External"/><Relationship Id="rId127" Type="http://schemas.openxmlformats.org/officeDocument/2006/relationships/hyperlink" Target="javascript:void(0);" TargetMode="External"/><Relationship Id="rId10" Type="http://schemas.openxmlformats.org/officeDocument/2006/relationships/oleObject" Target="embeddings/oleObject2.bin"/><Relationship Id="rId31" Type="http://schemas.openxmlformats.org/officeDocument/2006/relationships/hyperlink" Target="javascript:void(0);" TargetMode="External"/><Relationship Id="rId52" Type="http://schemas.openxmlformats.org/officeDocument/2006/relationships/hyperlink" Target="javascript:void(0);" TargetMode="External"/><Relationship Id="rId73" Type="http://schemas.openxmlformats.org/officeDocument/2006/relationships/hyperlink" Target="javascript:void(0);" TargetMode="External"/><Relationship Id="rId78" Type="http://schemas.openxmlformats.org/officeDocument/2006/relationships/hyperlink" Target="javascript:void(0);" TargetMode="External"/><Relationship Id="rId94" Type="http://schemas.openxmlformats.org/officeDocument/2006/relationships/hyperlink" Target="javascript:void(0);" TargetMode="External"/><Relationship Id="rId99" Type="http://schemas.openxmlformats.org/officeDocument/2006/relationships/hyperlink" Target="javascript:void(0);" TargetMode="External"/><Relationship Id="rId101" Type="http://schemas.openxmlformats.org/officeDocument/2006/relationships/hyperlink" Target="javascript:void(0);" TargetMode="External"/><Relationship Id="rId122" Type="http://schemas.openxmlformats.org/officeDocument/2006/relationships/hyperlink" Target="javascript:void(0);" TargetMode="External"/><Relationship Id="rId143" Type="http://schemas.openxmlformats.org/officeDocument/2006/relationships/hyperlink" Target="javascript:void(0);" TargetMode="External"/><Relationship Id="rId148" Type="http://schemas.openxmlformats.org/officeDocument/2006/relationships/hyperlink" Target="javascript:void(0);" TargetMode="External"/><Relationship Id="rId164" Type="http://schemas.openxmlformats.org/officeDocument/2006/relationships/hyperlink" Target="javascript:void(0);" TargetMode="External"/><Relationship Id="rId169" Type="http://schemas.openxmlformats.org/officeDocument/2006/relationships/hyperlink" Target="javascript:void(0);" TargetMode="External"/><Relationship Id="rId185" Type="http://schemas.openxmlformats.org/officeDocument/2006/relationships/oleObject" Target="embeddings/oleObject15.bin"/><Relationship Id="rId4" Type="http://schemas.openxmlformats.org/officeDocument/2006/relationships/webSettings" Target="webSettings.xml"/><Relationship Id="rId9" Type="http://schemas.openxmlformats.org/officeDocument/2006/relationships/image" Target="media/image2.wmf"/><Relationship Id="rId180" Type="http://schemas.openxmlformats.org/officeDocument/2006/relationships/image" Target="media/image15.wmf"/><Relationship Id="rId26" Type="http://schemas.openxmlformats.org/officeDocument/2006/relationships/image" Target="media/image11.wmf"/></Relationships>
</file>

<file path=word/_rels/footnotes.xml.rels><?xml version="1.0" encoding="UTF-8" standalone="yes"?>
<Relationships xmlns="http://schemas.openxmlformats.org/package/2006/relationships"><Relationship Id="rId1" Type="http://schemas.openxmlformats.org/officeDocument/2006/relationships/hyperlink" Target="http://www.ilo.org/ilolex/spanish/convdisp2.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109332</Words>
  <Characters>623195</Characters>
  <Application>Microsoft Office Word</Application>
  <DocSecurity>4</DocSecurity>
  <Lines>5193</Lines>
  <Paragraphs>1246</Paragraphs>
  <ScaleCrop>false</ScaleCrop>
  <HeadingPairs>
    <vt:vector size="2" baseType="variant">
      <vt:variant>
        <vt:lpstr>Название</vt:lpstr>
      </vt:variant>
      <vt:variant>
        <vt:i4>1</vt:i4>
      </vt:variant>
    </vt:vector>
  </HeadingPairs>
  <TitlesOfParts>
    <vt:vector size="1" baseType="lpstr">
      <vt:lpstr>40527</vt:lpstr>
    </vt:vector>
  </TitlesOfParts>
  <Company> </Company>
  <LinksUpToDate>false</LinksUpToDate>
  <CharactersWithSpaces>765327</CharactersWithSpaces>
  <SharedDoc>false</SharedDoc>
  <HLinks>
    <vt:vector size="894" baseType="variant">
      <vt:variant>
        <vt:i4>7077993</vt:i4>
      </vt:variant>
      <vt:variant>
        <vt:i4>496</vt:i4>
      </vt:variant>
      <vt:variant>
        <vt:i4>0</vt:i4>
      </vt:variant>
      <vt:variant>
        <vt:i4>5</vt:i4>
      </vt:variant>
      <vt:variant>
        <vt:lpwstr>http://www.gob.mx/</vt:lpwstr>
      </vt:variant>
      <vt:variant>
        <vt:lpwstr/>
      </vt:variant>
      <vt:variant>
        <vt:i4>7012477</vt:i4>
      </vt:variant>
      <vt:variant>
        <vt:i4>493</vt:i4>
      </vt:variant>
      <vt:variant>
        <vt:i4>0</vt:i4>
      </vt:variant>
      <vt:variant>
        <vt:i4>5</vt:i4>
      </vt:variant>
      <vt:variant>
        <vt:lpwstr>http://www.amc.unam.mx/</vt:lpwstr>
      </vt:variant>
      <vt:variant>
        <vt:lpwstr/>
      </vt:variant>
      <vt:variant>
        <vt:i4>6291564</vt:i4>
      </vt:variant>
      <vt:variant>
        <vt:i4>478</vt:i4>
      </vt:variant>
      <vt:variant>
        <vt:i4>0</vt:i4>
      </vt:variant>
      <vt:variant>
        <vt:i4>5</vt:i4>
      </vt:variant>
      <vt:variant>
        <vt:lpwstr>javascript:void(0);</vt:lpwstr>
      </vt:variant>
      <vt:variant>
        <vt:lpwstr/>
      </vt:variant>
      <vt:variant>
        <vt:i4>6291564</vt:i4>
      </vt:variant>
      <vt:variant>
        <vt:i4>475</vt:i4>
      </vt:variant>
      <vt:variant>
        <vt:i4>0</vt:i4>
      </vt:variant>
      <vt:variant>
        <vt:i4>5</vt:i4>
      </vt:variant>
      <vt:variant>
        <vt:lpwstr>javascript:void(0);</vt:lpwstr>
      </vt:variant>
      <vt:variant>
        <vt:lpwstr/>
      </vt:variant>
      <vt:variant>
        <vt:i4>6291564</vt:i4>
      </vt:variant>
      <vt:variant>
        <vt:i4>472</vt:i4>
      </vt:variant>
      <vt:variant>
        <vt:i4>0</vt:i4>
      </vt:variant>
      <vt:variant>
        <vt:i4>5</vt:i4>
      </vt:variant>
      <vt:variant>
        <vt:lpwstr>javascript:void(0);</vt:lpwstr>
      </vt:variant>
      <vt:variant>
        <vt:lpwstr/>
      </vt:variant>
      <vt:variant>
        <vt:i4>6291564</vt:i4>
      </vt:variant>
      <vt:variant>
        <vt:i4>469</vt:i4>
      </vt:variant>
      <vt:variant>
        <vt:i4>0</vt:i4>
      </vt:variant>
      <vt:variant>
        <vt:i4>5</vt:i4>
      </vt:variant>
      <vt:variant>
        <vt:lpwstr>javascript:void(0);</vt:lpwstr>
      </vt:variant>
      <vt:variant>
        <vt:lpwstr/>
      </vt:variant>
      <vt:variant>
        <vt:i4>6291564</vt:i4>
      </vt:variant>
      <vt:variant>
        <vt:i4>466</vt:i4>
      </vt:variant>
      <vt:variant>
        <vt:i4>0</vt:i4>
      </vt:variant>
      <vt:variant>
        <vt:i4>5</vt:i4>
      </vt:variant>
      <vt:variant>
        <vt:lpwstr>javascript:void(0);</vt:lpwstr>
      </vt:variant>
      <vt:variant>
        <vt:lpwstr/>
      </vt:variant>
      <vt:variant>
        <vt:i4>6291564</vt:i4>
      </vt:variant>
      <vt:variant>
        <vt:i4>463</vt:i4>
      </vt:variant>
      <vt:variant>
        <vt:i4>0</vt:i4>
      </vt:variant>
      <vt:variant>
        <vt:i4>5</vt:i4>
      </vt:variant>
      <vt:variant>
        <vt:lpwstr>javascript:void(0);</vt:lpwstr>
      </vt:variant>
      <vt:variant>
        <vt:lpwstr/>
      </vt:variant>
      <vt:variant>
        <vt:i4>6291564</vt:i4>
      </vt:variant>
      <vt:variant>
        <vt:i4>460</vt:i4>
      </vt:variant>
      <vt:variant>
        <vt:i4>0</vt:i4>
      </vt:variant>
      <vt:variant>
        <vt:i4>5</vt:i4>
      </vt:variant>
      <vt:variant>
        <vt:lpwstr>javascript:void(0);</vt:lpwstr>
      </vt:variant>
      <vt:variant>
        <vt:lpwstr/>
      </vt:variant>
      <vt:variant>
        <vt:i4>6291564</vt:i4>
      </vt:variant>
      <vt:variant>
        <vt:i4>457</vt:i4>
      </vt:variant>
      <vt:variant>
        <vt:i4>0</vt:i4>
      </vt:variant>
      <vt:variant>
        <vt:i4>5</vt:i4>
      </vt:variant>
      <vt:variant>
        <vt:lpwstr>javascript:void(0);</vt:lpwstr>
      </vt:variant>
      <vt:variant>
        <vt:lpwstr/>
      </vt:variant>
      <vt:variant>
        <vt:i4>6291564</vt:i4>
      </vt:variant>
      <vt:variant>
        <vt:i4>454</vt:i4>
      </vt:variant>
      <vt:variant>
        <vt:i4>0</vt:i4>
      </vt:variant>
      <vt:variant>
        <vt:i4>5</vt:i4>
      </vt:variant>
      <vt:variant>
        <vt:lpwstr>javascript:void(0);</vt:lpwstr>
      </vt:variant>
      <vt:variant>
        <vt:lpwstr/>
      </vt:variant>
      <vt:variant>
        <vt:i4>6291564</vt:i4>
      </vt:variant>
      <vt:variant>
        <vt:i4>451</vt:i4>
      </vt:variant>
      <vt:variant>
        <vt:i4>0</vt:i4>
      </vt:variant>
      <vt:variant>
        <vt:i4>5</vt:i4>
      </vt:variant>
      <vt:variant>
        <vt:lpwstr>javascript:void(0);</vt:lpwstr>
      </vt:variant>
      <vt:variant>
        <vt:lpwstr/>
      </vt:variant>
      <vt:variant>
        <vt:i4>6291564</vt:i4>
      </vt:variant>
      <vt:variant>
        <vt:i4>448</vt:i4>
      </vt:variant>
      <vt:variant>
        <vt:i4>0</vt:i4>
      </vt:variant>
      <vt:variant>
        <vt:i4>5</vt:i4>
      </vt:variant>
      <vt:variant>
        <vt:lpwstr>javascript:void(0);</vt:lpwstr>
      </vt:variant>
      <vt:variant>
        <vt:lpwstr/>
      </vt:variant>
      <vt:variant>
        <vt:i4>6291564</vt:i4>
      </vt:variant>
      <vt:variant>
        <vt:i4>445</vt:i4>
      </vt:variant>
      <vt:variant>
        <vt:i4>0</vt:i4>
      </vt:variant>
      <vt:variant>
        <vt:i4>5</vt:i4>
      </vt:variant>
      <vt:variant>
        <vt:lpwstr>javascript:void(0);</vt:lpwstr>
      </vt:variant>
      <vt:variant>
        <vt:lpwstr/>
      </vt:variant>
      <vt:variant>
        <vt:i4>6291564</vt:i4>
      </vt:variant>
      <vt:variant>
        <vt:i4>442</vt:i4>
      </vt:variant>
      <vt:variant>
        <vt:i4>0</vt:i4>
      </vt:variant>
      <vt:variant>
        <vt:i4>5</vt:i4>
      </vt:variant>
      <vt:variant>
        <vt:lpwstr>javascript:void(0);</vt:lpwstr>
      </vt:variant>
      <vt:variant>
        <vt:lpwstr/>
      </vt:variant>
      <vt:variant>
        <vt:i4>6291564</vt:i4>
      </vt:variant>
      <vt:variant>
        <vt:i4>439</vt:i4>
      </vt:variant>
      <vt:variant>
        <vt:i4>0</vt:i4>
      </vt:variant>
      <vt:variant>
        <vt:i4>5</vt:i4>
      </vt:variant>
      <vt:variant>
        <vt:lpwstr>javascript:void(0);</vt:lpwstr>
      </vt:variant>
      <vt:variant>
        <vt:lpwstr/>
      </vt:variant>
      <vt:variant>
        <vt:i4>6291564</vt:i4>
      </vt:variant>
      <vt:variant>
        <vt:i4>436</vt:i4>
      </vt:variant>
      <vt:variant>
        <vt:i4>0</vt:i4>
      </vt:variant>
      <vt:variant>
        <vt:i4>5</vt:i4>
      </vt:variant>
      <vt:variant>
        <vt:lpwstr>javascript:void(0);</vt:lpwstr>
      </vt:variant>
      <vt:variant>
        <vt:lpwstr/>
      </vt:variant>
      <vt:variant>
        <vt:i4>6291564</vt:i4>
      </vt:variant>
      <vt:variant>
        <vt:i4>433</vt:i4>
      </vt:variant>
      <vt:variant>
        <vt:i4>0</vt:i4>
      </vt:variant>
      <vt:variant>
        <vt:i4>5</vt:i4>
      </vt:variant>
      <vt:variant>
        <vt:lpwstr>javascript:void(0);</vt:lpwstr>
      </vt:variant>
      <vt:variant>
        <vt:lpwstr/>
      </vt:variant>
      <vt:variant>
        <vt:i4>6291564</vt:i4>
      </vt:variant>
      <vt:variant>
        <vt:i4>430</vt:i4>
      </vt:variant>
      <vt:variant>
        <vt:i4>0</vt:i4>
      </vt:variant>
      <vt:variant>
        <vt:i4>5</vt:i4>
      </vt:variant>
      <vt:variant>
        <vt:lpwstr>javascript:void(0);</vt:lpwstr>
      </vt:variant>
      <vt:variant>
        <vt:lpwstr/>
      </vt:variant>
      <vt:variant>
        <vt:i4>6291564</vt:i4>
      </vt:variant>
      <vt:variant>
        <vt:i4>427</vt:i4>
      </vt:variant>
      <vt:variant>
        <vt:i4>0</vt:i4>
      </vt:variant>
      <vt:variant>
        <vt:i4>5</vt:i4>
      </vt:variant>
      <vt:variant>
        <vt:lpwstr>javascript:void(0);</vt:lpwstr>
      </vt:variant>
      <vt:variant>
        <vt:lpwstr/>
      </vt:variant>
      <vt:variant>
        <vt:i4>6291564</vt:i4>
      </vt:variant>
      <vt:variant>
        <vt:i4>424</vt:i4>
      </vt:variant>
      <vt:variant>
        <vt:i4>0</vt:i4>
      </vt:variant>
      <vt:variant>
        <vt:i4>5</vt:i4>
      </vt:variant>
      <vt:variant>
        <vt:lpwstr>javascript:void(0);</vt:lpwstr>
      </vt:variant>
      <vt:variant>
        <vt:lpwstr/>
      </vt:variant>
      <vt:variant>
        <vt:i4>6291564</vt:i4>
      </vt:variant>
      <vt:variant>
        <vt:i4>421</vt:i4>
      </vt:variant>
      <vt:variant>
        <vt:i4>0</vt:i4>
      </vt:variant>
      <vt:variant>
        <vt:i4>5</vt:i4>
      </vt:variant>
      <vt:variant>
        <vt:lpwstr>javascript:void(0);</vt:lpwstr>
      </vt:variant>
      <vt:variant>
        <vt:lpwstr/>
      </vt:variant>
      <vt:variant>
        <vt:i4>6291564</vt:i4>
      </vt:variant>
      <vt:variant>
        <vt:i4>418</vt:i4>
      </vt:variant>
      <vt:variant>
        <vt:i4>0</vt:i4>
      </vt:variant>
      <vt:variant>
        <vt:i4>5</vt:i4>
      </vt:variant>
      <vt:variant>
        <vt:lpwstr>javascript:void(0);</vt:lpwstr>
      </vt:variant>
      <vt:variant>
        <vt:lpwstr/>
      </vt:variant>
      <vt:variant>
        <vt:i4>6291564</vt:i4>
      </vt:variant>
      <vt:variant>
        <vt:i4>415</vt:i4>
      </vt:variant>
      <vt:variant>
        <vt:i4>0</vt:i4>
      </vt:variant>
      <vt:variant>
        <vt:i4>5</vt:i4>
      </vt:variant>
      <vt:variant>
        <vt:lpwstr>javascript:void(0);</vt:lpwstr>
      </vt:variant>
      <vt:variant>
        <vt:lpwstr/>
      </vt:variant>
      <vt:variant>
        <vt:i4>6291564</vt:i4>
      </vt:variant>
      <vt:variant>
        <vt:i4>412</vt:i4>
      </vt:variant>
      <vt:variant>
        <vt:i4>0</vt:i4>
      </vt:variant>
      <vt:variant>
        <vt:i4>5</vt:i4>
      </vt:variant>
      <vt:variant>
        <vt:lpwstr>javascript:void(0);</vt:lpwstr>
      </vt:variant>
      <vt:variant>
        <vt:lpwstr/>
      </vt:variant>
      <vt:variant>
        <vt:i4>6291564</vt:i4>
      </vt:variant>
      <vt:variant>
        <vt:i4>409</vt:i4>
      </vt:variant>
      <vt:variant>
        <vt:i4>0</vt:i4>
      </vt:variant>
      <vt:variant>
        <vt:i4>5</vt:i4>
      </vt:variant>
      <vt:variant>
        <vt:lpwstr>javascript:void(0);</vt:lpwstr>
      </vt:variant>
      <vt:variant>
        <vt:lpwstr/>
      </vt:variant>
      <vt:variant>
        <vt:i4>6291564</vt:i4>
      </vt:variant>
      <vt:variant>
        <vt:i4>406</vt:i4>
      </vt:variant>
      <vt:variant>
        <vt:i4>0</vt:i4>
      </vt:variant>
      <vt:variant>
        <vt:i4>5</vt:i4>
      </vt:variant>
      <vt:variant>
        <vt:lpwstr>javascript:void(0);</vt:lpwstr>
      </vt:variant>
      <vt:variant>
        <vt:lpwstr/>
      </vt:variant>
      <vt:variant>
        <vt:i4>6291564</vt:i4>
      </vt:variant>
      <vt:variant>
        <vt:i4>403</vt:i4>
      </vt:variant>
      <vt:variant>
        <vt:i4>0</vt:i4>
      </vt:variant>
      <vt:variant>
        <vt:i4>5</vt:i4>
      </vt:variant>
      <vt:variant>
        <vt:lpwstr>javascript:void(0);</vt:lpwstr>
      </vt:variant>
      <vt:variant>
        <vt:lpwstr/>
      </vt:variant>
      <vt:variant>
        <vt:i4>6291564</vt:i4>
      </vt:variant>
      <vt:variant>
        <vt:i4>400</vt:i4>
      </vt:variant>
      <vt:variant>
        <vt:i4>0</vt:i4>
      </vt:variant>
      <vt:variant>
        <vt:i4>5</vt:i4>
      </vt:variant>
      <vt:variant>
        <vt:lpwstr>javascript:void(0);</vt:lpwstr>
      </vt:variant>
      <vt:variant>
        <vt:lpwstr/>
      </vt:variant>
      <vt:variant>
        <vt:i4>6291564</vt:i4>
      </vt:variant>
      <vt:variant>
        <vt:i4>397</vt:i4>
      </vt:variant>
      <vt:variant>
        <vt:i4>0</vt:i4>
      </vt:variant>
      <vt:variant>
        <vt:i4>5</vt:i4>
      </vt:variant>
      <vt:variant>
        <vt:lpwstr>javascript:void(0);</vt:lpwstr>
      </vt:variant>
      <vt:variant>
        <vt:lpwstr/>
      </vt:variant>
      <vt:variant>
        <vt:i4>6291564</vt:i4>
      </vt:variant>
      <vt:variant>
        <vt:i4>394</vt:i4>
      </vt:variant>
      <vt:variant>
        <vt:i4>0</vt:i4>
      </vt:variant>
      <vt:variant>
        <vt:i4>5</vt:i4>
      </vt:variant>
      <vt:variant>
        <vt:lpwstr>javascript:void(0);</vt:lpwstr>
      </vt:variant>
      <vt:variant>
        <vt:lpwstr/>
      </vt:variant>
      <vt:variant>
        <vt:i4>6291564</vt:i4>
      </vt:variant>
      <vt:variant>
        <vt:i4>391</vt:i4>
      </vt:variant>
      <vt:variant>
        <vt:i4>0</vt:i4>
      </vt:variant>
      <vt:variant>
        <vt:i4>5</vt:i4>
      </vt:variant>
      <vt:variant>
        <vt:lpwstr>javascript:void(0);</vt:lpwstr>
      </vt:variant>
      <vt:variant>
        <vt:lpwstr/>
      </vt:variant>
      <vt:variant>
        <vt:i4>6291564</vt:i4>
      </vt:variant>
      <vt:variant>
        <vt:i4>388</vt:i4>
      </vt:variant>
      <vt:variant>
        <vt:i4>0</vt:i4>
      </vt:variant>
      <vt:variant>
        <vt:i4>5</vt:i4>
      </vt:variant>
      <vt:variant>
        <vt:lpwstr>javascript:void(0);</vt:lpwstr>
      </vt:variant>
      <vt:variant>
        <vt:lpwstr/>
      </vt:variant>
      <vt:variant>
        <vt:i4>6291564</vt:i4>
      </vt:variant>
      <vt:variant>
        <vt:i4>385</vt:i4>
      </vt:variant>
      <vt:variant>
        <vt:i4>0</vt:i4>
      </vt:variant>
      <vt:variant>
        <vt:i4>5</vt:i4>
      </vt:variant>
      <vt:variant>
        <vt:lpwstr>javascript:void(0);</vt:lpwstr>
      </vt:variant>
      <vt:variant>
        <vt:lpwstr/>
      </vt:variant>
      <vt:variant>
        <vt:i4>6291564</vt:i4>
      </vt:variant>
      <vt:variant>
        <vt:i4>382</vt:i4>
      </vt:variant>
      <vt:variant>
        <vt:i4>0</vt:i4>
      </vt:variant>
      <vt:variant>
        <vt:i4>5</vt:i4>
      </vt:variant>
      <vt:variant>
        <vt:lpwstr>javascript:void(0);</vt:lpwstr>
      </vt:variant>
      <vt:variant>
        <vt:lpwstr/>
      </vt:variant>
      <vt:variant>
        <vt:i4>6291564</vt:i4>
      </vt:variant>
      <vt:variant>
        <vt:i4>379</vt:i4>
      </vt:variant>
      <vt:variant>
        <vt:i4>0</vt:i4>
      </vt:variant>
      <vt:variant>
        <vt:i4>5</vt:i4>
      </vt:variant>
      <vt:variant>
        <vt:lpwstr>javascript:void(0);</vt:lpwstr>
      </vt:variant>
      <vt:variant>
        <vt:lpwstr/>
      </vt:variant>
      <vt:variant>
        <vt:i4>6291564</vt:i4>
      </vt:variant>
      <vt:variant>
        <vt:i4>376</vt:i4>
      </vt:variant>
      <vt:variant>
        <vt:i4>0</vt:i4>
      </vt:variant>
      <vt:variant>
        <vt:i4>5</vt:i4>
      </vt:variant>
      <vt:variant>
        <vt:lpwstr>javascript:void(0);</vt:lpwstr>
      </vt:variant>
      <vt:variant>
        <vt:lpwstr/>
      </vt:variant>
      <vt:variant>
        <vt:i4>6291564</vt:i4>
      </vt:variant>
      <vt:variant>
        <vt:i4>373</vt:i4>
      </vt:variant>
      <vt:variant>
        <vt:i4>0</vt:i4>
      </vt:variant>
      <vt:variant>
        <vt:i4>5</vt:i4>
      </vt:variant>
      <vt:variant>
        <vt:lpwstr>javascript:void(0);</vt:lpwstr>
      </vt:variant>
      <vt:variant>
        <vt:lpwstr/>
      </vt:variant>
      <vt:variant>
        <vt:i4>6291564</vt:i4>
      </vt:variant>
      <vt:variant>
        <vt:i4>370</vt:i4>
      </vt:variant>
      <vt:variant>
        <vt:i4>0</vt:i4>
      </vt:variant>
      <vt:variant>
        <vt:i4>5</vt:i4>
      </vt:variant>
      <vt:variant>
        <vt:lpwstr>javascript:void(0);</vt:lpwstr>
      </vt:variant>
      <vt:variant>
        <vt:lpwstr/>
      </vt:variant>
      <vt:variant>
        <vt:i4>6291564</vt:i4>
      </vt:variant>
      <vt:variant>
        <vt:i4>367</vt:i4>
      </vt:variant>
      <vt:variant>
        <vt:i4>0</vt:i4>
      </vt:variant>
      <vt:variant>
        <vt:i4>5</vt:i4>
      </vt:variant>
      <vt:variant>
        <vt:lpwstr>javascript:void(0);</vt:lpwstr>
      </vt:variant>
      <vt:variant>
        <vt:lpwstr/>
      </vt:variant>
      <vt:variant>
        <vt:i4>6291564</vt:i4>
      </vt:variant>
      <vt:variant>
        <vt:i4>364</vt:i4>
      </vt:variant>
      <vt:variant>
        <vt:i4>0</vt:i4>
      </vt:variant>
      <vt:variant>
        <vt:i4>5</vt:i4>
      </vt:variant>
      <vt:variant>
        <vt:lpwstr>javascript:void(0);</vt:lpwstr>
      </vt:variant>
      <vt:variant>
        <vt:lpwstr/>
      </vt:variant>
      <vt:variant>
        <vt:i4>6291564</vt:i4>
      </vt:variant>
      <vt:variant>
        <vt:i4>361</vt:i4>
      </vt:variant>
      <vt:variant>
        <vt:i4>0</vt:i4>
      </vt:variant>
      <vt:variant>
        <vt:i4>5</vt:i4>
      </vt:variant>
      <vt:variant>
        <vt:lpwstr>javascript:void(0);</vt:lpwstr>
      </vt:variant>
      <vt:variant>
        <vt:lpwstr/>
      </vt:variant>
      <vt:variant>
        <vt:i4>6291564</vt:i4>
      </vt:variant>
      <vt:variant>
        <vt:i4>358</vt:i4>
      </vt:variant>
      <vt:variant>
        <vt:i4>0</vt:i4>
      </vt:variant>
      <vt:variant>
        <vt:i4>5</vt:i4>
      </vt:variant>
      <vt:variant>
        <vt:lpwstr>javascript:void(0);</vt:lpwstr>
      </vt:variant>
      <vt:variant>
        <vt:lpwstr/>
      </vt:variant>
      <vt:variant>
        <vt:i4>6291564</vt:i4>
      </vt:variant>
      <vt:variant>
        <vt:i4>355</vt:i4>
      </vt:variant>
      <vt:variant>
        <vt:i4>0</vt:i4>
      </vt:variant>
      <vt:variant>
        <vt:i4>5</vt:i4>
      </vt:variant>
      <vt:variant>
        <vt:lpwstr>javascript:void(0);</vt:lpwstr>
      </vt:variant>
      <vt:variant>
        <vt:lpwstr/>
      </vt:variant>
      <vt:variant>
        <vt:i4>6291564</vt:i4>
      </vt:variant>
      <vt:variant>
        <vt:i4>352</vt:i4>
      </vt:variant>
      <vt:variant>
        <vt:i4>0</vt:i4>
      </vt:variant>
      <vt:variant>
        <vt:i4>5</vt:i4>
      </vt:variant>
      <vt:variant>
        <vt:lpwstr>javascript:void(0);</vt:lpwstr>
      </vt:variant>
      <vt:variant>
        <vt:lpwstr/>
      </vt:variant>
      <vt:variant>
        <vt:i4>6291564</vt:i4>
      </vt:variant>
      <vt:variant>
        <vt:i4>349</vt:i4>
      </vt:variant>
      <vt:variant>
        <vt:i4>0</vt:i4>
      </vt:variant>
      <vt:variant>
        <vt:i4>5</vt:i4>
      </vt:variant>
      <vt:variant>
        <vt:lpwstr>javascript:void(0);</vt:lpwstr>
      </vt:variant>
      <vt:variant>
        <vt:lpwstr/>
      </vt:variant>
      <vt:variant>
        <vt:i4>6291564</vt:i4>
      </vt:variant>
      <vt:variant>
        <vt:i4>346</vt:i4>
      </vt:variant>
      <vt:variant>
        <vt:i4>0</vt:i4>
      </vt:variant>
      <vt:variant>
        <vt:i4>5</vt:i4>
      </vt:variant>
      <vt:variant>
        <vt:lpwstr>javascript:void(0);</vt:lpwstr>
      </vt:variant>
      <vt:variant>
        <vt:lpwstr/>
      </vt:variant>
      <vt:variant>
        <vt:i4>6291564</vt:i4>
      </vt:variant>
      <vt:variant>
        <vt:i4>343</vt:i4>
      </vt:variant>
      <vt:variant>
        <vt:i4>0</vt:i4>
      </vt:variant>
      <vt:variant>
        <vt:i4>5</vt:i4>
      </vt:variant>
      <vt:variant>
        <vt:lpwstr>javascript:void(0);</vt:lpwstr>
      </vt:variant>
      <vt:variant>
        <vt:lpwstr/>
      </vt:variant>
      <vt:variant>
        <vt:i4>6291564</vt:i4>
      </vt:variant>
      <vt:variant>
        <vt:i4>340</vt:i4>
      </vt:variant>
      <vt:variant>
        <vt:i4>0</vt:i4>
      </vt:variant>
      <vt:variant>
        <vt:i4>5</vt:i4>
      </vt:variant>
      <vt:variant>
        <vt:lpwstr>javascript:void(0);</vt:lpwstr>
      </vt:variant>
      <vt:variant>
        <vt:lpwstr/>
      </vt:variant>
      <vt:variant>
        <vt:i4>6291564</vt:i4>
      </vt:variant>
      <vt:variant>
        <vt:i4>337</vt:i4>
      </vt:variant>
      <vt:variant>
        <vt:i4>0</vt:i4>
      </vt:variant>
      <vt:variant>
        <vt:i4>5</vt:i4>
      </vt:variant>
      <vt:variant>
        <vt:lpwstr>javascript:void(0);</vt:lpwstr>
      </vt:variant>
      <vt:variant>
        <vt:lpwstr/>
      </vt:variant>
      <vt:variant>
        <vt:i4>6291564</vt:i4>
      </vt:variant>
      <vt:variant>
        <vt:i4>334</vt:i4>
      </vt:variant>
      <vt:variant>
        <vt:i4>0</vt:i4>
      </vt:variant>
      <vt:variant>
        <vt:i4>5</vt:i4>
      </vt:variant>
      <vt:variant>
        <vt:lpwstr>javascript:void(0);</vt:lpwstr>
      </vt:variant>
      <vt:variant>
        <vt:lpwstr/>
      </vt:variant>
      <vt:variant>
        <vt:i4>6291564</vt:i4>
      </vt:variant>
      <vt:variant>
        <vt:i4>331</vt:i4>
      </vt:variant>
      <vt:variant>
        <vt:i4>0</vt:i4>
      </vt:variant>
      <vt:variant>
        <vt:i4>5</vt:i4>
      </vt:variant>
      <vt:variant>
        <vt:lpwstr>javascript:void(0);</vt:lpwstr>
      </vt:variant>
      <vt:variant>
        <vt:lpwstr/>
      </vt:variant>
      <vt:variant>
        <vt:i4>6291564</vt:i4>
      </vt:variant>
      <vt:variant>
        <vt:i4>328</vt:i4>
      </vt:variant>
      <vt:variant>
        <vt:i4>0</vt:i4>
      </vt:variant>
      <vt:variant>
        <vt:i4>5</vt:i4>
      </vt:variant>
      <vt:variant>
        <vt:lpwstr>javascript:void(0);</vt:lpwstr>
      </vt:variant>
      <vt:variant>
        <vt:lpwstr/>
      </vt:variant>
      <vt:variant>
        <vt:i4>6291564</vt:i4>
      </vt:variant>
      <vt:variant>
        <vt:i4>325</vt:i4>
      </vt:variant>
      <vt:variant>
        <vt:i4>0</vt:i4>
      </vt:variant>
      <vt:variant>
        <vt:i4>5</vt:i4>
      </vt:variant>
      <vt:variant>
        <vt:lpwstr>javascript:void(0);</vt:lpwstr>
      </vt:variant>
      <vt:variant>
        <vt:lpwstr/>
      </vt:variant>
      <vt:variant>
        <vt:i4>6291564</vt:i4>
      </vt:variant>
      <vt:variant>
        <vt:i4>322</vt:i4>
      </vt:variant>
      <vt:variant>
        <vt:i4>0</vt:i4>
      </vt:variant>
      <vt:variant>
        <vt:i4>5</vt:i4>
      </vt:variant>
      <vt:variant>
        <vt:lpwstr>javascript:void(0);</vt:lpwstr>
      </vt:variant>
      <vt:variant>
        <vt:lpwstr/>
      </vt:variant>
      <vt:variant>
        <vt:i4>6291564</vt:i4>
      </vt:variant>
      <vt:variant>
        <vt:i4>319</vt:i4>
      </vt:variant>
      <vt:variant>
        <vt:i4>0</vt:i4>
      </vt:variant>
      <vt:variant>
        <vt:i4>5</vt:i4>
      </vt:variant>
      <vt:variant>
        <vt:lpwstr>javascript:void(0);</vt:lpwstr>
      </vt:variant>
      <vt:variant>
        <vt:lpwstr/>
      </vt:variant>
      <vt:variant>
        <vt:i4>6291564</vt:i4>
      </vt:variant>
      <vt:variant>
        <vt:i4>316</vt:i4>
      </vt:variant>
      <vt:variant>
        <vt:i4>0</vt:i4>
      </vt:variant>
      <vt:variant>
        <vt:i4>5</vt:i4>
      </vt:variant>
      <vt:variant>
        <vt:lpwstr>javascript:void(0);</vt:lpwstr>
      </vt:variant>
      <vt:variant>
        <vt:lpwstr/>
      </vt:variant>
      <vt:variant>
        <vt:i4>6291564</vt:i4>
      </vt:variant>
      <vt:variant>
        <vt:i4>313</vt:i4>
      </vt:variant>
      <vt:variant>
        <vt:i4>0</vt:i4>
      </vt:variant>
      <vt:variant>
        <vt:i4>5</vt:i4>
      </vt:variant>
      <vt:variant>
        <vt:lpwstr>javascript:void(0);</vt:lpwstr>
      </vt:variant>
      <vt:variant>
        <vt:lpwstr/>
      </vt:variant>
      <vt:variant>
        <vt:i4>6291564</vt:i4>
      </vt:variant>
      <vt:variant>
        <vt:i4>310</vt:i4>
      </vt:variant>
      <vt:variant>
        <vt:i4>0</vt:i4>
      </vt:variant>
      <vt:variant>
        <vt:i4>5</vt:i4>
      </vt:variant>
      <vt:variant>
        <vt:lpwstr>javascript:void(0);</vt:lpwstr>
      </vt:variant>
      <vt:variant>
        <vt:lpwstr/>
      </vt:variant>
      <vt:variant>
        <vt:i4>6291564</vt:i4>
      </vt:variant>
      <vt:variant>
        <vt:i4>307</vt:i4>
      </vt:variant>
      <vt:variant>
        <vt:i4>0</vt:i4>
      </vt:variant>
      <vt:variant>
        <vt:i4>5</vt:i4>
      </vt:variant>
      <vt:variant>
        <vt:lpwstr>javascript:void(0);</vt:lpwstr>
      </vt:variant>
      <vt:variant>
        <vt:lpwstr/>
      </vt:variant>
      <vt:variant>
        <vt:i4>6291564</vt:i4>
      </vt:variant>
      <vt:variant>
        <vt:i4>304</vt:i4>
      </vt:variant>
      <vt:variant>
        <vt:i4>0</vt:i4>
      </vt:variant>
      <vt:variant>
        <vt:i4>5</vt:i4>
      </vt:variant>
      <vt:variant>
        <vt:lpwstr>javascript:void(0);</vt:lpwstr>
      </vt:variant>
      <vt:variant>
        <vt:lpwstr/>
      </vt:variant>
      <vt:variant>
        <vt:i4>6291564</vt:i4>
      </vt:variant>
      <vt:variant>
        <vt:i4>301</vt:i4>
      </vt:variant>
      <vt:variant>
        <vt:i4>0</vt:i4>
      </vt:variant>
      <vt:variant>
        <vt:i4>5</vt:i4>
      </vt:variant>
      <vt:variant>
        <vt:lpwstr>javascript:void(0);</vt:lpwstr>
      </vt:variant>
      <vt:variant>
        <vt:lpwstr/>
      </vt:variant>
      <vt:variant>
        <vt:i4>6291564</vt:i4>
      </vt:variant>
      <vt:variant>
        <vt:i4>298</vt:i4>
      </vt:variant>
      <vt:variant>
        <vt:i4>0</vt:i4>
      </vt:variant>
      <vt:variant>
        <vt:i4>5</vt:i4>
      </vt:variant>
      <vt:variant>
        <vt:lpwstr>javascript:void(0);</vt:lpwstr>
      </vt:variant>
      <vt:variant>
        <vt:lpwstr/>
      </vt:variant>
      <vt:variant>
        <vt:i4>6291564</vt:i4>
      </vt:variant>
      <vt:variant>
        <vt:i4>295</vt:i4>
      </vt:variant>
      <vt:variant>
        <vt:i4>0</vt:i4>
      </vt:variant>
      <vt:variant>
        <vt:i4>5</vt:i4>
      </vt:variant>
      <vt:variant>
        <vt:lpwstr>javascript:void(0);</vt:lpwstr>
      </vt:variant>
      <vt:variant>
        <vt:lpwstr/>
      </vt:variant>
      <vt:variant>
        <vt:i4>6291564</vt:i4>
      </vt:variant>
      <vt:variant>
        <vt:i4>292</vt:i4>
      </vt:variant>
      <vt:variant>
        <vt:i4>0</vt:i4>
      </vt:variant>
      <vt:variant>
        <vt:i4>5</vt:i4>
      </vt:variant>
      <vt:variant>
        <vt:lpwstr>javascript:void(0);</vt:lpwstr>
      </vt:variant>
      <vt:variant>
        <vt:lpwstr/>
      </vt:variant>
      <vt:variant>
        <vt:i4>6291564</vt:i4>
      </vt:variant>
      <vt:variant>
        <vt:i4>289</vt:i4>
      </vt:variant>
      <vt:variant>
        <vt:i4>0</vt:i4>
      </vt:variant>
      <vt:variant>
        <vt:i4>5</vt:i4>
      </vt:variant>
      <vt:variant>
        <vt:lpwstr>javascript:void(0);</vt:lpwstr>
      </vt:variant>
      <vt:variant>
        <vt:lpwstr/>
      </vt:variant>
      <vt:variant>
        <vt:i4>6291564</vt:i4>
      </vt:variant>
      <vt:variant>
        <vt:i4>286</vt:i4>
      </vt:variant>
      <vt:variant>
        <vt:i4>0</vt:i4>
      </vt:variant>
      <vt:variant>
        <vt:i4>5</vt:i4>
      </vt:variant>
      <vt:variant>
        <vt:lpwstr>javascript:void(0);</vt:lpwstr>
      </vt:variant>
      <vt:variant>
        <vt:lpwstr/>
      </vt:variant>
      <vt:variant>
        <vt:i4>6291564</vt:i4>
      </vt:variant>
      <vt:variant>
        <vt:i4>283</vt:i4>
      </vt:variant>
      <vt:variant>
        <vt:i4>0</vt:i4>
      </vt:variant>
      <vt:variant>
        <vt:i4>5</vt:i4>
      </vt:variant>
      <vt:variant>
        <vt:lpwstr>javascript:void(0);</vt:lpwstr>
      </vt:variant>
      <vt:variant>
        <vt:lpwstr/>
      </vt:variant>
      <vt:variant>
        <vt:i4>6291564</vt:i4>
      </vt:variant>
      <vt:variant>
        <vt:i4>280</vt:i4>
      </vt:variant>
      <vt:variant>
        <vt:i4>0</vt:i4>
      </vt:variant>
      <vt:variant>
        <vt:i4>5</vt:i4>
      </vt:variant>
      <vt:variant>
        <vt:lpwstr>javascript:void(0);</vt:lpwstr>
      </vt:variant>
      <vt:variant>
        <vt:lpwstr/>
      </vt:variant>
      <vt:variant>
        <vt:i4>6291564</vt:i4>
      </vt:variant>
      <vt:variant>
        <vt:i4>277</vt:i4>
      </vt:variant>
      <vt:variant>
        <vt:i4>0</vt:i4>
      </vt:variant>
      <vt:variant>
        <vt:i4>5</vt:i4>
      </vt:variant>
      <vt:variant>
        <vt:lpwstr>javascript:void(0);</vt:lpwstr>
      </vt:variant>
      <vt:variant>
        <vt:lpwstr/>
      </vt:variant>
      <vt:variant>
        <vt:i4>6291564</vt:i4>
      </vt:variant>
      <vt:variant>
        <vt:i4>274</vt:i4>
      </vt:variant>
      <vt:variant>
        <vt:i4>0</vt:i4>
      </vt:variant>
      <vt:variant>
        <vt:i4>5</vt:i4>
      </vt:variant>
      <vt:variant>
        <vt:lpwstr>javascript:void(0);</vt:lpwstr>
      </vt:variant>
      <vt:variant>
        <vt:lpwstr/>
      </vt:variant>
      <vt:variant>
        <vt:i4>6291564</vt:i4>
      </vt:variant>
      <vt:variant>
        <vt:i4>271</vt:i4>
      </vt:variant>
      <vt:variant>
        <vt:i4>0</vt:i4>
      </vt:variant>
      <vt:variant>
        <vt:i4>5</vt:i4>
      </vt:variant>
      <vt:variant>
        <vt:lpwstr>javascript:void(0);</vt:lpwstr>
      </vt:variant>
      <vt:variant>
        <vt:lpwstr/>
      </vt:variant>
      <vt:variant>
        <vt:i4>6291564</vt:i4>
      </vt:variant>
      <vt:variant>
        <vt:i4>268</vt:i4>
      </vt:variant>
      <vt:variant>
        <vt:i4>0</vt:i4>
      </vt:variant>
      <vt:variant>
        <vt:i4>5</vt:i4>
      </vt:variant>
      <vt:variant>
        <vt:lpwstr>javascript:void(0);</vt:lpwstr>
      </vt:variant>
      <vt:variant>
        <vt:lpwstr/>
      </vt:variant>
      <vt:variant>
        <vt:i4>6291564</vt:i4>
      </vt:variant>
      <vt:variant>
        <vt:i4>265</vt:i4>
      </vt:variant>
      <vt:variant>
        <vt:i4>0</vt:i4>
      </vt:variant>
      <vt:variant>
        <vt:i4>5</vt:i4>
      </vt:variant>
      <vt:variant>
        <vt:lpwstr>javascript:void(0);</vt:lpwstr>
      </vt:variant>
      <vt:variant>
        <vt:lpwstr/>
      </vt:variant>
      <vt:variant>
        <vt:i4>6291564</vt:i4>
      </vt:variant>
      <vt:variant>
        <vt:i4>262</vt:i4>
      </vt:variant>
      <vt:variant>
        <vt:i4>0</vt:i4>
      </vt:variant>
      <vt:variant>
        <vt:i4>5</vt:i4>
      </vt:variant>
      <vt:variant>
        <vt:lpwstr>javascript:void(0);</vt:lpwstr>
      </vt:variant>
      <vt:variant>
        <vt:lpwstr/>
      </vt:variant>
      <vt:variant>
        <vt:i4>6291564</vt:i4>
      </vt:variant>
      <vt:variant>
        <vt:i4>259</vt:i4>
      </vt:variant>
      <vt:variant>
        <vt:i4>0</vt:i4>
      </vt:variant>
      <vt:variant>
        <vt:i4>5</vt:i4>
      </vt:variant>
      <vt:variant>
        <vt:lpwstr>javascript:void(0);</vt:lpwstr>
      </vt:variant>
      <vt:variant>
        <vt:lpwstr/>
      </vt:variant>
      <vt:variant>
        <vt:i4>6291564</vt:i4>
      </vt:variant>
      <vt:variant>
        <vt:i4>256</vt:i4>
      </vt:variant>
      <vt:variant>
        <vt:i4>0</vt:i4>
      </vt:variant>
      <vt:variant>
        <vt:i4>5</vt:i4>
      </vt:variant>
      <vt:variant>
        <vt:lpwstr>javascript:void(0);</vt:lpwstr>
      </vt:variant>
      <vt:variant>
        <vt:lpwstr/>
      </vt:variant>
      <vt:variant>
        <vt:i4>6291564</vt:i4>
      </vt:variant>
      <vt:variant>
        <vt:i4>253</vt:i4>
      </vt:variant>
      <vt:variant>
        <vt:i4>0</vt:i4>
      </vt:variant>
      <vt:variant>
        <vt:i4>5</vt:i4>
      </vt:variant>
      <vt:variant>
        <vt:lpwstr>javascript:void(0);</vt:lpwstr>
      </vt:variant>
      <vt:variant>
        <vt:lpwstr/>
      </vt:variant>
      <vt:variant>
        <vt:i4>6291564</vt:i4>
      </vt:variant>
      <vt:variant>
        <vt:i4>250</vt:i4>
      </vt:variant>
      <vt:variant>
        <vt:i4>0</vt:i4>
      </vt:variant>
      <vt:variant>
        <vt:i4>5</vt:i4>
      </vt:variant>
      <vt:variant>
        <vt:lpwstr>javascript:void(0);</vt:lpwstr>
      </vt:variant>
      <vt:variant>
        <vt:lpwstr/>
      </vt:variant>
      <vt:variant>
        <vt:i4>6291564</vt:i4>
      </vt:variant>
      <vt:variant>
        <vt:i4>247</vt:i4>
      </vt:variant>
      <vt:variant>
        <vt:i4>0</vt:i4>
      </vt:variant>
      <vt:variant>
        <vt:i4>5</vt:i4>
      </vt:variant>
      <vt:variant>
        <vt:lpwstr>javascript:void(0);</vt:lpwstr>
      </vt:variant>
      <vt:variant>
        <vt:lpwstr/>
      </vt:variant>
      <vt:variant>
        <vt:i4>6291564</vt:i4>
      </vt:variant>
      <vt:variant>
        <vt:i4>244</vt:i4>
      </vt:variant>
      <vt:variant>
        <vt:i4>0</vt:i4>
      </vt:variant>
      <vt:variant>
        <vt:i4>5</vt:i4>
      </vt:variant>
      <vt:variant>
        <vt:lpwstr>javascript:void(0);</vt:lpwstr>
      </vt:variant>
      <vt:variant>
        <vt:lpwstr/>
      </vt:variant>
      <vt:variant>
        <vt:i4>6291564</vt:i4>
      </vt:variant>
      <vt:variant>
        <vt:i4>241</vt:i4>
      </vt:variant>
      <vt:variant>
        <vt:i4>0</vt:i4>
      </vt:variant>
      <vt:variant>
        <vt:i4>5</vt:i4>
      </vt:variant>
      <vt:variant>
        <vt:lpwstr>javascript:void(0);</vt:lpwstr>
      </vt:variant>
      <vt:variant>
        <vt:lpwstr/>
      </vt:variant>
      <vt:variant>
        <vt:i4>6291564</vt:i4>
      </vt:variant>
      <vt:variant>
        <vt:i4>238</vt:i4>
      </vt:variant>
      <vt:variant>
        <vt:i4>0</vt:i4>
      </vt:variant>
      <vt:variant>
        <vt:i4>5</vt:i4>
      </vt:variant>
      <vt:variant>
        <vt:lpwstr>javascript:void(0);</vt:lpwstr>
      </vt:variant>
      <vt:variant>
        <vt:lpwstr/>
      </vt:variant>
      <vt:variant>
        <vt:i4>6291564</vt:i4>
      </vt:variant>
      <vt:variant>
        <vt:i4>235</vt:i4>
      </vt:variant>
      <vt:variant>
        <vt:i4>0</vt:i4>
      </vt:variant>
      <vt:variant>
        <vt:i4>5</vt:i4>
      </vt:variant>
      <vt:variant>
        <vt:lpwstr>javascript:void(0);</vt:lpwstr>
      </vt:variant>
      <vt:variant>
        <vt:lpwstr/>
      </vt:variant>
      <vt:variant>
        <vt:i4>6291564</vt:i4>
      </vt:variant>
      <vt:variant>
        <vt:i4>232</vt:i4>
      </vt:variant>
      <vt:variant>
        <vt:i4>0</vt:i4>
      </vt:variant>
      <vt:variant>
        <vt:i4>5</vt:i4>
      </vt:variant>
      <vt:variant>
        <vt:lpwstr>javascript:void(0);</vt:lpwstr>
      </vt:variant>
      <vt:variant>
        <vt:lpwstr/>
      </vt:variant>
      <vt:variant>
        <vt:i4>6291564</vt:i4>
      </vt:variant>
      <vt:variant>
        <vt:i4>229</vt:i4>
      </vt:variant>
      <vt:variant>
        <vt:i4>0</vt:i4>
      </vt:variant>
      <vt:variant>
        <vt:i4>5</vt:i4>
      </vt:variant>
      <vt:variant>
        <vt:lpwstr>javascript:void(0);</vt:lpwstr>
      </vt:variant>
      <vt:variant>
        <vt:lpwstr/>
      </vt:variant>
      <vt:variant>
        <vt:i4>6291564</vt:i4>
      </vt:variant>
      <vt:variant>
        <vt:i4>226</vt:i4>
      </vt:variant>
      <vt:variant>
        <vt:i4>0</vt:i4>
      </vt:variant>
      <vt:variant>
        <vt:i4>5</vt:i4>
      </vt:variant>
      <vt:variant>
        <vt:lpwstr>javascript:void(0);</vt:lpwstr>
      </vt:variant>
      <vt:variant>
        <vt:lpwstr/>
      </vt:variant>
      <vt:variant>
        <vt:i4>6291564</vt:i4>
      </vt:variant>
      <vt:variant>
        <vt:i4>223</vt:i4>
      </vt:variant>
      <vt:variant>
        <vt:i4>0</vt:i4>
      </vt:variant>
      <vt:variant>
        <vt:i4>5</vt:i4>
      </vt:variant>
      <vt:variant>
        <vt:lpwstr>javascript:void(0);</vt:lpwstr>
      </vt:variant>
      <vt:variant>
        <vt:lpwstr/>
      </vt:variant>
      <vt:variant>
        <vt:i4>6291564</vt:i4>
      </vt:variant>
      <vt:variant>
        <vt:i4>220</vt:i4>
      </vt:variant>
      <vt:variant>
        <vt:i4>0</vt:i4>
      </vt:variant>
      <vt:variant>
        <vt:i4>5</vt:i4>
      </vt:variant>
      <vt:variant>
        <vt:lpwstr>javascript:void(0);</vt:lpwstr>
      </vt:variant>
      <vt:variant>
        <vt:lpwstr/>
      </vt:variant>
      <vt:variant>
        <vt:i4>6291564</vt:i4>
      </vt:variant>
      <vt:variant>
        <vt:i4>217</vt:i4>
      </vt:variant>
      <vt:variant>
        <vt:i4>0</vt:i4>
      </vt:variant>
      <vt:variant>
        <vt:i4>5</vt:i4>
      </vt:variant>
      <vt:variant>
        <vt:lpwstr>javascript:void(0);</vt:lpwstr>
      </vt:variant>
      <vt:variant>
        <vt:lpwstr/>
      </vt:variant>
      <vt:variant>
        <vt:i4>6291564</vt:i4>
      </vt:variant>
      <vt:variant>
        <vt:i4>214</vt:i4>
      </vt:variant>
      <vt:variant>
        <vt:i4>0</vt:i4>
      </vt:variant>
      <vt:variant>
        <vt:i4>5</vt:i4>
      </vt:variant>
      <vt:variant>
        <vt:lpwstr>javascript:void(0);</vt:lpwstr>
      </vt:variant>
      <vt:variant>
        <vt:lpwstr/>
      </vt:variant>
      <vt:variant>
        <vt:i4>6291564</vt:i4>
      </vt:variant>
      <vt:variant>
        <vt:i4>211</vt:i4>
      </vt:variant>
      <vt:variant>
        <vt:i4>0</vt:i4>
      </vt:variant>
      <vt:variant>
        <vt:i4>5</vt:i4>
      </vt:variant>
      <vt:variant>
        <vt:lpwstr>javascript:void(0);</vt:lpwstr>
      </vt:variant>
      <vt:variant>
        <vt:lpwstr/>
      </vt:variant>
      <vt:variant>
        <vt:i4>6291564</vt:i4>
      </vt:variant>
      <vt:variant>
        <vt:i4>208</vt:i4>
      </vt:variant>
      <vt:variant>
        <vt:i4>0</vt:i4>
      </vt:variant>
      <vt:variant>
        <vt:i4>5</vt:i4>
      </vt:variant>
      <vt:variant>
        <vt:lpwstr>javascript:void(0);</vt:lpwstr>
      </vt:variant>
      <vt:variant>
        <vt:lpwstr/>
      </vt:variant>
      <vt:variant>
        <vt:i4>6291564</vt:i4>
      </vt:variant>
      <vt:variant>
        <vt:i4>205</vt:i4>
      </vt:variant>
      <vt:variant>
        <vt:i4>0</vt:i4>
      </vt:variant>
      <vt:variant>
        <vt:i4>5</vt:i4>
      </vt:variant>
      <vt:variant>
        <vt:lpwstr>javascript:void(0);</vt:lpwstr>
      </vt:variant>
      <vt:variant>
        <vt:lpwstr/>
      </vt:variant>
      <vt:variant>
        <vt:i4>6291564</vt:i4>
      </vt:variant>
      <vt:variant>
        <vt:i4>202</vt:i4>
      </vt:variant>
      <vt:variant>
        <vt:i4>0</vt:i4>
      </vt:variant>
      <vt:variant>
        <vt:i4>5</vt:i4>
      </vt:variant>
      <vt:variant>
        <vt:lpwstr>javascript:void(0);</vt:lpwstr>
      </vt:variant>
      <vt:variant>
        <vt:lpwstr/>
      </vt:variant>
      <vt:variant>
        <vt:i4>6291564</vt:i4>
      </vt:variant>
      <vt:variant>
        <vt:i4>199</vt:i4>
      </vt:variant>
      <vt:variant>
        <vt:i4>0</vt:i4>
      </vt:variant>
      <vt:variant>
        <vt:i4>5</vt:i4>
      </vt:variant>
      <vt:variant>
        <vt:lpwstr>javascript:void(0);</vt:lpwstr>
      </vt:variant>
      <vt:variant>
        <vt:lpwstr/>
      </vt:variant>
      <vt:variant>
        <vt:i4>6291564</vt:i4>
      </vt:variant>
      <vt:variant>
        <vt:i4>196</vt:i4>
      </vt:variant>
      <vt:variant>
        <vt:i4>0</vt:i4>
      </vt:variant>
      <vt:variant>
        <vt:i4>5</vt:i4>
      </vt:variant>
      <vt:variant>
        <vt:lpwstr>javascript:void(0);</vt:lpwstr>
      </vt:variant>
      <vt:variant>
        <vt:lpwstr/>
      </vt:variant>
      <vt:variant>
        <vt:i4>6291564</vt:i4>
      </vt:variant>
      <vt:variant>
        <vt:i4>193</vt:i4>
      </vt:variant>
      <vt:variant>
        <vt:i4>0</vt:i4>
      </vt:variant>
      <vt:variant>
        <vt:i4>5</vt:i4>
      </vt:variant>
      <vt:variant>
        <vt:lpwstr>javascript:void(0);</vt:lpwstr>
      </vt:variant>
      <vt:variant>
        <vt:lpwstr/>
      </vt:variant>
      <vt:variant>
        <vt:i4>6291564</vt:i4>
      </vt:variant>
      <vt:variant>
        <vt:i4>190</vt:i4>
      </vt:variant>
      <vt:variant>
        <vt:i4>0</vt:i4>
      </vt:variant>
      <vt:variant>
        <vt:i4>5</vt:i4>
      </vt:variant>
      <vt:variant>
        <vt:lpwstr>javascript:void(0);</vt:lpwstr>
      </vt:variant>
      <vt:variant>
        <vt:lpwstr/>
      </vt:variant>
      <vt:variant>
        <vt:i4>6291564</vt:i4>
      </vt:variant>
      <vt:variant>
        <vt:i4>187</vt:i4>
      </vt:variant>
      <vt:variant>
        <vt:i4>0</vt:i4>
      </vt:variant>
      <vt:variant>
        <vt:i4>5</vt:i4>
      </vt:variant>
      <vt:variant>
        <vt:lpwstr>javascript:void(0);</vt:lpwstr>
      </vt:variant>
      <vt:variant>
        <vt:lpwstr/>
      </vt:variant>
      <vt:variant>
        <vt:i4>6291564</vt:i4>
      </vt:variant>
      <vt:variant>
        <vt:i4>184</vt:i4>
      </vt:variant>
      <vt:variant>
        <vt:i4>0</vt:i4>
      </vt:variant>
      <vt:variant>
        <vt:i4>5</vt:i4>
      </vt:variant>
      <vt:variant>
        <vt:lpwstr>javascript:void(0);</vt:lpwstr>
      </vt:variant>
      <vt:variant>
        <vt:lpwstr/>
      </vt:variant>
      <vt:variant>
        <vt:i4>6291564</vt:i4>
      </vt:variant>
      <vt:variant>
        <vt:i4>181</vt:i4>
      </vt:variant>
      <vt:variant>
        <vt:i4>0</vt:i4>
      </vt:variant>
      <vt:variant>
        <vt:i4>5</vt:i4>
      </vt:variant>
      <vt:variant>
        <vt:lpwstr>javascript:void(0);</vt:lpwstr>
      </vt:variant>
      <vt:variant>
        <vt:lpwstr/>
      </vt:variant>
      <vt:variant>
        <vt:i4>6291564</vt:i4>
      </vt:variant>
      <vt:variant>
        <vt:i4>178</vt:i4>
      </vt:variant>
      <vt:variant>
        <vt:i4>0</vt:i4>
      </vt:variant>
      <vt:variant>
        <vt:i4>5</vt:i4>
      </vt:variant>
      <vt:variant>
        <vt:lpwstr>javascript:void(0);</vt:lpwstr>
      </vt:variant>
      <vt:variant>
        <vt:lpwstr/>
      </vt:variant>
      <vt:variant>
        <vt:i4>6291564</vt:i4>
      </vt:variant>
      <vt:variant>
        <vt:i4>175</vt:i4>
      </vt:variant>
      <vt:variant>
        <vt:i4>0</vt:i4>
      </vt:variant>
      <vt:variant>
        <vt:i4>5</vt:i4>
      </vt:variant>
      <vt:variant>
        <vt:lpwstr>javascript:void(0);</vt:lpwstr>
      </vt:variant>
      <vt:variant>
        <vt:lpwstr/>
      </vt:variant>
      <vt:variant>
        <vt:i4>6291564</vt:i4>
      </vt:variant>
      <vt:variant>
        <vt:i4>172</vt:i4>
      </vt:variant>
      <vt:variant>
        <vt:i4>0</vt:i4>
      </vt:variant>
      <vt:variant>
        <vt:i4>5</vt:i4>
      </vt:variant>
      <vt:variant>
        <vt:lpwstr>javascript:void(0);</vt:lpwstr>
      </vt:variant>
      <vt:variant>
        <vt:lpwstr/>
      </vt:variant>
      <vt:variant>
        <vt:i4>6291564</vt:i4>
      </vt:variant>
      <vt:variant>
        <vt:i4>169</vt:i4>
      </vt:variant>
      <vt:variant>
        <vt:i4>0</vt:i4>
      </vt:variant>
      <vt:variant>
        <vt:i4>5</vt:i4>
      </vt:variant>
      <vt:variant>
        <vt:lpwstr>javascript:void(0);</vt:lpwstr>
      </vt:variant>
      <vt:variant>
        <vt:lpwstr/>
      </vt:variant>
      <vt:variant>
        <vt:i4>6291564</vt:i4>
      </vt:variant>
      <vt:variant>
        <vt:i4>166</vt:i4>
      </vt:variant>
      <vt:variant>
        <vt:i4>0</vt:i4>
      </vt:variant>
      <vt:variant>
        <vt:i4>5</vt:i4>
      </vt:variant>
      <vt:variant>
        <vt:lpwstr>javascript:void(0);</vt:lpwstr>
      </vt:variant>
      <vt:variant>
        <vt:lpwstr/>
      </vt:variant>
      <vt:variant>
        <vt:i4>6291564</vt:i4>
      </vt:variant>
      <vt:variant>
        <vt:i4>163</vt:i4>
      </vt:variant>
      <vt:variant>
        <vt:i4>0</vt:i4>
      </vt:variant>
      <vt:variant>
        <vt:i4>5</vt:i4>
      </vt:variant>
      <vt:variant>
        <vt:lpwstr>javascript:void(0);</vt:lpwstr>
      </vt:variant>
      <vt:variant>
        <vt:lpwstr/>
      </vt:variant>
      <vt:variant>
        <vt:i4>6291564</vt:i4>
      </vt:variant>
      <vt:variant>
        <vt:i4>160</vt:i4>
      </vt:variant>
      <vt:variant>
        <vt:i4>0</vt:i4>
      </vt:variant>
      <vt:variant>
        <vt:i4>5</vt:i4>
      </vt:variant>
      <vt:variant>
        <vt:lpwstr>javascript:void(0);</vt:lpwstr>
      </vt:variant>
      <vt:variant>
        <vt:lpwstr/>
      </vt:variant>
      <vt:variant>
        <vt:i4>6291564</vt:i4>
      </vt:variant>
      <vt:variant>
        <vt:i4>157</vt:i4>
      </vt:variant>
      <vt:variant>
        <vt:i4>0</vt:i4>
      </vt:variant>
      <vt:variant>
        <vt:i4>5</vt:i4>
      </vt:variant>
      <vt:variant>
        <vt:lpwstr>javascript:void(0);</vt:lpwstr>
      </vt:variant>
      <vt:variant>
        <vt:lpwstr/>
      </vt:variant>
      <vt:variant>
        <vt:i4>6291564</vt:i4>
      </vt:variant>
      <vt:variant>
        <vt:i4>154</vt:i4>
      </vt:variant>
      <vt:variant>
        <vt:i4>0</vt:i4>
      </vt:variant>
      <vt:variant>
        <vt:i4>5</vt:i4>
      </vt:variant>
      <vt:variant>
        <vt:lpwstr>javascript:void(0);</vt:lpwstr>
      </vt:variant>
      <vt:variant>
        <vt:lpwstr/>
      </vt:variant>
      <vt:variant>
        <vt:i4>6291564</vt:i4>
      </vt:variant>
      <vt:variant>
        <vt:i4>151</vt:i4>
      </vt:variant>
      <vt:variant>
        <vt:i4>0</vt:i4>
      </vt:variant>
      <vt:variant>
        <vt:i4>5</vt:i4>
      </vt:variant>
      <vt:variant>
        <vt:lpwstr>javascript:void(0);</vt:lpwstr>
      </vt:variant>
      <vt:variant>
        <vt:lpwstr/>
      </vt:variant>
      <vt:variant>
        <vt:i4>6291564</vt:i4>
      </vt:variant>
      <vt:variant>
        <vt:i4>148</vt:i4>
      </vt:variant>
      <vt:variant>
        <vt:i4>0</vt:i4>
      </vt:variant>
      <vt:variant>
        <vt:i4>5</vt:i4>
      </vt:variant>
      <vt:variant>
        <vt:lpwstr>javascript:void(0);</vt:lpwstr>
      </vt:variant>
      <vt:variant>
        <vt:lpwstr/>
      </vt:variant>
      <vt:variant>
        <vt:i4>6291564</vt:i4>
      </vt:variant>
      <vt:variant>
        <vt:i4>145</vt:i4>
      </vt:variant>
      <vt:variant>
        <vt:i4>0</vt:i4>
      </vt:variant>
      <vt:variant>
        <vt:i4>5</vt:i4>
      </vt:variant>
      <vt:variant>
        <vt:lpwstr>javascript:void(0);</vt:lpwstr>
      </vt:variant>
      <vt:variant>
        <vt:lpwstr/>
      </vt:variant>
      <vt:variant>
        <vt:i4>6291564</vt:i4>
      </vt:variant>
      <vt:variant>
        <vt:i4>142</vt:i4>
      </vt:variant>
      <vt:variant>
        <vt:i4>0</vt:i4>
      </vt:variant>
      <vt:variant>
        <vt:i4>5</vt:i4>
      </vt:variant>
      <vt:variant>
        <vt:lpwstr>javascript:void(0);</vt:lpwstr>
      </vt:variant>
      <vt:variant>
        <vt:lpwstr/>
      </vt:variant>
      <vt:variant>
        <vt:i4>6291564</vt:i4>
      </vt:variant>
      <vt:variant>
        <vt:i4>139</vt:i4>
      </vt:variant>
      <vt:variant>
        <vt:i4>0</vt:i4>
      </vt:variant>
      <vt:variant>
        <vt:i4>5</vt:i4>
      </vt:variant>
      <vt:variant>
        <vt:lpwstr>javascript:void(0);</vt:lpwstr>
      </vt:variant>
      <vt:variant>
        <vt:lpwstr/>
      </vt:variant>
      <vt:variant>
        <vt:i4>6291564</vt:i4>
      </vt:variant>
      <vt:variant>
        <vt:i4>136</vt:i4>
      </vt:variant>
      <vt:variant>
        <vt:i4>0</vt:i4>
      </vt:variant>
      <vt:variant>
        <vt:i4>5</vt:i4>
      </vt:variant>
      <vt:variant>
        <vt:lpwstr>javascript:void(0);</vt:lpwstr>
      </vt:variant>
      <vt:variant>
        <vt:lpwstr/>
      </vt:variant>
      <vt:variant>
        <vt:i4>6291564</vt:i4>
      </vt:variant>
      <vt:variant>
        <vt:i4>133</vt:i4>
      </vt:variant>
      <vt:variant>
        <vt:i4>0</vt:i4>
      </vt:variant>
      <vt:variant>
        <vt:i4>5</vt:i4>
      </vt:variant>
      <vt:variant>
        <vt:lpwstr>javascript:void(0);</vt:lpwstr>
      </vt:variant>
      <vt:variant>
        <vt:lpwstr/>
      </vt:variant>
      <vt:variant>
        <vt:i4>6291564</vt:i4>
      </vt:variant>
      <vt:variant>
        <vt:i4>130</vt:i4>
      </vt:variant>
      <vt:variant>
        <vt:i4>0</vt:i4>
      </vt:variant>
      <vt:variant>
        <vt:i4>5</vt:i4>
      </vt:variant>
      <vt:variant>
        <vt:lpwstr>javascript:void(0);</vt:lpwstr>
      </vt:variant>
      <vt:variant>
        <vt:lpwstr/>
      </vt:variant>
      <vt:variant>
        <vt:i4>6291564</vt:i4>
      </vt:variant>
      <vt:variant>
        <vt:i4>127</vt:i4>
      </vt:variant>
      <vt:variant>
        <vt:i4>0</vt:i4>
      </vt:variant>
      <vt:variant>
        <vt:i4>5</vt:i4>
      </vt:variant>
      <vt:variant>
        <vt:lpwstr>javascript:void(0);</vt:lpwstr>
      </vt:variant>
      <vt:variant>
        <vt:lpwstr/>
      </vt:variant>
      <vt:variant>
        <vt:i4>6291564</vt:i4>
      </vt:variant>
      <vt:variant>
        <vt:i4>124</vt:i4>
      </vt:variant>
      <vt:variant>
        <vt:i4>0</vt:i4>
      </vt:variant>
      <vt:variant>
        <vt:i4>5</vt:i4>
      </vt:variant>
      <vt:variant>
        <vt:lpwstr>javascript:void(0);</vt:lpwstr>
      </vt:variant>
      <vt:variant>
        <vt:lpwstr/>
      </vt:variant>
      <vt:variant>
        <vt:i4>6291564</vt:i4>
      </vt:variant>
      <vt:variant>
        <vt:i4>121</vt:i4>
      </vt:variant>
      <vt:variant>
        <vt:i4>0</vt:i4>
      </vt:variant>
      <vt:variant>
        <vt:i4>5</vt:i4>
      </vt:variant>
      <vt:variant>
        <vt:lpwstr>javascript:void(0);</vt:lpwstr>
      </vt:variant>
      <vt:variant>
        <vt:lpwstr/>
      </vt:variant>
      <vt:variant>
        <vt:i4>6291564</vt:i4>
      </vt:variant>
      <vt:variant>
        <vt:i4>118</vt:i4>
      </vt:variant>
      <vt:variant>
        <vt:i4>0</vt:i4>
      </vt:variant>
      <vt:variant>
        <vt:i4>5</vt:i4>
      </vt:variant>
      <vt:variant>
        <vt:lpwstr>javascript:void(0);</vt:lpwstr>
      </vt:variant>
      <vt:variant>
        <vt:lpwstr/>
      </vt:variant>
      <vt:variant>
        <vt:i4>6291564</vt:i4>
      </vt:variant>
      <vt:variant>
        <vt:i4>115</vt:i4>
      </vt:variant>
      <vt:variant>
        <vt:i4>0</vt:i4>
      </vt:variant>
      <vt:variant>
        <vt:i4>5</vt:i4>
      </vt:variant>
      <vt:variant>
        <vt:lpwstr>javascript:void(0);</vt:lpwstr>
      </vt:variant>
      <vt:variant>
        <vt:lpwstr/>
      </vt:variant>
      <vt:variant>
        <vt:i4>6291564</vt:i4>
      </vt:variant>
      <vt:variant>
        <vt:i4>112</vt:i4>
      </vt:variant>
      <vt:variant>
        <vt:i4>0</vt:i4>
      </vt:variant>
      <vt:variant>
        <vt:i4>5</vt:i4>
      </vt:variant>
      <vt:variant>
        <vt:lpwstr>javascript:void(0);</vt:lpwstr>
      </vt:variant>
      <vt:variant>
        <vt:lpwstr/>
      </vt:variant>
      <vt:variant>
        <vt:i4>6291564</vt:i4>
      </vt:variant>
      <vt:variant>
        <vt:i4>109</vt:i4>
      </vt:variant>
      <vt:variant>
        <vt:i4>0</vt:i4>
      </vt:variant>
      <vt:variant>
        <vt:i4>5</vt:i4>
      </vt:variant>
      <vt:variant>
        <vt:lpwstr>javascript:void(0);</vt:lpwstr>
      </vt:variant>
      <vt:variant>
        <vt:lpwstr/>
      </vt:variant>
      <vt:variant>
        <vt:i4>6291564</vt:i4>
      </vt:variant>
      <vt:variant>
        <vt:i4>106</vt:i4>
      </vt:variant>
      <vt:variant>
        <vt:i4>0</vt:i4>
      </vt:variant>
      <vt:variant>
        <vt:i4>5</vt:i4>
      </vt:variant>
      <vt:variant>
        <vt:lpwstr>javascript:void(0);</vt:lpwstr>
      </vt:variant>
      <vt:variant>
        <vt:lpwstr/>
      </vt:variant>
      <vt:variant>
        <vt:i4>6291564</vt:i4>
      </vt:variant>
      <vt:variant>
        <vt:i4>103</vt:i4>
      </vt:variant>
      <vt:variant>
        <vt:i4>0</vt:i4>
      </vt:variant>
      <vt:variant>
        <vt:i4>5</vt:i4>
      </vt:variant>
      <vt:variant>
        <vt:lpwstr>javascript:void(0);</vt:lpwstr>
      </vt:variant>
      <vt:variant>
        <vt:lpwstr/>
      </vt:variant>
      <vt:variant>
        <vt:i4>6291564</vt:i4>
      </vt:variant>
      <vt:variant>
        <vt:i4>100</vt:i4>
      </vt:variant>
      <vt:variant>
        <vt:i4>0</vt:i4>
      </vt:variant>
      <vt:variant>
        <vt:i4>5</vt:i4>
      </vt:variant>
      <vt:variant>
        <vt:lpwstr>javascript:void(0);</vt:lpwstr>
      </vt:variant>
      <vt:variant>
        <vt:lpwstr/>
      </vt:variant>
      <vt:variant>
        <vt:i4>6291564</vt:i4>
      </vt:variant>
      <vt:variant>
        <vt:i4>97</vt:i4>
      </vt:variant>
      <vt:variant>
        <vt:i4>0</vt:i4>
      </vt:variant>
      <vt:variant>
        <vt:i4>5</vt:i4>
      </vt:variant>
      <vt:variant>
        <vt:lpwstr>javascript:void(0);</vt:lpwstr>
      </vt:variant>
      <vt:variant>
        <vt:lpwstr/>
      </vt:variant>
      <vt:variant>
        <vt:i4>6291564</vt:i4>
      </vt:variant>
      <vt:variant>
        <vt:i4>94</vt:i4>
      </vt:variant>
      <vt:variant>
        <vt:i4>0</vt:i4>
      </vt:variant>
      <vt:variant>
        <vt:i4>5</vt:i4>
      </vt:variant>
      <vt:variant>
        <vt:lpwstr>javascript:void(0);</vt:lpwstr>
      </vt:variant>
      <vt:variant>
        <vt:lpwstr/>
      </vt:variant>
      <vt:variant>
        <vt:i4>6291564</vt:i4>
      </vt:variant>
      <vt:variant>
        <vt:i4>91</vt:i4>
      </vt:variant>
      <vt:variant>
        <vt:i4>0</vt:i4>
      </vt:variant>
      <vt:variant>
        <vt:i4>5</vt:i4>
      </vt:variant>
      <vt:variant>
        <vt:lpwstr>javascript:void(0);</vt:lpwstr>
      </vt:variant>
      <vt:variant>
        <vt:lpwstr/>
      </vt:variant>
      <vt:variant>
        <vt:i4>6291564</vt:i4>
      </vt:variant>
      <vt:variant>
        <vt:i4>88</vt:i4>
      </vt:variant>
      <vt:variant>
        <vt:i4>0</vt:i4>
      </vt:variant>
      <vt:variant>
        <vt:i4>5</vt:i4>
      </vt:variant>
      <vt:variant>
        <vt:lpwstr>javascript:void(0);</vt:lpwstr>
      </vt:variant>
      <vt:variant>
        <vt:lpwstr/>
      </vt:variant>
      <vt:variant>
        <vt:i4>6291564</vt:i4>
      </vt:variant>
      <vt:variant>
        <vt:i4>85</vt:i4>
      </vt:variant>
      <vt:variant>
        <vt:i4>0</vt:i4>
      </vt:variant>
      <vt:variant>
        <vt:i4>5</vt:i4>
      </vt:variant>
      <vt:variant>
        <vt:lpwstr>javascript:void(0);</vt:lpwstr>
      </vt:variant>
      <vt:variant>
        <vt:lpwstr/>
      </vt:variant>
      <vt:variant>
        <vt:i4>6291564</vt:i4>
      </vt:variant>
      <vt:variant>
        <vt:i4>82</vt:i4>
      </vt:variant>
      <vt:variant>
        <vt:i4>0</vt:i4>
      </vt:variant>
      <vt:variant>
        <vt:i4>5</vt:i4>
      </vt:variant>
      <vt:variant>
        <vt:lpwstr>javascript:void(0);</vt:lpwstr>
      </vt:variant>
      <vt:variant>
        <vt:lpwstr/>
      </vt:variant>
      <vt:variant>
        <vt:i4>6291564</vt:i4>
      </vt:variant>
      <vt:variant>
        <vt:i4>79</vt:i4>
      </vt:variant>
      <vt:variant>
        <vt:i4>0</vt:i4>
      </vt:variant>
      <vt:variant>
        <vt:i4>5</vt:i4>
      </vt:variant>
      <vt:variant>
        <vt:lpwstr>javascript:void(0);</vt:lpwstr>
      </vt:variant>
      <vt:variant>
        <vt:lpwstr/>
      </vt:variant>
      <vt:variant>
        <vt:i4>6291564</vt:i4>
      </vt:variant>
      <vt:variant>
        <vt:i4>76</vt:i4>
      </vt:variant>
      <vt:variant>
        <vt:i4>0</vt:i4>
      </vt:variant>
      <vt:variant>
        <vt:i4>5</vt:i4>
      </vt:variant>
      <vt:variant>
        <vt:lpwstr>javascript:void(0);</vt:lpwstr>
      </vt:variant>
      <vt:variant>
        <vt:lpwstr/>
      </vt:variant>
      <vt:variant>
        <vt:i4>6291564</vt:i4>
      </vt:variant>
      <vt:variant>
        <vt:i4>73</vt:i4>
      </vt:variant>
      <vt:variant>
        <vt:i4>0</vt:i4>
      </vt:variant>
      <vt:variant>
        <vt:i4>5</vt:i4>
      </vt:variant>
      <vt:variant>
        <vt:lpwstr>javascript:void(0);</vt:lpwstr>
      </vt:variant>
      <vt:variant>
        <vt:lpwstr/>
      </vt:variant>
      <vt:variant>
        <vt:i4>6291564</vt:i4>
      </vt:variant>
      <vt:variant>
        <vt:i4>70</vt:i4>
      </vt:variant>
      <vt:variant>
        <vt:i4>0</vt:i4>
      </vt:variant>
      <vt:variant>
        <vt:i4>5</vt:i4>
      </vt:variant>
      <vt:variant>
        <vt:lpwstr>javascript:void(0);</vt:lpwstr>
      </vt:variant>
      <vt:variant>
        <vt:lpwstr/>
      </vt:variant>
      <vt:variant>
        <vt:i4>6291564</vt:i4>
      </vt:variant>
      <vt:variant>
        <vt:i4>67</vt:i4>
      </vt:variant>
      <vt:variant>
        <vt:i4>0</vt:i4>
      </vt:variant>
      <vt:variant>
        <vt:i4>5</vt:i4>
      </vt:variant>
      <vt:variant>
        <vt:lpwstr>javascript:void(0);</vt:lpwstr>
      </vt:variant>
      <vt:variant>
        <vt:lpwstr/>
      </vt:variant>
      <vt:variant>
        <vt:i4>6291564</vt:i4>
      </vt:variant>
      <vt:variant>
        <vt:i4>64</vt:i4>
      </vt:variant>
      <vt:variant>
        <vt:i4>0</vt:i4>
      </vt:variant>
      <vt:variant>
        <vt:i4>5</vt:i4>
      </vt:variant>
      <vt:variant>
        <vt:lpwstr>javascript:void(0);</vt:lpwstr>
      </vt:variant>
      <vt:variant>
        <vt:lpwstr/>
      </vt:variant>
      <vt:variant>
        <vt:i4>6291564</vt:i4>
      </vt:variant>
      <vt:variant>
        <vt:i4>61</vt:i4>
      </vt:variant>
      <vt:variant>
        <vt:i4>0</vt:i4>
      </vt:variant>
      <vt:variant>
        <vt:i4>5</vt:i4>
      </vt:variant>
      <vt:variant>
        <vt:lpwstr>javascript:void(0);</vt:lpwstr>
      </vt:variant>
      <vt:variant>
        <vt:lpwstr/>
      </vt:variant>
      <vt:variant>
        <vt:i4>6291564</vt:i4>
      </vt:variant>
      <vt:variant>
        <vt:i4>58</vt:i4>
      </vt:variant>
      <vt:variant>
        <vt:i4>0</vt:i4>
      </vt:variant>
      <vt:variant>
        <vt:i4>5</vt:i4>
      </vt:variant>
      <vt:variant>
        <vt:lpwstr>javascript:void(0);</vt:lpwstr>
      </vt:variant>
      <vt:variant>
        <vt:lpwstr/>
      </vt:variant>
      <vt:variant>
        <vt:i4>6291564</vt:i4>
      </vt:variant>
      <vt:variant>
        <vt:i4>55</vt:i4>
      </vt:variant>
      <vt:variant>
        <vt:i4>0</vt:i4>
      </vt:variant>
      <vt:variant>
        <vt:i4>5</vt:i4>
      </vt:variant>
      <vt:variant>
        <vt:lpwstr>javascript:void(0);</vt:lpwstr>
      </vt:variant>
      <vt:variant>
        <vt:lpwstr/>
      </vt:variant>
      <vt:variant>
        <vt:i4>6291564</vt:i4>
      </vt:variant>
      <vt:variant>
        <vt:i4>52</vt:i4>
      </vt:variant>
      <vt:variant>
        <vt:i4>0</vt:i4>
      </vt:variant>
      <vt:variant>
        <vt:i4>5</vt:i4>
      </vt:variant>
      <vt:variant>
        <vt:lpwstr>javascript:void(0);</vt:lpwstr>
      </vt:variant>
      <vt:variant>
        <vt:lpwstr/>
      </vt:variant>
      <vt:variant>
        <vt:i4>6291564</vt:i4>
      </vt:variant>
      <vt:variant>
        <vt:i4>49</vt:i4>
      </vt:variant>
      <vt:variant>
        <vt:i4>0</vt:i4>
      </vt:variant>
      <vt:variant>
        <vt:i4>5</vt:i4>
      </vt:variant>
      <vt:variant>
        <vt:lpwstr>javascript:void(0);</vt:lpwstr>
      </vt:variant>
      <vt:variant>
        <vt:lpwstr/>
      </vt:variant>
      <vt:variant>
        <vt:i4>1507411</vt:i4>
      </vt:variant>
      <vt:variant>
        <vt:i4>46</vt:i4>
      </vt:variant>
      <vt:variant>
        <vt:i4>0</vt:i4>
      </vt:variant>
      <vt:variant>
        <vt:i4>5</vt:i4>
      </vt:variant>
      <vt:variant>
        <vt:lpwstr>http://www.salud.gob.mx/</vt:lpwstr>
      </vt:variant>
      <vt:variant>
        <vt:lpwstr/>
      </vt:variant>
      <vt:variant>
        <vt:i4>8257589</vt:i4>
      </vt:variant>
      <vt:variant>
        <vt:i4>43</vt:i4>
      </vt:variant>
      <vt:variant>
        <vt:i4>0</vt:i4>
      </vt:variant>
      <vt:variant>
        <vt:i4>5</vt:i4>
      </vt:variant>
      <vt:variant>
        <vt:lpwstr>http://www.sra.gob.mx/</vt:lpwstr>
      </vt:variant>
      <vt:variant>
        <vt:lpwstr/>
      </vt:variant>
      <vt:variant>
        <vt:i4>7405668</vt:i4>
      </vt:variant>
      <vt:variant>
        <vt:i4>0</vt:i4>
      </vt:variant>
      <vt:variant>
        <vt:i4>0</vt:i4>
      </vt:variant>
      <vt:variant>
        <vt:i4>5</vt:i4>
      </vt:variant>
      <vt:variant>
        <vt:lpwstr>http://www.ilo.org/ilolex/spanish/convdisp2.htm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40527</dc:title>
  <dc:subject>Скурихин</dc:subject>
  <dc:creator>Черняева</dc:creator>
  <cp:keywords/>
  <dc:description/>
  <cp:lastModifiedBy>Сафонова</cp:lastModifiedBy>
  <cp:revision>4</cp:revision>
  <cp:lastPrinted>2006-04-11T12:30:00Z</cp:lastPrinted>
  <dcterms:created xsi:type="dcterms:W3CDTF">2006-04-11T12:30:00Z</dcterms:created>
  <dcterms:modified xsi:type="dcterms:W3CDTF">2006-04-11T12:31:00Z</dcterms:modified>
</cp:coreProperties>
</file>