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C07F3FA" w14:textId="77777777" w:rsidTr="00BC3629">
        <w:trPr>
          <w:trHeight w:hRule="exact" w:val="851"/>
        </w:trPr>
        <w:tc>
          <w:tcPr>
            <w:tcW w:w="142" w:type="dxa"/>
            <w:tcBorders>
              <w:bottom w:val="single" w:sz="4" w:space="0" w:color="auto"/>
            </w:tcBorders>
          </w:tcPr>
          <w:p w14:paraId="1B7FCDE2" w14:textId="77777777" w:rsidR="002D5AAC" w:rsidRDefault="002D5AAC" w:rsidP="00D97BB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10A190B"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B6F687A" w14:textId="77777777" w:rsidR="002D5AAC" w:rsidRPr="00D97BB9" w:rsidRDefault="00F43254" w:rsidP="00D97BB9">
            <w:pPr>
              <w:jc w:val="right"/>
            </w:pPr>
            <w:hyperlink r:id="rId7" w:history="1">
              <w:proofErr w:type="spellStart"/>
              <w:r w:rsidR="00D97BB9" w:rsidRPr="00D97BB9">
                <w:rPr>
                  <w:rStyle w:val="af1"/>
                  <w:color w:val="auto"/>
                  <w:sz w:val="40"/>
                </w:rPr>
                <w:t>CCPR</w:t>
              </w:r>
              <w:proofErr w:type="spellEnd"/>
              <w:r w:rsidR="00D97BB9" w:rsidRPr="00D97BB9">
                <w:rPr>
                  <w:rStyle w:val="af1"/>
                  <w:color w:val="auto"/>
                </w:rPr>
                <w:t>/C/127/2/</w:t>
              </w:r>
              <w:proofErr w:type="spellStart"/>
              <w:r w:rsidR="00D97BB9" w:rsidRPr="00D97BB9">
                <w:rPr>
                  <w:rStyle w:val="af1"/>
                  <w:color w:val="auto"/>
                </w:rPr>
                <w:t>Add.3</w:t>
              </w:r>
              <w:proofErr w:type="spellEnd"/>
            </w:hyperlink>
          </w:p>
        </w:tc>
      </w:tr>
      <w:tr w:rsidR="002D5AAC" w:rsidRPr="007C5526" w14:paraId="565E86B2" w14:textId="77777777" w:rsidTr="00BC3629">
        <w:trPr>
          <w:trHeight w:hRule="exact" w:val="2835"/>
        </w:trPr>
        <w:tc>
          <w:tcPr>
            <w:tcW w:w="1280" w:type="dxa"/>
            <w:gridSpan w:val="2"/>
            <w:tcBorders>
              <w:top w:val="single" w:sz="4" w:space="0" w:color="auto"/>
              <w:bottom w:val="single" w:sz="12" w:space="0" w:color="auto"/>
            </w:tcBorders>
          </w:tcPr>
          <w:p w14:paraId="282787A0" w14:textId="77777777" w:rsidR="002D5AAC" w:rsidRDefault="002E5067" w:rsidP="00BC3629">
            <w:pPr>
              <w:spacing w:before="120"/>
              <w:jc w:val="center"/>
            </w:pPr>
            <w:r>
              <w:rPr>
                <w:noProof/>
                <w:lang w:val="fr-CH" w:eastAsia="fr-CH"/>
              </w:rPr>
              <w:drawing>
                <wp:inline distT="0" distB="0" distL="0" distR="0" wp14:anchorId="250AD5C7" wp14:editId="2BB805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8ADBBF"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5D1CE0F6" w14:textId="77777777" w:rsidR="00D97BB9" w:rsidRDefault="00D97BB9" w:rsidP="00BC3629">
            <w:pPr>
              <w:spacing w:before="240"/>
              <w:rPr>
                <w:lang w:val="en-US"/>
              </w:rPr>
            </w:pPr>
            <w:r w:rsidRPr="00D97BB9">
              <w:rPr>
                <w:lang w:val="en-US"/>
              </w:rPr>
              <w:t>Distr.: General</w:t>
            </w:r>
          </w:p>
          <w:p w14:paraId="37EF2E82" w14:textId="77777777" w:rsidR="00724527" w:rsidRPr="00171869" w:rsidRDefault="00724527" w:rsidP="00724527">
            <w:pPr>
              <w:suppressAutoHyphens w:val="0"/>
              <w:rPr>
                <w:lang w:val="en-US"/>
              </w:rPr>
            </w:pPr>
            <w:r w:rsidRPr="00171869">
              <w:rPr>
                <w:lang w:val="en-US"/>
              </w:rPr>
              <w:t>29 January 2020</w:t>
            </w:r>
          </w:p>
          <w:p w14:paraId="6DD815B4" w14:textId="77777777" w:rsidR="00D97BB9" w:rsidRPr="00D97BB9" w:rsidRDefault="00D97BB9" w:rsidP="00D97BB9">
            <w:pPr>
              <w:spacing w:line="240" w:lineRule="exact"/>
              <w:rPr>
                <w:lang w:val="en-US"/>
              </w:rPr>
            </w:pPr>
            <w:r w:rsidRPr="00D97BB9">
              <w:rPr>
                <w:lang w:val="en-US"/>
              </w:rPr>
              <w:t>Russian</w:t>
            </w:r>
          </w:p>
          <w:p w14:paraId="15C58A7C" w14:textId="77777777" w:rsidR="00D97BB9" w:rsidRPr="00D97BB9" w:rsidRDefault="00D97BB9" w:rsidP="00D97BB9">
            <w:pPr>
              <w:spacing w:line="240" w:lineRule="exact"/>
              <w:rPr>
                <w:lang w:val="en-US"/>
              </w:rPr>
            </w:pPr>
            <w:r w:rsidRPr="00D97BB9">
              <w:rPr>
                <w:lang w:val="en-US"/>
              </w:rPr>
              <w:t>Original: English</w:t>
            </w:r>
          </w:p>
        </w:tc>
      </w:tr>
    </w:tbl>
    <w:p w14:paraId="036237BB" w14:textId="77777777" w:rsidR="00D97BB9" w:rsidRPr="0069221C" w:rsidRDefault="00D97BB9" w:rsidP="00D97BB9">
      <w:pPr>
        <w:spacing w:before="120"/>
        <w:rPr>
          <w:b/>
          <w:bCs/>
          <w:sz w:val="24"/>
          <w:szCs w:val="24"/>
        </w:rPr>
      </w:pPr>
      <w:r w:rsidRPr="0069221C">
        <w:rPr>
          <w:b/>
          <w:bCs/>
          <w:sz w:val="24"/>
          <w:szCs w:val="24"/>
        </w:rPr>
        <w:t>Комитет по правам человека</w:t>
      </w:r>
    </w:p>
    <w:p w14:paraId="6A00A4F9" w14:textId="77777777" w:rsidR="00D97BB9" w:rsidRPr="002C6D6F" w:rsidRDefault="00D97BB9" w:rsidP="00D97BB9">
      <w:pPr>
        <w:pStyle w:val="HChG"/>
      </w:pPr>
      <w:r>
        <w:tab/>
      </w:r>
      <w:r>
        <w:tab/>
      </w:r>
      <w:r>
        <w:rPr>
          <w:bCs/>
        </w:rPr>
        <w:t>Доклад о последующей деятельности в связи</w:t>
      </w:r>
      <w:r>
        <w:rPr>
          <w:bCs/>
        </w:rPr>
        <w:br/>
        <w:t>с заключительными замечаниями</w:t>
      </w:r>
      <w:r>
        <w:rPr>
          <w:bCs/>
        </w:rPr>
        <w:br/>
        <w:t>Комитета по правам человека</w:t>
      </w:r>
      <w:r w:rsidRPr="00D97BB9">
        <w:rPr>
          <w:rStyle w:val="aa"/>
          <w:b w:val="0"/>
          <w:bCs/>
          <w:position w:val="6"/>
          <w:szCs w:val="18"/>
          <w:vertAlign w:val="baseline"/>
        </w:rPr>
        <w:footnoteReference w:customMarkFollows="1" w:id="1"/>
        <w:t>*</w:t>
      </w:r>
      <w:bookmarkStart w:id="0" w:name="_Toc506807534"/>
      <w:bookmarkEnd w:id="0"/>
    </w:p>
    <w:p w14:paraId="35C5CC75" w14:textId="77777777" w:rsidR="00D97BB9" w:rsidRPr="002C6D6F" w:rsidRDefault="00D97BB9" w:rsidP="00D97BB9">
      <w:pPr>
        <w:pStyle w:val="H23G"/>
      </w:pPr>
      <w:r>
        <w:tab/>
      </w:r>
      <w:r>
        <w:tab/>
      </w:r>
      <w:r>
        <w:rPr>
          <w:bCs/>
        </w:rPr>
        <w:t>Добавление</w:t>
      </w:r>
    </w:p>
    <w:p w14:paraId="004182D8" w14:textId="77777777" w:rsidR="00D97BB9" w:rsidRDefault="00D97BB9" w:rsidP="00D97BB9">
      <w:pPr>
        <w:pStyle w:val="HChG"/>
        <w:rPr>
          <w:bCs/>
        </w:rPr>
      </w:pPr>
      <w:r>
        <w:tab/>
      </w:r>
      <w:r>
        <w:tab/>
      </w:r>
      <w:r>
        <w:rPr>
          <w:bCs/>
        </w:rPr>
        <w:t>Оценка информации о последующей деятельности</w:t>
      </w:r>
      <w:r>
        <w:rPr>
          <w:bCs/>
        </w:rPr>
        <w:br/>
        <w:t>в связи с заключительными замечаниями</w:t>
      </w:r>
      <w:r>
        <w:rPr>
          <w:bCs/>
        </w:rPr>
        <w:br/>
        <w:t>по Азербайджану</w:t>
      </w:r>
    </w:p>
    <w:tbl>
      <w:tblPr>
        <w:tblStyle w:val="ac"/>
        <w:tblW w:w="0" w:type="auto"/>
        <w:tblInd w:w="1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8"/>
        <w:gridCol w:w="3807"/>
      </w:tblGrid>
      <w:tr w:rsidR="00D97BB9" w14:paraId="0A944DF3" w14:textId="77777777" w:rsidTr="00BA09A3">
        <w:tc>
          <w:tcPr>
            <w:tcW w:w="3598" w:type="dxa"/>
          </w:tcPr>
          <w:p w14:paraId="6C453FE1" w14:textId="77777777" w:rsidR="00D97BB9" w:rsidRDefault="00D97BB9" w:rsidP="00BA09A3">
            <w:pPr>
              <w:pStyle w:val="SingleTxtG"/>
              <w:tabs>
                <w:tab w:val="left" w:pos="4536"/>
              </w:tabs>
              <w:ind w:left="0" w:right="0"/>
              <w:jc w:val="left"/>
              <w:rPr>
                <w:lang w:eastAsia="ru-RU"/>
              </w:rPr>
            </w:pPr>
            <w:r>
              <w:rPr>
                <w:i/>
                <w:iCs/>
              </w:rPr>
              <w:t>Заключительные замечания</w:t>
            </w:r>
            <w:r>
              <w:rPr>
                <w:i/>
                <w:iCs/>
              </w:rPr>
              <w:br/>
            </w:r>
            <w:r w:rsidRPr="0069221C">
              <w:rPr>
                <w:i/>
                <w:iCs/>
              </w:rPr>
              <w:t>(118-я сессия)</w:t>
            </w:r>
            <w:r w:rsidRPr="0069221C">
              <w:t>:</w:t>
            </w:r>
          </w:p>
        </w:tc>
        <w:tc>
          <w:tcPr>
            <w:tcW w:w="3807" w:type="dxa"/>
          </w:tcPr>
          <w:p w14:paraId="37B08969" w14:textId="77777777" w:rsidR="00D97BB9" w:rsidRDefault="00F43254" w:rsidP="00BA09A3">
            <w:pPr>
              <w:spacing w:after="120"/>
              <w:rPr>
                <w:lang w:eastAsia="ru-RU"/>
              </w:rPr>
            </w:pPr>
            <w:hyperlink r:id="rId9" w:history="1">
              <w:proofErr w:type="spellStart"/>
              <w:r w:rsidR="00D97BB9" w:rsidRPr="00D97BB9">
                <w:rPr>
                  <w:rStyle w:val="af1"/>
                </w:rPr>
                <w:t>CCPR</w:t>
              </w:r>
              <w:proofErr w:type="spellEnd"/>
              <w:r w:rsidR="00D97BB9" w:rsidRPr="00D97BB9">
                <w:rPr>
                  <w:rStyle w:val="af1"/>
                </w:rPr>
                <w:t>/C/</w:t>
              </w:r>
              <w:proofErr w:type="spellStart"/>
              <w:r w:rsidR="00D97BB9" w:rsidRPr="00D97BB9">
                <w:rPr>
                  <w:rStyle w:val="af1"/>
                </w:rPr>
                <w:t>AZE</w:t>
              </w:r>
              <w:proofErr w:type="spellEnd"/>
              <w:r w:rsidR="00D97BB9" w:rsidRPr="00D97BB9">
                <w:rPr>
                  <w:rStyle w:val="af1"/>
                </w:rPr>
                <w:t>/</w:t>
              </w:r>
              <w:proofErr w:type="spellStart"/>
              <w:r w:rsidR="00D97BB9" w:rsidRPr="00D97BB9">
                <w:rPr>
                  <w:rStyle w:val="af1"/>
                </w:rPr>
                <w:t>CO</w:t>
              </w:r>
              <w:proofErr w:type="spellEnd"/>
              <w:r w:rsidR="00D97BB9" w:rsidRPr="00D97BB9">
                <w:rPr>
                  <w:rStyle w:val="af1"/>
                </w:rPr>
                <w:t>/4</w:t>
              </w:r>
            </w:hyperlink>
            <w:r w:rsidR="00D97BB9">
              <w:t>, 1</w:t>
            </w:r>
            <w:r w:rsidR="00D97BB9" w:rsidRPr="00D97BB9">
              <w:t>–</w:t>
            </w:r>
            <w:r w:rsidR="00D97BB9">
              <w:t>2 ноября 2016 года</w:t>
            </w:r>
          </w:p>
        </w:tc>
      </w:tr>
      <w:tr w:rsidR="00D97BB9" w14:paraId="01FD5F52" w14:textId="77777777" w:rsidTr="00BA09A3">
        <w:tc>
          <w:tcPr>
            <w:tcW w:w="3598" w:type="dxa"/>
          </w:tcPr>
          <w:p w14:paraId="767F1DB8" w14:textId="77777777" w:rsidR="00D97BB9" w:rsidRDefault="00D97BB9" w:rsidP="00BA09A3">
            <w:pPr>
              <w:spacing w:after="120"/>
              <w:rPr>
                <w:lang w:eastAsia="ru-RU"/>
              </w:rPr>
            </w:pPr>
            <w:r w:rsidRPr="0069221C">
              <w:rPr>
                <w:i/>
                <w:iCs/>
              </w:rPr>
              <w:t>Пункты, предусматривающие последующую деятельность</w:t>
            </w:r>
            <w:r>
              <w:t>:</w:t>
            </w:r>
          </w:p>
        </w:tc>
        <w:tc>
          <w:tcPr>
            <w:tcW w:w="3807" w:type="dxa"/>
          </w:tcPr>
          <w:p w14:paraId="05A40FC3" w14:textId="77777777" w:rsidR="00D97BB9" w:rsidRDefault="00D97BB9" w:rsidP="00BA09A3">
            <w:pPr>
              <w:spacing w:after="120"/>
              <w:rPr>
                <w:lang w:eastAsia="ru-RU"/>
              </w:rPr>
            </w:pPr>
            <w:r>
              <w:t>19, 29 и 37</w:t>
            </w:r>
          </w:p>
        </w:tc>
      </w:tr>
      <w:tr w:rsidR="00D97BB9" w14:paraId="2E5A7730" w14:textId="77777777" w:rsidTr="00BA09A3">
        <w:tc>
          <w:tcPr>
            <w:tcW w:w="3598" w:type="dxa"/>
          </w:tcPr>
          <w:p w14:paraId="703E7818" w14:textId="77777777" w:rsidR="00D97BB9" w:rsidRDefault="00D97BB9" w:rsidP="00BA09A3">
            <w:pPr>
              <w:spacing w:after="120"/>
              <w:rPr>
                <w:lang w:eastAsia="ru-RU"/>
              </w:rPr>
            </w:pPr>
            <w:r w:rsidRPr="0069221C">
              <w:rPr>
                <w:i/>
                <w:iCs/>
              </w:rPr>
              <w:t>Ответ, касающийся последующей деятельности</w:t>
            </w:r>
            <w:r>
              <w:t>:</w:t>
            </w:r>
          </w:p>
        </w:tc>
        <w:tc>
          <w:tcPr>
            <w:tcW w:w="3807" w:type="dxa"/>
          </w:tcPr>
          <w:p w14:paraId="2792307A" w14:textId="77777777" w:rsidR="00D97BB9" w:rsidRDefault="00F43254" w:rsidP="00BA09A3">
            <w:pPr>
              <w:spacing w:after="120"/>
              <w:rPr>
                <w:lang w:eastAsia="ru-RU"/>
              </w:rPr>
            </w:pPr>
            <w:hyperlink r:id="rId10" w:history="1">
              <w:proofErr w:type="spellStart"/>
              <w:r w:rsidR="00D97BB9" w:rsidRPr="00D97BB9">
                <w:rPr>
                  <w:rStyle w:val="af1"/>
                </w:rPr>
                <w:t>CCPR</w:t>
              </w:r>
              <w:proofErr w:type="spellEnd"/>
              <w:r w:rsidR="00D97BB9" w:rsidRPr="00D97BB9">
                <w:rPr>
                  <w:rStyle w:val="af1"/>
                </w:rPr>
                <w:t>/C/</w:t>
              </w:r>
              <w:proofErr w:type="spellStart"/>
              <w:r w:rsidR="00D97BB9" w:rsidRPr="00D97BB9">
                <w:rPr>
                  <w:rStyle w:val="af1"/>
                </w:rPr>
                <w:t>AZE</w:t>
              </w:r>
              <w:proofErr w:type="spellEnd"/>
              <w:r w:rsidR="00D97BB9" w:rsidRPr="00D97BB9">
                <w:rPr>
                  <w:rStyle w:val="af1"/>
                </w:rPr>
                <w:t>/</w:t>
              </w:r>
              <w:proofErr w:type="spellStart"/>
              <w:r w:rsidR="00D97BB9" w:rsidRPr="00D97BB9">
                <w:rPr>
                  <w:rStyle w:val="af1"/>
                </w:rPr>
                <w:t>CO</w:t>
              </w:r>
              <w:proofErr w:type="spellEnd"/>
              <w:r w:rsidR="00D97BB9" w:rsidRPr="00D97BB9">
                <w:rPr>
                  <w:rStyle w:val="af1"/>
                </w:rPr>
                <w:t>/4/</w:t>
              </w:r>
              <w:proofErr w:type="spellStart"/>
              <w:r w:rsidR="00D97BB9" w:rsidRPr="00D97BB9">
                <w:rPr>
                  <w:rStyle w:val="af1"/>
                </w:rPr>
                <w:t>Add.1</w:t>
              </w:r>
              <w:proofErr w:type="spellEnd"/>
            </w:hyperlink>
            <w:r w:rsidR="00D97BB9">
              <w:t>, 25 мая</w:t>
            </w:r>
            <w:r w:rsidR="00BA09A3">
              <w:rPr>
                <w:lang w:val="en-US"/>
              </w:rPr>
              <w:t xml:space="preserve"> </w:t>
            </w:r>
            <w:r w:rsidR="00D97BB9">
              <w:t>2018 года</w:t>
            </w:r>
          </w:p>
        </w:tc>
      </w:tr>
      <w:tr w:rsidR="00D97BB9" w14:paraId="409C5568" w14:textId="77777777" w:rsidTr="00BA09A3">
        <w:tc>
          <w:tcPr>
            <w:tcW w:w="3598" w:type="dxa"/>
          </w:tcPr>
          <w:p w14:paraId="5F9B2F1F" w14:textId="77777777" w:rsidR="00D97BB9" w:rsidRPr="0069221C" w:rsidRDefault="00D97BB9" w:rsidP="00BA09A3">
            <w:pPr>
              <w:spacing w:after="120"/>
              <w:rPr>
                <w:i/>
                <w:iCs/>
              </w:rPr>
            </w:pPr>
            <w:r w:rsidRPr="0069221C">
              <w:rPr>
                <w:i/>
                <w:iCs/>
              </w:rPr>
              <w:t>Оценка Комитета</w:t>
            </w:r>
            <w:r>
              <w:t>:</w:t>
            </w:r>
          </w:p>
        </w:tc>
        <w:tc>
          <w:tcPr>
            <w:tcW w:w="3807" w:type="dxa"/>
          </w:tcPr>
          <w:p w14:paraId="5F6BAB6D" w14:textId="77777777" w:rsidR="00D97BB9" w:rsidRDefault="00D97BB9" w:rsidP="00BA09A3">
            <w:pPr>
              <w:pStyle w:val="SingleTxtG"/>
              <w:tabs>
                <w:tab w:val="left" w:pos="4536"/>
              </w:tabs>
              <w:ind w:left="0" w:right="0"/>
              <w:rPr>
                <w:lang w:eastAsia="ru-RU"/>
              </w:rPr>
            </w:pPr>
            <w:r>
              <w:t>Необходима дополнительная информация по пунктам 19[</w:t>
            </w:r>
            <w:r w:rsidRPr="0069221C">
              <w:rPr>
                <w:b/>
                <w:bCs/>
              </w:rPr>
              <w:t>C</w:t>
            </w:r>
            <w:r>
              <w:t>], 29[</w:t>
            </w:r>
            <w:r w:rsidRPr="0069221C">
              <w:rPr>
                <w:b/>
                <w:bCs/>
              </w:rPr>
              <w:t>C</w:t>
            </w:r>
            <w:r>
              <w:t>] и 37[</w:t>
            </w:r>
            <w:r w:rsidRPr="0069221C">
              <w:rPr>
                <w:b/>
                <w:bCs/>
              </w:rPr>
              <w:t>C</w:t>
            </w:r>
            <w:r>
              <w:t>]</w:t>
            </w:r>
          </w:p>
        </w:tc>
      </w:tr>
      <w:tr w:rsidR="00D97BB9" w14:paraId="4F8B66A5" w14:textId="77777777" w:rsidTr="00BA09A3">
        <w:tc>
          <w:tcPr>
            <w:tcW w:w="3598" w:type="dxa"/>
          </w:tcPr>
          <w:p w14:paraId="48854455" w14:textId="77777777" w:rsidR="00D97BB9" w:rsidRPr="0069221C" w:rsidRDefault="00D97BB9" w:rsidP="00BA09A3">
            <w:pPr>
              <w:spacing w:after="120"/>
              <w:rPr>
                <w:i/>
                <w:iCs/>
              </w:rPr>
            </w:pPr>
            <w:r>
              <w:rPr>
                <w:i/>
                <w:iCs/>
              </w:rPr>
              <w:t>Информация, полученная</w:t>
            </w:r>
            <w:r w:rsidR="00BA09A3">
              <w:rPr>
                <w:i/>
                <w:iCs/>
              </w:rPr>
              <w:br/>
            </w:r>
            <w:r>
              <w:rPr>
                <w:i/>
                <w:iCs/>
              </w:rPr>
              <w:t>от неправительственных организаций:</w:t>
            </w:r>
          </w:p>
        </w:tc>
        <w:tc>
          <w:tcPr>
            <w:tcW w:w="3807" w:type="dxa"/>
          </w:tcPr>
          <w:p w14:paraId="3B9B4AA5" w14:textId="77777777" w:rsidR="00D97BB9" w:rsidRDefault="00D97BB9" w:rsidP="00BA09A3">
            <w:pPr>
              <w:spacing w:after="120"/>
              <w:rPr>
                <w:lang w:eastAsia="ru-RU"/>
              </w:rPr>
            </w:pPr>
            <w:r>
              <w:t>не получена</w:t>
            </w:r>
          </w:p>
        </w:tc>
      </w:tr>
    </w:tbl>
    <w:p w14:paraId="31EDA574" w14:textId="4903541B" w:rsidR="00D97BB9" w:rsidRPr="002C6D6F" w:rsidRDefault="00D97BB9" w:rsidP="00D97BB9">
      <w:pPr>
        <w:pStyle w:val="H23G"/>
      </w:pPr>
      <w:r>
        <w:tab/>
      </w:r>
      <w:r>
        <w:tab/>
      </w:r>
      <w:r>
        <w:rPr>
          <w:bCs/>
        </w:rPr>
        <w:t xml:space="preserve">Пункт 19: </w:t>
      </w:r>
      <w:r w:rsidR="007C5526">
        <w:rPr>
          <w:bCs/>
        </w:rPr>
        <w:t>П</w:t>
      </w:r>
      <w:r>
        <w:rPr>
          <w:bCs/>
        </w:rPr>
        <w:t>ытки и жестокое обращение</w:t>
      </w:r>
    </w:p>
    <w:p w14:paraId="04F120FF" w14:textId="77777777" w:rsidR="00D97BB9" w:rsidRPr="002C6D6F" w:rsidRDefault="00D97BB9" w:rsidP="00D97BB9">
      <w:pPr>
        <w:pStyle w:val="SingleTxtG"/>
        <w:rPr>
          <w:b/>
          <w:bCs/>
        </w:rPr>
      </w:pPr>
      <w:r>
        <w:tab/>
      </w:r>
      <w:r w:rsidR="00BA09A3">
        <w:tab/>
      </w:r>
      <w:r>
        <w:rPr>
          <w:b/>
          <w:bCs/>
        </w:rPr>
        <w:t>Государству-участнику следует принять эффективные меры для искоренения пыток и жестокого обращения, в том числе:</w:t>
      </w:r>
    </w:p>
    <w:p w14:paraId="318B7F8C" w14:textId="77777777" w:rsidR="00D97BB9" w:rsidRPr="00BA09A3" w:rsidRDefault="00BA09A3" w:rsidP="00D97BB9">
      <w:pPr>
        <w:pStyle w:val="SingleTxtG"/>
        <w:rPr>
          <w:b/>
          <w:bCs/>
        </w:rPr>
      </w:pPr>
      <w:r>
        <w:tab/>
      </w:r>
      <w:r w:rsidR="00D97BB9">
        <w:tab/>
      </w:r>
      <w:r w:rsidR="00D97BB9" w:rsidRPr="00BA09A3">
        <w:rPr>
          <w:b/>
        </w:rPr>
        <w:t>a)</w:t>
      </w:r>
      <w:r>
        <w:rPr>
          <w:b/>
          <w:bCs/>
        </w:rPr>
        <w:tab/>
      </w:r>
      <w:r w:rsidR="00D97BB9" w:rsidRPr="00BA09A3">
        <w:rPr>
          <w:b/>
          <w:bCs/>
        </w:rPr>
        <w:t>об</w:t>
      </w:r>
      <w:bookmarkStart w:id="1" w:name="_GoBack"/>
      <w:bookmarkEnd w:id="1"/>
      <w:r w:rsidR="00D97BB9" w:rsidRPr="00BA09A3">
        <w:rPr>
          <w:b/>
          <w:bCs/>
        </w:rPr>
        <w:t>еспечить, чтобы все заявления о пытках и жестоком обращении оперативно и тщательно расследовались независимым и беспристрастным органом, чтобы виновные привлекались к ответственности и, в случае их осуждения, наказывались с применением надлежащих санкций, а жертвам предоставлялись эффективные средства правовой защиты и полное возмещение ущерба, включая надлежащую компенсацию;</w:t>
      </w:r>
    </w:p>
    <w:p w14:paraId="4FA8FE71" w14:textId="77777777" w:rsidR="00D97BB9" w:rsidRPr="00BA09A3" w:rsidRDefault="00BA09A3" w:rsidP="00D97BB9">
      <w:pPr>
        <w:pStyle w:val="SingleTxtG"/>
        <w:rPr>
          <w:b/>
          <w:bCs/>
        </w:rPr>
      </w:pPr>
      <w:r w:rsidRPr="00BA09A3">
        <w:rPr>
          <w:b/>
        </w:rPr>
        <w:tab/>
      </w:r>
      <w:r w:rsidR="00D97BB9" w:rsidRPr="00BA09A3">
        <w:rPr>
          <w:b/>
        </w:rPr>
        <w:tab/>
        <w:t>b)</w:t>
      </w:r>
      <w:r>
        <w:rPr>
          <w:b/>
          <w:bCs/>
        </w:rPr>
        <w:tab/>
      </w:r>
      <w:r w:rsidR="00D97BB9" w:rsidRPr="00BA09A3">
        <w:rPr>
          <w:b/>
          <w:bCs/>
        </w:rPr>
        <w:t>проводить реформы, необходимые для обеспечения регулярного мониторинга и инспектирования всех мест лишения свободы с помощью независимого и эффективного механизма, и рассмотреть возможность вовлечения в этот процесс НПО.</w:t>
      </w:r>
    </w:p>
    <w:p w14:paraId="21361410" w14:textId="77777777" w:rsidR="00D97BB9" w:rsidRPr="002C6D6F" w:rsidRDefault="00D97BB9" w:rsidP="00D97BB9">
      <w:pPr>
        <w:pStyle w:val="H23G"/>
      </w:pPr>
      <w:r>
        <w:lastRenderedPageBreak/>
        <w:tab/>
      </w:r>
      <w:r>
        <w:tab/>
      </w:r>
      <w:r>
        <w:rPr>
          <w:bCs/>
        </w:rPr>
        <w:t>Резюме ответа государства-участника</w:t>
      </w:r>
    </w:p>
    <w:p w14:paraId="32AC6994" w14:textId="77777777" w:rsidR="00D97BB9" w:rsidRPr="002C6D6F" w:rsidRDefault="00D97BB9" w:rsidP="00D97BB9">
      <w:pPr>
        <w:pStyle w:val="SingleTxtG"/>
      </w:pPr>
      <w:r>
        <w:tab/>
      </w:r>
      <w:r w:rsidR="00BA09A3">
        <w:tab/>
      </w:r>
      <w:r>
        <w:t>a)</w:t>
      </w:r>
      <w:r>
        <w:tab/>
        <w:t>Жалобы на пытки и другие жестокие, бесчеловечные или унижающие достоинство виды обращения и наказания, подаваемые частными лицами, регистрируются в Управлении по надзору за проведением расследований Генеральной прокуратуры. Указ Президента Азербайджана от 10 февраля 2017 года требует строгого применения законодательства о содержании под стражей в ходе предварительного следствия. Она также требует широкого применения альтернативных видов наказания. Случаев пыток зарегистрировано не было. Однако расследования подтвердили 43 случая нарушения прав человека в 2016 году,</w:t>
      </w:r>
      <w:r w:rsidR="00BA09A3">
        <w:br/>
      </w:r>
      <w:r>
        <w:t>в результате чего 76 сотрудников были привлечены к дисциплинарной ответственности. Расследования подтвердили 21 случай произвольного ареста и задержания, в результате чего 46 сотрудников были подвергнуты наказаниям,</w:t>
      </w:r>
      <w:r w:rsidR="00BA09A3">
        <w:br/>
      </w:r>
      <w:r>
        <w:t>и 9 случаев жестокого обращения, в результате чего было наказано 9 сотрудников.</w:t>
      </w:r>
    </w:p>
    <w:p w14:paraId="1B5B1C59" w14:textId="77777777" w:rsidR="00D97BB9" w:rsidRPr="002C6D6F" w:rsidRDefault="00BA09A3" w:rsidP="00D97BB9">
      <w:pPr>
        <w:pStyle w:val="SingleTxtG"/>
      </w:pPr>
      <w:r>
        <w:tab/>
      </w:r>
      <w:r>
        <w:tab/>
      </w:r>
      <w:r w:rsidR="00D97BB9">
        <w:t>b)</w:t>
      </w:r>
      <w:r w:rsidR="00D97BB9">
        <w:tab/>
        <w:t>Государство-участник подтверждает представленную в его четвертом периодическом докладе (</w:t>
      </w:r>
      <w:proofErr w:type="spellStart"/>
      <w:r w:rsidR="00D97BB9">
        <w:fldChar w:fldCharType="begin"/>
      </w:r>
      <w:r w:rsidR="00D97BB9">
        <w:instrText>HYPERLINK "https://undocs.org/en/CCPR/C/AZE/4"</w:instrText>
      </w:r>
      <w:r w:rsidR="00D97BB9">
        <w:fldChar w:fldCharType="separate"/>
      </w:r>
      <w:r w:rsidR="00D97BB9" w:rsidRPr="00D97BB9">
        <w:rPr>
          <w:rStyle w:val="af1"/>
        </w:rPr>
        <w:t>CCPR</w:t>
      </w:r>
      <w:proofErr w:type="spellEnd"/>
      <w:r w:rsidR="00D97BB9" w:rsidRPr="00D97BB9">
        <w:rPr>
          <w:rStyle w:val="af1"/>
        </w:rPr>
        <w:t>/C/</w:t>
      </w:r>
      <w:proofErr w:type="spellStart"/>
      <w:r w:rsidR="00D97BB9" w:rsidRPr="00D97BB9">
        <w:rPr>
          <w:rStyle w:val="af1"/>
        </w:rPr>
        <w:t>AZE</w:t>
      </w:r>
      <w:proofErr w:type="spellEnd"/>
      <w:r w:rsidR="00D97BB9" w:rsidRPr="00D97BB9">
        <w:rPr>
          <w:rStyle w:val="af1"/>
        </w:rPr>
        <w:t>/4</w:t>
      </w:r>
      <w:r w:rsidR="00D97BB9">
        <w:fldChar w:fldCharType="end"/>
      </w:r>
      <w:r w:rsidR="00D97BB9">
        <w:t>, пункты 113</w:t>
      </w:r>
      <w:r w:rsidRPr="00BA09A3">
        <w:t>–</w:t>
      </w:r>
      <w:r w:rsidR="00D97BB9">
        <w:t>114, 160</w:t>
      </w:r>
      <w:r w:rsidRPr="00BA09A3">
        <w:t>–</w:t>
      </w:r>
      <w:r w:rsidR="00D97BB9">
        <w:t>161 и 165) информацию о национальном превентивном механизме и общественном комитете, который проводит посещения мест содержания под стражей. В 2016 году несколько комитетов и организаций осуществили 198 контрольных посещений изоляторов временного содержания. Случаев пыток зарегистрировано не было. В ноябре 2016 года Международный комитет Красного Креста и государство-участник начали проводить совместные учебные занятия для должностных лиц, работающих в пенитенциарных учреждениях.</w:t>
      </w:r>
    </w:p>
    <w:p w14:paraId="115B440C" w14:textId="77777777" w:rsidR="00D97BB9" w:rsidRPr="0069221C" w:rsidRDefault="00D97BB9" w:rsidP="00D97BB9">
      <w:pPr>
        <w:pStyle w:val="H23G"/>
      </w:pPr>
      <w:r>
        <w:tab/>
      </w:r>
      <w:r>
        <w:tab/>
      </w:r>
      <w:r>
        <w:rPr>
          <w:bCs/>
        </w:rPr>
        <w:t>Оценка Комитета</w:t>
      </w:r>
    </w:p>
    <w:p w14:paraId="754E3F4C" w14:textId="77777777" w:rsidR="00D97BB9" w:rsidRPr="002C6D6F" w:rsidRDefault="00D97BB9" w:rsidP="00D97BB9">
      <w:pPr>
        <w:pStyle w:val="SingleTxtG"/>
      </w:pPr>
      <w:r>
        <w:t>[</w:t>
      </w:r>
      <w:r w:rsidRPr="006620F5">
        <w:rPr>
          <w:b/>
          <w:bCs/>
        </w:rPr>
        <w:t>С</w:t>
      </w:r>
      <w:r>
        <w:t>] а) и b): Комитет принимает к сведению существование журнала регистрации жалоб и указ Президента Азербайджана от 10 февраля 2017 года, но при этом выражает сожаление в связи с отсутствием информации о мерах, принятых для обеспечения того, чтобы эти случаи расследовались независимым и беспристрастным органом. Комитет принимает к сведению статистические данные о количестве дел в 2016 году, однако сожалеет об отсутствии информации об уголовных санкциях в этих делах и о мерах, принятых для обеспечения того, чтобы жертвам были предоставлены эффективные средства правовой защиты и полное возмещение. Комитет повторяет свои рекомендации. Комитет отмечает совместную подготовку кадров с Международным комитетом Красного Креста, однако сожалеет об отсутствии информации о реформах, проведенных после принятия заключительных замечаний с целью обеспечения регулярного мониторинга и инспектирования всех мест лишения свободы, проводимого независимым и эффективным механизмом. Комитет повторяет свои рекомендации.</w:t>
      </w:r>
    </w:p>
    <w:p w14:paraId="55DF36A0" w14:textId="77777777" w:rsidR="00D97BB9" w:rsidRPr="002C6D6F" w:rsidRDefault="00D97BB9" w:rsidP="00D97BB9">
      <w:pPr>
        <w:pStyle w:val="H23G"/>
      </w:pPr>
      <w:r>
        <w:tab/>
      </w:r>
      <w:r>
        <w:tab/>
      </w:r>
      <w:r>
        <w:rPr>
          <w:bCs/>
        </w:rPr>
        <w:t>Пункт 29: Независимость и безопасность адвокатов</w:t>
      </w:r>
    </w:p>
    <w:p w14:paraId="6F3F873E" w14:textId="77777777" w:rsidR="00D97BB9" w:rsidRPr="002C6D6F" w:rsidRDefault="00BA09A3" w:rsidP="00D97BB9">
      <w:pPr>
        <w:pStyle w:val="SingleTxtG"/>
        <w:rPr>
          <w:b/>
          <w:bCs/>
        </w:rPr>
      </w:pPr>
      <w:r>
        <w:tab/>
      </w:r>
      <w:r w:rsidR="00D97BB9">
        <w:tab/>
      </w:r>
      <w:r w:rsidR="00D97BB9" w:rsidRPr="003C1107">
        <w:rPr>
          <w:b/>
          <w:bCs/>
        </w:rPr>
        <w:t>Государству-участнику следует принять незамедлительные меры для введения как в законодательстве, так и на практике достаточных правовых гарантий, с тем чтобы обеспечить полную независимость и безопасность адвокатов и их эффективную защиту от любой формы возмездия, включая насилие, в связи с их профессиональной деятельностью. Ему следует, в частности</w:t>
      </w:r>
      <w:r w:rsidR="00D97BB9">
        <w:rPr>
          <w:b/>
          <w:bCs/>
        </w:rPr>
        <w:t>:</w:t>
      </w:r>
    </w:p>
    <w:p w14:paraId="73343DAC" w14:textId="77777777" w:rsidR="00D97BB9" w:rsidRPr="00BA09A3" w:rsidRDefault="00D97BB9" w:rsidP="00D97BB9">
      <w:pPr>
        <w:pStyle w:val="SingleTxtG"/>
        <w:rPr>
          <w:b/>
        </w:rPr>
      </w:pPr>
      <w:r>
        <w:tab/>
      </w:r>
      <w:r w:rsidR="00BA09A3">
        <w:tab/>
      </w:r>
      <w:r w:rsidRPr="00BA09A3">
        <w:rPr>
          <w:b/>
        </w:rPr>
        <w:t>a)</w:t>
      </w:r>
      <w:r w:rsidRPr="00BA09A3">
        <w:rPr>
          <w:b/>
        </w:rPr>
        <w:tab/>
      </w:r>
      <w:r w:rsidRPr="00BA09A3">
        <w:rPr>
          <w:b/>
          <w:bCs/>
        </w:rPr>
        <w:t>воздерживаться от любых действий, которые могут представлять собой притеснения и преследования адвокатов, а также неоправданное вмешательство в их работу, в том числе их временное отстранение от исполнения обязанностей, исключение из коллегии адвокатов или другие дисциплинарные меры, или уголовное преследование по неправомерным основаниям, таким как выражение критической точки зрения или характер дел, в рассмотрении которых они участвуют;</w:t>
      </w:r>
    </w:p>
    <w:p w14:paraId="362EDBE8" w14:textId="77777777" w:rsidR="00D97BB9" w:rsidRPr="002C6D6F" w:rsidRDefault="00BA09A3" w:rsidP="00D97BB9">
      <w:pPr>
        <w:pStyle w:val="SingleTxtG"/>
      </w:pPr>
      <w:r w:rsidRPr="00BA09A3">
        <w:rPr>
          <w:b/>
        </w:rPr>
        <w:tab/>
      </w:r>
      <w:r w:rsidR="00D97BB9" w:rsidRPr="00BA09A3">
        <w:rPr>
          <w:b/>
        </w:rPr>
        <w:tab/>
        <w:t>b)</w:t>
      </w:r>
      <w:r w:rsidR="00D97BB9" w:rsidRPr="00BA09A3">
        <w:rPr>
          <w:b/>
        </w:rPr>
        <w:tab/>
      </w:r>
      <w:r w:rsidR="00D97BB9" w:rsidRPr="00BA09A3">
        <w:rPr>
          <w:b/>
          <w:bCs/>
        </w:rPr>
        <w:t>ис</w:t>
      </w:r>
      <w:r w:rsidR="00D97BB9" w:rsidRPr="003C1107">
        <w:rPr>
          <w:b/>
          <w:bCs/>
        </w:rPr>
        <w:t>коренить практику привлечения адвокатов в качестве свидетелей по делам, в которых они представляют обвиняемых</w:t>
      </w:r>
      <w:r w:rsidR="00D97BB9">
        <w:rPr>
          <w:b/>
          <w:bCs/>
        </w:rPr>
        <w:t>.</w:t>
      </w:r>
    </w:p>
    <w:p w14:paraId="3EB726D4" w14:textId="77777777" w:rsidR="00D97BB9" w:rsidRPr="0069221C" w:rsidRDefault="00D97BB9" w:rsidP="00D97BB9">
      <w:pPr>
        <w:pStyle w:val="H23G"/>
      </w:pPr>
      <w:r>
        <w:tab/>
      </w:r>
      <w:r>
        <w:tab/>
      </w:r>
      <w:r>
        <w:rPr>
          <w:bCs/>
        </w:rPr>
        <w:t>Резюме ответа государства-участника</w:t>
      </w:r>
    </w:p>
    <w:p w14:paraId="13595ACD" w14:textId="77777777" w:rsidR="00D97BB9" w:rsidRPr="00BA09A3" w:rsidRDefault="00D97BB9" w:rsidP="00D97BB9">
      <w:pPr>
        <w:pStyle w:val="SingleTxtG"/>
      </w:pPr>
      <w:r>
        <w:tab/>
      </w:r>
      <w:r w:rsidR="00BA09A3">
        <w:tab/>
      </w:r>
      <w:r>
        <w:t>a)</w:t>
      </w:r>
      <w:r>
        <w:tab/>
        <w:t>Адвокатура руководствуется следующими принципами: соблюдение законодательства, независимость от любых форм давления, равные права адвокатов и самоуправление. Закон об адвокатах и деятельности юристов регулирует право на доступ к услугам адвоката. Закон защищает адвоката и представителей подозреваемых или обвиняемых лиц. Адвокаты подвергаются дисциплинарным санкциям только в том случае, если они нарушают закон, правила поведения адвокатов или этические профессиональные нормы</w:t>
      </w:r>
      <w:r w:rsidR="00BA09A3">
        <w:t>.</w:t>
      </w:r>
    </w:p>
    <w:p w14:paraId="65FD1E65" w14:textId="77777777" w:rsidR="00D97BB9" w:rsidRPr="002C6D6F" w:rsidRDefault="00BA09A3" w:rsidP="00D97BB9">
      <w:pPr>
        <w:pStyle w:val="SingleTxtG"/>
      </w:pPr>
      <w:r>
        <w:tab/>
      </w:r>
      <w:r w:rsidR="00D97BB9">
        <w:tab/>
        <w:t>b)</w:t>
      </w:r>
      <w:r w:rsidR="00D97BB9">
        <w:tab/>
        <w:t>Никакой информации представлено не было.</w:t>
      </w:r>
    </w:p>
    <w:p w14:paraId="3A84042D" w14:textId="77777777" w:rsidR="00D97BB9" w:rsidRPr="002C6D6F" w:rsidRDefault="00D97BB9" w:rsidP="00D97BB9">
      <w:pPr>
        <w:pStyle w:val="H23G"/>
      </w:pPr>
      <w:r>
        <w:tab/>
      </w:r>
      <w:r>
        <w:tab/>
      </w:r>
      <w:r>
        <w:rPr>
          <w:bCs/>
        </w:rPr>
        <w:t>Оценка Комитета</w:t>
      </w:r>
    </w:p>
    <w:p w14:paraId="75A0F302" w14:textId="77777777" w:rsidR="00D97BB9" w:rsidRPr="002C6D6F" w:rsidRDefault="00D97BB9" w:rsidP="00D97BB9">
      <w:pPr>
        <w:pStyle w:val="SingleTxtG"/>
      </w:pPr>
      <w:r>
        <w:t>[</w:t>
      </w:r>
      <w:r w:rsidRPr="006620F5">
        <w:rPr>
          <w:b/>
          <w:bCs/>
        </w:rPr>
        <w:t>C</w:t>
      </w:r>
      <w:r>
        <w:t>] a) и b): Комитет отмечает возможность того, что адвокаты могут рассматриваться в качестве защищаемых лиц, однако сожалеет об отсутствии информации о мерах, которые были приняты для предотвращения любых действий, которые могут представлять собой притеснение и преследование адвокатов или неоправданное вмешательство в их работу. Комитет повторяет свои рекомендации. Комитет сожалеет, что не было представлено никакой информации о практике привлечения адвокатов в качестве свидетелей по делам, в которых они представляют обвиняемого. Комитет повторяет свои рекомендации.</w:t>
      </w:r>
    </w:p>
    <w:p w14:paraId="3A978A90" w14:textId="77777777" w:rsidR="00D97BB9" w:rsidRPr="002C6D6F" w:rsidRDefault="00D97BB9" w:rsidP="00D97BB9">
      <w:pPr>
        <w:pStyle w:val="H23G"/>
      </w:pPr>
      <w:r>
        <w:tab/>
      </w:r>
      <w:r>
        <w:tab/>
      </w:r>
      <w:r>
        <w:rPr>
          <w:bCs/>
        </w:rPr>
        <w:t>Пункт 37: Свобода выражения мнений</w:t>
      </w:r>
    </w:p>
    <w:p w14:paraId="62AB9372" w14:textId="77777777" w:rsidR="00D97BB9" w:rsidRPr="002C6D6F" w:rsidRDefault="00BA09A3" w:rsidP="00D97BB9">
      <w:pPr>
        <w:pStyle w:val="SingleTxtG"/>
        <w:rPr>
          <w:b/>
          <w:bCs/>
        </w:rPr>
      </w:pPr>
      <w:r>
        <w:tab/>
      </w:r>
      <w:r w:rsidR="00D97BB9">
        <w:tab/>
      </w:r>
      <w:r w:rsidR="00D97BB9" w:rsidRPr="006620F5">
        <w:rPr>
          <w:b/>
          <w:bCs/>
        </w:rPr>
        <w:t>Государству-участнику следует принять все необходимые меры для обеспечения полного осуществления на практике права на свободу выражения мнений каждого человека. Ему следует принять срочные меры в целях прекращения любых репрессий в отношении вышеупомянутых категорий лиц, обеспечить их действенную защиту от преследования или мести и принять меры к тому, чтобы любые ограничения на осуществление ими свободы выражения мнений строго соответствовали требованиям пункта 3 статьи 19 Пакта. Государству-участнику необходимо также рассмотреть вопрос об отмене уголовной ответственности за клевету и в любых обстоятельствах применять уголовное законодательство лишь в связи с наиболее серьезными случаями, имея в виду, что, как это предусмотрено в замечании общего порядка № 34 (2011)</w:t>
      </w:r>
      <w:r>
        <w:rPr>
          <w:b/>
          <w:bCs/>
        </w:rPr>
        <w:br/>
      </w:r>
      <w:r w:rsidR="00D97BB9" w:rsidRPr="006620F5">
        <w:rPr>
          <w:b/>
          <w:bCs/>
        </w:rPr>
        <w:t>о свободе мнений и их выражения, лишение свободы ни при каких условиях не является надлежащей мерой наказания за клевету</w:t>
      </w:r>
      <w:r w:rsidR="00D97BB9">
        <w:rPr>
          <w:b/>
          <w:bCs/>
        </w:rPr>
        <w:t>.</w:t>
      </w:r>
    </w:p>
    <w:p w14:paraId="6B447426" w14:textId="77777777" w:rsidR="00D97BB9" w:rsidRPr="0069221C" w:rsidRDefault="00D97BB9" w:rsidP="00D97BB9">
      <w:pPr>
        <w:pStyle w:val="H23G"/>
      </w:pPr>
      <w:r>
        <w:tab/>
      </w:r>
      <w:r>
        <w:tab/>
      </w:r>
      <w:r>
        <w:rPr>
          <w:bCs/>
        </w:rPr>
        <w:t>Резюме ответа государства-участника</w:t>
      </w:r>
    </w:p>
    <w:p w14:paraId="3C28B9AF" w14:textId="77777777" w:rsidR="00D97BB9" w:rsidRPr="002C6D6F" w:rsidRDefault="00BA09A3" w:rsidP="00D97BB9">
      <w:pPr>
        <w:pStyle w:val="SingleTxtG"/>
      </w:pPr>
      <w:r>
        <w:tab/>
      </w:r>
      <w:r w:rsidR="00D97BB9">
        <w:tab/>
        <w:t>Государство-участник гарантирует права и свободы всех граждан без какого бы то ни было различия по признаку религии, расы, политической или социальной принадлежности. Никто не был привлечен к ответственности за осуществление своей свободы мысли или свободы выражения мнений или подвергнут пыткам. Никто не может быть осужден, если совершение конкретного преступления не доказано следственными органами и судами.</w:t>
      </w:r>
    </w:p>
    <w:p w14:paraId="01684D5D" w14:textId="77777777" w:rsidR="00D97BB9" w:rsidRPr="002C6D6F" w:rsidRDefault="00D97BB9" w:rsidP="00D97BB9">
      <w:pPr>
        <w:pStyle w:val="H23G"/>
      </w:pPr>
      <w:r>
        <w:tab/>
      </w:r>
      <w:r>
        <w:tab/>
      </w:r>
      <w:r>
        <w:rPr>
          <w:bCs/>
        </w:rPr>
        <w:t>Оценка Комитета</w:t>
      </w:r>
    </w:p>
    <w:p w14:paraId="196C93A6" w14:textId="77777777" w:rsidR="00D97BB9" w:rsidRPr="002C6D6F" w:rsidRDefault="00D97BB9" w:rsidP="00D97BB9">
      <w:pPr>
        <w:pStyle w:val="SingleTxtG"/>
      </w:pPr>
      <w:r>
        <w:t>[</w:t>
      </w:r>
      <w:r w:rsidRPr="00BA09A3">
        <w:rPr>
          <w:b/>
        </w:rPr>
        <w:t>С</w:t>
      </w:r>
      <w:r>
        <w:t>]: Комитет выражает сожаление в связи с отсутствием информации о мерах, принятых в целях осуществления его рекомендации. Комитет повторяет свою рекомендацию.</w:t>
      </w:r>
    </w:p>
    <w:p w14:paraId="7568F6E2" w14:textId="77777777" w:rsidR="00D97BB9" w:rsidRPr="002C6D6F" w:rsidRDefault="00D97BB9" w:rsidP="00D97BB9">
      <w:pPr>
        <w:pStyle w:val="SingleTxtG"/>
      </w:pPr>
      <w:r w:rsidRPr="00BA09A3">
        <w:rPr>
          <w:b/>
        </w:rPr>
        <w:t>Рекомендуемые действия:</w:t>
      </w:r>
      <w:r>
        <w:t xml:space="preserve"> следует направить письмо, извещающее государство-участник о прекращении процедуры </w:t>
      </w:r>
      <w:r w:rsidRPr="009020E1">
        <w:rPr>
          <w:bCs/>
        </w:rPr>
        <w:t>последующей деятельности</w:t>
      </w:r>
      <w:r>
        <w:t>. Запрашиваемая информация должна быть включена в следующий периодический доклад государства-участника.</w:t>
      </w:r>
      <w:bookmarkStart w:id="2" w:name="_Toc506807563"/>
    </w:p>
    <w:bookmarkEnd w:id="2"/>
    <w:p w14:paraId="56D42E8E" w14:textId="77777777" w:rsidR="00D97BB9" w:rsidRPr="002C6D6F" w:rsidRDefault="00D97BB9" w:rsidP="00D97BB9">
      <w:pPr>
        <w:pStyle w:val="SingleTxtG"/>
        <w:jc w:val="center"/>
        <w:rPr>
          <w:u w:val="single"/>
        </w:rPr>
      </w:pPr>
      <w:r w:rsidRPr="002C6D6F">
        <w:rPr>
          <w:u w:val="single"/>
        </w:rPr>
        <w:tab/>
      </w:r>
      <w:r w:rsidRPr="002C6D6F">
        <w:rPr>
          <w:u w:val="single"/>
        </w:rPr>
        <w:tab/>
      </w:r>
      <w:r w:rsidRPr="002C6D6F">
        <w:rPr>
          <w:u w:val="single"/>
        </w:rPr>
        <w:tab/>
      </w:r>
      <w:r>
        <w:rPr>
          <w:u w:val="single"/>
        </w:rPr>
        <w:tab/>
      </w:r>
    </w:p>
    <w:sectPr w:rsidR="00D97BB9" w:rsidRPr="002C6D6F" w:rsidSect="00D97BB9">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5A01C" w14:textId="77777777" w:rsidR="0057321E" w:rsidRPr="00A312BC" w:rsidRDefault="0057321E" w:rsidP="00A312BC"/>
  </w:endnote>
  <w:endnote w:type="continuationSeparator" w:id="0">
    <w:p w14:paraId="2624147B" w14:textId="77777777" w:rsidR="0057321E" w:rsidRPr="00A312BC" w:rsidRDefault="0057321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E6C84" w14:textId="77777777" w:rsidR="00D97BB9" w:rsidRPr="00D97BB9" w:rsidRDefault="00D97BB9">
    <w:pPr>
      <w:pStyle w:val="a8"/>
    </w:pPr>
    <w:r w:rsidRPr="00D97BB9">
      <w:rPr>
        <w:b/>
        <w:sz w:val="18"/>
      </w:rPr>
      <w:fldChar w:fldCharType="begin"/>
    </w:r>
    <w:r w:rsidRPr="00D97BB9">
      <w:rPr>
        <w:b/>
        <w:sz w:val="18"/>
      </w:rPr>
      <w:instrText xml:space="preserve"> PAGE  \* MERGEFORMAT </w:instrText>
    </w:r>
    <w:r w:rsidRPr="00D97BB9">
      <w:rPr>
        <w:b/>
        <w:sz w:val="18"/>
      </w:rPr>
      <w:fldChar w:fldCharType="separate"/>
    </w:r>
    <w:r w:rsidRPr="00D97BB9">
      <w:rPr>
        <w:b/>
        <w:noProof/>
        <w:sz w:val="18"/>
      </w:rPr>
      <w:t>2</w:t>
    </w:r>
    <w:r w:rsidRPr="00D97BB9">
      <w:rPr>
        <w:b/>
        <w:sz w:val="18"/>
      </w:rPr>
      <w:fldChar w:fldCharType="end"/>
    </w:r>
    <w:r>
      <w:rPr>
        <w:b/>
        <w:sz w:val="18"/>
      </w:rPr>
      <w:tab/>
    </w:r>
    <w:proofErr w:type="spellStart"/>
    <w:r>
      <w:t>GE.20</w:t>
    </w:r>
    <w:proofErr w:type="spellEnd"/>
    <w:r>
      <w:t>-01302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972B5" w14:textId="77777777" w:rsidR="00D97BB9" w:rsidRPr="00D97BB9" w:rsidRDefault="00D97BB9" w:rsidP="00D97BB9">
    <w:pPr>
      <w:pStyle w:val="a8"/>
      <w:tabs>
        <w:tab w:val="clear" w:pos="9639"/>
        <w:tab w:val="right" w:pos="9638"/>
      </w:tabs>
      <w:rPr>
        <w:b/>
        <w:sz w:val="18"/>
      </w:rPr>
    </w:pPr>
    <w:proofErr w:type="spellStart"/>
    <w:r>
      <w:t>GE.20</w:t>
    </w:r>
    <w:proofErr w:type="spellEnd"/>
    <w:r>
      <w:t>-01302</w:t>
    </w:r>
    <w:r>
      <w:tab/>
    </w:r>
    <w:r w:rsidRPr="00D97BB9">
      <w:rPr>
        <w:b/>
        <w:sz w:val="18"/>
      </w:rPr>
      <w:fldChar w:fldCharType="begin"/>
    </w:r>
    <w:r w:rsidRPr="00D97BB9">
      <w:rPr>
        <w:b/>
        <w:sz w:val="18"/>
      </w:rPr>
      <w:instrText xml:space="preserve"> PAGE  \* MERGEFORMAT </w:instrText>
    </w:r>
    <w:r w:rsidRPr="00D97BB9">
      <w:rPr>
        <w:b/>
        <w:sz w:val="18"/>
      </w:rPr>
      <w:fldChar w:fldCharType="separate"/>
    </w:r>
    <w:r w:rsidRPr="00D97BB9">
      <w:rPr>
        <w:b/>
        <w:noProof/>
        <w:sz w:val="18"/>
      </w:rPr>
      <w:t>3</w:t>
    </w:r>
    <w:r w:rsidRPr="00D97B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0654D" w14:textId="77777777" w:rsidR="00042B72" w:rsidRPr="00D97BB9" w:rsidRDefault="00D97BB9" w:rsidP="00D97BB9">
    <w:pPr>
      <w:spacing w:before="120" w:line="240" w:lineRule="auto"/>
    </w:pPr>
    <w:proofErr w:type="spellStart"/>
    <w:r>
      <w:t>GE.</w:t>
    </w:r>
    <w:r w:rsidR="00DF71B9">
      <w:rPr>
        <w:b/>
        <w:noProof/>
        <w:lang w:val="fr-CH" w:eastAsia="fr-CH"/>
      </w:rPr>
      <w:drawing>
        <wp:anchor distT="0" distB="0" distL="114300" distR="114300" simplePos="0" relativeHeight="251658240" behindDoc="0" locked="0" layoutInCell="1" allowOverlap="1" wp14:anchorId="61CE5265" wp14:editId="433BD85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spellEnd"/>
    <w:r>
      <w:t>-01302  (R)</w:t>
    </w:r>
    <w:r>
      <w:rPr>
        <w:lang w:val="en-US"/>
      </w:rPr>
      <w:t xml:space="preserve">  270220  </w:t>
    </w:r>
    <w:r w:rsidR="00CE6794">
      <w:rPr>
        <w:lang w:val="en-US"/>
      </w:rPr>
      <w:t>02</w:t>
    </w:r>
    <w:r>
      <w:rPr>
        <w:lang w:val="en-US"/>
      </w:rPr>
      <w:t>0</w:t>
    </w:r>
    <w:r w:rsidR="00CE6794">
      <w:rPr>
        <w:lang w:val="en-US"/>
      </w:rPr>
      <w:t>3</w:t>
    </w:r>
    <w:r>
      <w:rPr>
        <w:lang w:val="en-US"/>
      </w:rPr>
      <w:t>20</w:t>
    </w:r>
    <w:r>
      <w:br/>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sidRPr="00D97BB9">
      <w:rPr>
        <w:rFonts w:ascii="C39T30Lfz" w:hAnsi="C39T30Lfz"/>
        <w:kern w:val="14"/>
        <w:sz w:val="56"/>
      </w:rPr>
      <w:t></w:t>
    </w:r>
    <w:r>
      <w:rPr>
        <w:noProof/>
      </w:rPr>
      <w:drawing>
        <wp:anchor distT="0" distB="0" distL="114300" distR="114300" simplePos="0" relativeHeight="251659264" behindDoc="0" locked="0" layoutInCell="1" allowOverlap="1" wp14:anchorId="69E8424C" wp14:editId="0E4447A3">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127/2/Add.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8B444" w14:textId="77777777" w:rsidR="0057321E" w:rsidRPr="001075E9" w:rsidRDefault="0057321E" w:rsidP="001075E9">
      <w:pPr>
        <w:tabs>
          <w:tab w:val="right" w:pos="2155"/>
        </w:tabs>
        <w:spacing w:after="80" w:line="240" w:lineRule="auto"/>
        <w:ind w:left="680"/>
        <w:rPr>
          <w:u w:val="single"/>
        </w:rPr>
      </w:pPr>
      <w:r>
        <w:rPr>
          <w:u w:val="single"/>
        </w:rPr>
        <w:tab/>
      </w:r>
    </w:p>
  </w:footnote>
  <w:footnote w:type="continuationSeparator" w:id="0">
    <w:p w14:paraId="7EE5B0F8" w14:textId="77777777" w:rsidR="0057321E" w:rsidRDefault="0057321E" w:rsidP="00407B78">
      <w:pPr>
        <w:tabs>
          <w:tab w:val="right" w:pos="2155"/>
        </w:tabs>
        <w:spacing w:after="80"/>
        <w:ind w:left="680"/>
        <w:rPr>
          <w:u w:val="single"/>
        </w:rPr>
      </w:pPr>
      <w:r>
        <w:rPr>
          <w:u w:val="single"/>
        </w:rPr>
        <w:tab/>
      </w:r>
    </w:p>
  </w:footnote>
  <w:footnote w:id="1">
    <w:p w14:paraId="6C7CEC83" w14:textId="77777777" w:rsidR="00D97BB9" w:rsidRPr="002C6D6F" w:rsidRDefault="00D97BB9" w:rsidP="00BA09A3">
      <w:pPr>
        <w:pStyle w:val="ad"/>
        <w:spacing w:after="240"/>
      </w:pPr>
      <w:r>
        <w:tab/>
        <w:t>*</w:t>
      </w:r>
      <w:r>
        <w:tab/>
        <w:t xml:space="preserve">Принят Комитетом на его 127-й сессии (14 октября </w:t>
      </w:r>
      <w:r w:rsidR="00BA09A3" w:rsidRPr="00BA09A3">
        <w:t>–</w:t>
      </w:r>
      <w:r>
        <w:t xml:space="preserve"> 8 ноября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F6B47" w14:textId="3E82CC46" w:rsidR="00D97BB9" w:rsidRPr="00D97BB9" w:rsidRDefault="00D97BB9">
    <w:pPr>
      <w:pStyle w:val="a5"/>
    </w:pPr>
    <w:r>
      <w:fldChar w:fldCharType="begin"/>
    </w:r>
    <w:r>
      <w:instrText xml:space="preserve"> TITLE  \* MERGEFORMAT </w:instrText>
    </w:r>
    <w:r>
      <w:fldChar w:fldCharType="separate"/>
    </w:r>
    <w:proofErr w:type="spellStart"/>
    <w:r w:rsidR="00F43254">
      <w:t>CCPR</w:t>
    </w:r>
    <w:proofErr w:type="spellEnd"/>
    <w:r w:rsidR="00F43254">
      <w:t>/C/127/2/</w:t>
    </w:r>
    <w:proofErr w:type="spellStart"/>
    <w:r w:rsidR="00F43254">
      <w:t>Add.3</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30C3B" w14:textId="40AD880D" w:rsidR="00D97BB9" w:rsidRPr="00D97BB9" w:rsidRDefault="00D97BB9" w:rsidP="00D97BB9">
    <w:pPr>
      <w:pStyle w:val="a5"/>
      <w:jc w:val="right"/>
    </w:pPr>
    <w:r>
      <w:fldChar w:fldCharType="begin"/>
    </w:r>
    <w:r>
      <w:instrText xml:space="preserve"> TITLE  \* MERGEFORMAT </w:instrText>
    </w:r>
    <w:r>
      <w:fldChar w:fldCharType="separate"/>
    </w:r>
    <w:proofErr w:type="spellStart"/>
    <w:r w:rsidR="00F43254">
      <w:t>CCPR</w:t>
    </w:r>
    <w:proofErr w:type="spellEnd"/>
    <w:r w:rsidR="00F43254">
      <w:t>/C/127/2/</w:t>
    </w:r>
    <w:proofErr w:type="spellStart"/>
    <w:r w:rsidR="00F43254">
      <w:t>Add.3</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21E"/>
    <w:rsid w:val="00033EE1"/>
    <w:rsid w:val="00042B72"/>
    <w:rsid w:val="000558BD"/>
    <w:rsid w:val="000B57E7"/>
    <w:rsid w:val="000B6373"/>
    <w:rsid w:val="000F09DF"/>
    <w:rsid w:val="000F61B2"/>
    <w:rsid w:val="001075E9"/>
    <w:rsid w:val="00171869"/>
    <w:rsid w:val="00180183"/>
    <w:rsid w:val="0018024D"/>
    <w:rsid w:val="0018649F"/>
    <w:rsid w:val="00196389"/>
    <w:rsid w:val="001B3EF6"/>
    <w:rsid w:val="001C7A89"/>
    <w:rsid w:val="001F42D8"/>
    <w:rsid w:val="00254812"/>
    <w:rsid w:val="002A2EFC"/>
    <w:rsid w:val="002C0E18"/>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C60F3"/>
    <w:rsid w:val="0050108D"/>
    <w:rsid w:val="00513081"/>
    <w:rsid w:val="00517901"/>
    <w:rsid w:val="00526683"/>
    <w:rsid w:val="005709E0"/>
    <w:rsid w:val="00572E19"/>
    <w:rsid w:val="0057321E"/>
    <w:rsid w:val="005961C8"/>
    <w:rsid w:val="005D7914"/>
    <w:rsid w:val="005E2B41"/>
    <w:rsid w:val="005F0B42"/>
    <w:rsid w:val="00666B97"/>
    <w:rsid w:val="00681A10"/>
    <w:rsid w:val="006A1ED8"/>
    <w:rsid w:val="006C2031"/>
    <w:rsid w:val="006D461A"/>
    <w:rsid w:val="006F35EE"/>
    <w:rsid w:val="007021FF"/>
    <w:rsid w:val="00712895"/>
    <w:rsid w:val="00724527"/>
    <w:rsid w:val="0075523D"/>
    <w:rsid w:val="00757357"/>
    <w:rsid w:val="00787D3A"/>
    <w:rsid w:val="00791B9D"/>
    <w:rsid w:val="007C5526"/>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A09A3"/>
    <w:rsid w:val="00BC18B2"/>
    <w:rsid w:val="00BC3629"/>
    <w:rsid w:val="00BD33EE"/>
    <w:rsid w:val="00BF1A04"/>
    <w:rsid w:val="00C0177C"/>
    <w:rsid w:val="00C106D6"/>
    <w:rsid w:val="00C46D5A"/>
    <w:rsid w:val="00C60F0C"/>
    <w:rsid w:val="00C805C9"/>
    <w:rsid w:val="00C92939"/>
    <w:rsid w:val="00CA1679"/>
    <w:rsid w:val="00CB151C"/>
    <w:rsid w:val="00CE5A1A"/>
    <w:rsid w:val="00CE6794"/>
    <w:rsid w:val="00CF55F6"/>
    <w:rsid w:val="00D33D63"/>
    <w:rsid w:val="00D90028"/>
    <w:rsid w:val="00D90138"/>
    <w:rsid w:val="00D9090B"/>
    <w:rsid w:val="00D97BB9"/>
    <w:rsid w:val="00DD78D1"/>
    <w:rsid w:val="00DE32CD"/>
    <w:rsid w:val="00DF71B9"/>
    <w:rsid w:val="00E005F7"/>
    <w:rsid w:val="00E06BEE"/>
    <w:rsid w:val="00E46656"/>
    <w:rsid w:val="00E73F76"/>
    <w:rsid w:val="00EA2C9F"/>
    <w:rsid w:val="00EA420E"/>
    <w:rsid w:val="00ED0BDA"/>
    <w:rsid w:val="00EF1360"/>
    <w:rsid w:val="00EF3220"/>
    <w:rsid w:val="00F43254"/>
    <w:rsid w:val="00F43903"/>
    <w:rsid w:val="00F44D16"/>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ED7029"/>
  <w15:docId w15:val="{946A6D23-63EA-4574-AE48-2D86AF73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31A71"/>
    <w:pPr>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D97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undocs.org/ru/CCPR/C/127/2/Add.3"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CPR/C/AZE/CO/4/Add.1" TargetMode="External"/><Relationship Id="rId4" Type="http://schemas.openxmlformats.org/officeDocument/2006/relationships/webSettings" Target="webSettings.xml"/><Relationship Id="rId9" Type="http://schemas.openxmlformats.org/officeDocument/2006/relationships/hyperlink" Target="http://undocs.org/ru/CCPR/C/AZE/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1235</Words>
  <Characters>7043</Characters>
  <Application>Microsoft Office Word</Application>
  <DocSecurity>0</DocSecurity>
  <Lines>58</Lines>
  <Paragraphs>16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CCPR/C/127/2/Add.3</vt:lpstr>
      <vt:lpstr>A/</vt:lpstr>
      <vt:lpstr>A/</vt:lpstr>
    </vt:vector>
  </TitlesOfParts>
  <Company>DCM</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CCPR/C/127/2/Add.3</dc:title>
  <dc:subject/>
  <dc:creator>Anna KISSELEVA</dc:creator>
  <cp:keywords/>
  <cp:lastModifiedBy>Anna Kisseleva</cp:lastModifiedBy>
  <cp:revision>3</cp:revision>
  <cp:lastPrinted>2020-03-02T08:40:00Z</cp:lastPrinted>
  <dcterms:created xsi:type="dcterms:W3CDTF">2020-03-02T08:40:00Z</dcterms:created>
  <dcterms:modified xsi:type="dcterms:W3CDTF">2020-03-02T08:40:00Z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