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1440AD0" w14:textId="77777777" w:rsidTr="0002432E">
        <w:trPr>
          <w:trHeight w:hRule="exact" w:val="851"/>
        </w:trPr>
        <w:tc>
          <w:tcPr>
            <w:tcW w:w="1276" w:type="dxa"/>
            <w:tcBorders>
              <w:bottom w:val="single" w:sz="4" w:space="0" w:color="auto"/>
            </w:tcBorders>
          </w:tcPr>
          <w:p w14:paraId="3933F6D4" w14:textId="77777777" w:rsidR="0080236C" w:rsidRPr="00DB58B5" w:rsidRDefault="0080236C" w:rsidP="006D4345"/>
        </w:tc>
        <w:tc>
          <w:tcPr>
            <w:tcW w:w="2268" w:type="dxa"/>
            <w:tcBorders>
              <w:bottom w:val="single" w:sz="4" w:space="0" w:color="auto"/>
            </w:tcBorders>
            <w:vAlign w:val="bottom"/>
          </w:tcPr>
          <w:p w14:paraId="1990FC2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275064" w14:textId="1E74EA49" w:rsidR="0080236C" w:rsidRPr="00DB58B5" w:rsidRDefault="006D4345" w:rsidP="006D4345">
            <w:pPr>
              <w:jc w:val="right"/>
            </w:pPr>
            <w:r w:rsidRPr="006D4345">
              <w:rPr>
                <w:sz w:val="40"/>
              </w:rPr>
              <w:t>E</w:t>
            </w:r>
            <w:r>
              <w:t>/C.12/ISR/FCO/4</w:t>
            </w:r>
          </w:p>
        </w:tc>
      </w:tr>
      <w:tr w:rsidR="0080236C" w:rsidRPr="00DB58B5" w14:paraId="08332465" w14:textId="77777777" w:rsidTr="0002432E">
        <w:trPr>
          <w:trHeight w:hRule="exact" w:val="2835"/>
        </w:trPr>
        <w:tc>
          <w:tcPr>
            <w:tcW w:w="1276" w:type="dxa"/>
            <w:tcBorders>
              <w:top w:val="single" w:sz="4" w:space="0" w:color="auto"/>
              <w:bottom w:val="single" w:sz="12" w:space="0" w:color="auto"/>
            </w:tcBorders>
          </w:tcPr>
          <w:p w14:paraId="2A5F720E" w14:textId="77777777" w:rsidR="0080236C" w:rsidRPr="00DB58B5" w:rsidRDefault="0080236C" w:rsidP="0002432E">
            <w:pPr>
              <w:spacing w:before="120"/>
              <w:jc w:val="center"/>
            </w:pPr>
            <w:r>
              <w:rPr>
                <w:noProof/>
                <w:lang w:eastAsia="fr-CH"/>
              </w:rPr>
              <w:drawing>
                <wp:inline distT="0" distB="0" distL="0" distR="0" wp14:anchorId="23B50509" wp14:editId="728EFB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7482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36B1892" w14:textId="77777777" w:rsidR="0080236C" w:rsidRDefault="006D4345" w:rsidP="0002432E">
            <w:pPr>
              <w:spacing w:before="240"/>
            </w:pPr>
            <w:r>
              <w:t>Distr. générale</w:t>
            </w:r>
          </w:p>
          <w:p w14:paraId="31B5DA4D" w14:textId="77777777" w:rsidR="006D4345" w:rsidRDefault="006D4345" w:rsidP="006D4345">
            <w:pPr>
              <w:spacing w:line="240" w:lineRule="exact"/>
            </w:pPr>
            <w:r>
              <w:t>23 mars 2022</w:t>
            </w:r>
          </w:p>
          <w:p w14:paraId="0C0BB50C" w14:textId="77777777" w:rsidR="006D4345" w:rsidRDefault="006D4345" w:rsidP="006D4345">
            <w:pPr>
              <w:spacing w:line="240" w:lineRule="exact"/>
            </w:pPr>
            <w:r>
              <w:t>Français</w:t>
            </w:r>
          </w:p>
          <w:p w14:paraId="3047DFAF" w14:textId="77777777" w:rsidR="006D4345" w:rsidRDefault="006D4345" w:rsidP="006D4345">
            <w:pPr>
              <w:spacing w:line="240" w:lineRule="exact"/>
            </w:pPr>
            <w:r>
              <w:t>Original : anglais</w:t>
            </w:r>
          </w:p>
          <w:p w14:paraId="6E889117" w14:textId="026B1DC0" w:rsidR="006D4345" w:rsidRPr="00DB58B5" w:rsidRDefault="006D4345" w:rsidP="006D4345">
            <w:pPr>
              <w:spacing w:line="240" w:lineRule="exact"/>
            </w:pPr>
            <w:r>
              <w:t>Anglais, espagnol et français seulement</w:t>
            </w:r>
          </w:p>
        </w:tc>
      </w:tr>
    </w:tbl>
    <w:p w14:paraId="002F3EE6" w14:textId="77777777" w:rsidR="006D4345" w:rsidRPr="00E4666C" w:rsidRDefault="006D4345" w:rsidP="00CE3771">
      <w:pPr>
        <w:spacing w:before="120"/>
        <w:rPr>
          <w:b/>
          <w:sz w:val="24"/>
          <w:szCs w:val="24"/>
        </w:rPr>
      </w:pPr>
      <w:r w:rsidRPr="00E4666C">
        <w:rPr>
          <w:b/>
          <w:sz w:val="24"/>
          <w:szCs w:val="24"/>
        </w:rPr>
        <w:t>Comité des droits économiques, sociaux et culturels</w:t>
      </w:r>
    </w:p>
    <w:p w14:paraId="6E59F000" w14:textId="7653262E" w:rsidR="006D4345" w:rsidRDefault="006D4345" w:rsidP="006D4345">
      <w:pPr>
        <w:pStyle w:val="HMG"/>
      </w:pPr>
      <w:r>
        <w:tab/>
      </w:r>
      <w:r>
        <w:tab/>
        <w:t>Renseignements reçus d’Israël au sujet de la suite donnée aux observations finales concernant son quatrième rapport périodique</w:t>
      </w:r>
      <w:r w:rsidRPr="006D4345">
        <w:rPr>
          <w:rStyle w:val="Appelnotedebasdep"/>
          <w:b w:val="0"/>
          <w:bCs/>
          <w:sz w:val="20"/>
          <w:vertAlign w:val="baseline"/>
        </w:rPr>
        <w:footnoteReference w:customMarkFollows="1" w:id="2"/>
        <w:t>*</w:t>
      </w:r>
    </w:p>
    <w:p w14:paraId="1402DEB8" w14:textId="3B4E765A" w:rsidR="006D4345" w:rsidRDefault="006D4345" w:rsidP="006D4345">
      <w:pPr>
        <w:pStyle w:val="SingleTxtG"/>
        <w:jc w:val="right"/>
      </w:pPr>
      <w:r>
        <w:t>[Date de réception : 11 mars 2022]</w:t>
      </w:r>
    </w:p>
    <w:p w14:paraId="792C9D4A" w14:textId="3C2249A3" w:rsidR="006D4345" w:rsidRDefault="006D4345" w:rsidP="006D4345">
      <w:r>
        <w:br w:type="page"/>
      </w:r>
    </w:p>
    <w:p w14:paraId="22A5CA71" w14:textId="77777777" w:rsidR="006D4345" w:rsidRPr="00B07C3F" w:rsidRDefault="006D4345" w:rsidP="006D4345">
      <w:pPr>
        <w:pStyle w:val="SingleTxtG"/>
        <w:rPr>
          <w:lang w:val="fr-FR"/>
        </w:rPr>
      </w:pPr>
      <w:r w:rsidRPr="00B07C3F">
        <w:rPr>
          <w:lang w:val="fr-FR"/>
        </w:rPr>
        <w:lastRenderedPageBreak/>
        <w:t>1.</w:t>
      </w:r>
      <w:r w:rsidRPr="00B07C3F">
        <w:rPr>
          <w:lang w:val="fr-FR"/>
        </w:rPr>
        <w:tab/>
        <w:t xml:space="preserve">Israël </w:t>
      </w:r>
      <w:r>
        <w:rPr>
          <w:lang w:val="fr-FR"/>
        </w:rPr>
        <w:t>fournit les renseignements ci</w:t>
      </w:r>
      <w:r>
        <w:rPr>
          <w:lang w:val="fr-FR"/>
        </w:rPr>
        <w:noBreakHyphen/>
        <w:t>dessous</w:t>
      </w:r>
      <w:r w:rsidRPr="00B07C3F">
        <w:rPr>
          <w:lang w:val="fr-FR"/>
        </w:rPr>
        <w:t xml:space="preserve"> </w:t>
      </w:r>
      <w:r>
        <w:rPr>
          <w:lang w:val="fr-FR"/>
        </w:rPr>
        <w:t>comme suite à la demande formulée par</w:t>
      </w:r>
      <w:r w:rsidRPr="00B07C3F">
        <w:rPr>
          <w:lang w:val="fr-FR"/>
        </w:rPr>
        <w:t xml:space="preserve"> le Comité des droits économiques, sociaux et culturels </w:t>
      </w:r>
      <w:r>
        <w:rPr>
          <w:lang w:val="fr-FR"/>
        </w:rPr>
        <w:t>dans ses o</w:t>
      </w:r>
      <w:r w:rsidRPr="00B07C3F">
        <w:rPr>
          <w:lang w:val="fr-FR"/>
        </w:rPr>
        <w:t xml:space="preserve">bservations finales </w:t>
      </w:r>
      <w:r>
        <w:rPr>
          <w:lang w:val="fr-FR"/>
        </w:rPr>
        <w:t>du</w:t>
      </w:r>
      <w:r w:rsidRPr="00B07C3F">
        <w:rPr>
          <w:lang w:val="fr-FR"/>
        </w:rPr>
        <w:t xml:space="preserve"> 18 octobre 2019</w:t>
      </w:r>
      <w:r>
        <w:rPr>
          <w:lang w:val="fr-FR"/>
        </w:rPr>
        <w:t xml:space="preserve"> </w:t>
      </w:r>
      <w:r w:rsidRPr="00B07C3F">
        <w:rPr>
          <w:lang w:val="fr-FR"/>
        </w:rPr>
        <w:t>concernant le quatrième rapport périodique</w:t>
      </w:r>
      <w:r>
        <w:rPr>
          <w:lang w:val="fr-FR"/>
        </w:rPr>
        <w:t>.</w:t>
      </w:r>
    </w:p>
    <w:p w14:paraId="4D541EFA" w14:textId="3035CF4C" w:rsidR="006D4345" w:rsidRPr="00E468E3" w:rsidRDefault="006D4345" w:rsidP="006D4345">
      <w:pPr>
        <w:pStyle w:val="H1G"/>
        <w:rPr>
          <w:lang w:val="fr-FR"/>
        </w:rPr>
      </w:pPr>
      <w:r w:rsidRPr="00B07C3F">
        <w:rPr>
          <w:lang w:val="fr-FR"/>
        </w:rPr>
        <w:tab/>
      </w:r>
      <w:r w:rsidRPr="009B36FB">
        <w:rPr>
          <w:lang w:val="fr-FR"/>
        </w:rPr>
        <w:tab/>
      </w:r>
      <w:r w:rsidRPr="006D4345">
        <w:rPr>
          <w:lang w:val="fr-FR"/>
        </w:rPr>
        <w:t>Renseignements sur la suite donnée aux recommandations figurant au</w:t>
      </w:r>
      <w:r w:rsidR="00B772CC">
        <w:rPr>
          <w:lang w:val="fr-FR"/>
        </w:rPr>
        <w:t> </w:t>
      </w:r>
      <w:r w:rsidRPr="006D4345">
        <w:rPr>
          <w:lang w:val="fr-FR"/>
        </w:rPr>
        <w:t>paragraphe 11 c) et d) des observations finales (E/C.12/ISR/CO/4)</w:t>
      </w:r>
    </w:p>
    <w:p w14:paraId="2F353310" w14:textId="77777777" w:rsidR="006D4345" w:rsidRPr="009B36FB" w:rsidRDefault="006D4345" w:rsidP="006D4345">
      <w:pPr>
        <w:pStyle w:val="SingleTxtG"/>
        <w:rPr>
          <w:lang w:val="fr-FR"/>
        </w:rPr>
      </w:pPr>
      <w:r w:rsidRPr="003E4BED">
        <w:rPr>
          <w:lang w:val="fr-FR"/>
        </w:rPr>
        <w:t>2.</w:t>
      </w:r>
      <w:r w:rsidRPr="003E4BED">
        <w:rPr>
          <w:lang w:val="fr-FR"/>
        </w:rPr>
        <w:tab/>
        <w:t xml:space="preserve">Comme </w:t>
      </w:r>
      <w:r>
        <w:rPr>
          <w:lang w:val="fr-FR"/>
        </w:rPr>
        <w:t>Israël l’a déjà précisé, sa position est que le</w:t>
      </w:r>
      <w:r w:rsidRPr="009B36FB">
        <w:rPr>
          <w:lang w:val="fr-FR"/>
        </w:rPr>
        <w:t xml:space="preserve"> Pacte international relatif aux droits économiques, sociaux et culturels</w:t>
      </w:r>
      <w:r w:rsidRPr="003E4BED">
        <w:rPr>
          <w:lang w:val="fr-FR"/>
        </w:rPr>
        <w:t xml:space="preserve"> (</w:t>
      </w:r>
      <w:r>
        <w:rPr>
          <w:lang w:val="fr-FR"/>
        </w:rPr>
        <w:t>ci</w:t>
      </w:r>
      <w:r>
        <w:rPr>
          <w:lang w:val="fr-FR"/>
        </w:rPr>
        <w:noBreakHyphen/>
        <w:t>a</w:t>
      </w:r>
      <w:bookmarkStart w:id="0" w:name="_GoBack"/>
      <w:bookmarkEnd w:id="0"/>
      <w:r>
        <w:rPr>
          <w:lang w:val="fr-FR"/>
        </w:rPr>
        <w:t>près « le Pacte »</w:t>
      </w:r>
      <w:r w:rsidRPr="003E4BED">
        <w:rPr>
          <w:lang w:val="fr-FR"/>
        </w:rPr>
        <w:t>) n’est pas applicable en dehors du territoire nationa</w:t>
      </w:r>
      <w:r>
        <w:rPr>
          <w:lang w:val="fr-FR"/>
        </w:rPr>
        <w:t xml:space="preserve">l. </w:t>
      </w:r>
      <w:r w:rsidRPr="009B36FB">
        <w:rPr>
          <w:lang w:val="fr-FR"/>
        </w:rPr>
        <w:t>Cette position est expliquée plus avant dans le deuxième rapport périodique d’Israël, p. 3 et 4</w:t>
      </w:r>
      <w:r w:rsidRPr="003E4BED">
        <w:rPr>
          <w:lang w:val="fr-FR"/>
        </w:rPr>
        <w:t>.</w:t>
      </w:r>
    </w:p>
    <w:p w14:paraId="26F4C947" w14:textId="77777777" w:rsidR="006D4345" w:rsidRPr="00E11030" w:rsidRDefault="006D4345" w:rsidP="006D4345">
      <w:pPr>
        <w:pStyle w:val="SingleTxtG"/>
        <w:rPr>
          <w:lang w:val="fr-FR"/>
        </w:rPr>
      </w:pPr>
      <w:r w:rsidRPr="009B36FB">
        <w:rPr>
          <w:lang w:val="fr-FR"/>
        </w:rPr>
        <w:t>3.</w:t>
      </w:r>
      <w:r w:rsidRPr="009B36FB">
        <w:rPr>
          <w:lang w:val="fr-FR"/>
        </w:rPr>
        <w:tab/>
        <w:t xml:space="preserve">Nonobstant cette position, Israël aborde le dialogue constructif avec </w:t>
      </w:r>
      <w:r>
        <w:rPr>
          <w:lang w:val="fr-FR"/>
        </w:rPr>
        <w:t xml:space="preserve">le </w:t>
      </w:r>
      <w:r w:rsidRPr="009B36FB">
        <w:rPr>
          <w:lang w:val="fr-FR"/>
        </w:rPr>
        <w:t>Comité</w:t>
      </w:r>
      <w:r>
        <w:rPr>
          <w:lang w:val="fr-FR"/>
        </w:rPr>
        <w:t xml:space="preserve"> dans un </w:t>
      </w:r>
      <w:r w:rsidRPr="009B36FB">
        <w:rPr>
          <w:lang w:val="fr-FR"/>
        </w:rPr>
        <w:t>esprit d</w:t>
      </w:r>
      <w:r>
        <w:rPr>
          <w:lang w:val="fr-FR"/>
        </w:rPr>
        <w:t>’</w:t>
      </w:r>
      <w:r w:rsidRPr="009B36FB">
        <w:rPr>
          <w:lang w:val="fr-FR"/>
        </w:rPr>
        <w:t xml:space="preserve">ouverture </w:t>
      </w:r>
      <w:r>
        <w:rPr>
          <w:lang w:val="fr-FR"/>
        </w:rPr>
        <w:t>et fournit les renseignements suivants.</w:t>
      </w:r>
    </w:p>
    <w:p w14:paraId="17DA61D1" w14:textId="77777777" w:rsidR="006D4345" w:rsidRPr="00E11030" w:rsidRDefault="006D4345" w:rsidP="006D4345">
      <w:pPr>
        <w:pStyle w:val="H23G"/>
        <w:rPr>
          <w:lang w:val="fr-FR"/>
        </w:rPr>
      </w:pPr>
      <w:r w:rsidRPr="00E11030">
        <w:rPr>
          <w:lang w:val="fr-FR"/>
        </w:rPr>
        <w:tab/>
      </w:r>
      <w:r w:rsidRPr="00E11030">
        <w:rPr>
          <w:lang w:val="fr-FR"/>
        </w:rPr>
        <w:tab/>
        <w:t>Libre circulation des civils et des biens</w:t>
      </w:r>
    </w:p>
    <w:p w14:paraId="2FE74B2B" w14:textId="77777777" w:rsidR="006D4345" w:rsidRPr="00467925" w:rsidRDefault="006D4345" w:rsidP="006D4345">
      <w:pPr>
        <w:pStyle w:val="SingleTxtG"/>
        <w:rPr>
          <w:lang w:val="fr-FR"/>
        </w:rPr>
      </w:pPr>
      <w:r w:rsidRPr="00E11030">
        <w:rPr>
          <w:lang w:val="fr-FR"/>
        </w:rPr>
        <w:t>4.</w:t>
      </w:r>
      <w:r w:rsidRPr="00E11030">
        <w:rPr>
          <w:lang w:val="fr-FR"/>
        </w:rPr>
        <w:tab/>
      </w:r>
      <w:r>
        <w:rPr>
          <w:lang w:val="fr-FR"/>
        </w:rPr>
        <w:t>Conformément au</w:t>
      </w:r>
      <w:r w:rsidRPr="00E11030">
        <w:rPr>
          <w:lang w:val="fr-FR"/>
        </w:rPr>
        <w:t xml:space="preserve"> droit international, en tant qu</w:t>
      </w:r>
      <w:r>
        <w:rPr>
          <w:lang w:val="fr-FR"/>
        </w:rPr>
        <w:t>’</w:t>
      </w:r>
      <w:r w:rsidRPr="00E11030">
        <w:rPr>
          <w:lang w:val="fr-FR"/>
        </w:rPr>
        <w:t xml:space="preserve">État souverain, Israël a </w:t>
      </w:r>
      <w:r>
        <w:rPr>
          <w:lang w:val="fr-FR"/>
        </w:rPr>
        <w:t>le pouvoir</w:t>
      </w:r>
      <w:r w:rsidRPr="00E11030">
        <w:rPr>
          <w:lang w:val="fr-FR"/>
        </w:rPr>
        <w:t xml:space="preserve"> de décider qui peut </w:t>
      </w:r>
      <w:r>
        <w:rPr>
          <w:lang w:val="fr-FR"/>
        </w:rPr>
        <w:t>franchir</w:t>
      </w:r>
      <w:r w:rsidRPr="00E11030">
        <w:rPr>
          <w:lang w:val="fr-FR"/>
        </w:rPr>
        <w:t xml:space="preserve"> ses frontières.</w:t>
      </w:r>
      <w:r>
        <w:rPr>
          <w:lang w:val="fr-FR"/>
        </w:rPr>
        <w:t xml:space="preserve"> </w:t>
      </w:r>
      <w:r w:rsidRPr="00E11030">
        <w:rPr>
          <w:lang w:val="fr-FR"/>
        </w:rPr>
        <w:t>Les non</w:t>
      </w:r>
      <w:r w:rsidRPr="00E11030">
        <w:rPr>
          <w:lang w:val="fr-FR"/>
        </w:rPr>
        <w:noBreakHyphen/>
        <w:t>ressortissants ne jouissent pas du droit d’entrer sur le te</w:t>
      </w:r>
      <w:r>
        <w:rPr>
          <w:lang w:val="fr-FR"/>
        </w:rPr>
        <w:t>rritoire national </w:t>
      </w:r>
      <w:r w:rsidRPr="00E11030">
        <w:rPr>
          <w:lang w:val="fr-FR"/>
        </w:rPr>
        <w:t xml:space="preserve">; </w:t>
      </w:r>
      <w:r>
        <w:rPr>
          <w:lang w:val="fr-FR"/>
        </w:rPr>
        <w:t>cela vaut pour les résidents palestiniens de Cisjordanie et, en particulier, pour les résidents palestiniens de Gaza, qui</w:t>
      </w:r>
      <w:r w:rsidRPr="00467925">
        <w:rPr>
          <w:lang w:val="fr-FR"/>
        </w:rPr>
        <w:t xml:space="preserve"> </w:t>
      </w:r>
      <w:r>
        <w:rPr>
          <w:lang w:val="fr-FR"/>
        </w:rPr>
        <w:t>est au cœur d’un conflit armé de longue date avec Israël</w:t>
      </w:r>
      <w:r w:rsidRPr="00467925">
        <w:rPr>
          <w:lang w:val="fr-FR"/>
        </w:rPr>
        <w:t xml:space="preserve">. </w:t>
      </w:r>
    </w:p>
    <w:p w14:paraId="573B8BF5" w14:textId="77777777" w:rsidR="006D4345" w:rsidRPr="0086774A" w:rsidRDefault="006D4345" w:rsidP="006D4345">
      <w:pPr>
        <w:pStyle w:val="SingleTxtG"/>
        <w:rPr>
          <w:lang w:val="fr-FR"/>
        </w:rPr>
      </w:pPr>
      <w:r w:rsidRPr="008D12D9">
        <w:rPr>
          <w:lang w:val="fr-FR"/>
        </w:rPr>
        <w:t>5.</w:t>
      </w:r>
      <w:r w:rsidRPr="008D12D9">
        <w:rPr>
          <w:lang w:val="fr-FR"/>
        </w:rPr>
        <w:tab/>
        <w:t xml:space="preserve">Contrairement à la Cisjordanie, la bande de Gaza </w:t>
      </w:r>
      <w:r>
        <w:rPr>
          <w:lang w:val="fr-FR"/>
        </w:rPr>
        <w:t xml:space="preserve">n’est plus sous contrôle israélien depuis le 12 septembre 2005, date à laquelle les derniers soldats des </w:t>
      </w:r>
      <w:r w:rsidRPr="005E3E1C">
        <w:rPr>
          <w:lang w:val="fr-FR"/>
        </w:rPr>
        <w:t>Forces de défense israéliennes</w:t>
      </w:r>
      <w:r>
        <w:rPr>
          <w:lang w:val="fr-FR"/>
        </w:rPr>
        <w:t xml:space="preserve"> ont quitté le secteur comme suite à la mise en œuvre du « </w:t>
      </w:r>
      <w:r w:rsidRPr="005E3E1C">
        <w:rPr>
          <w:lang w:val="fr-FR"/>
        </w:rPr>
        <w:t>Plan de désengagement</w:t>
      </w:r>
      <w:r>
        <w:rPr>
          <w:lang w:val="fr-FR"/>
        </w:rPr>
        <w:t xml:space="preserve"> » par </w:t>
      </w:r>
      <w:r w:rsidRPr="00D1221D">
        <w:rPr>
          <w:lang w:val="fr-FR"/>
        </w:rPr>
        <w:t xml:space="preserve">Israël. Depuis, Israël n’exerce de toute </w:t>
      </w:r>
      <w:r>
        <w:rPr>
          <w:lang w:val="fr-FR"/>
        </w:rPr>
        <w:t>év</w:t>
      </w:r>
      <w:r w:rsidRPr="00D1221D">
        <w:rPr>
          <w:lang w:val="fr-FR"/>
        </w:rPr>
        <w:t xml:space="preserve">idence aucun contrôle effectif </w:t>
      </w:r>
      <w:r>
        <w:rPr>
          <w:lang w:val="fr-FR"/>
        </w:rPr>
        <w:t>dans</w:t>
      </w:r>
      <w:r w:rsidRPr="00D1221D">
        <w:rPr>
          <w:lang w:val="fr-FR"/>
        </w:rPr>
        <w:t xml:space="preserve"> la bande de Gaza. </w:t>
      </w:r>
      <w:r>
        <w:rPr>
          <w:lang w:val="fr-FR"/>
        </w:rPr>
        <w:t>Comme l</w:t>
      </w:r>
      <w:r w:rsidRPr="00D1221D">
        <w:rPr>
          <w:lang w:val="fr-FR"/>
        </w:rPr>
        <w:t>’a</w:t>
      </w:r>
      <w:r>
        <w:rPr>
          <w:lang w:val="fr-FR"/>
        </w:rPr>
        <w:t xml:space="preserve"> également </w:t>
      </w:r>
      <w:r w:rsidRPr="00D1221D">
        <w:rPr>
          <w:lang w:val="fr-FR"/>
        </w:rPr>
        <w:t>confirmé la Haute Cour de justice d’Israël</w:t>
      </w:r>
      <w:r>
        <w:rPr>
          <w:lang w:val="fr-FR"/>
        </w:rPr>
        <w:t xml:space="preserve"> en 2007, i</w:t>
      </w:r>
      <w:r w:rsidRPr="00D1221D">
        <w:rPr>
          <w:lang w:val="fr-FR"/>
        </w:rPr>
        <w:t>l s’ensuit qu</w:t>
      </w:r>
      <w:r>
        <w:rPr>
          <w:lang w:val="fr-FR"/>
        </w:rPr>
        <w:t xml:space="preserve">’Israël </w:t>
      </w:r>
      <w:r w:rsidRPr="00D1221D">
        <w:rPr>
          <w:lang w:val="fr-FR"/>
        </w:rPr>
        <w:t>n</w:t>
      </w:r>
      <w:r>
        <w:rPr>
          <w:lang w:val="fr-FR"/>
        </w:rPr>
        <w:t>’</w:t>
      </w:r>
      <w:r w:rsidRPr="00D1221D">
        <w:rPr>
          <w:lang w:val="fr-FR"/>
        </w:rPr>
        <w:t xml:space="preserve">a </w:t>
      </w:r>
      <w:r>
        <w:rPr>
          <w:lang w:val="fr-FR"/>
        </w:rPr>
        <w:t xml:space="preserve">aucune </w:t>
      </w:r>
      <w:r w:rsidRPr="00D1221D">
        <w:rPr>
          <w:lang w:val="fr-FR"/>
        </w:rPr>
        <w:t xml:space="preserve">obligation générale </w:t>
      </w:r>
      <w:r>
        <w:rPr>
          <w:lang w:val="fr-FR"/>
        </w:rPr>
        <w:t xml:space="preserve">d’assurer la protection </w:t>
      </w:r>
      <w:r w:rsidRPr="00D1221D">
        <w:rPr>
          <w:lang w:val="fr-FR"/>
        </w:rPr>
        <w:t>de la population de la bande de Gaz</w:t>
      </w:r>
      <w:r>
        <w:rPr>
          <w:lang w:val="fr-FR"/>
        </w:rPr>
        <w:t>a</w:t>
      </w:r>
      <w:r w:rsidRPr="00D1221D">
        <w:rPr>
          <w:lang w:val="fr-FR"/>
        </w:rPr>
        <w:t xml:space="preserve">. </w:t>
      </w:r>
      <w:r w:rsidRPr="0086774A">
        <w:rPr>
          <w:lang w:val="fr-FR"/>
        </w:rPr>
        <w:t>Au contraire, ses obligations à l’égard de la bande de Gaza découlent de la persistance du conflit armé avec l’organisation terroriste Hamas</w:t>
      </w:r>
      <w:r>
        <w:rPr>
          <w:lang w:val="fr-FR"/>
        </w:rPr>
        <w:t xml:space="preserve"> et d’autres organisations terroristes de Gaza. </w:t>
      </w:r>
      <w:r w:rsidRPr="0086774A">
        <w:rPr>
          <w:lang w:val="fr-FR"/>
        </w:rPr>
        <w:t xml:space="preserve">La bande de Gaza </w:t>
      </w:r>
      <w:r>
        <w:rPr>
          <w:lang w:val="fr-FR"/>
        </w:rPr>
        <w:t>a</w:t>
      </w:r>
      <w:r w:rsidRPr="0086774A">
        <w:rPr>
          <w:lang w:val="fr-FR"/>
        </w:rPr>
        <w:t xml:space="preserve"> une frontière</w:t>
      </w:r>
      <w:r>
        <w:rPr>
          <w:lang w:val="fr-FR"/>
        </w:rPr>
        <w:t xml:space="preserve"> commune</w:t>
      </w:r>
      <w:r w:rsidRPr="0086774A">
        <w:rPr>
          <w:lang w:val="fr-FR"/>
        </w:rPr>
        <w:t xml:space="preserve"> avec l’Égypte,</w:t>
      </w:r>
      <w:r w:rsidRPr="00642EB1">
        <w:rPr>
          <w:lang w:val="fr-FR"/>
        </w:rPr>
        <w:t xml:space="preserve"> par laquelle </w:t>
      </w:r>
      <w:r>
        <w:rPr>
          <w:lang w:val="fr-FR"/>
        </w:rPr>
        <w:t>des civils et des</w:t>
      </w:r>
      <w:r w:rsidRPr="00642EB1">
        <w:rPr>
          <w:lang w:val="fr-FR"/>
        </w:rPr>
        <w:t xml:space="preserve"> biens transitent activement</w:t>
      </w:r>
      <w:r w:rsidRPr="0086774A">
        <w:rPr>
          <w:lang w:val="fr-FR"/>
        </w:rPr>
        <w:t>.</w:t>
      </w:r>
    </w:p>
    <w:p w14:paraId="22751FF4" w14:textId="77777777" w:rsidR="006D4345" w:rsidRPr="004E2434" w:rsidRDefault="006D4345" w:rsidP="006D4345">
      <w:pPr>
        <w:pStyle w:val="SingleTxtG"/>
        <w:rPr>
          <w:lang w:val="fr-FR"/>
        </w:rPr>
      </w:pPr>
      <w:r w:rsidRPr="00304F24">
        <w:rPr>
          <w:lang w:val="fr-FR"/>
        </w:rPr>
        <w:t>6.</w:t>
      </w:r>
      <w:r w:rsidRPr="00304F24">
        <w:rPr>
          <w:lang w:val="fr-FR"/>
        </w:rPr>
        <w:tab/>
        <w:t xml:space="preserve">Après que le Hamas a pris le contrôle de </w:t>
      </w:r>
      <w:r>
        <w:rPr>
          <w:lang w:val="fr-FR"/>
        </w:rPr>
        <w:t xml:space="preserve">la </w:t>
      </w:r>
      <w:r w:rsidRPr="00304F24">
        <w:rPr>
          <w:lang w:val="fr-FR"/>
        </w:rPr>
        <w:t>bande de Gaza par la violence, le</w:t>
      </w:r>
      <w:r>
        <w:rPr>
          <w:lang w:val="fr-FR"/>
        </w:rPr>
        <w:t xml:space="preserve"> secteur</w:t>
      </w:r>
      <w:r w:rsidRPr="00304F24">
        <w:rPr>
          <w:lang w:val="fr-FR"/>
        </w:rPr>
        <w:t xml:space="preserve"> </w:t>
      </w:r>
      <w:r>
        <w:rPr>
          <w:lang w:val="fr-FR"/>
        </w:rPr>
        <w:t>est</w:t>
      </w:r>
      <w:r w:rsidRPr="00304F24">
        <w:rPr>
          <w:lang w:val="fr-FR"/>
        </w:rPr>
        <w:t xml:space="preserve"> devenu une </w:t>
      </w:r>
      <w:r>
        <w:rPr>
          <w:lang w:val="fr-FR"/>
        </w:rPr>
        <w:t>« </w:t>
      </w:r>
      <w:r w:rsidRPr="00304F24">
        <w:rPr>
          <w:lang w:val="fr-FR"/>
        </w:rPr>
        <w:t>zone hostile</w:t>
      </w:r>
      <w:r>
        <w:rPr>
          <w:lang w:val="fr-FR"/>
        </w:rPr>
        <w:t xml:space="preserve"> », </w:t>
      </w:r>
      <w:r w:rsidRPr="00304F24">
        <w:rPr>
          <w:lang w:val="fr-FR"/>
        </w:rPr>
        <w:t xml:space="preserve">analogue à un État ennemi en guerre contre </w:t>
      </w:r>
      <w:r>
        <w:rPr>
          <w:lang w:val="fr-FR"/>
        </w:rPr>
        <w:t>l’État israélien</w:t>
      </w:r>
      <w:r w:rsidRPr="00304F24">
        <w:rPr>
          <w:lang w:val="fr-FR"/>
        </w:rPr>
        <w:t xml:space="preserve"> et sa population</w:t>
      </w:r>
      <w:r>
        <w:rPr>
          <w:lang w:val="fr-FR"/>
        </w:rPr>
        <w:t>. Le 19 septembre 2007, au vu</w:t>
      </w:r>
      <w:r w:rsidRPr="00304F24">
        <w:rPr>
          <w:lang w:val="fr-FR"/>
        </w:rPr>
        <w:t xml:space="preserve"> de la situation, le Gouvernement israélien (le Comité ministériel chargé des questions de sécurité nationale</w:t>
      </w:r>
      <w:r>
        <w:rPr>
          <w:lang w:val="fr-FR"/>
        </w:rPr>
        <w:t>) a décidé d’imposer des restrictions</w:t>
      </w:r>
      <w:r w:rsidRPr="00D40730">
        <w:rPr>
          <w:lang w:val="fr-FR"/>
        </w:rPr>
        <w:t xml:space="preserve"> </w:t>
      </w:r>
      <w:r>
        <w:rPr>
          <w:lang w:val="fr-FR"/>
        </w:rPr>
        <w:t xml:space="preserve">sur le </w:t>
      </w:r>
      <w:r w:rsidRPr="00D40730">
        <w:rPr>
          <w:lang w:val="fr-FR"/>
        </w:rPr>
        <w:t>territoire souverain</w:t>
      </w:r>
      <w:r>
        <w:rPr>
          <w:lang w:val="fr-FR"/>
        </w:rPr>
        <w:t xml:space="preserve"> d’Israël, notamment au transit des marchandises et à la circulation des personnes </w:t>
      </w:r>
      <w:r w:rsidRPr="00CE06B3">
        <w:rPr>
          <w:lang w:val="fr-FR"/>
        </w:rPr>
        <w:t>en provenance ou à destination de la bande de Gaza</w:t>
      </w:r>
      <w:r w:rsidRPr="004E2434">
        <w:rPr>
          <w:lang w:val="fr-FR"/>
        </w:rPr>
        <w:t xml:space="preserve">, </w:t>
      </w:r>
      <w:r>
        <w:rPr>
          <w:lang w:val="fr-FR"/>
        </w:rPr>
        <w:t xml:space="preserve">des </w:t>
      </w:r>
      <w:r w:rsidRPr="004E2434">
        <w:rPr>
          <w:color w:val="000000"/>
          <w:lang w:val="fr-FR"/>
        </w:rPr>
        <w:t>dérogations ne pouvant être accordées que</w:t>
      </w:r>
      <w:r>
        <w:rPr>
          <w:color w:val="000000"/>
          <w:lang w:val="fr-FR"/>
        </w:rPr>
        <w:t xml:space="preserve"> </w:t>
      </w:r>
      <w:r w:rsidRPr="004E2434">
        <w:rPr>
          <w:color w:val="000000"/>
          <w:lang w:val="fr-FR"/>
        </w:rPr>
        <w:t>pour des raisons humanitaire</w:t>
      </w:r>
      <w:r>
        <w:rPr>
          <w:lang w:val="fr-FR"/>
        </w:rPr>
        <w:t>s.</w:t>
      </w:r>
    </w:p>
    <w:p w14:paraId="0257A757" w14:textId="77777777" w:rsidR="006D4345" w:rsidRPr="00C20659" w:rsidRDefault="006D4345" w:rsidP="006D4345">
      <w:pPr>
        <w:pStyle w:val="SingleTxtG"/>
        <w:rPr>
          <w:lang w:val="fr-FR"/>
        </w:rPr>
      </w:pPr>
      <w:r w:rsidRPr="004E2434">
        <w:rPr>
          <w:lang w:val="fr-FR"/>
        </w:rPr>
        <w:t>7.</w:t>
      </w:r>
      <w:r w:rsidRPr="004E2434">
        <w:rPr>
          <w:lang w:val="fr-FR"/>
        </w:rPr>
        <w:tab/>
        <w:t xml:space="preserve">La politique régissant la circulation entre Israël, Gaza et la Cisjordanie </w:t>
      </w:r>
      <w:r>
        <w:rPr>
          <w:lang w:val="fr-FR"/>
        </w:rPr>
        <w:t xml:space="preserve">répond à des </w:t>
      </w:r>
      <w:r w:rsidRPr="004E2434">
        <w:rPr>
          <w:lang w:val="fr-FR"/>
        </w:rPr>
        <w:t>considérations de sécurit</w:t>
      </w:r>
      <w:r>
        <w:rPr>
          <w:lang w:val="fr-FR"/>
        </w:rPr>
        <w:t xml:space="preserve">é, à savoir, notamment, le contrôle exercé </w:t>
      </w:r>
      <w:r w:rsidRPr="004E2434">
        <w:rPr>
          <w:lang w:val="fr-FR"/>
        </w:rPr>
        <w:t>par le Hama</w:t>
      </w:r>
      <w:r>
        <w:rPr>
          <w:lang w:val="fr-FR"/>
        </w:rPr>
        <w:t xml:space="preserve">s sur Gaza ; les attaques violentes et incessantes lancées contre Israël depuis Gaza par des organisations terroristes, dont les tirs de roquettes et les </w:t>
      </w:r>
      <w:r w:rsidRPr="006F2BB4">
        <w:rPr>
          <w:lang w:val="fr-FR"/>
        </w:rPr>
        <w:t>attaques</w:t>
      </w:r>
      <w:r>
        <w:rPr>
          <w:lang w:val="fr-FR"/>
        </w:rPr>
        <w:t xml:space="preserve"> qu’elles</w:t>
      </w:r>
      <w:r w:rsidRPr="00FE0184">
        <w:rPr>
          <w:lang w:val="fr-FR"/>
        </w:rPr>
        <w:t xml:space="preserve"> </w:t>
      </w:r>
      <w:r w:rsidRPr="006F2BB4">
        <w:rPr>
          <w:lang w:val="fr-FR"/>
        </w:rPr>
        <w:t>commett</w:t>
      </w:r>
      <w:r>
        <w:rPr>
          <w:lang w:val="fr-FR"/>
        </w:rPr>
        <w:t>e</w:t>
      </w:r>
      <w:r w:rsidRPr="006F2BB4">
        <w:rPr>
          <w:lang w:val="fr-FR"/>
        </w:rPr>
        <w:t>nt et ten</w:t>
      </w:r>
      <w:r>
        <w:rPr>
          <w:lang w:val="fr-FR"/>
        </w:rPr>
        <w:t>te</w:t>
      </w:r>
      <w:r w:rsidRPr="006F2BB4">
        <w:rPr>
          <w:lang w:val="fr-FR"/>
        </w:rPr>
        <w:t>nt de</w:t>
      </w:r>
      <w:r>
        <w:rPr>
          <w:lang w:val="fr-FR"/>
        </w:rPr>
        <w:t xml:space="preserve"> commettre </w:t>
      </w:r>
      <w:r w:rsidRPr="006F2BB4">
        <w:rPr>
          <w:lang w:val="fr-FR"/>
        </w:rPr>
        <w:t>contre des citoyens et des soldats israéliens</w:t>
      </w:r>
      <w:r w:rsidRPr="00FE0184">
        <w:rPr>
          <w:lang w:val="fr-FR"/>
        </w:rPr>
        <w:t xml:space="preserve"> violent </w:t>
      </w:r>
      <w:r>
        <w:rPr>
          <w:lang w:val="fr-FR"/>
        </w:rPr>
        <w:t xml:space="preserve">toutes </w:t>
      </w:r>
      <w:r w:rsidRPr="00FE0184">
        <w:rPr>
          <w:lang w:val="fr-FR"/>
        </w:rPr>
        <w:t>les</w:t>
      </w:r>
      <w:r>
        <w:rPr>
          <w:lang w:val="fr-FR"/>
        </w:rPr>
        <w:t xml:space="preserve"> règles de droit international</w:t>
      </w:r>
      <w:r w:rsidRPr="00FE0184">
        <w:rPr>
          <w:lang w:val="fr-FR"/>
        </w:rPr>
        <w:t> </w:t>
      </w:r>
      <w:r w:rsidRPr="006F2BB4">
        <w:rPr>
          <w:lang w:val="fr-FR"/>
        </w:rPr>
        <w:t xml:space="preserve">; </w:t>
      </w:r>
      <w:r w:rsidRPr="00C20659">
        <w:rPr>
          <w:lang w:val="fr-FR"/>
        </w:rPr>
        <w:t xml:space="preserve">les efforts </w:t>
      </w:r>
      <w:r>
        <w:rPr>
          <w:lang w:val="fr-FR"/>
        </w:rPr>
        <w:t>que déploient</w:t>
      </w:r>
      <w:r w:rsidRPr="00C20659">
        <w:rPr>
          <w:lang w:val="fr-FR"/>
        </w:rPr>
        <w:t xml:space="preserve"> </w:t>
      </w:r>
      <w:r>
        <w:rPr>
          <w:lang w:val="fr-FR"/>
        </w:rPr>
        <w:t>d</w:t>
      </w:r>
      <w:r w:rsidRPr="00C20659">
        <w:rPr>
          <w:lang w:val="fr-FR"/>
        </w:rPr>
        <w:t xml:space="preserve">es organisations terroristes pour </w:t>
      </w:r>
      <w:r>
        <w:rPr>
          <w:lang w:val="fr-FR"/>
        </w:rPr>
        <w:t xml:space="preserve">enrôler et </w:t>
      </w:r>
      <w:r w:rsidRPr="00C20659">
        <w:rPr>
          <w:lang w:val="fr-FR"/>
        </w:rPr>
        <w:t xml:space="preserve">exploiter </w:t>
      </w:r>
      <w:r>
        <w:rPr>
          <w:lang w:val="fr-FR"/>
        </w:rPr>
        <w:t>des</w:t>
      </w:r>
      <w:r w:rsidRPr="00C20659">
        <w:rPr>
          <w:lang w:val="fr-FR"/>
        </w:rPr>
        <w:t xml:space="preserve"> </w:t>
      </w:r>
      <w:r>
        <w:rPr>
          <w:lang w:val="fr-FR"/>
        </w:rPr>
        <w:t>P</w:t>
      </w:r>
      <w:r w:rsidRPr="00C20659">
        <w:rPr>
          <w:lang w:val="fr-FR"/>
        </w:rPr>
        <w:t xml:space="preserve">alestiniens </w:t>
      </w:r>
      <w:r>
        <w:rPr>
          <w:lang w:val="fr-FR"/>
        </w:rPr>
        <w:t>afin qu’ils</w:t>
      </w:r>
      <w:r w:rsidRPr="00C20659">
        <w:rPr>
          <w:lang w:val="fr-FR"/>
        </w:rPr>
        <w:t xml:space="preserve"> commett</w:t>
      </w:r>
      <w:r>
        <w:rPr>
          <w:lang w:val="fr-FR"/>
        </w:rPr>
        <w:t>ent</w:t>
      </w:r>
      <w:r w:rsidRPr="00C20659">
        <w:rPr>
          <w:lang w:val="fr-FR"/>
        </w:rPr>
        <w:t xml:space="preserve"> des attentats terroristes</w:t>
      </w:r>
      <w:r>
        <w:rPr>
          <w:lang w:val="fr-FR"/>
        </w:rPr>
        <w:t xml:space="preserve"> et </w:t>
      </w:r>
      <w:r w:rsidRPr="00C20659">
        <w:rPr>
          <w:lang w:val="fr-FR"/>
        </w:rPr>
        <w:t>transmette</w:t>
      </w:r>
      <w:r>
        <w:rPr>
          <w:lang w:val="fr-FR"/>
        </w:rPr>
        <w:t>nt</w:t>
      </w:r>
      <w:r w:rsidRPr="00C20659">
        <w:rPr>
          <w:lang w:val="fr-FR"/>
        </w:rPr>
        <w:t xml:space="preserve"> des informations, de l</w:t>
      </w:r>
      <w:r>
        <w:rPr>
          <w:lang w:val="fr-FR"/>
        </w:rPr>
        <w:t>’</w:t>
      </w:r>
      <w:r w:rsidRPr="00C20659">
        <w:rPr>
          <w:lang w:val="fr-FR"/>
        </w:rPr>
        <w:t xml:space="preserve">argent ou du matériel </w:t>
      </w:r>
      <w:r>
        <w:rPr>
          <w:lang w:val="fr-FR"/>
        </w:rPr>
        <w:t>en vue</w:t>
      </w:r>
      <w:r w:rsidRPr="00C20659">
        <w:rPr>
          <w:lang w:val="fr-FR"/>
        </w:rPr>
        <w:t xml:space="preserve"> </w:t>
      </w:r>
      <w:r>
        <w:rPr>
          <w:lang w:val="fr-FR"/>
        </w:rPr>
        <w:t>d’</w:t>
      </w:r>
      <w:r w:rsidRPr="00C20659">
        <w:rPr>
          <w:lang w:val="fr-FR"/>
        </w:rPr>
        <w:t>a</w:t>
      </w:r>
      <w:r>
        <w:rPr>
          <w:lang w:val="fr-FR"/>
        </w:rPr>
        <w:t>ttentats</w:t>
      </w:r>
      <w:r w:rsidRPr="00C20659">
        <w:rPr>
          <w:lang w:val="fr-FR"/>
        </w:rPr>
        <w:t xml:space="preserve"> terroristes</w:t>
      </w:r>
      <w:r w:rsidRPr="00EE6F24">
        <w:rPr>
          <w:rStyle w:val="Appelnotedebasdep"/>
        </w:rPr>
        <w:footnoteReference w:id="3"/>
      </w:r>
      <w:r w:rsidRPr="00C20659">
        <w:rPr>
          <w:lang w:val="fr-FR"/>
        </w:rPr>
        <w:t>.</w:t>
      </w:r>
    </w:p>
    <w:p w14:paraId="77BB63F5" w14:textId="77777777" w:rsidR="006D4345" w:rsidRPr="006619FB" w:rsidRDefault="006D4345" w:rsidP="006D4345">
      <w:pPr>
        <w:pStyle w:val="SingleTxtG"/>
        <w:rPr>
          <w:lang w:val="fr-FR"/>
        </w:rPr>
      </w:pPr>
      <w:r w:rsidRPr="00C20659">
        <w:rPr>
          <w:lang w:val="fr-FR"/>
        </w:rPr>
        <w:t>8.</w:t>
      </w:r>
      <w:r w:rsidRPr="00C20659">
        <w:rPr>
          <w:lang w:val="fr-FR"/>
        </w:rPr>
        <w:tab/>
        <w:t xml:space="preserve">En </w:t>
      </w:r>
      <w:r>
        <w:rPr>
          <w:lang w:val="fr-FR"/>
        </w:rPr>
        <w:t>juin</w:t>
      </w:r>
      <w:r w:rsidRPr="00C20659">
        <w:rPr>
          <w:lang w:val="fr-FR"/>
        </w:rPr>
        <w:t xml:space="preserve"> 2010, le Gouvernement israélien a</w:t>
      </w:r>
      <w:r w:rsidRPr="006619FB">
        <w:rPr>
          <w:lang w:val="fr-FR"/>
        </w:rPr>
        <w:t xml:space="preserve"> décidé </w:t>
      </w:r>
      <w:r>
        <w:rPr>
          <w:lang w:val="fr-FR"/>
        </w:rPr>
        <w:t xml:space="preserve">de réviser totalement sa </w:t>
      </w:r>
      <w:r w:rsidRPr="006619FB">
        <w:rPr>
          <w:lang w:val="fr-FR"/>
        </w:rPr>
        <w:t>politique à l</w:t>
      </w:r>
      <w:r>
        <w:rPr>
          <w:lang w:val="fr-FR"/>
        </w:rPr>
        <w:t>’</w:t>
      </w:r>
      <w:r w:rsidRPr="006619FB">
        <w:rPr>
          <w:lang w:val="fr-FR"/>
        </w:rPr>
        <w:t>égard de la bande de Gaza</w:t>
      </w:r>
      <w:r>
        <w:rPr>
          <w:lang w:val="fr-FR"/>
        </w:rPr>
        <w:t>, qui s’articule autour de</w:t>
      </w:r>
      <w:r w:rsidRPr="006619FB">
        <w:rPr>
          <w:lang w:val="fr-FR"/>
        </w:rPr>
        <w:t xml:space="preserve"> trois </w:t>
      </w:r>
      <w:r>
        <w:rPr>
          <w:lang w:val="fr-FR"/>
        </w:rPr>
        <w:t>grands axes</w:t>
      </w:r>
      <w:r w:rsidRPr="006619FB">
        <w:rPr>
          <w:lang w:val="fr-FR"/>
        </w:rPr>
        <w:t> :</w:t>
      </w:r>
    </w:p>
    <w:p w14:paraId="6AF6A66A" w14:textId="77777777" w:rsidR="006D4345" w:rsidRPr="00C15858" w:rsidRDefault="006D4345" w:rsidP="006D4345">
      <w:pPr>
        <w:pStyle w:val="Bullet1G"/>
        <w:rPr>
          <w:lang w:val="fr-FR"/>
        </w:rPr>
      </w:pPr>
      <w:r w:rsidRPr="006619FB">
        <w:rPr>
          <w:lang w:val="fr-FR"/>
        </w:rPr>
        <w:t xml:space="preserve">Tous les biens peuvent entrer librement dans la bande de Gaza, à l’exception </w:t>
      </w:r>
      <w:r>
        <w:rPr>
          <w:lang w:val="fr-FR"/>
        </w:rPr>
        <w:t>de ceux qui peuvent présenter un risque pour la sécurité d’</w:t>
      </w:r>
      <w:r w:rsidRPr="00C15858">
        <w:rPr>
          <w:lang w:val="fr-FR"/>
        </w:rPr>
        <w:t xml:space="preserve">Israël, </w:t>
      </w:r>
      <w:r>
        <w:rPr>
          <w:lang w:val="fr-FR"/>
        </w:rPr>
        <w:t>tels que les matériaux à double usage, pour lesquels une autorisation est requise </w:t>
      </w:r>
      <w:r w:rsidRPr="00C15858">
        <w:rPr>
          <w:lang w:val="fr-FR"/>
        </w:rPr>
        <w:t>;</w:t>
      </w:r>
    </w:p>
    <w:p w14:paraId="135B1D62" w14:textId="77777777" w:rsidR="006D4345" w:rsidRPr="00C15858" w:rsidRDefault="006D4345" w:rsidP="006D4345">
      <w:pPr>
        <w:pStyle w:val="Bullet1G"/>
        <w:rPr>
          <w:lang w:val="fr-FR"/>
        </w:rPr>
      </w:pPr>
      <w:r w:rsidRPr="00C15858">
        <w:rPr>
          <w:lang w:val="fr-FR"/>
        </w:rPr>
        <w:t xml:space="preserve">La </w:t>
      </w:r>
      <w:r>
        <w:rPr>
          <w:lang w:val="fr-FR"/>
        </w:rPr>
        <w:t xml:space="preserve">capacité de transit au </w:t>
      </w:r>
      <w:r w:rsidRPr="00C15858">
        <w:rPr>
          <w:lang w:val="fr-FR"/>
        </w:rPr>
        <w:t>point de passage de Kerem Shalom</w:t>
      </w:r>
      <w:r>
        <w:rPr>
          <w:lang w:val="fr-FR"/>
        </w:rPr>
        <w:t xml:space="preserve">, par lequel des biens </w:t>
      </w:r>
      <w:r w:rsidRPr="00C15858">
        <w:rPr>
          <w:lang w:val="fr-FR"/>
        </w:rPr>
        <w:t>(</w:t>
      </w:r>
      <w:r>
        <w:rPr>
          <w:lang w:val="fr-FR"/>
        </w:rPr>
        <w:t>que des centaines de camions acheminent chaque jour)</w:t>
      </w:r>
      <w:r w:rsidRPr="00054599">
        <w:rPr>
          <w:lang w:val="fr-FR"/>
        </w:rPr>
        <w:t xml:space="preserve"> </w:t>
      </w:r>
      <w:r>
        <w:rPr>
          <w:lang w:val="fr-FR"/>
        </w:rPr>
        <w:t xml:space="preserve">peuvent entrer dans la </w:t>
      </w:r>
      <w:r w:rsidRPr="00C15858">
        <w:rPr>
          <w:lang w:val="fr-FR"/>
        </w:rPr>
        <w:t xml:space="preserve">bande de Gaza </w:t>
      </w:r>
      <w:r>
        <w:rPr>
          <w:lang w:val="fr-FR"/>
        </w:rPr>
        <w:t>est</w:t>
      </w:r>
      <w:r w:rsidRPr="00C15858">
        <w:rPr>
          <w:lang w:val="fr-FR"/>
        </w:rPr>
        <w:t xml:space="preserve"> </w:t>
      </w:r>
      <w:r>
        <w:rPr>
          <w:lang w:val="fr-FR"/>
        </w:rPr>
        <w:t>sensiblement</w:t>
      </w:r>
      <w:r w:rsidRPr="00C15858">
        <w:rPr>
          <w:lang w:val="fr-FR"/>
        </w:rPr>
        <w:t xml:space="preserve"> accru</w:t>
      </w:r>
      <w:r>
        <w:rPr>
          <w:lang w:val="fr-FR"/>
        </w:rPr>
        <w:t>e </w:t>
      </w:r>
      <w:r w:rsidRPr="00C15858">
        <w:rPr>
          <w:lang w:val="fr-FR"/>
        </w:rPr>
        <w:t>;</w:t>
      </w:r>
    </w:p>
    <w:p w14:paraId="2982E93B" w14:textId="77777777" w:rsidR="006D4345" w:rsidRPr="00054599" w:rsidRDefault="006D4345" w:rsidP="006D4345">
      <w:pPr>
        <w:pStyle w:val="Bullet1G"/>
        <w:rPr>
          <w:lang w:val="fr-FR"/>
        </w:rPr>
      </w:pPr>
      <w:r>
        <w:rPr>
          <w:lang w:val="fr-FR"/>
        </w:rPr>
        <w:t>Il est décidé de soutenir davantage les</w:t>
      </w:r>
      <w:r w:rsidRPr="00054599">
        <w:rPr>
          <w:lang w:val="fr-FR"/>
        </w:rPr>
        <w:t xml:space="preserve"> projets financés et mis en œuvre par la communauté internationale, </w:t>
      </w:r>
      <w:r>
        <w:rPr>
          <w:lang w:val="fr-FR"/>
        </w:rPr>
        <w:t>notamment l’</w:t>
      </w:r>
      <w:r w:rsidRPr="00054599">
        <w:rPr>
          <w:lang w:val="fr-FR"/>
        </w:rPr>
        <w:t xml:space="preserve">entrée de biens à double usage </w:t>
      </w:r>
      <w:r>
        <w:rPr>
          <w:lang w:val="fr-FR"/>
        </w:rPr>
        <w:t>indispensables</w:t>
      </w:r>
      <w:r w:rsidRPr="00054599">
        <w:rPr>
          <w:lang w:val="fr-FR"/>
        </w:rPr>
        <w:t xml:space="preserve">, </w:t>
      </w:r>
      <w:r>
        <w:rPr>
          <w:lang w:val="fr-FR"/>
        </w:rPr>
        <w:t>sous réserve de contrôle</w:t>
      </w:r>
      <w:r w:rsidRPr="00054599">
        <w:rPr>
          <w:lang w:val="fr-FR"/>
        </w:rPr>
        <w:t>.</w:t>
      </w:r>
    </w:p>
    <w:p w14:paraId="1E3A51DB" w14:textId="67C2BEC3" w:rsidR="006D4345" w:rsidRPr="00003A53" w:rsidRDefault="006D4345" w:rsidP="006D4345">
      <w:pPr>
        <w:pStyle w:val="SingleTxtG"/>
        <w:rPr>
          <w:lang w:val="fr-FR"/>
        </w:rPr>
      </w:pPr>
      <w:r w:rsidRPr="003C7C5D">
        <w:rPr>
          <w:lang w:val="fr-FR"/>
        </w:rPr>
        <w:t>9.</w:t>
      </w:r>
      <w:r w:rsidRPr="003C7C5D">
        <w:rPr>
          <w:lang w:val="fr-FR"/>
        </w:rPr>
        <w:tab/>
        <w:t xml:space="preserve">Depuis, </w:t>
      </w:r>
      <w:r>
        <w:rPr>
          <w:lang w:val="fr-FR"/>
        </w:rPr>
        <w:t>en fonction</w:t>
      </w:r>
      <w:r w:rsidRPr="003C7C5D">
        <w:rPr>
          <w:lang w:val="fr-FR"/>
        </w:rPr>
        <w:t xml:space="preserve"> de</w:t>
      </w:r>
      <w:r>
        <w:rPr>
          <w:lang w:val="fr-FR"/>
        </w:rPr>
        <w:t xml:space="preserve">s conditions de </w:t>
      </w:r>
      <w:r w:rsidRPr="003C7C5D">
        <w:rPr>
          <w:lang w:val="fr-FR"/>
        </w:rPr>
        <w:t>sécurit</w:t>
      </w:r>
      <w:r>
        <w:rPr>
          <w:lang w:val="fr-FR"/>
        </w:rPr>
        <w:t>é</w:t>
      </w:r>
      <w:r w:rsidRPr="003C7C5D">
        <w:rPr>
          <w:lang w:val="fr-FR"/>
        </w:rPr>
        <w:t xml:space="preserve">, Israël a continué </w:t>
      </w:r>
      <w:r>
        <w:rPr>
          <w:lang w:val="fr-FR"/>
        </w:rPr>
        <w:t>d’appliquer</w:t>
      </w:r>
      <w:r w:rsidRPr="003C7C5D">
        <w:rPr>
          <w:lang w:val="fr-FR"/>
        </w:rPr>
        <w:t xml:space="preserve"> cette politique à l</w:t>
      </w:r>
      <w:r>
        <w:rPr>
          <w:lang w:val="fr-FR"/>
        </w:rPr>
        <w:t>’</w:t>
      </w:r>
      <w:r w:rsidRPr="003C7C5D">
        <w:rPr>
          <w:lang w:val="fr-FR"/>
        </w:rPr>
        <w:t>égard de la bande de Gaza.</w:t>
      </w:r>
      <w:r>
        <w:rPr>
          <w:lang w:val="fr-FR"/>
        </w:rPr>
        <w:t xml:space="preserve"> </w:t>
      </w:r>
      <w:r w:rsidRPr="003C7C5D">
        <w:rPr>
          <w:lang w:val="fr-FR"/>
        </w:rPr>
        <w:t>La politique régissant l’entrée des ressortissant</w:t>
      </w:r>
      <w:r>
        <w:rPr>
          <w:lang w:val="fr-FR"/>
        </w:rPr>
        <w:t>s</w:t>
      </w:r>
      <w:r w:rsidRPr="003C7C5D">
        <w:rPr>
          <w:lang w:val="fr-FR"/>
        </w:rPr>
        <w:t xml:space="preserve"> palestiniens sur le </w:t>
      </w:r>
      <w:r>
        <w:rPr>
          <w:lang w:val="fr-FR"/>
        </w:rPr>
        <w:t xml:space="preserve">territoire israélien, qui s’applique également aux Palestiniens qui transitent par le pays pour se rendre de </w:t>
      </w:r>
      <w:r w:rsidRPr="003C7C5D">
        <w:rPr>
          <w:lang w:val="fr-FR"/>
        </w:rPr>
        <w:t xml:space="preserve">Cisjordanie à Gaza </w:t>
      </w:r>
      <w:r>
        <w:rPr>
          <w:lang w:val="fr-FR"/>
        </w:rPr>
        <w:t>et à ceux qui quittent le pays, peut être consultée sur le site Web de l’Administration civile et les autorités compétentes la passent régulièrement en revue en tenant compte de l’évolution des conditions de sécurité. Des</w:t>
      </w:r>
      <w:r w:rsidR="00465074">
        <w:rPr>
          <w:lang w:val="fr-FR"/>
        </w:rPr>
        <w:t> </w:t>
      </w:r>
      <w:r>
        <w:rPr>
          <w:lang w:val="fr-FR"/>
        </w:rPr>
        <w:t xml:space="preserve">centaines de milliers de demandes d’entrée sur le territoire israélien sont approuvées chaque année, </w:t>
      </w:r>
      <w:r w:rsidRPr="001C16BD">
        <w:rPr>
          <w:lang w:val="fr-FR"/>
        </w:rPr>
        <w:t>à diverses</w:t>
      </w:r>
      <w:r>
        <w:rPr>
          <w:lang w:val="fr-FR"/>
        </w:rPr>
        <w:t xml:space="preserve"> fins</w:t>
      </w:r>
      <w:r w:rsidRPr="001C16BD">
        <w:rPr>
          <w:lang w:val="fr-FR"/>
        </w:rPr>
        <w:t xml:space="preserve">, notamment </w:t>
      </w:r>
      <w:r>
        <w:rPr>
          <w:lang w:val="fr-FR"/>
        </w:rPr>
        <w:t>professionnelles et commerciales</w:t>
      </w:r>
      <w:r w:rsidRPr="001C16BD">
        <w:rPr>
          <w:lang w:val="fr-FR"/>
        </w:rPr>
        <w:t>.</w:t>
      </w:r>
      <w:r>
        <w:rPr>
          <w:lang w:val="fr-FR"/>
        </w:rPr>
        <w:t xml:space="preserve"> </w:t>
      </w:r>
      <w:r w:rsidRPr="003C4DBA">
        <w:rPr>
          <w:lang w:val="fr-FR"/>
        </w:rPr>
        <w:t xml:space="preserve">Chaque semaine, des centaines de milliers de Palestiniens entrent </w:t>
      </w:r>
      <w:r>
        <w:rPr>
          <w:lang w:val="fr-FR"/>
        </w:rPr>
        <w:t>sur le territoire</w:t>
      </w:r>
      <w:r w:rsidRPr="003C4DBA">
        <w:rPr>
          <w:lang w:val="fr-FR"/>
        </w:rPr>
        <w:t xml:space="preserve"> </w:t>
      </w:r>
      <w:r>
        <w:rPr>
          <w:lang w:val="fr-FR"/>
        </w:rPr>
        <w:t>i</w:t>
      </w:r>
      <w:r w:rsidRPr="003C4DBA">
        <w:rPr>
          <w:lang w:val="fr-FR"/>
        </w:rPr>
        <w:t>sraél</w:t>
      </w:r>
      <w:r>
        <w:rPr>
          <w:lang w:val="fr-FR"/>
        </w:rPr>
        <w:t>ien</w:t>
      </w:r>
      <w:r w:rsidRPr="003C4DBA">
        <w:rPr>
          <w:lang w:val="fr-FR"/>
        </w:rPr>
        <w:t xml:space="preserve"> depuis la Cisjordanie et la bande de Gaza</w:t>
      </w:r>
      <w:r>
        <w:rPr>
          <w:lang w:val="fr-FR"/>
        </w:rPr>
        <w:t xml:space="preserve"> et, r</w:t>
      </w:r>
      <w:r w:rsidRPr="003C4DBA">
        <w:rPr>
          <w:lang w:val="fr-FR"/>
        </w:rPr>
        <w:t xml:space="preserve">écemment, le nombre </w:t>
      </w:r>
      <w:r>
        <w:rPr>
          <w:lang w:val="fr-FR"/>
        </w:rPr>
        <w:t>d’autorisations</w:t>
      </w:r>
      <w:r w:rsidRPr="003C4DBA">
        <w:rPr>
          <w:lang w:val="fr-FR"/>
        </w:rPr>
        <w:t xml:space="preserve"> délivré</w:t>
      </w:r>
      <w:r>
        <w:rPr>
          <w:lang w:val="fr-FR"/>
        </w:rPr>
        <w:t>e</w:t>
      </w:r>
      <w:r w:rsidRPr="003C4DBA">
        <w:rPr>
          <w:lang w:val="fr-FR"/>
        </w:rPr>
        <w:t xml:space="preserve">s </w:t>
      </w:r>
      <w:r>
        <w:rPr>
          <w:lang w:val="fr-FR"/>
        </w:rPr>
        <w:t xml:space="preserve">pour des marchandises en provenance de </w:t>
      </w:r>
      <w:r w:rsidRPr="003C4DBA">
        <w:rPr>
          <w:lang w:val="fr-FR"/>
        </w:rPr>
        <w:t>Gaza a considérablement augmenté</w:t>
      </w:r>
      <w:r>
        <w:rPr>
          <w:lang w:val="fr-FR"/>
        </w:rPr>
        <w:t xml:space="preserve">. En ce qui concerne les habitants </w:t>
      </w:r>
      <w:r w:rsidRPr="003C4DBA">
        <w:rPr>
          <w:lang w:val="fr-FR"/>
        </w:rPr>
        <w:t xml:space="preserve">de Cisjordanie, chaque jour, </w:t>
      </w:r>
      <w:r>
        <w:rPr>
          <w:lang w:val="fr-FR"/>
        </w:rPr>
        <w:t xml:space="preserve">quelque </w:t>
      </w:r>
      <w:r w:rsidRPr="003C4DBA">
        <w:rPr>
          <w:lang w:val="fr-FR"/>
        </w:rPr>
        <w:t>100</w:t>
      </w:r>
      <w:r>
        <w:rPr>
          <w:lang w:val="fr-FR"/>
        </w:rPr>
        <w:t> </w:t>
      </w:r>
      <w:r w:rsidRPr="003C4DBA">
        <w:rPr>
          <w:lang w:val="fr-FR"/>
        </w:rPr>
        <w:t>000</w:t>
      </w:r>
      <w:r>
        <w:rPr>
          <w:lang w:val="fr-FR"/>
        </w:rPr>
        <w:t> </w:t>
      </w:r>
      <w:r w:rsidRPr="003C4DBA">
        <w:rPr>
          <w:lang w:val="fr-FR"/>
        </w:rPr>
        <w:t xml:space="preserve">travailleurs palestiniens entrent en Israël, </w:t>
      </w:r>
      <w:r>
        <w:rPr>
          <w:lang w:val="fr-FR"/>
        </w:rPr>
        <w:t>de même que des</w:t>
      </w:r>
      <w:r w:rsidRPr="003C4DBA">
        <w:rPr>
          <w:lang w:val="fr-FR"/>
        </w:rPr>
        <w:t xml:space="preserve"> dizaines de milliers </w:t>
      </w:r>
      <w:r>
        <w:rPr>
          <w:lang w:val="fr-FR"/>
        </w:rPr>
        <w:t>d’autres habitants</w:t>
      </w:r>
      <w:r w:rsidRPr="003C4DBA">
        <w:rPr>
          <w:lang w:val="fr-FR"/>
        </w:rPr>
        <w:t xml:space="preserve"> qui </w:t>
      </w:r>
      <w:r>
        <w:rPr>
          <w:lang w:val="fr-FR"/>
        </w:rPr>
        <w:t>s’y rendent</w:t>
      </w:r>
      <w:r w:rsidRPr="003C4DBA">
        <w:rPr>
          <w:lang w:val="fr-FR"/>
        </w:rPr>
        <w:t xml:space="preserve"> pour des raisons médicales, commerciales ou autres.</w:t>
      </w:r>
      <w:r>
        <w:rPr>
          <w:lang w:val="fr-FR"/>
        </w:rPr>
        <w:t xml:space="preserve"> </w:t>
      </w:r>
      <w:r w:rsidRPr="001844FB">
        <w:rPr>
          <w:lang w:val="fr-FR"/>
        </w:rPr>
        <w:t xml:space="preserve">Il convient de </w:t>
      </w:r>
      <w:r>
        <w:rPr>
          <w:lang w:val="fr-FR"/>
        </w:rPr>
        <w:t>relever</w:t>
      </w:r>
      <w:r w:rsidRPr="001844FB">
        <w:rPr>
          <w:lang w:val="fr-FR"/>
        </w:rPr>
        <w:t xml:space="preserve"> que la liberté de circulation en Cisjordanie n</w:t>
      </w:r>
      <w:r>
        <w:rPr>
          <w:lang w:val="fr-FR"/>
        </w:rPr>
        <w:t>’</w:t>
      </w:r>
      <w:r w:rsidRPr="001844FB">
        <w:rPr>
          <w:lang w:val="fr-FR"/>
        </w:rPr>
        <w:t xml:space="preserve">est pas limitée et que les </w:t>
      </w:r>
      <w:r>
        <w:rPr>
          <w:lang w:val="fr-FR"/>
        </w:rPr>
        <w:t>points</w:t>
      </w:r>
      <w:r w:rsidRPr="001844FB">
        <w:rPr>
          <w:lang w:val="fr-FR"/>
        </w:rPr>
        <w:t xml:space="preserve"> de contrôle ne sont pas </w:t>
      </w:r>
      <w:r>
        <w:rPr>
          <w:lang w:val="fr-FR"/>
        </w:rPr>
        <w:t>opérationnels tous les jours</w:t>
      </w:r>
      <w:r w:rsidRPr="001844FB">
        <w:rPr>
          <w:lang w:val="fr-FR"/>
        </w:rPr>
        <w:t xml:space="preserve"> (</w:t>
      </w:r>
      <w:r>
        <w:rPr>
          <w:lang w:val="fr-FR"/>
        </w:rPr>
        <w:t>ils</w:t>
      </w:r>
      <w:r w:rsidRPr="001844FB">
        <w:rPr>
          <w:lang w:val="fr-FR"/>
        </w:rPr>
        <w:t xml:space="preserve"> sont établis </w:t>
      </w:r>
      <w:r>
        <w:rPr>
          <w:lang w:val="fr-FR"/>
        </w:rPr>
        <w:t xml:space="preserve">à titre </w:t>
      </w:r>
      <w:r w:rsidRPr="001844FB">
        <w:rPr>
          <w:lang w:val="fr-FR"/>
        </w:rPr>
        <w:t>temporaire</w:t>
      </w:r>
      <w:r>
        <w:rPr>
          <w:lang w:val="fr-FR"/>
        </w:rPr>
        <w:t>, en fonction des</w:t>
      </w:r>
      <w:r w:rsidRPr="001844FB">
        <w:rPr>
          <w:lang w:val="fr-FR"/>
        </w:rPr>
        <w:t xml:space="preserve"> </w:t>
      </w:r>
      <w:r>
        <w:rPr>
          <w:lang w:val="fr-FR"/>
        </w:rPr>
        <w:t>problèmes</w:t>
      </w:r>
      <w:r w:rsidRPr="001844FB">
        <w:rPr>
          <w:lang w:val="fr-FR"/>
        </w:rPr>
        <w:t xml:space="preserve"> de sécurité ou </w:t>
      </w:r>
      <w:r>
        <w:rPr>
          <w:lang w:val="fr-FR"/>
        </w:rPr>
        <w:t xml:space="preserve">des signalements des services de </w:t>
      </w:r>
      <w:r w:rsidRPr="001844FB">
        <w:rPr>
          <w:lang w:val="fr-FR"/>
        </w:rPr>
        <w:t xml:space="preserve">renseignement). </w:t>
      </w:r>
      <w:r>
        <w:rPr>
          <w:lang w:val="fr-FR"/>
        </w:rPr>
        <w:t>Les</w:t>
      </w:r>
      <w:r w:rsidRPr="001844FB">
        <w:rPr>
          <w:lang w:val="fr-FR"/>
        </w:rPr>
        <w:t xml:space="preserve"> </w:t>
      </w:r>
      <w:r>
        <w:rPr>
          <w:lang w:val="fr-FR"/>
        </w:rPr>
        <w:t>P</w:t>
      </w:r>
      <w:r w:rsidRPr="001844FB">
        <w:rPr>
          <w:lang w:val="fr-FR"/>
        </w:rPr>
        <w:t xml:space="preserve">alestiniens </w:t>
      </w:r>
      <w:r>
        <w:rPr>
          <w:lang w:val="fr-FR"/>
        </w:rPr>
        <w:t>qui se rendent à</w:t>
      </w:r>
      <w:r w:rsidRPr="001844FB">
        <w:rPr>
          <w:lang w:val="fr-FR"/>
        </w:rPr>
        <w:t xml:space="preserve"> </w:t>
      </w:r>
      <w:r>
        <w:rPr>
          <w:lang w:val="fr-FR"/>
        </w:rPr>
        <w:t>l’</w:t>
      </w:r>
      <w:r w:rsidRPr="001844FB">
        <w:rPr>
          <w:lang w:val="fr-FR"/>
        </w:rPr>
        <w:t xml:space="preserve">étranger </w:t>
      </w:r>
      <w:r>
        <w:rPr>
          <w:lang w:val="fr-FR"/>
        </w:rPr>
        <w:t xml:space="preserve">empruntent le </w:t>
      </w:r>
      <w:r w:rsidRPr="001844FB">
        <w:rPr>
          <w:lang w:val="fr-FR"/>
        </w:rPr>
        <w:t>pont Allenby</w:t>
      </w:r>
      <w:r>
        <w:rPr>
          <w:lang w:val="fr-FR"/>
        </w:rPr>
        <w:t xml:space="preserve"> et quittent souvent le pays depuis </w:t>
      </w:r>
      <w:r w:rsidRPr="001844FB">
        <w:rPr>
          <w:lang w:val="fr-FR"/>
        </w:rPr>
        <w:t>l</w:t>
      </w:r>
      <w:r>
        <w:rPr>
          <w:lang w:val="fr-FR"/>
        </w:rPr>
        <w:t>’</w:t>
      </w:r>
      <w:r w:rsidRPr="001844FB">
        <w:rPr>
          <w:lang w:val="fr-FR"/>
        </w:rPr>
        <w:t>aéroport Ben Gourion</w:t>
      </w:r>
      <w:r w:rsidRPr="00003A53">
        <w:rPr>
          <w:lang w:val="fr-FR"/>
        </w:rPr>
        <w:t>.</w:t>
      </w:r>
      <w:r>
        <w:rPr>
          <w:lang w:val="fr-FR"/>
        </w:rPr>
        <w:t xml:space="preserve"> </w:t>
      </w:r>
    </w:p>
    <w:p w14:paraId="3E62F4BB" w14:textId="351D329B" w:rsidR="006D4345" w:rsidRPr="00AB74B2" w:rsidRDefault="006D4345" w:rsidP="006D4345">
      <w:pPr>
        <w:pStyle w:val="SingleTxtG"/>
        <w:rPr>
          <w:lang w:val="fr-FR"/>
        </w:rPr>
      </w:pPr>
      <w:r w:rsidRPr="00003A53">
        <w:rPr>
          <w:lang w:val="fr-FR"/>
        </w:rPr>
        <w:t>10.</w:t>
      </w:r>
      <w:r w:rsidRPr="00003A53">
        <w:rPr>
          <w:lang w:val="fr-FR"/>
        </w:rPr>
        <w:tab/>
      </w:r>
      <w:r>
        <w:rPr>
          <w:lang w:val="fr-FR"/>
        </w:rPr>
        <w:t xml:space="preserve">Tous les biens qui ne font pas l’objet de </w:t>
      </w:r>
      <w:r w:rsidRPr="007E5ED8">
        <w:rPr>
          <w:lang w:val="fr-FR"/>
        </w:rPr>
        <w:t>restrictions prévues par la loi</w:t>
      </w:r>
      <w:r>
        <w:rPr>
          <w:lang w:val="fr-FR"/>
        </w:rPr>
        <w:t xml:space="preserve"> </w:t>
      </w:r>
      <w:r w:rsidRPr="00003A53">
        <w:rPr>
          <w:lang w:val="fr-FR"/>
        </w:rPr>
        <w:t>peu</w:t>
      </w:r>
      <w:r>
        <w:rPr>
          <w:lang w:val="fr-FR"/>
        </w:rPr>
        <w:t>ven</w:t>
      </w:r>
      <w:r w:rsidRPr="00003A53">
        <w:rPr>
          <w:lang w:val="fr-FR"/>
        </w:rPr>
        <w:t xml:space="preserve">t </w:t>
      </w:r>
      <w:r>
        <w:rPr>
          <w:lang w:val="fr-FR"/>
        </w:rPr>
        <w:t>circuler</w:t>
      </w:r>
      <w:r w:rsidRPr="00AD360B">
        <w:rPr>
          <w:lang w:val="fr-FR"/>
        </w:rPr>
        <w:t xml:space="preserve"> </w:t>
      </w:r>
      <w:r>
        <w:rPr>
          <w:lang w:val="fr-FR"/>
        </w:rPr>
        <w:t xml:space="preserve">librement </w:t>
      </w:r>
      <w:r w:rsidRPr="00003A53">
        <w:rPr>
          <w:lang w:val="fr-FR"/>
        </w:rPr>
        <w:t>à destination et en provenance de Gaza</w:t>
      </w:r>
      <w:r>
        <w:rPr>
          <w:lang w:val="fr-FR"/>
        </w:rPr>
        <w:t>. Les</w:t>
      </w:r>
      <w:r w:rsidRPr="007E5ED8">
        <w:rPr>
          <w:lang w:val="fr-FR"/>
        </w:rPr>
        <w:t xml:space="preserve"> article</w:t>
      </w:r>
      <w:r>
        <w:rPr>
          <w:lang w:val="fr-FR"/>
        </w:rPr>
        <w:t>s</w:t>
      </w:r>
      <w:r w:rsidRPr="007E5ED8">
        <w:rPr>
          <w:lang w:val="fr-FR"/>
        </w:rPr>
        <w:t xml:space="preserve"> à double usage (qui figure</w:t>
      </w:r>
      <w:r>
        <w:rPr>
          <w:lang w:val="fr-FR"/>
        </w:rPr>
        <w:t>nt</w:t>
      </w:r>
      <w:r w:rsidRPr="007E5ED8">
        <w:rPr>
          <w:lang w:val="fr-FR"/>
        </w:rPr>
        <w:t xml:space="preserve"> sur une l</w:t>
      </w:r>
      <w:r>
        <w:rPr>
          <w:lang w:val="fr-FR"/>
        </w:rPr>
        <w:t xml:space="preserve">iste établie à cet effet) sont soumis à </w:t>
      </w:r>
      <w:r w:rsidRPr="007E5ED8">
        <w:rPr>
          <w:lang w:val="fr-FR"/>
        </w:rPr>
        <w:t>une autorisation</w:t>
      </w:r>
      <w:r>
        <w:rPr>
          <w:lang w:val="fr-FR"/>
        </w:rPr>
        <w:t xml:space="preserve">, l’objectif étant de s’assurer </w:t>
      </w:r>
      <w:r w:rsidRPr="007E5ED8">
        <w:rPr>
          <w:lang w:val="fr-FR"/>
        </w:rPr>
        <w:t>qu</w:t>
      </w:r>
      <w:r>
        <w:rPr>
          <w:lang w:val="fr-FR"/>
        </w:rPr>
        <w:t>’</w:t>
      </w:r>
      <w:r w:rsidRPr="007E5ED8">
        <w:rPr>
          <w:lang w:val="fr-FR"/>
        </w:rPr>
        <w:t>ils ne sont pas utilisés par des organisations terroristes</w:t>
      </w:r>
      <w:r>
        <w:rPr>
          <w:lang w:val="fr-FR"/>
        </w:rPr>
        <w:t>. Les biens circulent en fonction de la capacité de transit au point de passage de</w:t>
      </w:r>
      <w:r w:rsidRPr="00051C8B">
        <w:rPr>
          <w:lang w:val="fr-FR"/>
        </w:rPr>
        <w:t xml:space="preserve"> Kerem Shalom</w:t>
      </w:r>
      <w:r>
        <w:rPr>
          <w:lang w:val="fr-FR"/>
        </w:rPr>
        <w:t xml:space="preserve">, pour autant que leur approvisionnement fasse l’objet d’une coordination et que les contrôles requis soient effectués. </w:t>
      </w:r>
      <w:r w:rsidRPr="00AB74B2">
        <w:rPr>
          <w:lang w:val="fr-FR"/>
        </w:rPr>
        <w:t>Chaque semaine, des dizaines de milliers de tonnes de marchandises et des centaines de milliers de litres d</w:t>
      </w:r>
      <w:r>
        <w:rPr>
          <w:lang w:val="fr-FR"/>
        </w:rPr>
        <w:t>’</w:t>
      </w:r>
      <w:r w:rsidRPr="00AB74B2">
        <w:rPr>
          <w:lang w:val="fr-FR"/>
        </w:rPr>
        <w:t>essence et de carburant entrent à Gaza en provenance d</w:t>
      </w:r>
      <w:r>
        <w:rPr>
          <w:lang w:val="fr-FR"/>
        </w:rPr>
        <w:t>’</w:t>
      </w:r>
      <w:r w:rsidRPr="00AB74B2">
        <w:rPr>
          <w:lang w:val="fr-FR"/>
        </w:rPr>
        <w:t>Israël et d</w:t>
      </w:r>
      <w:r>
        <w:rPr>
          <w:lang w:val="fr-FR"/>
        </w:rPr>
        <w:t>’</w:t>
      </w:r>
      <w:r w:rsidRPr="00AB74B2">
        <w:rPr>
          <w:lang w:val="fr-FR"/>
        </w:rPr>
        <w:t xml:space="preserve">Égypte, </w:t>
      </w:r>
      <w:r>
        <w:rPr>
          <w:lang w:val="fr-FR"/>
        </w:rPr>
        <w:t>des</w:t>
      </w:r>
      <w:r w:rsidRPr="00AB74B2">
        <w:rPr>
          <w:lang w:val="fr-FR"/>
        </w:rPr>
        <w:t xml:space="preserve"> quantités </w:t>
      </w:r>
      <w:r>
        <w:rPr>
          <w:lang w:val="fr-FR"/>
        </w:rPr>
        <w:t xml:space="preserve">inégalées </w:t>
      </w:r>
      <w:r w:rsidRPr="00AB74B2">
        <w:rPr>
          <w:lang w:val="fr-FR"/>
        </w:rPr>
        <w:t>ces dernières années.</w:t>
      </w:r>
    </w:p>
    <w:p w14:paraId="75539048" w14:textId="77777777" w:rsidR="006D4345" w:rsidRPr="00667933" w:rsidRDefault="006D4345" w:rsidP="006D4345">
      <w:pPr>
        <w:pStyle w:val="H23G"/>
        <w:rPr>
          <w:lang w:val="fr-FR"/>
        </w:rPr>
      </w:pPr>
      <w:r w:rsidRPr="00AB74B2">
        <w:rPr>
          <w:lang w:val="fr-FR"/>
        </w:rPr>
        <w:tab/>
      </w:r>
      <w:r w:rsidRPr="00AB74B2">
        <w:rPr>
          <w:lang w:val="fr-FR"/>
        </w:rPr>
        <w:tab/>
      </w:r>
      <w:r w:rsidRPr="00667933">
        <w:rPr>
          <w:lang w:val="fr-FR"/>
        </w:rPr>
        <w:t>Organisation sioniste mondiale et Fonds national juif</w:t>
      </w:r>
    </w:p>
    <w:p w14:paraId="21D31F02" w14:textId="77777777" w:rsidR="006D4345" w:rsidRPr="007B31C3" w:rsidRDefault="006D4345" w:rsidP="006D4345">
      <w:pPr>
        <w:pStyle w:val="SingleTxtG"/>
        <w:rPr>
          <w:lang w:val="fr-FR"/>
        </w:rPr>
      </w:pPr>
      <w:r w:rsidRPr="00522404">
        <w:rPr>
          <w:lang w:val="fr-FR"/>
        </w:rPr>
        <w:t>11.</w:t>
      </w:r>
      <w:r w:rsidRPr="00522404">
        <w:rPr>
          <w:lang w:val="fr-FR"/>
        </w:rPr>
        <w:tab/>
        <w:t>L’article 6</w:t>
      </w:r>
      <w:r>
        <w:rPr>
          <w:lang w:val="fr-FR"/>
        </w:rPr>
        <w:t xml:space="preserve"> </w:t>
      </w:r>
      <w:r w:rsidRPr="00522404">
        <w:rPr>
          <w:lang w:val="fr-FR"/>
        </w:rPr>
        <w:t>b b) 1) des Statuts de l’Organisation sioniste mondiale et du Fonds national juif</w:t>
      </w:r>
      <w:r w:rsidRPr="006D4345">
        <w:rPr>
          <w:lang w:val="fr-FR"/>
        </w:rPr>
        <w:t xml:space="preserve"> pour la terre d’Israël, qui figurent dans le recueil législatif </w:t>
      </w:r>
      <w:r w:rsidRPr="00522404">
        <w:rPr>
          <w:lang w:val="fr-FR"/>
        </w:rPr>
        <w:t>n</w:t>
      </w:r>
      <w:r w:rsidRPr="006D4345">
        <w:rPr>
          <w:vertAlign w:val="superscript"/>
          <w:lang w:val="fr-FR"/>
        </w:rPr>
        <w:t>o</w:t>
      </w:r>
      <w:r w:rsidRPr="00522404">
        <w:rPr>
          <w:lang w:val="fr-FR"/>
        </w:rPr>
        <w:t> 571</w:t>
      </w:r>
      <w:r>
        <w:rPr>
          <w:lang w:val="fr-FR"/>
        </w:rPr>
        <w:t>3</w:t>
      </w:r>
      <w:r>
        <w:rPr>
          <w:lang w:val="fr-FR"/>
        </w:rPr>
        <w:noBreakHyphen/>
        <w:t xml:space="preserve">1952, </w:t>
      </w:r>
      <w:r w:rsidRPr="00522404">
        <w:rPr>
          <w:lang w:val="fr-FR"/>
        </w:rPr>
        <w:t>énonce</w:t>
      </w:r>
      <w:r>
        <w:rPr>
          <w:lang w:val="fr-FR"/>
        </w:rPr>
        <w:t>nt</w:t>
      </w:r>
      <w:r w:rsidRPr="00522404">
        <w:rPr>
          <w:lang w:val="fr-FR"/>
        </w:rPr>
        <w:t xml:space="preserve"> que le Gouvernement israélien</w:t>
      </w:r>
      <w:r w:rsidRPr="007B31C3">
        <w:rPr>
          <w:lang w:val="fr-FR"/>
        </w:rPr>
        <w:t xml:space="preserve"> </w:t>
      </w:r>
      <w:r>
        <w:rPr>
          <w:lang w:val="fr-FR"/>
        </w:rPr>
        <w:t>est</w:t>
      </w:r>
      <w:r w:rsidRPr="00522404">
        <w:rPr>
          <w:lang w:val="fr-FR"/>
        </w:rPr>
        <w:t xml:space="preserve"> </w:t>
      </w:r>
      <w:r>
        <w:rPr>
          <w:lang w:val="fr-FR"/>
        </w:rPr>
        <w:t>autorisé</w:t>
      </w:r>
      <w:r w:rsidRPr="00522404">
        <w:rPr>
          <w:lang w:val="fr-FR"/>
        </w:rPr>
        <w:t xml:space="preserve">, </w:t>
      </w:r>
      <w:r w:rsidRPr="007B31C3">
        <w:rPr>
          <w:lang w:val="fr-FR"/>
        </w:rPr>
        <w:t xml:space="preserve">avec le consentement </w:t>
      </w:r>
      <w:r w:rsidRPr="00522404">
        <w:rPr>
          <w:lang w:val="fr-FR"/>
        </w:rPr>
        <w:t xml:space="preserve">de l’Organisation sioniste mondiale, </w:t>
      </w:r>
      <w:r>
        <w:rPr>
          <w:lang w:val="fr-FR"/>
        </w:rPr>
        <w:t>à déléguer</w:t>
      </w:r>
      <w:r w:rsidRPr="007B31C3">
        <w:rPr>
          <w:lang w:val="fr-FR"/>
        </w:rPr>
        <w:t xml:space="preserve"> certains de ses </w:t>
      </w:r>
      <w:r>
        <w:rPr>
          <w:lang w:val="fr-FR"/>
        </w:rPr>
        <w:t>pouvoirs</w:t>
      </w:r>
      <w:r w:rsidRPr="007B31C3">
        <w:rPr>
          <w:lang w:val="fr-FR"/>
        </w:rPr>
        <w:t xml:space="preserve"> en matière de logement et </w:t>
      </w:r>
      <w:r>
        <w:rPr>
          <w:lang w:val="fr-FR"/>
        </w:rPr>
        <w:t>d’</w:t>
      </w:r>
      <w:r w:rsidRPr="007B31C3">
        <w:rPr>
          <w:lang w:val="fr-FR"/>
        </w:rPr>
        <w:t>autres questions à l’Organisation sioniste mondiale, qui f</w:t>
      </w:r>
      <w:r>
        <w:rPr>
          <w:lang w:val="fr-FR"/>
        </w:rPr>
        <w:t xml:space="preserve">ait appel à la </w:t>
      </w:r>
      <w:r w:rsidRPr="007B31C3">
        <w:rPr>
          <w:lang w:val="fr-FR"/>
        </w:rPr>
        <w:t>Division de la croissance et du développement rural</w:t>
      </w:r>
      <w:r>
        <w:rPr>
          <w:lang w:val="fr-FR"/>
        </w:rPr>
        <w:t xml:space="preserve"> (ci</w:t>
      </w:r>
      <w:r>
        <w:rPr>
          <w:lang w:val="fr-FR"/>
        </w:rPr>
        <w:noBreakHyphen/>
        <w:t xml:space="preserve">après « la Division »). </w:t>
      </w:r>
      <w:r w:rsidRPr="007B31C3">
        <w:rPr>
          <w:lang w:val="fr-FR"/>
        </w:rPr>
        <w:t>Cet article précise que les accords</w:t>
      </w:r>
      <w:r>
        <w:rPr>
          <w:lang w:val="fr-FR"/>
        </w:rPr>
        <w:t xml:space="preserve"> conclus</w:t>
      </w:r>
      <w:r w:rsidRPr="007B31C3">
        <w:rPr>
          <w:lang w:val="fr-FR"/>
        </w:rPr>
        <w:t xml:space="preserve"> entre la Division et l</w:t>
      </w:r>
      <w:r>
        <w:rPr>
          <w:lang w:val="fr-FR"/>
        </w:rPr>
        <w:t>’</w:t>
      </w:r>
      <w:r w:rsidRPr="007B31C3">
        <w:rPr>
          <w:lang w:val="fr-FR"/>
        </w:rPr>
        <w:t xml:space="preserve">État </w:t>
      </w:r>
      <w:r>
        <w:rPr>
          <w:lang w:val="fr-FR"/>
        </w:rPr>
        <w:t>prévoient</w:t>
      </w:r>
      <w:r w:rsidRPr="007B31C3">
        <w:rPr>
          <w:lang w:val="fr-FR"/>
        </w:rPr>
        <w:t xml:space="preserve"> des mécanismes de supervision et de contrôl</w:t>
      </w:r>
      <w:r>
        <w:rPr>
          <w:lang w:val="fr-FR"/>
        </w:rPr>
        <w:t>e</w:t>
      </w:r>
      <w:r w:rsidRPr="007B31C3">
        <w:rPr>
          <w:lang w:val="fr-FR"/>
        </w:rPr>
        <w:t>.</w:t>
      </w:r>
    </w:p>
    <w:p w14:paraId="3B594527" w14:textId="5FE281A9" w:rsidR="006D4345" w:rsidRPr="001752DE" w:rsidRDefault="006D4345" w:rsidP="006D4345">
      <w:pPr>
        <w:pStyle w:val="SingleTxtG"/>
        <w:rPr>
          <w:rtl/>
          <w:lang w:val="fr-FR"/>
        </w:rPr>
      </w:pPr>
      <w:r w:rsidRPr="00470A7C">
        <w:rPr>
          <w:rtl/>
        </w:rPr>
        <w:t>1</w:t>
      </w:r>
      <w:r w:rsidRPr="000C338C">
        <w:rPr>
          <w:lang w:val="fr-FR"/>
        </w:rPr>
        <w:t>2.</w:t>
      </w:r>
      <w:r w:rsidRPr="000C338C">
        <w:rPr>
          <w:lang w:val="fr-FR"/>
        </w:rPr>
        <w:tab/>
      </w:r>
      <w:r>
        <w:rPr>
          <w:lang w:val="fr-FR"/>
        </w:rPr>
        <w:t>Comme suite aux critiques formulées contre les mesures prises</w:t>
      </w:r>
      <w:r w:rsidRPr="000C338C">
        <w:rPr>
          <w:lang w:val="fr-FR"/>
        </w:rPr>
        <w:t xml:space="preserve"> </w:t>
      </w:r>
      <w:r>
        <w:rPr>
          <w:lang w:val="fr-FR"/>
        </w:rPr>
        <w:t>par</w:t>
      </w:r>
      <w:r w:rsidRPr="000C338C">
        <w:rPr>
          <w:lang w:val="fr-FR"/>
        </w:rPr>
        <w:t xml:space="preserve"> la Division </w:t>
      </w:r>
      <w:r>
        <w:rPr>
          <w:lang w:val="fr-FR"/>
        </w:rPr>
        <w:t>au nom</w:t>
      </w:r>
      <w:r w:rsidRPr="000C338C">
        <w:rPr>
          <w:lang w:val="fr-FR"/>
        </w:rPr>
        <w:t xml:space="preserve"> de diverses parties, le Gouvernement a adopté la </w:t>
      </w:r>
      <w:r>
        <w:rPr>
          <w:lang w:val="fr-FR"/>
        </w:rPr>
        <w:t>décision</w:t>
      </w:r>
      <w:r w:rsidRPr="000C338C">
        <w:rPr>
          <w:lang w:val="fr-FR"/>
        </w:rPr>
        <w:t xml:space="preserve"> n</w:t>
      </w:r>
      <w:r w:rsidRPr="00B96C46">
        <w:rPr>
          <w:vertAlign w:val="superscript"/>
          <w:lang w:val="fr-FR"/>
        </w:rPr>
        <w:t>o</w:t>
      </w:r>
      <w:r w:rsidRPr="000C338C">
        <w:rPr>
          <w:lang w:val="fr-FR"/>
        </w:rPr>
        <w:t> 1998 (octobre 2016</w:t>
      </w:r>
      <w:r>
        <w:rPr>
          <w:lang w:val="fr-FR"/>
        </w:rPr>
        <w:t>) afin d’encadrer les activités</w:t>
      </w:r>
      <w:r w:rsidRPr="000C338C">
        <w:rPr>
          <w:lang w:val="fr-FR"/>
        </w:rPr>
        <w:t xml:space="preserve"> de la Division, </w:t>
      </w:r>
      <w:r>
        <w:rPr>
          <w:lang w:val="fr-FR"/>
        </w:rPr>
        <w:t xml:space="preserve">de lui </w:t>
      </w:r>
      <w:r w:rsidRPr="000C338C">
        <w:rPr>
          <w:lang w:val="fr-FR"/>
        </w:rPr>
        <w:t>délégu</w:t>
      </w:r>
      <w:r>
        <w:rPr>
          <w:lang w:val="fr-FR"/>
        </w:rPr>
        <w:t>er</w:t>
      </w:r>
      <w:r w:rsidRPr="000C338C">
        <w:rPr>
          <w:lang w:val="fr-FR"/>
        </w:rPr>
        <w:t xml:space="preserve"> certaines responsabilités et </w:t>
      </w:r>
      <w:r>
        <w:rPr>
          <w:lang w:val="fr-FR"/>
        </w:rPr>
        <w:t>d’</w:t>
      </w:r>
      <w:r w:rsidRPr="000C338C">
        <w:rPr>
          <w:lang w:val="fr-FR"/>
        </w:rPr>
        <w:t>établi</w:t>
      </w:r>
      <w:r>
        <w:rPr>
          <w:lang w:val="fr-FR"/>
        </w:rPr>
        <w:t>r</w:t>
      </w:r>
      <w:r w:rsidRPr="000C338C">
        <w:rPr>
          <w:lang w:val="fr-FR"/>
        </w:rPr>
        <w:t xml:space="preserve"> un mécanisme </w:t>
      </w:r>
      <w:r>
        <w:rPr>
          <w:lang w:val="fr-FR"/>
        </w:rPr>
        <w:t>expressément chargé de contrôler</w:t>
      </w:r>
      <w:r w:rsidRPr="000C338C">
        <w:rPr>
          <w:lang w:val="fr-FR"/>
        </w:rPr>
        <w:t xml:space="preserve"> les activités de la Division</w:t>
      </w:r>
      <w:r>
        <w:rPr>
          <w:lang w:val="fr-FR"/>
        </w:rPr>
        <w:t>. Il a en outre prévu</w:t>
      </w:r>
      <w:r w:rsidRPr="00B96C46">
        <w:rPr>
          <w:lang w:val="fr-FR"/>
        </w:rPr>
        <w:t xml:space="preserve"> la création d</w:t>
      </w:r>
      <w:r>
        <w:rPr>
          <w:lang w:val="fr-FR"/>
        </w:rPr>
        <w:t>’</w:t>
      </w:r>
      <w:r w:rsidRPr="00B96C46">
        <w:rPr>
          <w:lang w:val="fr-FR"/>
        </w:rPr>
        <w:t>une unité professionnelle</w:t>
      </w:r>
      <w:r>
        <w:rPr>
          <w:lang w:val="fr-FR"/>
        </w:rPr>
        <w:t>,</w:t>
      </w:r>
      <w:r w:rsidRPr="00B96C46">
        <w:rPr>
          <w:lang w:val="fr-FR"/>
        </w:rPr>
        <w:t xml:space="preserve"> </w:t>
      </w:r>
      <w:r>
        <w:rPr>
          <w:lang w:val="fr-FR"/>
        </w:rPr>
        <w:t>qui est</w:t>
      </w:r>
      <w:r w:rsidRPr="00B96C46">
        <w:rPr>
          <w:lang w:val="fr-FR"/>
        </w:rPr>
        <w:t xml:space="preserve"> </w:t>
      </w:r>
      <w:r>
        <w:rPr>
          <w:lang w:val="fr-FR"/>
        </w:rPr>
        <w:t>chargée de</w:t>
      </w:r>
      <w:r w:rsidRPr="00B96C46">
        <w:rPr>
          <w:lang w:val="fr-FR"/>
        </w:rPr>
        <w:t xml:space="preserve"> supervise</w:t>
      </w:r>
      <w:r>
        <w:rPr>
          <w:lang w:val="fr-FR"/>
        </w:rPr>
        <w:t>r</w:t>
      </w:r>
      <w:r w:rsidRPr="00B96C46">
        <w:rPr>
          <w:lang w:val="fr-FR"/>
        </w:rPr>
        <w:t xml:space="preserve"> le travail de la </w:t>
      </w:r>
      <w:r>
        <w:rPr>
          <w:lang w:val="fr-FR"/>
        </w:rPr>
        <w:t>D</w:t>
      </w:r>
      <w:r w:rsidRPr="00B96C46">
        <w:rPr>
          <w:lang w:val="fr-FR"/>
        </w:rPr>
        <w:t>ivision</w:t>
      </w:r>
      <w:r w:rsidRPr="00B96C46" w:rsidDel="00BD3E9F">
        <w:rPr>
          <w:lang w:val="fr-FR"/>
        </w:rPr>
        <w:t xml:space="preserve"> </w:t>
      </w:r>
      <w:r>
        <w:rPr>
          <w:lang w:val="fr-FR"/>
        </w:rPr>
        <w:t>et qui relève</w:t>
      </w:r>
      <w:r w:rsidRPr="00B96C46">
        <w:rPr>
          <w:lang w:val="fr-FR"/>
        </w:rPr>
        <w:t xml:space="preserve"> désormais du </w:t>
      </w:r>
      <w:r w:rsidRPr="008307FB">
        <w:rPr>
          <w:lang w:val="fr-FR"/>
        </w:rPr>
        <w:t>Ministère chargé des implantations</w:t>
      </w:r>
      <w:r w:rsidRPr="00B96C46">
        <w:rPr>
          <w:lang w:val="fr-FR"/>
        </w:rPr>
        <w:t xml:space="preserve"> </w:t>
      </w:r>
      <w:r>
        <w:rPr>
          <w:lang w:val="fr-FR"/>
        </w:rPr>
        <w:t>(</w:t>
      </w:r>
      <w:r w:rsidRPr="00B96C46">
        <w:rPr>
          <w:lang w:val="fr-FR"/>
        </w:rPr>
        <w:t>Hityashvu</w:t>
      </w:r>
      <w:r>
        <w:rPr>
          <w:lang w:val="fr-FR"/>
        </w:rPr>
        <w:t>t)</w:t>
      </w:r>
      <w:r w:rsidRPr="00B96C46">
        <w:rPr>
          <w:lang w:val="fr-FR"/>
        </w:rPr>
        <w:t>.</w:t>
      </w:r>
      <w:r>
        <w:rPr>
          <w:lang w:val="fr-FR"/>
        </w:rPr>
        <w:t xml:space="preserve"> En</w:t>
      </w:r>
      <w:r w:rsidR="00465074">
        <w:rPr>
          <w:lang w:val="fr-FR"/>
        </w:rPr>
        <w:t> </w:t>
      </w:r>
      <w:r>
        <w:rPr>
          <w:lang w:val="fr-FR"/>
        </w:rPr>
        <w:t xml:space="preserve">outre, </w:t>
      </w:r>
      <w:r w:rsidRPr="001752DE">
        <w:rPr>
          <w:lang w:val="fr-FR"/>
        </w:rPr>
        <w:t xml:space="preserve">le comité de soutien financier de la </w:t>
      </w:r>
      <w:r>
        <w:rPr>
          <w:lang w:val="fr-FR"/>
        </w:rPr>
        <w:t>D</w:t>
      </w:r>
      <w:r w:rsidRPr="001752DE">
        <w:rPr>
          <w:lang w:val="fr-FR"/>
        </w:rPr>
        <w:t xml:space="preserve">ivision comprend des représentants </w:t>
      </w:r>
      <w:r>
        <w:rPr>
          <w:lang w:val="fr-FR"/>
        </w:rPr>
        <w:t xml:space="preserve">de </w:t>
      </w:r>
      <w:r w:rsidRPr="001752DE">
        <w:rPr>
          <w:lang w:val="fr-FR"/>
        </w:rPr>
        <w:t xml:space="preserve">la fonction publique. </w:t>
      </w:r>
    </w:p>
    <w:p w14:paraId="6ABEB033" w14:textId="77777777" w:rsidR="006D4345" w:rsidRPr="00136AA7" w:rsidRDefault="006D4345" w:rsidP="006D4345">
      <w:pPr>
        <w:pStyle w:val="SingleTxtG"/>
        <w:rPr>
          <w:lang w:val="fr-FR"/>
        </w:rPr>
      </w:pPr>
      <w:r w:rsidRPr="001752DE">
        <w:rPr>
          <w:lang w:val="fr-FR"/>
        </w:rPr>
        <w:t>13.</w:t>
      </w:r>
      <w:r w:rsidRPr="001752DE">
        <w:rPr>
          <w:lang w:val="fr-FR"/>
        </w:rPr>
        <w:tab/>
      </w:r>
      <w:r>
        <w:rPr>
          <w:lang w:val="fr-FR"/>
        </w:rPr>
        <w:t>Saisie d’une</w:t>
      </w:r>
      <w:r w:rsidRPr="001752DE">
        <w:rPr>
          <w:lang w:val="fr-FR"/>
        </w:rPr>
        <w:t xml:space="preserve"> requête</w:t>
      </w:r>
      <w:r>
        <w:rPr>
          <w:lang w:val="fr-FR"/>
        </w:rPr>
        <w:t xml:space="preserve">, </w:t>
      </w:r>
      <w:r w:rsidRPr="001752DE">
        <w:rPr>
          <w:lang w:val="fr-FR"/>
        </w:rPr>
        <w:t>la Haute Cour de justice</w:t>
      </w:r>
      <w:r>
        <w:rPr>
          <w:lang w:val="fr-FR"/>
        </w:rPr>
        <w:t xml:space="preserve"> a examiné les modalités de ces délégations de pouvoir et les a approuvées</w:t>
      </w:r>
      <w:r w:rsidRPr="00EE6F24">
        <w:rPr>
          <w:rStyle w:val="Appelnotedebasdep"/>
        </w:rPr>
        <w:footnoteReference w:id="4"/>
      </w:r>
      <w:r w:rsidRPr="001752DE">
        <w:rPr>
          <w:lang w:val="fr-FR"/>
        </w:rPr>
        <w:t xml:space="preserve">. </w:t>
      </w:r>
      <w:r w:rsidRPr="00573D24">
        <w:rPr>
          <w:lang w:val="fr-FR"/>
        </w:rPr>
        <w:t xml:space="preserve">En ce qui concerne la supervision de la </w:t>
      </w:r>
      <w:r>
        <w:rPr>
          <w:lang w:val="fr-FR"/>
        </w:rPr>
        <w:t>D</w:t>
      </w:r>
      <w:r w:rsidRPr="00573D24">
        <w:rPr>
          <w:lang w:val="fr-FR"/>
        </w:rPr>
        <w:t xml:space="preserve">ivision, la Cour a estimé que </w:t>
      </w:r>
      <w:r>
        <w:rPr>
          <w:lang w:val="fr-FR"/>
        </w:rPr>
        <w:t>cette dernière</w:t>
      </w:r>
      <w:r w:rsidRPr="00573D24">
        <w:rPr>
          <w:lang w:val="fr-FR"/>
        </w:rPr>
        <w:t xml:space="preserve"> </w:t>
      </w:r>
      <w:r>
        <w:rPr>
          <w:lang w:val="fr-FR"/>
        </w:rPr>
        <w:t>était</w:t>
      </w:r>
      <w:r w:rsidRPr="00573D24">
        <w:rPr>
          <w:lang w:val="fr-FR"/>
        </w:rPr>
        <w:t xml:space="preserve"> soumise aux mécanismes de </w:t>
      </w:r>
      <w:r>
        <w:rPr>
          <w:lang w:val="fr-FR"/>
        </w:rPr>
        <w:t>contrôle</w:t>
      </w:r>
      <w:r w:rsidRPr="00573D24">
        <w:rPr>
          <w:lang w:val="fr-FR"/>
        </w:rPr>
        <w:t xml:space="preserve"> et de supervision prévus dans les accords de délégation et qu</w:t>
      </w:r>
      <w:r>
        <w:rPr>
          <w:lang w:val="fr-FR"/>
        </w:rPr>
        <w:t>’</w:t>
      </w:r>
      <w:r w:rsidRPr="00573D24">
        <w:rPr>
          <w:lang w:val="fr-FR"/>
        </w:rPr>
        <w:t xml:space="preserve">il lui </w:t>
      </w:r>
      <w:r>
        <w:rPr>
          <w:lang w:val="fr-FR"/>
        </w:rPr>
        <w:t>était</w:t>
      </w:r>
      <w:r w:rsidRPr="00573D24">
        <w:rPr>
          <w:lang w:val="fr-FR"/>
        </w:rPr>
        <w:t xml:space="preserve"> interdit d</w:t>
      </w:r>
      <w:r>
        <w:rPr>
          <w:lang w:val="fr-FR"/>
        </w:rPr>
        <w:t>’</w:t>
      </w:r>
      <w:r w:rsidRPr="00573D24">
        <w:rPr>
          <w:lang w:val="fr-FR"/>
        </w:rPr>
        <w:t xml:space="preserve">outrepasser les pouvoirs qui lui </w:t>
      </w:r>
      <w:r>
        <w:rPr>
          <w:lang w:val="fr-FR"/>
        </w:rPr>
        <w:t xml:space="preserve">avaient </w:t>
      </w:r>
      <w:r w:rsidRPr="00573D24">
        <w:rPr>
          <w:lang w:val="fr-FR"/>
        </w:rPr>
        <w:t>été délégués</w:t>
      </w:r>
      <w:r w:rsidRPr="00136AA7">
        <w:rPr>
          <w:lang w:val="fr-FR"/>
        </w:rPr>
        <w:t xml:space="preserve">. </w:t>
      </w:r>
    </w:p>
    <w:p w14:paraId="307A75DC" w14:textId="77777777" w:rsidR="006D4345" w:rsidRPr="00EC7D2A" w:rsidRDefault="006D4345" w:rsidP="006D4345">
      <w:pPr>
        <w:pStyle w:val="SingleTxtG"/>
        <w:rPr>
          <w:lang w:val="fr-FR"/>
        </w:rPr>
      </w:pPr>
      <w:r w:rsidRPr="00136AA7">
        <w:rPr>
          <w:lang w:val="fr-FR"/>
        </w:rPr>
        <w:t>14.</w:t>
      </w:r>
      <w:r w:rsidRPr="00136AA7">
        <w:rPr>
          <w:lang w:val="fr-FR"/>
        </w:rPr>
        <w:tab/>
        <w:t>Confor</w:t>
      </w:r>
      <w:r>
        <w:rPr>
          <w:lang w:val="fr-FR"/>
        </w:rPr>
        <w:t>m</w:t>
      </w:r>
      <w:r w:rsidRPr="00136AA7">
        <w:rPr>
          <w:lang w:val="fr-FR"/>
        </w:rPr>
        <w:t>ément à la loi, le Fonds national juif</w:t>
      </w:r>
      <w:r>
        <w:rPr>
          <w:lang w:val="fr-FR"/>
        </w:rPr>
        <w:t xml:space="preserve"> est placé sous l’autorité de l’État et géré par l’</w:t>
      </w:r>
      <w:r w:rsidRPr="00136AA7">
        <w:rPr>
          <w:lang w:val="fr-FR"/>
        </w:rPr>
        <w:t>Autorité foncière israélienne</w:t>
      </w:r>
      <w:r>
        <w:rPr>
          <w:lang w:val="fr-FR"/>
        </w:rPr>
        <w:t>, comme le prévoient les directives du Conseil foncier israélien. À l’instar de tous les organismes publics</w:t>
      </w:r>
      <w:r w:rsidRPr="00EC7D2A">
        <w:rPr>
          <w:lang w:val="fr-FR"/>
        </w:rPr>
        <w:t xml:space="preserve">, l’Autorité foncière israélienne </w:t>
      </w:r>
      <w:r>
        <w:rPr>
          <w:lang w:val="fr-FR"/>
        </w:rPr>
        <w:t>e</w:t>
      </w:r>
      <w:r w:rsidRPr="00EC7D2A">
        <w:rPr>
          <w:lang w:val="fr-FR"/>
        </w:rPr>
        <w:t xml:space="preserve">st tenue de respecter les principes </w:t>
      </w:r>
      <w:r>
        <w:rPr>
          <w:lang w:val="fr-FR"/>
        </w:rPr>
        <w:t>d’</w:t>
      </w:r>
      <w:r w:rsidRPr="00EC7D2A">
        <w:rPr>
          <w:lang w:val="fr-FR"/>
        </w:rPr>
        <w:t>égalité et de non</w:t>
      </w:r>
      <w:r>
        <w:rPr>
          <w:lang w:val="fr-FR"/>
        </w:rPr>
        <w:noBreakHyphen/>
      </w:r>
      <w:r w:rsidRPr="00EC7D2A">
        <w:rPr>
          <w:lang w:val="fr-FR"/>
        </w:rPr>
        <w:t>discrimination en matière de gestion des terres.</w:t>
      </w:r>
    </w:p>
    <w:p w14:paraId="650850E3" w14:textId="64268C6C" w:rsidR="006D4345" w:rsidRPr="00DB68B5" w:rsidRDefault="006D4345" w:rsidP="006D4345">
      <w:pPr>
        <w:pStyle w:val="SingleTxtG"/>
        <w:rPr>
          <w:lang w:val="fr-FR"/>
        </w:rPr>
      </w:pPr>
      <w:r w:rsidRPr="00616EC7">
        <w:rPr>
          <w:lang w:val="fr-FR"/>
        </w:rPr>
        <w:t>15.</w:t>
      </w:r>
      <w:r w:rsidRPr="00616EC7">
        <w:rPr>
          <w:lang w:val="fr-FR"/>
        </w:rPr>
        <w:tab/>
        <w:t xml:space="preserve">Le 19 juin 2018, la Haute Cour de justice s’est prononcée sur une </w:t>
      </w:r>
      <w:r>
        <w:rPr>
          <w:lang w:val="fr-FR"/>
        </w:rPr>
        <w:t>requête</w:t>
      </w:r>
      <w:r w:rsidRPr="00616EC7">
        <w:rPr>
          <w:lang w:val="fr-FR"/>
        </w:rPr>
        <w:t xml:space="preserve"> introduite par </w:t>
      </w:r>
      <w:r>
        <w:rPr>
          <w:lang w:val="fr-FR"/>
        </w:rPr>
        <w:t xml:space="preserve">le </w:t>
      </w:r>
      <w:r w:rsidRPr="00A031D6">
        <w:rPr>
          <w:lang w:val="fr-FR"/>
        </w:rPr>
        <w:t>Comité national des autorités locales</w:t>
      </w:r>
      <w:r>
        <w:rPr>
          <w:lang w:val="fr-FR"/>
        </w:rPr>
        <w:t xml:space="preserve"> tendant à ce qu’elle abroge</w:t>
      </w:r>
      <w:r w:rsidRPr="00A031D6">
        <w:rPr>
          <w:lang w:val="fr-FR"/>
        </w:rPr>
        <w:t xml:space="preserve"> </w:t>
      </w:r>
      <w:r>
        <w:rPr>
          <w:lang w:val="fr-FR"/>
        </w:rPr>
        <w:t>l’article </w:t>
      </w:r>
      <w:r w:rsidRPr="00A031D6">
        <w:rPr>
          <w:lang w:val="fr-FR"/>
        </w:rPr>
        <w:t>4</w:t>
      </w:r>
      <w:r w:rsidR="00465074">
        <w:rPr>
          <w:lang w:val="fr-FR"/>
        </w:rPr>
        <w:t> </w:t>
      </w:r>
      <w:r w:rsidRPr="00A031D6">
        <w:rPr>
          <w:lang w:val="fr-FR"/>
        </w:rPr>
        <w:t>a </w:t>
      </w:r>
      <w:proofErr w:type="spellStart"/>
      <w:r w:rsidRPr="00A031D6">
        <w:rPr>
          <w:lang w:val="fr-FR"/>
        </w:rPr>
        <w:t>a</w:t>
      </w:r>
      <w:proofErr w:type="spellEnd"/>
      <w:r w:rsidRPr="00A031D6">
        <w:rPr>
          <w:lang w:val="fr-FR"/>
        </w:rPr>
        <w:t xml:space="preserve">) de </w:t>
      </w:r>
      <w:r>
        <w:rPr>
          <w:lang w:val="fr-FR"/>
        </w:rPr>
        <w:t>la loi n</w:t>
      </w:r>
      <w:r w:rsidRPr="002614A2">
        <w:rPr>
          <w:vertAlign w:val="superscript"/>
          <w:lang w:val="fr-FR"/>
        </w:rPr>
        <w:t>o</w:t>
      </w:r>
      <w:r>
        <w:rPr>
          <w:lang w:val="fr-FR"/>
        </w:rPr>
        <w:t> </w:t>
      </w:r>
      <w:r w:rsidRPr="00A712EC">
        <w:rPr>
          <w:lang w:val="fr-FR"/>
        </w:rPr>
        <w:t>572</w:t>
      </w:r>
      <w:r>
        <w:rPr>
          <w:lang w:val="fr-FR"/>
        </w:rPr>
        <w:t>0</w:t>
      </w:r>
      <w:r>
        <w:rPr>
          <w:lang w:val="fr-FR"/>
        </w:rPr>
        <w:noBreakHyphen/>
        <w:t>1960 relative à l’</w:t>
      </w:r>
      <w:r w:rsidRPr="002614A2">
        <w:rPr>
          <w:lang w:val="fr-FR"/>
        </w:rPr>
        <w:t>Administration foncière israélienne</w:t>
      </w:r>
      <w:r>
        <w:rPr>
          <w:lang w:val="fr-FR"/>
        </w:rPr>
        <w:t xml:space="preserve">. Cet article prévoyait une plus grande représentation du </w:t>
      </w:r>
      <w:r w:rsidRPr="007A4BA2">
        <w:rPr>
          <w:lang w:val="fr-FR"/>
        </w:rPr>
        <w:t xml:space="preserve">Fonds national juif. </w:t>
      </w:r>
      <w:r w:rsidRPr="00DB68B5">
        <w:rPr>
          <w:lang w:val="fr-FR"/>
        </w:rPr>
        <w:t>D’après les requérants, la simple participation des représentants du Fonds national juif constitue une violation du droit à l</w:t>
      </w:r>
      <w:r>
        <w:rPr>
          <w:lang w:val="fr-FR"/>
        </w:rPr>
        <w:t>’</w:t>
      </w:r>
      <w:r w:rsidRPr="00DB68B5">
        <w:rPr>
          <w:lang w:val="fr-FR"/>
        </w:rPr>
        <w:t>égalité et à la dignité de la population arabe en Israël.</w:t>
      </w:r>
    </w:p>
    <w:p w14:paraId="0B13F7C0" w14:textId="2D6B4260" w:rsidR="006D4345" w:rsidRPr="00A1286C" w:rsidRDefault="006D4345" w:rsidP="006D4345">
      <w:pPr>
        <w:pStyle w:val="SingleTxtG"/>
        <w:rPr>
          <w:lang w:val="fr-FR"/>
        </w:rPr>
      </w:pPr>
      <w:r w:rsidRPr="00DB68B5">
        <w:rPr>
          <w:lang w:val="fr-FR"/>
        </w:rPr>
        <w:t>16.</w:t>
      </w:r>
      <w:r w:rsidRPr="00DB68B5">
        <w:rPr>
          <w:lang w:val="fr-FR"/>
        </w:rPr>
        <w:tab/>
        <w:t xml:space="preserve">La Cour a </w:t>
      </w:r>
      <w:r>
        <w:rPr>
          <w:lang w:val="fr-FR"/>
        </w:rPr>
        <w:t xml:space="preserve">conclu </w:t>
      </w:r>
      <w:r w:rsidRPr="00DB68B5">
        <w:rPr>
          <w:lang w:val="fr-FR"/>
        </w:rPr>
        <w:t>que la représentation accordée au Fonds national juif par cet arti</w:t>
      </w:r>
      <w:r>
        <w:rPr>
          <w:lang w:val="fr-FR"/>
        </w:rPr>
        <w:t>c</w:t>
      </w:r>
      <w:r w:rsidRPr="00DB68B5">
        <w:rPr>
          <w:lang w:val="fr-FR"/>
        </w:rPr>
        <w:t>le ne</w:t>
      </w:r>
      <w:r>
        <w:rPr>
          <w:lang w:val="fr-FR"/>
        </w:rPr>
        <w:t xml:space="preserve"> portait pas atteinte au principe d’égalité puisque les terres administrées par le Conseil foncier israélien appartenaient au </w:t>
      </w:r>
      <w:r w:rsidRPr="00DB68B5">
        <w:rPr>
          <w:lang w:val="fr-FR"/>
        </w:rPr>
        <w:t>Fonds national juif.</w:t>
      </w:r>
      <w:r>
        <w:rPr>
          <w:lang w:val="fr-FR"/>
        </w:rPr>
        <w:t xml:space="preserve"> </w:t>
      </w:r>
      <w:r w:rsidRPr="00A1286C">
        <w:rPr>
          <w:lang w:val="fr-FR"/>
        </w:rPr>
        <w:t xml:space="preserve">La Cour a souligné que </w:t>
      </w:r>
      <w:r>
        <w:rPr>
          <w:lang w:val="fr-FR"/>
        </w:rPr>
        <w:t xml:space="preserve">le </w:t>
      </w:r>
      <w:r w:rsidRPr="00A1286C">
        <w:rPr>
          <w:lang w:val="fr-FR"/>
        </w:rPr>
        <w:t xml:space="preserve">Conseil </w:t>
      </w:r>
      <w:r>
        <w:rPr>
          <w:lang w:val="fr-FR"/>
        </w:rPr>
        <w:t xml:space="preserve">était </w:t>
      </w:r>
      <w:r w:rsidRPr="00A1286C">
        <w:rPr>
          <w:lang w:val="fr-FR"/>
        </w:rPr>
        <w:t>tenu de respecter le principe d</w:t>
      </w:r>
      <w:r>
        <w:rPr>
          <w:lang w:val="fr-FR"/>
        </w:rPr>
        <w:t>’</w:t>
      </w:r>
      <w:r w:rsidRPr="00A1286C">
        <w:rPr>
          <w:lang w:val="fr-FR"/>
        </w:rPr>
        <w:t xml:space="preserve">égalité </w:t>
      </w:r>
      <w:r>
        <w:rPr>
          <w:lang w:val="fr-FR"/>
        </w:rPr>
        <w:t>lorsqu’il prenait une décision et qu’il en allait de même pour</w:t>
      </w:r>
      <w:r w:rsidRPr="00A1286C">
        <w:rPr>
          <w:lang w:val="fr-FR"/>
        </w:rPr>
        <w:t xml:space="preserve"> le représentant du Fonds national juif auprès du Conseil</w:t>
      </w:r>
      <w:r w:rsidRPr="00EE6F24">
        <w:rPr>
          <w:rStyle w:val="Appelnotedebasdep"/>
        </w:rPr>
        <w:footnoteReference w:id="5"/>
      </w:r>
      <w:r w:rsidRPr="00A1286C">
        <w:rPr>
          <w:lang w:val="fr-FR"/>
        </w:rPr>
        <w:t>.</w:t>
      </w:r>
    </w:p>
    <w:p w14:paraId="181427B7" w14:textId="756519C6" w:rsidR="006D4345" w:rsidRPr="00E37D6F" w:rsidRDefault="006D4345" w:rsidP="006D4345">
      <w:pPr>
        <w:pStyle w:val="H1G"/>
        <w:rPr>
          <w:lang w:val="fr-FR"/>
        </w:rPr>
      </w:pPr>
      <w:r w:rsidRPr="00A1286C">
        <w:rPr>
          <w:lang w:val="fr-FR"/>
        </w:rPr>
        <w:tab/>
      </w:r>
      <w:r w:rsidRPr="00A1286C">
        <w:rPr>
          <w:lang w:val="fr-FR"/>
        </w:rPr>
        <w:tab/>
      </w:r>
      <w:r w:rsidRPr="006D4345">
        <w:rPr>
          <w:lang w:val="fr-FR"/>
        </w:rPr>
        <w:t>Renseignements sur la suite donnée aux recommandations figurant au</w:t>
      </w:r>
      <w:r>
        <w:rPr>
          <w:lang w:val="fr-FR"/>
        </w:rPr>
        <w:t> </w:t>
      </w:r>
      <w:r w:rsidRPr="006D4345">
        <w:rPr>
          <w:lang w:val="fr-FR"/>
        </w:rPr>
        <w:t>paragraphe 17 des observations finales</w:t>
      </w:r>
    </w:p>
    <w:p w14:paraId="58445C57" w14:textId="48B5E054" w:rsidR="006D4345" w:rsidRPr="00943BDA" w:rsidRDefault="006D4345" w:rsidP="006D4345">
      <w:pPr>
        <w:pStyle w:val="SingleTxtG"/>
        <w:rPr>
          <w:lang w:val="fr-FR"/>
        </w:rPr>
      </w:pPr>
      <w:r w:rsidRPr="00964673">
        <w:rPr>
          <w:lang w:val="fr-FR"/>
        </w:rPr>
        <w:t>17.</w:t>
      </w:r>
      <w:r w:rsidRPr="00964673">
        <w:rPr>
          <w:lang w:val="fr-FR"/>
        </w:rPr>
        <w:tab/>
        <w:t xml:space="preserve">La Loi fondamentale n’est qu’un élément parmi d’autres du </w:t>
      </w:r>
      <w:r w:rsidRPr="00964673">
        <w:rPr>
          <w:color w:val="000000"/>
          <w:lang w:val="fr-FR"/>
        </w:rPr>
        <w:t>système constitutionnel israélien</w:t>
      </w:r>
      <w:r w:rsidRPr="00964673">
        <w:rPr>
          <w:lang w:val="fr-FR"/>
        </w:rPr>
        <w:t xml:space="preserve"> et</w:t>
      </w:r>
      <w:r w:rsidRPr="00964673">
        <w:rPr>
          <w:color w:val="000000"/>
          <w:lang w:val="fr-FR"/>
        </w:rPr>
        <w:t xml:space="preserve">, comme l’a déclaré officiellement le Procureur général, </w:t>
      </w:r>
      <w:r>
        <w:rPr>
          <w:color w:val="000000"/>
          <w:lang w:val="fr-FR"/>
        </w:rPr>
        <w:t>elle</w:t>
      </w:r>
      <w:r w:rsidRPr="00964673">
        <w:rPr>
          <w:color w:val="000000"/>
          <w:lang w:val="fr-FR"/>
        </w:rPr>
        <w:t xml:space="preserve"> ne déroge en aucune manière aux droits de l’homme protégés par les autres lois fondamentales d’Israël</w:t>
      </w:r>
      <w:r>
        <w:rPr>
          <w:color w:val="000000"/>
          <w:lang w:val="fr-FR"/>
        </w:rPr>
        <w:t xml:space="preserve"> </w:t>
      </w:r>
      <w:r w:rsidRPr="00964673">
        <w:rPr>
          <w:lang w:val="fr-FR"/>
        </w:rPr>
        <w:t>(</w:t>
      </w:r>
      <w:r>
        <w:rPr>
          <w:lang w:val="fr-FR"/>
        </w:rPr>
        <w:t>en</w:t>
      </w:r>
      <w:r w:rsidR="00465074">
        <w:rPr>
          <w:lang w:val="fr-FR"/>
        </w:rPr>
        <w:t> </w:t>
      </w:r>
      <w:r>
        <w:rPr>
          <w:lang w:val="fr-FR"/>
        </w:rPr>
        <w:t xml:space="preserve">particulier la loi fondamentale sur la dignité et la liberté de l’être humain et </w:t>
      </w:r>
      <w:r w:rsidRPr="00B87D57">
        <w:rPr>
          <w:lang w:val="fr-FR"/>
        </w:rPr>
        <w:t xml:space="preserve">la </w:t>
      </w:r>
      <w:r>
        <w:rPr>
          <w:lang w:val="fr-FR"/>
        </w:rPr>
        <w:t>l</w:t>
      </w:r>
      <w:r w:rsidRPr="00B87D57">
        <w:rPr>
          <w:lang w:val="fr-FR"/>
        </w:rPr>
        <w:t>oi fondamentale sur la liberté d’exercer une profession</w:t>
      </w:r>
      <w:r>
        <w:rPr>
          <w:lang w:val="fr-FR"/>
        </w:rPr>
        <w:t xml:space="preserve">) et ne porte pas atteinte à l’exercice </w:t>
      </w:r>
      <w:r w:rsidR="00465074">
        <w:rPr>
          <w:lang w:val="fr-FR"/>
        </w:rPr>
        <w:t>−</w:t>
      </w:r>
      <w:r>
        <w:rPr>
          <w:lang w:val="fr-FR"/>
        </w:rPr>
        <w:t> et à la protection </w:t>
      </w:r>
      <w:r w:rsidR="00465074">
        <w:rPr>
          <w:lang w:val="fr-FR"/>
        </w:rPr>
        <w:t>−</w:t>
      </w:r>
      <w:r>
        <w:rPr>
          <w:lang w:val="fr-FR"/>
        </w:rPr>
        <w:t xml:space="preserve"> des droits des groupes minoritaires en </w:t>
      </w:r>
      <w:r w:rsidRPr="00943BDA">
        <w:rPr>
          <w:lang w:val="fr-FR"/>
        </w:rPr>
        <w:t>Israël.</w:t>
      </w:r>
    </w:p>
    <w:p w14:paraId="51974CAC" w14:textId="77777777" w:rsidR="006D4345" w:rsidRPr="00943BDA" w:rsidRDefault="006D4345" w:rsidP="006D4345">
      <w:pPr>
        <w:pStyle w:val="SingleTxtG"/>
        <w:rPr>
          <w:rtl/>
          <w:lang w:val="fr-FR"/>
        </w:rPr>
      </w:pPr>
      <w:r w:rsidRPr="00943BDA">
        <w:rPr>
          <w:lang w:val="fr-FR"/>
        </w:rPr>
        <w:t>18.</w:t>
      </w:r>
      <w:r w:rsidRPr="00943BDA">
        <w:rPr>
          <w:lang w:val="fr-FR"/>
        </w:rPr>
        <w:tab/>
        <w:t xml:space="preserve">La Loi fondamentale </w:t>
      </w:r>
      <w:r>
        <w:rPr>
          <w:lang w:val="fr-FR"/>
        </w:rPr>
        <w:t>d</w:t>
      </w:r>
      <w:r w:rsidRPr="00943BDA">
        <w:rPr>
          <w:lang w:val="fr-FR"/>
        </w:rPr>
        <w:t>oit être considérée dans ce context</w:t>
      </w:r>
      <w:r>
        <w:rPr>
          <w:lang w:val="fr-FR"/>
        </w:rPr>
        <w:t>e</w:t>
      </w:r>
      <w:r w:rsidRPr="00943BDA">
        <w:rPr>
          <w:lang w:val="fr-FR"/>
        </w:rPr>
        <w:t>. En même tem</w:t>
      </w:r>
      <w:r>
        <w:rPr>
          <w:lang w:val="fr-FR"/>
        </w:rPr>
        <w:t>p</w:t>
      </w:r>
      <w:r w:rsidRPr="00943BDA">
        <w:rPr>
          <w:lang w:val="fr-FR"/>
        </w:rPr>
        <w:t xml:space="preserve">s que la </w:t>
      </w:r>
      <w:r>
        <w:rPr>
          <w:lang w:val="fr-FR"/>
        </w:rPr>
        <w:t>l</w:t>
      </w:r>
      <w:r w:rsidRPr="00943BDA">
        <w:rPr>
          <w:lang w:val="fr-FR"/>
        </w:rPr>
        <w:t>oi fondamental</w:t>
      </w:r>
      <w:r>
        <w:rPr>
          <w:lang w:val="fr-FR"/>
        </w:rPr>
        <w:t>e</w:t>
      </w:r>
      <w:r w:rsidRPr="00943BDA">
        <w:rPr>
          <w:lang w:val="fr-FR"/>
        </w:rPr>
        <w:t xml:space="preserve"> </w:t>
      </w:r>
      <w:r>
        <w:rPr>
          <w:lang w:val="fr-FR"/>
        </w:rPr>
        <w:t>sur</w:t>
      </w:r>
      <w:r w:rsidRPr="00943BDA">
        <w:rPr>
          <w:lang w:val="fr-FR"/>
        </w:rPr>
        <w:t xml:space="preserve"> l’</w:t>
      </w:r>
      <w:r>
        <w:rPr>
          <w:lang w:val="fr-FR"/>
        </w:rPr>
        <w:t>État</w:t>
      </w:r>
      <w:r>
        <w:rPr>
          <w:lang w:val="fr-FR"/>
        </w:rPr>
        <w:noBreakHyphen/>
        <w:t xml:space="preserve">nation, </w:t>
      </w:r>
      <w:r w:rsidRPr="00943BDA">
        <w:rPr>
          <w:lang w:val="fr-FR"/>
        </w:rPr>
        <w:t xml:space="preserve">Israël </w:t>
      </w:r>
      <w:r>
        <w:rPr>
          <w:lang w:val="fr-FR"/>
        </w:rPr>
        <w:t xml:space="preserve">a également adopté il y a près de trente ans </w:t>
      </w:r>
      <w:r w:rsidRPr="00943BDA">
        <w:rPr>
          <w:lang w:val="fr-FR"/>
        </w:rPr>
        <w:t xml:space="preserve">la </w:t>
      </w:r>
      <w:r>
        <w:rPr>
          <w:lang w:val="fr-FR"/>
        </w:rPr>
        <w:t>l</w:t>
      </w:r>
      <w:r w:rsidRPr="00943BDA">
        <w:rPr>
          <w:lang w:val="fr-FR"/>
        </w:rPr>
        <w:t>oi fondamental</w:t>
      </w:r>
      <w:r>
        <w:rPr>
          <w:lang w:val="fr-FR"/>
        </w:rPr>
        <w:t>e sur la dignité et la liberté de l’être humain</w:t>
      </w:r>
      <w:r w:rsidRPr="00943BDA">
        <w:rPr>
          <w:lang w:val="fr-FR"/>
        </w:rPr>
        <w:t xml:space="preserve">. </w:t>
      </w:r>
      <w:r>
        <w:rPr>
          <w:lang w:val="fr-FR"/>
        </w:rPr>
        <w:t>La</w:t>
      </w:r>
      <w:r w:rsidRPr="00943BDA">
        <w:rPr>
          <w:lang w:val="fr-FR"/>
        </w:rPr>
        <w:t xml:space="preserve"> Haute Cour de justice</w:t>
      </w:r>
      <w:r>
        <w:rPr>
          <w:lang w:val="fr-FR"/>
        </w:rPr>
        <w:t xml:space="preserve"> a considéré que la </w:t>
      </w:r>
      <w:r w:rsidRPr="00943BDA">
        <w:rPr>
          <w:lang w:val="fr-FR"/>
        </w:rPr>
        <w:t xml:space="preserve">Loi fondamentale </w:t>
      </w:r>
      <w:r>
        <w:rPr>
          <w:lang w:val="fr-FR"/>
        </w:rPr>
        <w:t xml:space="preserve">protégeait clairement le principe d’égalité, </w:t>
      </w:r>
      <w:r w:rsidRPr="00921AD7">
        <w:rPr>
          <w:lang w:val="fr-FR"/>
        </w:rPr>
        <w:t xml:space="preserve">en particulier </w:t>
      </w:r>
      <w:r>
        <w:rPr>
          <w:lang w:val="fr-FR"/>
        </w:rPr>
        <w:t>en ce qu’il couvrait un</w:t>
      </w:r>
      <w:r w:rsidRPr="00921AD7">
        <w:rPr>
          <w:lang w:val="fr-FR"/>
        </w:rPr>
        <w:t xml:space="preserve"> aspect du droit à la dignité humaine, et a </w:t>
      </w:r>
      <w:r>
        <w:rPr>
          <w:lang w:val="fr-FR"/>
        </w:rPr>
        <w:t>qualifié ce principe de</w:t>
      </w:r>
      <w:r w:rsidRPr="00921AD7">
        <w:rPr>
          <w:lang w:val="fr-FR"/>
        </w:rPr>
        <w:t xml:space="preserve"> droit constitutionnel fondamental.</w:t>
      </w:r>
      <w:r>
        <w:rPr>
          <w:lang w:val="fr-FR"/>
        </w:rPr>
        <w:t xml:space="preserve"> </w:t>
      </w:r>
      <w:r w:rsidRPr="00921AD7">
        <w:rPr>
          <w:lang w:val="fr-FR"/>
        </w:rPr>
        <w:t xml:space="preserve">Le principe d’égalité est profondément ancré dans le droit israélien en tant que </w:t>
      </w:r>
      <w:r>
        <w:rPr>
          <w:lang w:val="fr-FR"/>
        </w:rPr>
        <w:t>principe</w:t>
      </w:r>
      <w:r w:rsidRPr="00921AD7">
        <w:rPr>
          <w:lang w:val="fr-FR"/>
        </w:rPr>
        <w:t xml:space="preserve"> fondamental </w:t>
      </w:r>
      <w:r>
        <w:rPr>
          <w:lang w:val="fr-FR"/>
        </w:rPr>
        <w:t xml:space="preserve">des droits de l’homme </w:t>
      </w:r>
      <w:r w:rsidRPr="00921AD7">
        <w:rPr>
          <w:lang w:val="fr-FR"/>
        </w:rPr>
        <w:t xml:space="preserve">qui constitue </w:t>
      </w:r>
      <w:r>
        <w:rPr>
          <w:lang w:val="fr-FR"/>
        </w:rPr>
        <w:t>la</w:t>
      </w:r>
      <w:r w:rsidRPr="00921AD7">
        <w:rPr>
          <w:lang w:val="fr-FR"/>
        </w:rPr>
        <w:t xml:space="preserve"> valeur </w:t>
      </w:r>
      <w:r>
        <w:rPr>
          <w:lang w:val="fr-FR"/>
        </w:rPr>
        <w:t xml:space="preserve">la plus essentielle </w:t>
      </w:r>
      <w:r w:rsidRPr="00921AD7">
        <w:rPr>
          <w:lang w:val="fr-FR"/>
        </w:rPr>
        <w:t>de la société démocratique israélienne</w:t>
      </w:r>
      <w:r w:rsidRPr="00C9287D">
        <w:rPr>
          <w:lang w:val="fr-FR"/>
        </w:rPr>
        <w:t>.</w:t>
      </w:r>
    </w:p>
    <w:p w14:paraId="34653EDF" w14:textId="2A9D2566" w:rsidR="006D4345" w:rsidRDefault="006D4345" w:rsidP="006D4345">
      <w:pPr>
        <w:pStyle w:val="SingleTxtG"/>
        <w:rPr>
          <w:lang w:val="fr-FR"/>
        </w:rPr>
      </w:pPr>
      <w:r w:rsidRPr="00C9287D">
        <w:rPr>
          <w:lang w:val="fr-FR"/>
        </w:rPr>
        <w:t>19.</w:t>
      </w:r>
      <w:r w:rsidRPr="00C9287D">
        <w:rPr>
          <w:lang w:val="fr-FR"/>
        </w:rPr>
        <w:tab/>
        <w:t xml:space="preserve">L’objectif de la Loi fondamentale est de </w:t>
      </w:r>
      <w:r>
        <w:rPr>
          <w:lang w:val="fr-FR"/>
        </w:rPr>
        <w:t xml:space="preserve">définir, </w:t>
      </w:r>
      <w:r w:rsidRPr="00C9287D">
        <w:rPr>
          <w:lang w:val="fr-FR"/>
        </w:rPr>
        <w:t>dans une loi fondamentale</w:t>
      </w:r>
      <w:r>
        <w:rPr>
          <w:lang w:val="fr-FR"/>
        </w:rPr>
        <w:t>,</w:t>
      </w:r>
      <w:r w:rsidRPr="00C9287D">
        <w:rPr>
          <w:lang w:val="fr-FR"/>
        </w:rPr>
        <w:t xml:space="preserve"> l’État d’Israël comme l’État</w:t>
      </w:r>
      <w:r>
        <w:rPr>
          <w:lang w:val="fr-FR"/>
        </w:rPr>
        <w:noBreakHyphen/>
      </w:r>
      <w:r w:rsidRPr="00C9287D">
        <w:rPr>
          <w:lang w:val="fr-FR"/>
        </w:rPr>
        <w:t xml:space="preserve">nation du peuple juif et </w:t>
      </w:r>
      <w:r>
        <w:rPr>
          <w:lang w:val="fr-FR"/>
        </w:rPr>
        <w:t>l’</w:t>
      </w:r>
      <w:r w:rsidRPr="00C9287D">
        <w:rPr>
          <w:lang w:val="fr-FR"/>
        </w:rPr>
        <w:t>État dans lequel le peuple juif exerce</w:t>
      </w:r>
      <w:r>
        <w:rPr>
          <w:lang w:val="fr-FR"/>
        </w:rPr>
        <w:t xml:space="preserve"> de manière unique</w:t>
      </w:r>
      <w:r w:rsidRPr="00C9287D">
        <w:rPr>
          <w:lang w:val="fr-FR"/>
        </w:rPr>
        <w:t xml:space="preserve"> son droit à l’autodétermination</w:t>
      </w:r>
      <w:r>
        <w:rPr>
          <w:lang w:val="fr-FR"/>
        </w:rPr>
        <w:t xml:space="preserve">. Le </w:t>
      </w:r>
      <w:r w:rsidRPr="00D20D77">
        <w:rPr>
          <w:lang w:val="fr-FR"/>
        </w:rPr>
        <w:t>caractère juif d’Israël</w:t>
      </w:r>
      <w:r>
        <w:rPr>
          <w:lang w:val="fr-FR"/>
        </w:rPr>
        <w:t xml:space="preserve"> a été reconnu par l’Assemblée générale des Nations Unies dans la résolution 181, puisqu’elle a convenu qu’il fallait créer un État juif, </w:t>
      </w:r>
      <w:r w:rsidRPr="0008780E">
        <w:rPr>
          <w:lang w:val="fr-FR"/>
        </w:rPr>
        <w:t xml:space="preserve">qui </w:t>
      </w:r>
      <w:r>
        <w:rPr>
          <w:lang w:val="fr-FR"/>
        </w:rPr>
        <w:t xml:space="preserve">tiendrait </w:t>
      </w:r>
      <w:r w:rsidRPr="0008780E">
        <w:rPr>
          <w:lang w:val="fr-FR"/>
        </w:rPr>
        <w:t xml:space="preserve">de foyer </w:t>
      </w:r>
      <w:r w:rsidR="00465074">
        <w:rPr>
          <w:lang w:val="fr-FR"/>
        </w:rPr>
        <w:t>−</w:t>
      </w:r>
      <w:r>
        <w:rPr>
          <w:lang w:val="fr-FR"/>
        </w:rPr>
        <w:t> </w:t>
      </w:r>
      <w:r w:rsidRPr="0008780E">
        <w:rPr>
          <w:lang w:val="fr-FR"/>
        </w:rPr>
        <w:t xml:space="preserve">et </w:t>
      </w:r>
      <w:r>
        <w:rPr>
          <w:lang w:val="fr-FR"/>
        </w:rPr>
        <w:t>de refuge </w:t>
      </w:r>
      <w:r w:rsidR="00465074">
        <w:rPr>
          <w:lang w:val="fr-FR"/>
        </w:rPr>
        <w:t>−</w:t>
      </w:r>
      <w:r w:rsidRPr="0008780E">
        <w:rPr>
          <w:lang w:val="fr-FR"/>
        </w:rPr>
        <w:t xml:space="preserve"> au peuple juif</w:t>
      </w:r>
      <w:r>
        <w:rPr>
          <w:lang w:val="fr-FR"/>
        </w:rPr>
        <w:t xml:space="preserve"> et a</w:t>
      </w:r>
      <w:r w:rsidRPr="004E623D">
        <w:rPr>
          <w:lang w:val="fr-FR"/>
        </w:rPr>
        <w:t xml:space="preserve"> appelé </w:t>
      </w:r>
      <w:r>
        <w:rPr>
          <w:lang w:val="fr-FR"/>
        </w:rPr>
        <w:t>à la</w:t>
      </w:r>
      <w:r w:rsidRPr="004E623D">
        <w:rPr>
          <w:lang w:val="fr-FR"/>
        </w:rPr>
        <w:t xml:space="preserve"> création</w:t>
      </w:r>
      <w:r>
        <w:rPr>
          <w:lang w:val="fr-FR"/>
        </w:rPr>
        <w:t xml:space="preserve"> de cet État.</w:t>
      </w:r>
    </w:p>
    <w:p w14:paraId="2B29C96E" w14:textId="77777777" w:rsidR="006D4345" w:rsidRPr="004E623D" w:rsidRDefault="006D4345" w:rsidP="006D4345">
      <w:pPr>
        <w:pStyle w:val="SingleTxtG"/>
        <w:rPr>
          <w:lang w:val="fr-FR"/>
        </w:rPr>
      </w:pPr>
      <w:r w:rsidRPr="004E623D">
        <w:rPr>
          <w:lang w:val="fr-FR"/>
        </w:rPr>
        <w:t>20.</w:t>
      </w:r>
      <w:r w:rsidRPr="004E623D">
        <w:rPr>
          <w:lang w:val="fr-FR"/>
        </w:rPr>
        <w:tab/>
        <w:t xml:space="preserve">L’effet de la Loi fondamentale sur la jouissance des droits </w:t>
      </w:r>
      <w:r>
        <w:rPr>
          <w:lang w:val="fr-FR"/>
        </w:rPr>
        <w:t>énoncés dans</w:t>
      </w:r>
      <w:r w:rsidRPr="004E623D">
        <w:rPr>
          <w:lang w:val="fr-FR"/>
        </w:rPr>
        <w:t xml:space="preserve"> le Pacte a </w:t>
      </w:r>
      <w:r>
        <w:rPr>
          <w:lang w:val="fr-FR"/>
        </w:rPr>
        <w:t>été longuement examiné par</w:t>
      </w:r>
      <w:r w:rsidRPr="004E623D">
        <w:rPr>
          <w:lang w:val="fr-FR"/>
        </w:rPr>
        <w:t xml:space="preserve"> la Haute Cour de justice, qui a rendu </w:t>
      </w:r>
      <w:r>
        <w:rPr>
          <w:lang w:val="fr-FR"/>
        </w:rPr>
        <w:t>un jugement</w:t>
      </w:r>
      <w:r w:rsidRPr="004E623D">
        <w:rPr>
          <w:lang w:val="fr-FR"/>
        </w:rPr>
        <w:t xml:space="preserve"> </w:t>
      </w:r>
      <w:r>
        <w:rPr>
          <w:lang w:val="fr-FR"/>
        </w:rPr>
        <w:t xml:space="preserve">à cet égard </w:t>
      </w:r>
      <w:r w:rsidRPr="004E623D">
        <w:rPr>
          <w:lang w:val="fr-FR"/>
        </w:rPr>
        <w:t>en juillet 2021</w:t>
      </w:r>
      <w:r w:rsidRPr="00EE6F24">
        <w:rPr>
          <w:rStyle w:val="Appelnotedebasdep"/>
        </w:rPr>
        <w:footnoteReference w:id="6"/>
      </w:r>
      <w:r>
        <w:rPr>
          <w:lang w:val="fr-FR"/>
        </w:rPr>
        <w:t>.</w:t>
      </w:r>
    </w:p>
    <w:p w14:paraId="7D214152" w14:textId="77777777" w:rsidR="006D4345" w:rsidRPr="001D3D53" w:rsidRDefault="006D4345" w:rsidP="006D4345">
      <w:pPr>
        <w:pStyle w:val="SingleTxtG"/>
        <w:rPr>
          <w:lang w:val="fr-FR"/>
        </w:rPr>
      </w:pPr>
      <w:r w:rsidRPr="00A22546">
        <w:rPr>
          <w:lang w:val="fr-FR"/>
        </w:rPr>
        <w:t>21.</w:t>
      </w:r>
      <w:r w:rsidRPr="00A22546">
        <w:rPr>
          <w:lang w:val="fr-FR"/>
        </w:rPr>
        <w:tab/>
        <w:t xml:space="preserve">Le 8 juillet 2021, la Haute Cour de justice, composée de 11 juges, dont le </w:t>
      </w:r>
      <w:r>
        <w:rPr>
          <w:lang w:val="fr-FR"/>
        </w:rPr>
        <w:t>P</w:t>
      </w:r>
      <w:r w:rsidRPr="00A22546">
        <w:rPr>
          <w:lang w:val="fr-FR"/>
        </w:rPr>
        <w:t xml:space="preserve">résident et le </w:t>
      </w:r>
      <w:r>
        <w:rPr>
          <w:lang w:val="fr-FR"/>
        </w:rPr>
        <w:t>V</w:t>
      </w:r>
      <w:r w:rsidRPr="00A22546">
        <w:rPr>
          <w:lang w:val="fr-FR"/>
        </w:rPr>
        <w:t>ice</w:t>
      </w:r>
      <w:r>
        <w:rPr>
          <w:lang w:val="fr-FR"/>
        </w:rPr>
        <w:noBreakHyphen/>
        <w:t>P</w:t>
      </w:r>
      <w:r w:rsidRPr="00A22546">
        <w:rPr>
          <w:lang w:val="fr-FR"/>
        </w:rPr>
        <w:t>résident de la Cour suprême, a rejeté 15</w:t>
      </w:r>
      <w:r>
        <w:rPr>
          <w:lang w:val="fr-FR"/>
        </w:rPr>
        <w:t> requêtes dans lesquelles les requérants avançaient que la l</w:t>
      </w:r>
      <w:r w:rsidRPr="00EC35AF">
        <w:rPr>
          <w:lang w:val="fr-FR"/>
        </w:rPr>
        <w:t>oi fondamentale proclamant Israël État</w:t>
      </w:r>
      <w:r>
        <w:rPr>
          <w:lang w:val="fr-FR"/>
        </w:rPr>
        <w:noBreakHyphen/>
      </w:r>
      <w:r w:rsidRPr="00EC35AF">
        <w:rPr>
          <w:lang w:val="fr-FR"/>
        </w:rPr>
        <w:t>nation du peuple juif</w:t>
      </w:r>
      <w:r>
        <w:rPr>
          <w:lang w:val="fr-FR"/>
        </w:rPr>
        <w:t xml:space="preserve"> </w:t>
      </w:r>
      <w:r w:rsidRPr="00A22546">
        <w:rPr>
          <w:lang w:val="fr-FR"/>
        </w:rPr>
        <w:t>(ci</w:t>
      </w:r>
      <w:r w:rsidRPr="00A22546">
        <w:rPr>
          <w:lang w:val="fr-FR"/>
        </w:rPr>
        <w:noBreakHyphen/>
        <w:t xml:space="preserve">après </w:t>
      </w:r>
      <w:r>
        <w:rPr>
          <w:lang w:val="fr-FR"/>
        </w:rPr>
        <w:t>« l</w:t>
      </w:r>
      <w:r w:rsidRPr="00A22546">
        <w:rPr>
          <w:lang w:val="fr-FR"/>
        </w:rPr>
        <w:t>a</w:t>
      </w:r>
      <w:r>
        <w:rPr>
          <w:lang w:val="fr-FR"/>
        </w:rPr>
        <w:t> </w:t>
      </w:r>
      <w:r w:rsidRPr="00A22546">
        <w:rPr>
          <w:lang w:val="fr-FR"/>
        </w:rPr>
        <w:t>Loi fondamentale</w:t>
      </w:r>
      <w:r>
        <w:rPr>
          <w:lang w:val="fr-FR"/>
        </w:rPr>
        <w:t> »</w:t>
      </w:r>
      <w:r w:rsidRPr="00A22546">
        <w:rPr>
          <w:lang w:val="fr-FR"/>
        </w:rPr>
        <w:t>)</w:t>
      </w:r>
      <w:r>
        <w:rPr>
          <w:lang w:val="fr-FR"/>
        </w:rPr>
        <w:t xml:space="preserve"> était contraire à la Constitution</w:t>
      </w:r>
      <w:r w:rsidRPr="00A22546">
        <w:rPr>
          <w:lang w:val="fr-FR"/>
        </w:rPr>
        <w:t xml:space="preserve">. </w:t>
      </w:r>
      <w:r w:rsidRPr="000716F3">
        <w:rPr>
          <w:lang w:val="fr-FR"/>
        </w:rPr>
        <w:t xml:space="preserve">La Cour a déclaré que </w:t>
      </w:r>
      <w:r>
        <w:rPr>
          <w:lang w:val="fr-FR"/>
        </w:rPr>
        <w:t xml:space="preserve">la </w:t>
      </w:r>
      <w:r w:rsidRPr="000716F3">
        <w:rPr>
          <w:lang w:val="fr-FR"/>
        </w:rPr>
        <w:t xml:space="preserve">Loi fondamentale devait </w:t>
      </w:r>
      <w:r>
        <w:rPr>
          <w:lang w:val="fr-FR"/>
        </w:rPr>
        <w:t>faire l’objet d’une « </w:t>
      </w:r>
      <w:r w:rsidRPr="000716F3">
        <w:rPr>
          <w:lang w:val="fr-FR"/>
        </w:rPr>
        <w:t>interprétation</w:t>
      </w:r>
      <w:r>
        <w:rPr>
          <w:lang w:val="fr-FR"/>
        </w:rPr>
        <w:t xml:space="preserve"> positive », qui tienne compte de toutes les autres lois</w:t>
      </w:r>
      <w:r w:rsidRPr="006504B0">
        <w:rPr>
          <w:lang w:val="fr-FR"/>
        </w:rPr>
        <w:t xml:space="preserve"> fondamentales</w:t>
      </w:r>
      <w:r>
        <w:rPr>
          <w:lang w:val="fr-FR"/>
        </w:rPr>
        <w:t xml:space="preserve"> ainsi que des </w:t>
      </w:r>
      <w:r w:rsidRPr="006504B0">
        <w:rPr>
          <w:lang w:val="fr-FR"/>
        </w:rPr>
        <w:t xml:space="preserve">valeurs et principes fondamentaux </w:t>
      </w:r>
      <w:r>
        <w:rPr>
          <w:lang w:val="fr-FR"/>
        </w:rPr>
        <w:t>du</w:t>
      </w:r>
      <w:r w:rsidRPr="006504B0">
        <w:rPr>
          <w:lang w:val="fr-FR"/>
        </w:rPr>
        <w:t xml:space="preserve"> système judiciaire</w:t>
      </w:r>
      <w:r>
        <w:rPr>
          <w:lang w:val="fr-FR"/>
        </w:rPr>
        <w:t xml:space="preserve"> israélien. Elle</w:t>
      </w:r>
      <w:r w:rsidRPr="00857A7F">
        <w:rPr>
          <w:lang w:val="fr-FR"/>
        </w:rPr>
        <w:t xml:space="preserve"> a </w:t>
      </w:r>
      <w:r>
        <w:rPr>
          <w:lang w:val="fr-FR"/>
        </w:rPr>
        <w:t>estimé</w:t>
      </w:r>
      <w:r w:rsidRPr="00857A7F">
        <w:rPr>
          <w:lang w:val="fr-FR"/>
        </w:rPr>
        <w:t xml:space="preserve"> que la Loi fondamentale </w:t>
      </w:r>
      <w:r>
        <w:rPr>
          <w:lang w:val="fr-FR"/>
        </w:rPr>
        <w:t>constituait un élément</w:t>
      </w:r>
      <w:r w:rsidRPr="00857A7F">
        <w:rPr>
          <w:lang w:val="fr-FR"/>
        </w:rPr>
        <w:t xml:space="preserve"> </w:t>
      </w:r>
      <w:r>
        <w:rPr>
          <w:lang w:val="fr-FR"/>
        </w:rPr>
        <w:t>du système</w:t>
      </w:r>
      <w:r w:rsidRPr="00857A7F">
        <w:rPr>
          <w:lang w:val="fr-FR"/>
        </w:rPr>
        <w:t xml:space="preserve"> constitution</w:t>
      </w:r>
      <w:r>
        <w:rPr>
          <w:lang w:val="fr-FR"/>
        </w:rPr>
        <w:t>nel</w:t>
      </w:r>
      <w:r w:rsidRPr="00857A7F">
        <w:rPr>
          <w:lang w:val="fr-FR"/>
        </w:rPr>
        <w:t xml:space="preserve"> d</w:t>
      </w:r>
      <w:r>
        <w:rPr>
          <w:lang w:val="fr-FR"/>
        </w:rPr>
        <w:t>’</w:t>
      </w:r>
      <w:r w:rsidRPr="00857A7F">
        <w:rPr>
          <w:lang w:val="fr-FR"/>
        </w:rPr>
        <w:t>Israël</w:t>
      </w:r>
      <w:r>
        <w:rPr>
          <w:lang w:val="fr-FR"/>
        </w:rPr>
        <w:t xml:space="preserve">, lequel est </w:t>
      </w:r>
      <w:r w:rsidRPr="00857A7F">
        <w:rPr>
          <w:lang w:val="fr-FR"/>
        </w:rPr>
        <w:t xml:space="preserve">de plus en plus </w:t>
      </w:r>
      <w:r>
        <w:rPr>
          <w:lang w:val="fr-FR"/>
        </w:rPr>
        <w:t xml:space="preserve">étoffé et consacre </w:t>
      </w:r>
      <w:r w:rsidRPr="00857A7F">
        <w:rPr>
          <w:lang w:val="fr-FR"/>
        </w:rPr>
        <w:t>la protection de l</w:t>
      </w:r>
      <w:r>
        <w:rPr>
          <w:lang w:val="fr-FR"/>
        </w:rPr>
        <w:t>’</w:t>
      </w:r>
      <w:r w:rsidRPr="00857A7F">
        <w:rPr>
          <w:lang w:val="fr-FR"/>
        </w:rPr>
        <w:t>identité d</w:t>
      </w:r>
      <w:r>
        <w:rPr>
          <w:lang w:val="fr-FR"/>
        </w:rPr>
        <w:t>’</w:t>
      </w:r>
      <w:r w:rsidRPr="00857A7F">
        <w:rPr>
          <w:lang w:val="fr-FR"/>
        </w:rPr>
        <w:t>Israël en tant qu</w:t>
      </w:r>
      <w:r>
        <w:rPr>
          <w:lang w:val="fr-FR"/>
        </w:rPr>
        <w:t>’</w:t>
      </w:r>
      <w:r w:rsidRPr="00857A7F">
        <w:rPr>
          <w:lang w:val="fr-FR"/>
        </w:rPr>
        <w:t>État juif, sans déroger à s</w:t>
      </w:r>
      <w:r>
        <w:rPr>
          <w:lang w:val="fr-FR"/>
        </w:rPr>
        <w:t xml:space="preserve">a qualité </w:t>
      </w:r>
      <w:r w:rsidRPr="00857A7F">
        <w:rPr>
          <w:lang w:val="fr-FR"/>
        </w:rPr>
        <w:t>d</w:t>
      </w:r>
      <w:r>
        <w:rPr>
          <w:lang w:val="fr-FR"/>
        </w:rPr>
        <w:t>’</w:t>
      </w:r>
      <w:r w:rsidRPr="00857A7F">
        <w:rPr>
          <w:lang w:val="fr-FR"/>
        </w:rPr>
        <w:t>État démocratique, telle qu</w:t>
      </w:r>
      <w:r>
        <w:rPr>
          <w:lang w:val="fr-FR"/>
        </w:rPr>
        <w:t>’énoncée</w:t>
      </w:r>
      <w:r w:rsidRPr="00857A7F">
        <w:rPr>
          <w:lang w:val="fr-FR"/>
        </w:rPr>
        <w:t xml:space="preserve"> dans d</w:t>
      </w:r>
      <w:r>
        <w:rPr>
          <w:lang w:val="fr-FR"/>
        </w:rPr>
        <w:t>’</w:t>
      </w:r>
      <w:r w:rsidRPr="00857A7F">
        <w:rPr>
          <w:lang w:val="fr-FR"/>
        </w:rPr>
        <w:t xml:space="preserve">autres </w:t>
      </w:r>
      <w:r>
        <w:rPr>
          <w:lang w:val="fr-FR"/>
        </w:rPr>
        <w:t>l</w:t>
      </w:r>
      <w:r w:rsidRPr="00857A7F">
        <w:rPr>
          <w:lang w:val="fr-FR"/>
        </w:rPr>
        <w:t xml:space="preserve">ois fondamentales, </w:t>
      </w:r>
      <w:r>
        <w:rPr>
          <w:lang w:val="fr-FR"/>
        </w:rPr>
        <w:t>témoignant</w:t>
      </w:r>
      <w:r w:rsidRPr="00857A7F">
        <w:rPr>
          <w:lang w:val="fr-FR"/>
        </w:rPr>
        <w:t xml:space="preserve"> ainsi </w:t>
      </w:r>
      <w:r>
        <w:rPr>
          <w:lang w:val="fr-FR"/>
        </w:rPr>
        <w:t>d</w:t>
      </w:r>
      <w:r w:rsidRPr="00857A7F">
        <w:rPr>
          <w:lang w:val="fr-FR"/>
        </w:rPr>
        <w:t>es principes constitutionnels de l</w:t>
      </w:r>
      <w:r>
        <w:rPr>
          <w:lang w:val="fr-FR"/>
        </w:rPr>
        <w:t>’</w:t>
      </w:r>
      <w:r w:rsidRPr="00857A7F">
        <w:rPr>
          <w:lang w:val="fr-FR"/>
        </w:rPr>
        <w:t>État</w:t>
      </w:r>
      <w:r w:rsidRPr="001D3D53">
        <w:rPr>
          <w:lang w:val="fr-FR"/>
        </w:rPr>
        <w:t>.</w:t>
      </w:r>
    </w:p>
    <w:p w14:paraId="7FD3E81D" w14:textId="77777777" w:rsidR="006D4345" w:rsidRPr="00924736" w:rsidRDefault="006D4345" w:rsidP="006D4345">
      <w:pPr>
        <w:pStyle w:val="SingleTxtG"/>
        <w:rPr>
          <w:lang w:val="fr-FR"/>
        </w:rPr>
      </w:pPr>
      <w:r w:rsidRPr="001D3D53">
        <w:rPr>
          <w:lang w:val="fr-FR"/>
        </w:rPr>
        <w:t>22.</w:t>
      </w:r>
      <w:r w:rsidRPr="001D3D53">
        <w:rPr>
          <w:lang w:val="fr-FR"/>
        </w:rPr>
        <w:tab/>
        <w:t>Selon les requérants, la Loi fondamentale va à l’encontre de l’identité démocratique de l</w:t>
      </w:r>
      <w:r>
        <w:rPr>
          <w:lang w:val="fr-FR"/>
        </w:rPr>
        <w:t>’</w:t>
      </w:r>
      <w:r w:rsidRPr="001D3D53">
        <w:rPr>
          <w:lang w:val="fr-FR"/>
        </w:rPr>
        <w:t>État</w:t>
      </w:r>
      <w:r>
        <w:rPr>
          <w:lang w:val="fr-FR"/>
        </w:rPr>
        <w:t>,</w:t>
      </w:r>
      <w:r w:rsidRPr="001D3D53">
        <w:rPr>
          <w:lang w:val="fr-FR"/>
        </w:rPr>
        <w:t xml:space="preserve"> car elle viole le principe d</w:t>
      </w:r>
      <w:r>
        <w:rPr>
          <w:lang w:val="fr-FR"/>
        </w:rPr>
        <w:t>’</w:t>
      </w:r>
      <w:r w:rsidRPr="001D3D53">
        <w:rPr>
          <w:lang w:val="fr-FR"/>
        </w:rPr>
        <w:t>égalité et rompt l</w:t>
      </w:r>
      <w:r>
        <w:rPr>
          <w:lang w:val="fr-FR"/>
        </w:rPr>
        <w:t>’</w:t>
      </w:r>
      <w:r w:rsidRPr="001D3D53">
        <w:rPr>
          <w:lang w:val="fr-FR"/>
        </w:rPr>
        <w:t>équilibre entre les valeurs de l</w:t>
      </w:r>
      <w:r>
        <w:rPr>
          <w:lang w:val="fr-FR"/>
        </w:rPr>
        <w:t>’</w:t>
      </w:r>
      <w:r w:rsidRPr="001D3D53">
        <w:rPr>
          <w:lang w:val="fr-FR"/>
        </w:rPr>
        <w:t>État d</w:t>
      </w:r>
      <w:r>
        <w:rPr>
          <w:lang w:val="fr-FR"/>
        </w:rPr>
        <w:t>’</w:t>
      </w:r>
      <w:r w:rsidRPr="001D3D53">
        <w:rPr>
          <w:lang w:val="fr-FR"/>
        </w:rPr>
        <w:t>Israël en tant qu</w:t>
      </w:r>
      <w:r>
        <w:rPr>
          <w:lang w:val="fr-FR"/>
        </w:rPr>
        <w:t>’</w:t>
      </w:r>
      <w:r w:rsidRPr="001D3D53">
        <w:rPr>
          <w:lang w:val="fr-FR"/>
        </w:rPr>
        <w:t>État juif et ses valeurs en tant qu</w:t>
      </w:r>
      <w:r>
        <w:rPr>
          <w:lang w:val="fr-FR"/>
        </w:rPr>
        <w:t>’</w:t>
      </w:r>
      <w:r w:rsidRPr="001D3D53">
        <w:rPr>
          <w:lang w:val="fr-FR"/>
        </w:rPr>
        <w:t>État démocratique</w:t>
      </w:r>
      <w:r>
        <w:rPr>
          <w:lang w:val="fr-FR"/>
        </w:rPr>
        <w:t>,</w:t>
      </w:r>
      <w:r w:rsidRPr="001D3D53">
        <w:rPr>
          <w:lang w:val="fr-FR"/>
        </w:rPr>
        <w:t xml:space="preserve"> telles </w:t>
      </w:r>
      <w:r>
        <w:rPr>
          <w:lang w:val="fr-FR"/>
        </w:rPr>
        <w:t>que les</w:t>
      </w:r>
      <w:r w:rsidRPr="001D3D53">
        <w:rPr>
          <w:lang w:val="fr-FR"/>
        </w:rPr>
        <w:t xml:space="preserve"> </w:t>
      </w:r>
      <w:r>
        <w:rPr>
          <w:lang w:val="fr-FR"/>
        </w:rPr>
        <w:t>consacre</w:t>
      </w:r>
      <w:r w:rsidRPr="001D3D53">
        <w:rPr>
          <w:lang w:val="fr-FR"/>
        </w:rPr>
        <w:t xml:space="preserve"> la Déclaration d</w:t>
      </w:r>
      <w:r>
        <w:rPr>
          <w:lang w:val="fr-FR"/>
        </w:rPr>
        <w:t>’</w:t>
      </w:r>
      <w:r w:rsidRPr="001D3D53">
        <w:rPr>
          <w:lang w:val="fr-FR"/>
        </w:rPr>
        <w:t>indépendance.</w:t>
      </w:r>
    </w:p>
    <w:p w14:paraId="7F7C8E27" w14:textId="77777777" w:rsidR="006D4345" w:rsidRPr="0010212F" w:rsidRDefault="006D4345" w:rsidP="006D4345">
      <w:pPr>
        <w:pStyle w:val="SingleTxtG"/>
        <w:rPr>
          <w:lang w:val="fr-FR"/>
        </w:rPr>
      </w:pPr>
      <w:r w:rsidRPr="00D2645E">
        <w:rPr>
          <w:lang w:val="fr-FR"/>
        </w:rPr>
        <w:t>23.</w:t>
      </w:r>
      <w:r w:rsidRPr="00D2645E">
        <w:rPr>
          <w:lang w:val="fr-FR"/>
        </w:rPr>
        <w:tab/>
        <w:t xml:space="preserve">Dans un </w:t>
      </w:r>
      <w:r>
        <w:rPr>
          <w:lang w:val="fr-FR"/>
        </w:rPr>
        <w:t>jugement</w:t>
      </w:r>
      <w:r w:rsidRPr="00D2645E">
        <w:rPr>
          <w:lang w:val="fr-FR"/>
        </w:rPr>
        <w:t xml:space="preserve"> </w:t>
      </w:r>
      <w:r>
        <w:rPr>
          <w:lang w:val="fr-FR"/>
        </w:rPr>
        <w:t xml:space="preserve">rendu par écrit </w:t>
      </w:r>
      <w:r w:rsidRPr="00D2645E">
        <w:rPr>
          <w:lang w:val="fr-FR"/>
        </w:rPr>
        <w:t xml:space="preserve">par le Président de la Cour suprême, </w:t>
      </w:r>
      <w:r>
        <w:rPr>
          <w:lang w:val="fr-FR"/>
        </w:rPr>
        <w:t>l</w:t>
      </w:r>
      <w:r w:rsidRPr="00D2645E">
        <w:rPr>
          <w:lang w:val="fr-FR"/>
        </w:rPr>
        <w:t>a Cour a déclaré à la majorité (</w:t>
      </w:r>
      <w:r>
        <w:rPr>
          <w:lang w:val="fr-FR"/>
        </w:rPr>
        <w:t>dix</w:t>
      </w:r>
      <w:r w:rsidRPr="00D2645E">
        <w:rPr>
          <w:lang w:val="fr-FR"/>
        </w:rPr>
        <w:t xml:space="preserve"> contre</w:t>
      </w:r>
      <w:r>
        <w:rPr>
          <w:lang w:val="fr-FR"/>
        </w:rPr>
        <w:t xml:space="preserve"> un) </w:t>
      </w:r>
      <w:r w:rsidRPr="00D2645E">
        <w:rPr>
          <w:lang w:val="fr-FR"/>
        </w:rPr>
        <w:t>que</w:t>
      </w:r>
      <w:r>
        <w:rPr>
          <w:lang w:val="fr-FR"/>
        </w:rPr>
        <w:t>,</w:t>
      </w:r>
      <w:r w:rsidRPr="00D2645E">
        <w:rPr>
          <w:lang w:val="fr-FR"/>
        </w:rPr>
        <w:t xml:space="preserve"> tant que l’État n</w:t>
      </w:r>
      <w:r>
        <w:rPr>
          <w:lang w:val="fr-FR"/>
        </w:rPr>
        <w:t>’</w:t>
      </w:r>
      <w:r w:rsidRPr="00D2645E">
        <w:rPr>
          <w:lang w:val="fr-FR"/>
        </w:rPr>
        <w:t>a</w:t>
      </w:r>
      <w:r>
        <w:rPr>
          <w:lang w:val="fr-FR"/>
        </w:rPr>
        <w:t>vait</w:t>
      </w:r>
      <w:r w:rsidRPr="00D2645E">
        <w:rPr>
          <w:lang w:val="fr-FR"/>
        </w:rPr>
        <w:t xml:space="preserve"> pas de constitution complète, la Knesset, </w:t>
      </w:r>
      <w:r>
        <w:rPr>
          <w:lang w:val="fr-FR"/>
        </w:rPr>
        <w:t>en sa qualité</w:t>
      </w:r>
      <w:r w:rsidRPr="00D2645E">
        <w:rPr>
          <w:lang w:val="fr-FR"/>
        </w:rPr>
        <w:t xml:space="preserve"> </w:t>
      </w:r>
      <w:r>
        <w:rPr>
          <w:lang w:val="fr-FR"/>
        </w:rPr>
        <w:t>d’</w:t>
      </w:r>
      <w:r w:rsidRPr="00D2645E">
        <w:rPr>
          <w:lang w:val="fr-FR"/>
        </w:rPr>
        <w:t xml:space="preserve">organe constitutif, </w:t>
      </w:r>
      <w:r>
        <w:rPr>
          <w:lang w:val="fr-FR"/>
        </w:rPr>
        <w:t>n’était soumise qu’à une seule restriction </w:t>
      </w:r>
      <w:r w:rsidRPr="00D2645E">
        <w:rPr>
          <w:lang w:val="fr-FR"/>
        </w:rPr>
        <w:t xml:space="preserve">: elle ne </w:t>
      </w:r>
      <w:r>
        <w:rPr>
          <w:lang w:val="fr-FR"/>
        </w:rPr>
        <w:t>pouvait pas</w:t>
      </w:r>
      <w:r w:rsidRPr="00D2645E">
        <w:rPr>
          <w:lang w:val="fr-FR"/>
        </w:rPr>
        <w:t xml:space="preserve"> adopter </w:t>
      </w:r>
      <w:r>
        <w:rPr>
          <w:lang w:val="fr-FR"/>
        </w:rPr>
        <w:t>de</w:t>
      </w:r>
      <w:r w:rsidRPr="00D2645E">
        <w:rPr>
          <w:lang w:val="fr-FR"/>
        </w:rPr>
        <w:t xml:space="preserve"> loi fondamentale qui nie </w:t>
      </w:r>
      <w:r>
        <w:rPr>
          <w:lang w:val="fr-FR"/>
        </w:rPr>
        <w:t>le fait qu’</w:t>
      </w:r>
      <w:r w:rsidRPr="00D2645E">
        <w:rPr>
          <w:lang w:val="fr-FR"/>
        </w:rPr>
        <w:t xml:space="preserve">Israël </w:t>
      </w:r>
      <w:r>
        <w:rPr>
          <w:lang w:val="fr-FR"/>
        </w:rPr>
        <w:t>était intrinsèquement un</w:t>
      </w:r>
      <w:r w:rsidRPr="00D2645E">
        <w:rPr>
          <w:lang w:val="fr-FR"/>
        </w:rPr>
        <w:t xml:space="preserve"> État </w:t>
      </w:r>
      <w:r>
        <w:rPr>
          <w:lang w:val="fr-FR"/>
        </w:rPr>
        <w:t xml:space="preserve">aussi bien </w:t>
      </w:r>
      <w:r w:rsidRPr="00D2645E">
        <w:rPr>
          <w:lang w:val="fr-FR"/>
        </w:rPr>
        <w:t xml:space="preserve">juif </w:t>
      </w:r>
      <w:r>
        <w:rPr>
          <w:lang w:val="fr-FR"/>
        </w:rPr>
        <w:t>que</w:t>
      </w:r>
      <w:r w:rsidRPr="00D2645E">
        <w:rPr>
          <w:lang w:val="fr-FR"/>
        </w:rPr>
        <w:t xml:space="preserve"> démocratique</w:t>
      </w:r>
      <w:r>
        <w:rPr>
          <w:lang w:val="fr-FR"/>
        </w:rPr>
        <w:t xml:space="preserve">. </w:t>
      </w:r>
      <w:r w:rsidRPr="0010212F">
        <w:rPr>
          <w:lang w:val="fr-FR"/>
        </w:rPr>
        <w:t>La Cour n’a pas considéré que la Loi fondamentale porta</w:t>
      </w:r>
      <w:r>
        <w:rPr>
          <w:lang w:val="fr-FR"/>
        </w:rPr>
        <w:t>i</w:t>
      </w:r>
      <w:r w:rsidRPr="0010212F">
        <w:rPr>
          <w:lang w:val="fr-FR"/>
        </w:rPr>
        <w:t>t atteinte au caractère juif et démocratique d</w:t>
      </w:r>
      <w:r>
        <w:rPr>
          <w:lang w:val="fr-FR"/>
        </w:rPr>
        <w:t>’</w:t>
      </w:r>
      <w:r w:rsidRPr="0010212F">
        <w:rPr>
          <w:lang w:val="fr-FR"/>
        </w:rPr>
        <w:t>Israë</w:t>
      </w:r>
      <w:r>
        <w:rPr>
          <w:lang w:val="fr-FR"/>
        </w:rPr>
        <w:t>l.</w:t>
      </w:r>
    </w:p>
    <w:p w14:paraId="6866647A" w14:textId="77777777" w:rsidR="006D4345" w:rsidRPr="008A26BB" w:rsidRDefault="006D4345" w:rsidP="006D4345">
      <w:pPr>
        <w:pStyle w:val="SingleTxtG"/>
        <w:rPr>
          <w:lang w:val="fr-FR"/>
        </w:rPr>
      </w:pPr>
      <w:r w:rsidRPr="00A51CFE">
        <w:rPr>
          <w:lang w:val="fr-FR"/>
        </w:rPr>
        <w:t>24.</w:t>
      </w:r>
      <w:r w:rsidRPr="00A51CFE">
        <w:rPr>
          <w:lang w:val="fr-FR"/>
        </w:rPr>
        <w:tab/>
        <w:t>La Cour a fait remarquer que le princi</w:t>
      </w:r>
      <w:r>
        <w:rPr>
          <w:lang w:val="fr-FR"/>
        </w:rPr>
        <w:t xml:space="preserve">pe </w:t>
      </w:r>
      <w:r w:rsidRPr="00A51CFE">
        <w:rPr>
          <w:lang w:val="fr-FR"/>
        </w:rPr>
        <w:t xml:space="preserve">d’égalité </w:t>
      </w:r>
      <w:r>
        <w:rPr>
          <w:lang w:val="fr-FR"/>
        </w:rPr>
        <w:t>était</w:t>
      </w:r>
      <w:r w:rsidRPr="00A51CFE">
        <w:rPr>
          <w:lang w:val="fr-FR"/>
        </w:rPr>
        <w:t xml:space="preserve"> un principe fondamental du système juridique israélien, qui s</w:t>
      </w:r>
      <w:r>
        <w:rPr>
          <w:lang w:val="fr-FR"/>
        </w:rPr>
        <w:t>’</w:t>
      </w:r>
      <w:r w:rsidRPr="00A51CFE">
        <w:rPr>
          <w:lang w:val="fr-FR"/>
        </w:rPr>
        <w:t>appliqu</w:t>
      </w:r>
      <w:r>
        <w:rPr>
          <w:lang w:val="fr-FR"/>
        </w:rPr>
        <w:t>ait</w:t>
      </w:r>
      <w:r w:rsidRPr="00A51CFE">
        <w:rPr>
          <w:lang w:val="fr-FR"/>
        </w:rPr>
        <w:t xml:space="preserve"> aux droits de tous les citoyens d</w:t>
      </w:r>
      <w:r>
        <w:rPr>
          <w:lang w:val="fr-FR"/>
        </w:rPr>
        <w:t>’</w:t>
      </w:r>
      <w:r w:rsidRPr="00A51CFE">
        <w:rPr>
          <w:lang w:val="fr-FR"/>
        </w:rPr>
        <w:t xml:space="preserve">Israël, y compris </w:t>
      </w:r>
      <w:r>
        <w:rPr>
          <w:lang w:val="fr-FR"/>
        </w:rPr>
        <w:t>aux</w:t>
      </w:r>
      <w:r w:rsidRPr="00A51CFE">
        <w:rPr>
          <w:lang w:val="fr-FR"/>
        </w:rPr>
        <w:t xml:space="preserve"> personnes appartenant à </w:t>
      </w:r>
      <w:r>
        <w:rPr>
          <w:lang w:val="fr-FR"/>
        </w:rPr>
        <w:t xml:space="preserve">des groupes minoritaires. </w:t>
      </w:r>
      <w:r w:rsidRPr="008A26BB">
        <w:rPr>
          <w:lang w:val="fr-FR"/>
        </w:rPr>
        <w:t>Tout en relevant qu’il serait préférable que le principe d</w:t>
      </w:r>
      <w:r>
        <w:rPr>
          <w:lang w:val="fr-FR"/>
        </w:rPr>
        <w:t>’é</w:t>
      </w:r>
      <w:r w:rsidRPr="008A26BB">
        <w:rPr>
          <w:lang w:val="fr-FR"/>
        </w:rPr>
        <w:t xml:space="preserve">galité soit </w:t>
      </w:r>
      <w:r>
        <w:rPr>
          <w:lang w:val="fr-FR"/>
        </w:rPr>
        <w:t>expressément consacré par</w:t>
      </w:r>
      <w:r w:rsidRPr="008A26BB">
        <w:rPr>
          <w:lang w:val="fr-FR"/>
        </w:rPr>
        <w:t xml:space="preserve"> une loi fondamentale, la Cour a souligné que le fait qu</w:t>
      </w:r>
      <w:r>
        <w:rPr>
          <w:lang w:val="fr-FR"/>
        </w:rPr>
        <w:t>’</w:t>
      </w:r>
      <w:r w:rsidRPr="008A26BB">
        <w:rPr>
          <w:lang w:val="fr-FR"/>
        </w:rPr>
        <w:t>il ne l</w:t>
      </w:r>
      <w:r>
        <w:rPr>
          <w:lang w:val="fr-FR"/>
        </w:rPr>
        <w:t xml:space="preserve">’était </w:t>
      </w:r>
      <w:r w:rsidRPr="008A26BB">
        <w:rPr>
          <w:lang w:val="fr-FR"/>
        </w:rPr>
        <w:t>pas</w:t>
      </w:r>
      <w:r>
        <w:rPr>
          <w:lang w:val="fr-FR"/>
        </w:rPr>
        <w:t xml:space="preserve"> n’en faisait pas moins un</w:t>
      </w:r>
      <w:r w:rsidRPr="008A26BB">
        <w:rPr>
          <w:lang w:val="fr-FR"/>
        </w:rPr>
        <w:t xml:space="preserve"> principe constitutionnel.</w:t>
      </w:r>
    </w:p>
    <w:p w14:paraId="3B299555" w14:textId="77777777" w:rsidR="006D4345" w:rsidRPr="00300DED" w:rsidRDefault="006D4345" w:rsidP="006D4345">
      <w:pPr>
        <w:pStyle w:val="SingleTxtG"/>
        <w:rPr>
          <w:lang w:val="fr-FR"/>
        </w:rPr>
      </w:pPr>
      <w:r w:rsidRPr="008A26BB">
        <w:rPr>
          <w:lang w:val="fr-FR"/>
        </w:rPr>
        <w:t>25.</w:t>
      </w:r>
      <w:r w:rsidRPr="008A26BB">
        <w:rPr>
          <w:lang w:val="fr-FR"/>
        </w:rPr>
        <w:tab/>
        <w:t xml:space="preserve">La </w:t>
      </w:r>
      <w:r w:rsidRPr="00370D31">
        <w:rPr>
          <w:lang w:val="fr-FR"/>
        </w:rPr>
        <w:t xml:space="preserve">Cour a précisé que, selon une interprétation positive, </w:t>
      </w:r>
      <w:r>
        <w:rPr>
          <w:lang w:val="fr-FR"/>
        </w:rPr>
        <w:t>l’article </w:t>
      </w:r>
      <w:r w:rsidRPr="00370D31">
        <w:rPr>
          <w:lang w:val="fr-FR"/>
        </w:rPr>
        <w:t>1</w:t>
      </w:r>
      <w:r>
        <w:rPr>
          <w:lang w:val="fr-FR"/>
        </w:rPr>
        <w:t> </w:t>
      </w:r>
      <w:r w:rsidRPr="00370D31">
        <w:rPr>
          <w:lang w:val="fr-FR"/>
        </w:rPr>
        <w:t xml:space="preserve">c), qui </w:t>
      </w:r>
      <w:r>
        <w:rPr>
          <w:lang w:val="fr-FR"/>
        </w:rPr>
        <w:t>consacre</w:t>
      </w:r>
      <w:r w:rsidRPr="00370D31">
        <w:rPr>
          <w:lang w:val="fr-FR"/>
        </w:rPr>
        <w:t xml:space="preserve"> le droit à l</w:t>
      </w:r>
      <w:r>
        <w:rPr>
          <w:lang w:val="fr-FR"/>
        </w:rPr>
        <w:t>’</w:t>
      </w:r>
      <w:r w:rsidRPr="00370D31">
        <w:rPr>
          <w:lang w:val="fr-FR"/>
        </w:rPr>
        <w:t>autodétermination d</w:t>
      </w:r>
      <w:r>
        <w:rPr>
          <w:lang w:val="fr-FR"/>
        </w:rPr>
        <w:t>u</w:t>
      </w:r>
      <w:r w:rsidRPr="00370D31">
        <w:rPr>
          <w:lang w:val="fr-FR"/>
        </w:rPr>
        <w:t xml:space="preserve"> peuple juif, ne </w:t>
      </w:r>
      <w:r>
        <w:rPr>
          <w:lang w:val="fr-FR"/>
        </w:rPr>
        <w:t>mettait pas en péril</w:t>
      </w:r>
      <w:r w:rsidRPr="00370D31">
        <w:rPr>
          <w:lang w:val="fr-FR"/>
        </w:rPr>
        <w:t xml:space="preserve"> ou ne ni</w:t>
      </w:r>
      <w:r>
        <w:rPr>
          <w:lang w:val="fr-FR"/>
        </w:rPr>
        <w:t>ait</w:t>
      </w:r>
      <w:r w:rsidRPr="00370D31">
        <w:rPr>
          <w:lang w:val="fr-FR"/>
        </w:rPr>
        <w:t xml:space="preserve"> pas le droit à l</w:t>
      </w:r>
      <w:r>
        <w:rPr>
          <w:lang w:val="fr-FR"/>
        </w:rPr>
        <w:t>’</w:t>
      </w:r>
      <w:r w:rsidRPr="00370D31">
        <w:rPr>
          <w:lang w:val="fr-FR"/>
        </w:rPr>
        <w:t xml:space="preserve">autodétermination culturelle des personnes appartenant à </w:t>
      </w:r>
      <w:r>
        <w:rPr>
          <w:lang w:val="fr-FR"/>
        </w:rPr>
        <w:t>des</w:t>
      </w:r>
      <w:r w:rsidRPr="00370D31">
        <w:rPr>
          <w:lang w:val="fr-FR"/>
        </w:rPr>
        <w:t xml:space="preserve"> </w:t>
      </w:r>
      <w:r>
        <w:rPr>
          <w:lang w:val="fr-FR"/>
        </w:rPr>
        <w:t xml:space="preserve">groupes minoritaires et, en outre, </w:t>
      </w:r>
      <w:r w:rsidRPr="00370D31">
        <w:rPr>
          <w:lang w:val="fr-FR"/>
        </w:rPr>
        <w:t>n</w:t>
      </w:r>
      <w:r>
        <w:rPr>
          <w:lang w:val="fr-FR"/>
        </w:rPr>
        <w:t xml:space="preserve">’affaiblissait </w:t>
      </w:r>
      <w:r w:rsidRPr="00370D31">
        <w:rPr>
          <w:lang w:val="fr-FR"/>
        </w:rPr>
        <w:t>aucune des dispositions existantes concernant les droits des non</w:t>
      </w:r>
      <w:r>
        <w:rPr>
          <w:lang w:val="fr-FR"/>
        </w:rPr>
        <w:noBreakHyphen/>
        <w:t xml:space="preserve">Juifs </w:t>
      </w:r>
      <w:r w:rsidRPr="00370D31">
        <w:rPr>
          <w:lang w:val="fr-FR"/>
        </w:rPr>
        <w:t xml:space="preserve">appartenant à </w:t>
      </w:r>
      <w:r>
        <w:rPr>
          <w:lang w:val="fr-FR"/>
        </w:rPr>
        <w:t>un groupe minoritaire</w:t>
      </w:r>
      <w:r w:rsidRPr="00300DED">
        <w:rPr>
          <w:lang w:val="fr-FR"/>
        </w:rPr>
        <w:t>.</w:t>
      </w:r>
    </w:p>
    <w:p w14:paraId="45529EC4" w14:textId="77777777" w:rsidR="006D4345" w:rsidRPr="00D55019" w:rsidRDefault="006D4345" w:rsidP="006D4345">
      <w:pPr>
        <w:pStyle w:val="SingleTxtG"/>
        <w:rPr>
          <w:lang w:val="fr-FR"/>
        </w:rPr>
      </w:pPr>
      <w:r w:rsidRPr="00CF09CF">
        <w:rPr>
          <w:lang w:val="fr-FR"/>
        </w:rPr>
        <w:t>26.</w:t>
      </w:r>
      <w:r w:rsidRPr="00CF09CF">
        <w:rPr>
          <w:lang w:val="fr-FR"/>
        </w:rPr>
        <w:tab/>
        <w:t>En</w:t>
      </w:r>
      <w:r>
        <w:rPr>
          <w:lang w:val="fr-FR"/>
        </w:rPr>
        <w:t xml:space="preserve"> </w:t>
      </w:r>
      <w:r w:rsidRPr="00CF09CF">
        <w:rPr>
          <w:lang w:val="fr-FR"/>
        </w:rPr>
        <w:t>ce qui concerne l’article 4, qui reconnaît que l’hébreu est la principale langue officielle, la Cour</w:t>
      </w:r>
      <w:r>
        <w:rPr>
          <w:lang w:val="fr-FR"/>
        </w:rPr>
        <w:t xml:space="preserve"> </w:t>
      </w:r>
      <w:r w:rsidRPr="00CF09CF">
        <w:rPr>
          <w:lang w:val="fr-FR"/>
        </w:rPr>
        <w:t xml:space="preserve">a relevé </w:t>
      </w:r>
      <w:r>
        <w:rPr>
          <w:lang w:val="fr-FR"/>
        </w:rPr>
        <w:t>notamment que cette disposition ne</w:t>
      </w:r>
      <w:r w:rsidRPr="00CF09CF">
        <w:rPr>
          <w:lang w:val="fr-FR"/>
        </w:rPr>
        <w:t xml:space="preserve"> port</w:t>
      </w:r>
      <w:r>
        <w:rPr>
          <w:lang w:val="fr-FR"/>
        </w:rPr>
        <w:t>ait</w:t>
      </w:r>
      <w:r w:rsidRPr="00CF09CF">
        <w:rPr>
          <w:lang w:val="fr-FR"/>
        </w:rPr>
        <w:t xml:space="preserve"> pas atteinte </w:t>
      </w:r>
      <w:r>
        <w:rPr>
          <w:lang w:val="fr-FR"/>
        </w:rPr>
        <w:t>au statut</w:t>
      </w:r>
      <w:r w:rsidRPr="00CF09CF">
        <w:rPr>
          <w:lang w:val="fr-FR"/>
        </w:rPr>
        <w:t xml:space="preserve"> </w:t>
      </w:r>
      <w:r>
        <w:rPr>
          <w:lang w:val="fr-FR"/>
        </w:rPr>
        <w:t xml:space="preserve">officiel </w:t>
      </w:r>
      <w:r w:rsidRPr="00CF09CF">
        <w:rPr>
          <w:lang w:val="fr-FR"/>
        </w:rPr>
        <w:t>de la langue arabe et n</w:t>
      </w:r>
      <w:r>
        <w:rPr>
          <w:lang w:val="fr-FR"/>
        </w:rPr>
        <w:t>’</w:t>
      </w:r>
      <w:r w:rsidRPr="00CF09CF">
        <w:rPr>
          <w:lang w:val="fr-FR"/>
        </w:rPr>
        <w:t>empêch</w:t>
      </w:r>
      <w:r>
        <w:rPr>
          <w:lang w:val="fr-FR"/>
        </w:rPr>
        <w:t>ait</w:t>
      </w:r>
      <w:r w:rsidRPr="00CF09CF">
        <w:rPr>
          <w:lang w:val="fr-FR"/>
        </w:rPr>
        <w:t xml:space="preserve"> </w:t>
      </w:r>
      <w:r>
        <w:rPr>
          <w:lang w:val="fr-FR"/>
        </w:rPr>
        <w:t>pas de l’employer et de la promouvoir</w:t>
      </w:r>
      <w:r w:rsidRPr="00CF09CF">
        <w:rPr>
          <w:lang w:val="fr-FR"/>
        </w:rPr>
        <w:t xml:space="preserve"> dans la sphère publique</w:t>
      </w:r>
      <w:r>
        <w:rPr>
          <w:lang w:val="fr-FR"/>
        </w:rPr>
        <w:t xml:space="preserve">. La Cour a en outre relevé que l’État </w:t>
      </w:r>
      <w:r w:rsidRPr="00CF09CF">
        <w:rPr>
          <w:lang w:val="fr-FR"/>
        </w:rPr>
        <w:t>et la société d</w:t>
      </w:r>
      <w:r>
        <w:rPr>
          <w:lang w:val="fr-FR"/>
        </w:rPr>
        <w:t xml:space="preserve">evaient </w:t>
      </w:r>
      <w:r w:rsidRPr="00CF09CF">
        <w:rPr>
          <w:lang w:val="fr-FR"/>
        </w:rPr>
        <w:t xml:space="preserve">continuer </w:t>
      </w:r>
      <w:r>
        <w:rPr>
          <w:lang w:val="fr-FR"/>
        </w:rPr>
        <w:t>de</w:t>
      </w:r>
      <w:r w:rsidRPr="00CF09CF">
        <w:rPr>
          <w:lang w:val="fr-FR"/>
        </w:rPr>
        <w:t xml:space="preserve"> </w:t>
      </w:r>
      <w:r>
        <w:rPr>
          <w:lang w:val="fr-FR"/>
        </w:rPr>
        <w:t>promouvoir le statut</w:t>
      </w:r>
      <w:r w:rsidRPr="00CF09CF">
        <w:rPr>
          <w:lang w:val="fr-FR"/>
        </w:rPr>
        <w:t xml:space="preserve"> de l</w:t>
      </w:r>
      <w:r>
        <w:rPr>
          <w:lang w:val="fr-FR"/>
        </w:rPr>
        <w:t xml:space="preserve">a langue </w:t>
      </w:r>
      <w:r w:rsidRPr="00CF09CF">
        <w:rPr>
          <w:lang w:val="fr-FR"/>
        </w:rPr>
        <w:t>arabe dans la sphère publique</w:t>
      </w:r>
      <w:r>
        <w:rPr>
          <w:lang w:val="fr-FR"/>
        </w:rPr>
        <w:t xml:space="preserve"> et a dit </w:t>
      </w:r>
      <w:r w:rsidRPr="00CF09CF">
        <w:rPr>
          <w:lang w:val="fr-FR"/>
        </w:rPr>
        <w:t xml:space="preserve">que cette </w:t>
      </w:r>
      <w:r>
        <w:rPr>
          <w:lang w:val="fr-FR"/>
        </w:rPr>
        <w:t>disposition « devrait</w:t>
      </w:r>
      <w:r w:rsidRPr="00CF09CF">
        <w:rPr>
          <w:lang w:val="fr-FR"/>
        </w:rPr>
        <w:t xml:space="preserve"> être interprétée d</w:t>
      </w:r>
      <w:r>
        <w:rPr>
          <w:lang w:val="fr-FR"/>
        </w:rPr>
        <w:t>’</w:t>
      </w:r>
      <w:r w:rsidRPr="00CF09CF">
        <w:rPr>
          <w:lang w:val="fr-FR"/>
        </w:rPr>
        <w:t>une manière qui ne porte pas atteinte au statut de la langue arabe, ni dans la pratique ni dans l</w:t>
      </w:r>
      <w:r>
        <w:rPr>
          <w:lang w:val="fr-FR"/>
        </w:rPr>
        <w:t>’</w:t>
      </w:r>
      <w:r w:rsidRPr="00CF09CF">
        <w:rPr>
          <w:lang w:val="fr-FR"/>
        </w:rPr>
        <w:t>espri</w:t>
      </w:r>
      <w:r>
        <w:rPr>
          <w:lang w:val="fr-FR"/>
        </w:rPr>
        <w:t xml:space="preserve">t ». </w:t>
      </w:r>
      <w:r w:rsidRPr="00D55019">
        <w:rPr>
          <w:lang w:val="fr-FR"/>
        </w:rPr>
        <w:t xml:space="preserve">Concernant l’article 7 de la Loi fondamentale, </w:t>
      </w:r>
      <w:r>
        <w:rPr>
          <w:lang w:val="fr-FR"/>
        </w:rPr>
        <w:t>selon lequel</w:t>
      </w:r>
      <w:r w:rsidRPr="00D55019">
        <w:rPr>
          <w:lang w:val="fr-FR"/>
        </w:rPr>
        <w:t xml:space="preserve"> l’implantation de colonies juives </w:t>
      </w:r>
      <w:r>
        <w:rPr>
          <w:lang w:val="fr-FR"/>
        </w:rPr>
        <w:t xml:space="preserve">a rang de </w:t>
      </w:r>
      <w:r w:rsidRPr="00D55019">
        <w:rPr>
          <w:lang w:val="fr-FR"/>
        </w:rPr>
        <w:t xml:space="preserve">valeur nationale, la Cour a </w:t>
      </w:r>
      <w:r>
        <w:rPr>
          <w:lang w:val="fr-FR"/>
        </w:rPr>
        <w:t>fait observer</w:t>
      </w:r>
      <w:r w:rsidRPr="00D55019">
        <w:rPr>
          <w:lang w:val="fr-FR"/>
        </w:rPr>
        <w:t xml:space="preserve"> que cette disposition devait être appliquée avec souplesse et </w:t>
      </w:r>
      <w:r>
        <w:rPr>
          <w:lang w:val="fr-FR"/>
        </w:rPr>
        <w:t xml:space="preserve">dans le respect du </w:t>
      </w:r>
      <w:r w:rsidRPr="00D55019">
        <w:rPr>
          <w:lang w:val="fr-FR"/>
        </w:rPr>
        <w:t>droit à l</w:t>
      </w:r>
      <w:r>
        <w:rPr>
          <w:lang w:val="fr-FR"/>
        </w:rPr>
        <w:t>’</w:t>
      </w:r>
      <w:r w:rsidRPr="00D55019">
        <w:rPr>
          <w:lang w:val="fr-FR"/>
        </w:rPr>
        <w:t>égalité, et non d</w:t>
      </w:r>
      <w:r>
        <w:rPr>
          <w:lang w:val="fr-FR"/>
        </w:rPr>
        <w:t>’</w:t>
      </w:r>
      <w:r w:rsidRPr="00D55019">
        <w:rPr>
          <w:lang w:val="fr-FR"/>
        </w:rPr>
        <w:t xml:space="preserve">une manière qui pourrait permettre une discrimination à </w:t>
      </w:r>
      <w:r>
        <w:rPr>
          <w:lang w:val="fr-FR"/>
        </w:rPr>
        <w:t>l’égard</w:t>
      </w:r>
      <w:r w:rsidRPr="00D55019">
        <w:rPr>
          <w:lang w:val="fr-FR"/>
        </w:rPr>
        <w:t xml:space="preserve"> des </w:t>
      </w:r>
      <w:r>
        <w:rPr>
          <w:lang w:val="fr-FR"/>
        </w:rPr>
        <w:t>non</w:t>
      </w:r>
      <w:r>
        <w:rPr>
          <w:lang w:val="fr-FR"/>
        </w:rPr>
        <w:noBreakHyphen/>
        <w:t>Juifs</w:t>
      </w:r>
      <w:r w:rsidRPr="00D55019">
        <w:rPr>
          <w:lang w:val="fr-FR"/>
        </w:rPr>
        <w:t xml:space="preserve"> et de leurs droits </w:t>
      </w:r>
      <w:r>
        <w:rPr>
          <w:lang w:val="fr-FR"/>
        </w:rPr>
        <w:t>fonciers.</w:t>
      </w:r>
    </w:p>
    <w:p w14:paraId="0DA1AA96" w14:textId="77777777" w:rsidR="006D4345" w:rsidRPr="00A664EC" w:rsidRDefault="006D4345" w:rsidP="006D4345">
      <w:pPr>
        <w:pStyle w:val="SingleTxtG"/>
        <w:rPr>
          <w:lang w:val="fr-FR"/>
        </w:rPr>
      </w:pPr>
      <w:r w:rsidRPr="0057676A">
        <w:rPr>
          <w:lang w:val="fr-FR"/>
        </w:rPr>
        <w:t>27.</w:t>
      </w:r>
      <w:r w:rsidRPr="0057676A">
        <w:rPr>
          <w:lang w:val="fr-FR"/>
        </w:rPr>
        <w:tab/>
        <w:t>En ce qui concerne les griefs soulevés par le</w:t>
      </w:r>
      <w:r>
        <w:rPr>
          <w:lang w:val="fr-FR"/>
        </w:rPr>
        <w:t>s</w:t>
      </w:r>
      <w:r w:rsidRPr="0057676A">
        <w:rPr>
          <w:lang w:val="fr-FR"/>
        </w:rPr>
        <w:t xml:space="preserve"> requérants</w:t>
      </w:r>
      <w:r>
        <w:rPr>
          <w:lang w:val="fr-FR"/>
        </w:rPr>
        <w:t xml:space="preserve">, </w:t>
      </w:r>
      <w:r w:rsidRPr="0057676A">
        <w:rPr>
          <w:lang w:val="fr-FR"/>
        </w:rPr>
        <w:t>selon lesquels la Loi fondamentale n’e</w:t>
      </w:r>
      <w:r>
        <w:rPr>
          <w:lang w:val="fr-FR"/>
        </w:rPr>
        <w:t>st pas compatible avec les obligations mises à la charge d’</w:t>
      </w:r>
      <w:r w:rsidRPr="0057676A">
        <w:rPr>
          <w:lang w:val="fr-FR"/>
        </w:rPr>
        <w:t>Israël</w:t>
      </w:r>
      <w:r>
        <w:rPr>
          <w:lang w:val="fr-FR"/>
        </w:rPr>
        <w:t xml:space="preserve"> par le droit</w:t>
      </w:r>
      <w:r w:rsidRPr="0057676A">
        <w:rPr>
          <w:lang w:val="fr-FR"/>
        </w:rPr>
        <w:t xml:space="preserve"> </w:t>
      </w:r>
      <w:r>
        <w:rPr>
          <w:lang w:val="fr-FR"/>
        </w:rPr>
        <w:t>i</w:t>
      </w:r>
      <w:r w:rsidRPr="0057676A">
        <w:rPr>
          <w:lang w:val="fr-FR"/>
        </w:rPr>
        <w:t xml:space="preserve">nternational, </w:t>
      </w:r>
      <w:r>
        <w:rPr>
          <w:lang w:val="fr-FR"/>
        </w:rPr>
        <w:t>y compris par les</w:t>
      </w:r>
      <w:r w:rsidRPr="0057676A">
        <w:rPr>
          <w:lang w:val="fr-FR"/>
        </w:rPr>
        <w:t xml:space="preserve"> </w:t>
      </w:r>
      <w:r>
        <w:rPr>
          <w:lang w:val="fr-FR"/>
        </w:rPr>
        <w:t>instruments relatifs aux droits de l’homme</w:t>
      </w:r>
      <w:r w:rsidRPr="0057676A">
        <w:rPr>
          <w:lang w:val="fr-FR"/>
        </w:rPr>
        <w:t xml:space="preserve">, </w:t>
      </w:r>
      <w:r>
        <w:rPr>
          <w:lang w:val="fr-FR"/>
        </w:rPr>
        <w:t>la</w:t>
      </w:r>
      <w:r w:rsidRPr="0057676A">
        <w:rPr>
          <w:lang w:val="fr-FR"/>
        </w:rPr>
        <w:t xml:space="preserve"> Cour </w:t>
      </w:r>
      <w:r>
        <w:rPr>
          <w:lang w:val="fr-FR"/>
        </w:rPr>
        <w:t xml:space="preserve">a fait remarquer que les articles de </w:t>
      </w:r>
      <w:r w:rsidRPr="0057676A">
        <w:rPr>
          <w:lang w:val="fr-FR"/>
        </w:rPr>
        <w:t xml:space="preserve">la Loi fondamentale </w:t>
      </w:r>
      <w:r>
        <w:rPr>
          <w:lang w:val="fr-FR"/>
        </w:rPr>
        <w:t>visés par les requérants ne</w:t>
      </w:r>
      <w:r w:rsidRPr="00A664EC">
        <w:rPr>
          <w:lang w:val="fr-FR"/>
        </w:rPr>
        <w:t xml:space="preserve"> contredis</w:t>
      </w:r>
      <w:r>
        <w:rPr>
          <w:lang w:val="fr-FR"/>
        </w:rPr>
        <w:t>ai</w:t>
      </w:r>
      <w:r w:rsidRPr="00A664EC">
        <w:rPr>
          <w:lang w:val="fr-FR"/>
        </w:rPr>
        <w:t>ent pas les dispositions du droit international et p</w:t>
      </w:r>
      <w:r>
        <w:rPr>
          <w:lang w:val="fr-FR"/>
        </w:rPr>
        <w:t>ou</w:t>
      </w:r>
      <w:r w:rsidRPr="00A664EC">
        <w:rPr>
          <w:lang w:val="fr-FR"/>
        </w:rPr>
        <w:t>v</w:t>
      </w:r>
      <w:r>
        <w:rPr>
          <w:lang w:val="fr-FR"/>
        </w:rPr>
        <w:t>ai</w:t>
      </w:r>
      <w:r w:rsidRPr="00A664EC">
        <w:rPr>
          <w:lang w:val="fr-FR"/>
        </w:rPr>
        <w:t>ent être interprétés d</w:t>
      </w:r>
      <w:r>
        <w:rPr>
          <w:lang w:val="fr-FR"/>
        </w:rPr>
        <w:t>’</w:t>
      </w:r>
      <w:r w:rsidRPr="00A664EC">
        <w:rPr>
          <w:lang w:val="fr-FR"/>
        </w:rPr>
        <w:t>une manière compatible avec celles</w:t>
      </w:r>
      <w:r>
        <w:rPr>
          <w:lang w:val="fr-FR"/>
        </w:rPr>
        <w:noBreakHyphen/>
      </w:r>
      <w:r w:rsidRPr="00A664EC">
        <w:rPr>
          <w:lang w:val="fr-FR"/>
        </w:rPr>
        <w:t>ci</w:t>
      </w:r>
      <w:r>
        <w:rPr>
          <w:lang w:val="fr-FR"/>
        </w:rPr>
        <w:t>.</w:t>
      </w:r>
    </w:p>
    <w:p w14:paraId="0E19E6C1" w14:textId="77777777" w:rsidR="006D4345" w:rsidRPr="00AA135A" w:rsidRDefault="006D4345" w:rsidP="006D4345">
      <w:pPr>
        <w:pStyle w:val="SingleTxtG"/>
        <w:rPr>
          <w:lang w:val="fr-FR"/>
        </w:rPr>
      </w:pPr>
      <w:r w:rsidRPr="00AA135A">
        <w:rPr>
          <w:lang w:val="fr-FR"/>
        </w:rPr>
        <w:t>28.</w:t>
      </w:r>
      <w:r w:rsidRPr="00AA135A">
        <w:rPr>
          <w:lang w:val="fr-FR"/>
        </w:rPr>
        <w:tab/>
        <w:t xml:space="preserve">Dans </w:t>
      </w:r>
      <w:r>
        <w:rPr>
          <w:lang w:val="fr-FR"/>
        </w:rPr>
        <w:t>son opinion dissidente</w:t>
      </w:r>
      <w:r w:rsidRPr="00AA135A">
        <w:rPr>
          <w:lang w:val="fr-FR"/>
        </w:rPr>
        <w:t xml:space="preserve">, le juge Karra a </w:t>
      </w:r>
      <w:r>
        <w:rPr>
          <w:lang w:val="fr-FR"/>
        </w:rPr>
        <w:t>estimé</w:t>
      </w:r>
      <w:r w:rsidRPr="00AA135A">
        <w:rPr>
          <w:lang w:val="fr-FR"/>
        </w:rPr>
        <w:t xml:space="preserve"> que les articles susmentionnés </w:t>
      </w:r>
      <w:r>
        <w:rPr>
          <w:lang w:val="fr-FR"/>
        </w:rPr>
        <w:t>allaient contre</w:t>
      </w:r>
      <w:r w:rsidRPr="00AA135A">
        <w:rPr>
          <w:lang w:val="fr-FR"/>
        </w:rPr>
        <w:t xml:space="preserve"> </w:t>
      </w:r>
      <w:r>
        <w:rPr>
          <w:lang w:val="fr-FR"/>
        </w:rPr>
        <w:t>l’essence même de</w:t>
      </w:r>
      <w:r w:rsidRPr="00AA135A">
        <w:rPr>
          <w:lang w:val="fr-FR"/>
        </w:rPr>
        <w:t xml:space="preserve"> l</w:t>
      </w:r>
      <w:r>
        <w:rPr>
          <w:lang w:val="fr-FR"/>
        </w:rPr>
        <w:t>’</w:t>
      </w:r>
      <w:r w:rsidRPr="00AA135A">
        <w:rPr>
          <w:lang w:val="fr-FR"/>
        </w:rPr>
        <w:t>identité démocratique de l</w:t>
      </w:r>
      <w:r>
        <w:rPr>
          <w:lang w:val="fr-FR"/>
        </w:rPr>
        <w:t>’</w:t>
      </w:r>
      <w:r w:rsidRPr="00AA135A">
        <w:rPr>
          <w:lang w:val="fr-FR"/>
        </w:rPr>
        <w:t>État et d</w:t>
      </w:r>
      <w:r>
        <w:rPr>
          <w:lang w:val="fr-FR"/>
        </w:rPr>
        <w:t>e</w:t>
      </w:r>
      <w:r w:rsidRPr="00AA135A">
        <w:rPr>
          <w:lang w:val="fr-FR"/>
        </w:rPr>
        <w:t>v</w:t>
      </w:r>
      <w:r>
        <w:rPr>
          <w:lang w:val="fr-FR"/>
        </w:rPr>
        <w:t>ai</w:t>
      </w:r>
      <w:r w:rsidRPr="00AA135A">
        <w:rPr>
          <w:lang w:val="fr-FR"/>
        </w:rPr>
        <w:t xml:space="preserve">ent être </w:t>
      </w:r>
      <w:r>
        <w:rPr>
          <w:lang w:val="fr-FR"/>
        </w:rPr>
        <w:t>abrogés</w:t>
      </w:r>
      <w:r w:rsidRPr="00AA135A">
        <w:rPr>
          <w:lang w:val="fr-FR"/>
        </w:rPr>
        <w:t>, et qu</w:t>
      </w:r>
      <w:r>
        <w:rPr>
          <w:lang w:val="fr-FR"/>
        </w:rPr>
        <w:t>’</w:t>
      </w:r>
      <w:r w:rsidRPr="00AA135A">
        <w:rPr>
          <w:lang w:val="fr-FR"/>
        </w:rPr>
        <w:t xml:space="preserve">aucun cadre interprétatif </w:t>
      </w:r>
      <w:r>
        <w:rPr>
          <w:lang w:val="fr-FR"/>
        </w:rPr>
        <w:t>ne pouvait</w:t>
      </w:r>
      <w:r w:rsidRPr="00AA135A">
        <w:rPr>
          <w:lang w:val="fr-FR"/>
        </w:rPr>
        <w:t xml:space="preserve"> </w:t>
      </w:r>
      <w:r>
        <w:rPr>
          <w:lang w:val="fr-FR"/>
        </w:rPr>
        <w:t>remédier à</w:t>
      </w:r>
      <w:r w:rsidRPr="00AA135A">
        <w:rPr>
          <w:lang w:val="fr-FR"/>
        </w:rPr>
        <w:t xml:space="preserve"> l</w:t>
      </w:r>
      <w:r>
        <w:rPr>
          <w:lang w:val="fr-FR"/>
        </w:rPr>
        <w:t>’</w:t>
      </w:r>
      <w:r w:rsidRPr="00AA135A">
        <w:rPr>
          <w:lang w:val="fr-FR"/>
        </w:rPr>
        <w:t>inconstitutionnalité de la Loi fondamentale.</w:t>
      </w:r>
    </w:p>
    <w:p w14:paraId="12B63EAD" w14:textId="24F6B84C" w:rsidR="006D4345" w:rsidRDefault="006D4345" w:rsidP="00B00296">
      <w:pPr>
        <w:pStyle w:val="H1G"/>
        <w:rPr>
          <w:lang w:val="fr-FR"/>
        </w:rPr>
      </w:pPr>
      <w:r w:rsidRPr="00AA135A">
        <w:rPr>
          <w:lang w:val="fr-FR"/>
        </w:rPr>
        <w:tab/>
      </w:r>
      <w:r w:rsidRPr="00AA135A">
        <w:rPr>
          <w:lang w:val="fr-FR"/>
        </w:rPr>
        <w:tab/>
      </w:r>
      <w:r w:rsidRPr="006D4345">
        <w:rPr>
          <w:lang w:val="fr-FR"/>
        </w:rPr>
        <w:t>Renseignements sur la suite donnée aux recommandations figurant au</w:t>
      </w:r>
      <w:r w:rsidR="00B00296">
        <w:rPr>
          <w:lang w:val="fr-FR"/>
        </w:rPr>
        <w:t> </w:t>
      </w:r>
      <w:r w:rsidRPr="006D4345">
        <w:rPr>
          <w:lang w:val="fr-FR"/>
        </w:rPr>
        <w:t>paragraphe 23 des observations finales</w:t>
      </w:r>
    </w:p>
    <w:p w14:paraId="748F2E0A" w14:textId="20A5AF66" w:rsidR="006D4345" w:rsidRPr="00BF6422" w:rsidRDefault="006D4345" w:rsidP="00B00296">
      <w:pPr>
        <w:pStyle w:val="H23G"/>
        <w:rPr>
          <w:lang w:val="fr-FR"/>
        </w:rPr>
      </w:pPr>
      <w:r w:rsidRPr="00AA135A">
        <w:rPr>
          <w:lang w:val="fr-FR"/>
        </w:rPr>
        <w:tab/>
      </w:r>
      <w:r w:rsidRPr="00AA135A">
        <w:rPr>
          <w:lang w:val="fr-FR"/>
        </w:rPr>
        <w:tab/>
      </w:r>
      <w:r>
        <w:rPr>
          <w:lang w:val="fr-FR"/>
        </w:rPr>
        <w:t>Recommandation tendant à améliorer la p</w:t>
      </w:r>
      <w:r w:rsidRPr="00B05260">
        <w:rPr>
          <w:lang w:val="fr-FR"/>
        </w:rPr>
        <w:t xml:space="preserve">rocédure de détermination </w:t>
      </w:r>
      <w:r w:rsidR="00B00296">
        <w:rPr>
          <w:lang w:val="fr-FR"/>
        </w:rPr>
        <w:br/>
      </w:r>
      <w:r w:rsidRPr="00B05260">
        <w:rPr>
          <w:lang w:val="fr-FR"/>
        </w:rPr>
        <w:t>du statut de réfugié</w:t>
      </w:r>
    </w:p>
    <w:p w14:paraId="33E62281" w14:textId="77777777" w:rsidR="006D4345" w:rsidRPr="00213651" w:rsidRDefault="006D4345" w:rsidP="006D4345">
      <w:pPr>
        <w:pStyle w:val="SingleTxtG"/>
        <w:rPr>
          <w:lang w:val="fr-FR"/>
        </w:rPr>
      </w:pPr>
      <w:r w:rsidRPr="00B05260">
        <w:rPr>
          <w:lang w:val="fr-FR"/>
        </w:rPr>
        <w:t>29.</w:t>
      </w:r>
      <w:r w:rsidRPr="00B05260">
        <w:rPr>
          <w:lang w:val="fr-FR"/>
        </w:rPr>
        <w:tab/>
        <w:t xml:space="preserve">L’Unité </w:t>
      </w:r>
      <w:r>
        <w:rPr>
          <w:lang w:val="fr-FR"/>
        </w:rPr>
        <w:t>de</w:t>
      </w:r>
      <w:r w:rsidRPr="00B05260">
        <w:rPr>
          <w:lang w:val="fr-FR"/>
        </w:rPr>
        <w:t xml:space="preserve"> détermination</w:t>
      </w:r>
      <w:r>
        <w:rPr>
          <w:lang w:val="fr-FR"/>
        </w:rPr>
        <w:t xml:space="preserve"> </w:t>
      </w:r>
      <w:r w:rsidRPr="00B05260">
        <w:rPr>
          <w:lang w:val="fr-FR"/>
        </w:rPr>
        <w:t>du statut de réfug</w:t>
      </w:r>
      <w:r>
        <w:rPr>
          <w:lang w:val="fr-FR"/>
        </w:rPr>
        <w:t>ié, qui relève de l’Autorité</w:t>
      </w:r>
      <w:r w:rsidRPr="00B05260">
        <w:rPr>
          <w:lang w:val="fr-FR"/>
        </w:rPr>
        <w:t xml:space="preserve"> de la population et de l’immigration,</w:t>
      </w:r>
      <w:r w:rsidRPr="00A736E8">
        <w:rPr>
          <w:lang w:val="fr-FR"/>
        </w:rPr>
        <w:t xml:space="preserve"> </w:t>
      </w:r>
      <w:r>
        <w:rPr>
          <w:lang w:val="fr-FR"/>
        </w:rPr>
        <w:t>est chargée</w:t>
      </w:r>
      <w:r w:rsidRPr="00A736E8">
        <w:rPr>
          <w:lang w:val="fr-FR"/>
        </w:rPr>
        <w:t xml:space="preserve"> </w:t>
      </w:r>
      <w:r>
        <w:rPr>
          <w:lang w:val="fr-FR"/>
        </w:rPr>
        <w:t>d’examiner les</w:t>
      </w:r>
      <w:r w:rsidRPr="00A736E8">
        <w:rPr>
          <w:lang w:val="fr-FR"/>
        </w:rPr>
        <w:t xml:space="preserve"> demandes d</w:t>
      </w:r>
      <w:r>
        <w:rPr>
          <w:lang w:val="fr-FR"/>
        </w:rPr>
        <w:t>’</w:t>
      </w:r>
      <w:r w:rsidRPr="00A736E8">
        <w:rPr>
          <w:lang w:val="fr-FR"/>
        </w:rPr>
        <w:t>asile en Israël. L</w:t>
      </w:r>
      <w:r>
        <w:rPr>
          <w:lang w:val="fr-FR"/>
        </w:rPr>
        <w:t>es</w:t>
      </w:r>
      <w:r w:rsidRPr="00A736E8">
        <w:rPr>
          <w:lang w:val="fr-FR"/>
        </w:rPr>
        <w:t xml:space="preserve"> </w:t>
      </w:r>
      <w:r>
        <w:rPr>
          <w:lang w:val="fr-FR"/>
        </w:rPr>
        <w:t>modalités</w:t>
      </w:r>
      <w:r w:rsidRPr="00A736E8">
        <w:rPr>
          <w:lang w:val="fr-FR"/>
        </w:rPr>
        <w:t xml:space="preserve"> de détermination du statut de réfugié </w:t>
      </w:r>
      <w:r>
        <w:rPr>
          <w:lang w:val="fr-FR"/>
        </w:rPr>
        <w:t xml:space="preserve">sont </w:t>
      </w:r>
      <w:r w:rsidRPr="00A736E8">
        <w:rPr>
          <w:lang w:val="fr-FR"/>
        </w:rPr>
        <w:t>énoncé</w:t>
      </w:r>
      <w:r>
        <w:rPr>
          <w:lang w:val="fr-FR"/>
        </w:rPr>
        <w:t>es</w:t>
      </w:r>
      <w:r w:rsidRPr="00A736E8">
        <w:rPr>
          <w:lang w:val="fr-FR"/>
        </w:rPr>
        <w:t xml:space="preserve"> dans la Procédure n</w:t>
      </w:r>
      <w:r w:rsidRPr="00A736E8">
        <w:rPr>
          <w:vertAlign w:val="superscript"/>
          <w:lang w:val="fr-FR"/>
        </w:rPr>
        <w:t>o</w:t>
      </w:r>
      <w:r w:rsidRPr="00A736E8">
        <w:rPr>
          <w:lang w:val="fr-FR"/>
        </w:rPr>
        <w:t> 5.2.0012</w:t>
      </w:r>
      <w:r>
        <w:rPr>
          <w:lang w:val="fr-FR"/>
        </w:rPr>
        <w:t xml:space="preserve"> </w:t>
      </w:r>
      <w:r w:rsidRPr="00A736E8">
        <w:rPr>
          <w:lang w:val="fr-FR"/>
        </w:rPr>
        <w:t>qui régit</w:t>
      </w:r>
      <w:r>
        <w:rPr>
          <w:lang w:val="fr-FR"/>
        </w:rPr>
        <w:t xml:space="preserve"> la détermination, par le </w:t>
      </w:r>
      <w:r w:rsidRPr="00F066B5">
        <w:rPr>
          <w:lang w:val="fr-FR"/>
        </w:rPr>
        <w:t>Ministre de l’intérieur</w:t>
      </w:r>
      <w:r>
        <w:rPr>
          <w:lang w:val="fr-FR"/>
        </w:rPr>
        <w:t xml:space="preserve">, du statut des demandeurs d’asile et des réfugiés, </w:t>
      </w:r>
      <w:r w:rsidRPr="00F066B5">
        <w:rPr>
          <w:lang w:val="fr-FR"/>
        </w:rPr>
        <w:t>conformément à la Convention de 1951 relative au statut des réfugiés</w:t>
      </w:r>
      <w:r>
        <w:rPr>
          <w:lang w:val="fr-FR"/>
        </w:rPr>
        <w:t xml:space="preserve"> et au Protocole de 1967 </w:t>
      </w:r>
      <w:r w:rsidRPr="00F066B5">
        <w:rPr>
          <w:lang w:val="fr-FR"/>
        </w:rPr>
        <w:t>relatif au statut des réfugiés</w:t>
      </w:r>
      <w:r>
        <w:rPr>
          <w:lang w:val="fr-FR"/>
        </w:rPr>
        <w:t>. Cet examen est mené dans le respect du droit israélien et tient compte des engagements pris par l’État au titre de la Convention relative au statut des réfugiés</w:t>
      </w:r>
      <w:r w:rsidRPr="00213651">
        <w:rPr>
          <w:lang w:val="fr-FR"/>
        </w:rPr>
        <w:t>.</w:t>
      </w:r>
    </w:p>
    <w:p w14:paraId="1EC685DB" w14:textId="77777777" w:rsidR="006D4345" w:rsidRPr="005718DE" w:rsidRDefault="006D4345" w:rsidP="006D4345">
      <w:pPr>
        <w:pStyle w:val="SingleTxtG"/>
        <w:rPr>
          <w:lang w:val="fr-FR"/>
        </w:rPr>
      </w:pPr>
      <w:r w:rsidRPr="005718DE">
        <w:rPr>
          <w:lang w:val="fr-FR"/>
        </w:rPr>
        <w:t>30.</w:t>
      </w:r>
      <w:r w:rsidRPr="005718DE">
        <w:rPr>
          <w:lang w:val="fr-FR"/>
        </w:rPr>
        <w:tab/>
        <w:t xml:space="preserve">Le 23 juin 2021, la Procédure </w:t>
      </w:r>
      <w:r w:rsidRPr="00352BA4">
        <w:rPr>
          <w:lang w:val="fr-FR"/>
        </w:rPr>
        <w:t>de détermination du statut de réfugié</w:t>
      </w:r>
      <w:r w:rsidRPr="005718DE">
        <w:rPr>
          <w:lang w:val="fr-FR"/>
        </w:rPr>
        <w:t xml:space="preserve"> a été mise à jour dans le but d’améliorer </w:t>
      </w:r>
      <w:r>
        <w:rPr>
          <w:lang w:val="fr-FR"/>
        </w:rPr>
        <w:t>les services proposés aux</w:t>
      </w:r>
      <w:r w:rsidRPr="007A47C6">
        <w:rPr>
          <w:lang w:val="fr-FR"/>
        </w:rPr>
        <w:t xml:space="preserve"> demandeurs d</w:t>
      </w:r>
      <w:r>
        <w:rPr>
          <w:lang w:val="fr-FR"/>
        </w:rPr>
        <w:t>’</w:t>
      </w:r>
      <w:r w:rsidRPr="007A47C6">
        <w:rPr>
          <w:lang w:val="fr-FR"/>
        </w:rPr>
        <w:t xml:space="preserve">asile ainsi que </w:t>
      </w:r>
      <w:r>
        <w:rPr>
          <w:lang w:val="fr-FR"/>
        </w:rPr>
        <w:t>l’</w:t>
      </w:r>
      <w:r w:rsidRPr="007A47C6">
        <w:rPr>
          <w:lang w:val="fr-FR"/>
        </w:rPr>
        <w:t xml:space="preserve">efficacité et </w:t>
      </w:r>
      <w:r>
        <w:rPr>
          <w:lang w:val="fr-FR"/>
        </w:rPr>
        <w:t>la rigueur</w:t>
      </w:r>
      <w:r w:rsidRPr="007A47C6">
        <w:rPr>
          <w:lang w:val="fr-FR"/>
        </w:rPr>
        <w:t xml:space="preserve"> </w:t>
      </w:r>
      <w:r>
        <w:rPr>
          <w:lang w:val="fr-FR"/>
        </w:rPr>
        <w:t>de la procédure</w:t>
      </w:r>
      <w:r w:rsidRPr="007A47C6">
        <w:rPr>
          <w:lang w:val="fr-FR"/>
        </w:rPr>
        <w:t xml:space="preserve"> de détermination </w:t>
      </w:r>
      <w:r>
        <w:rPr>
          <w:lang w:val="fr-FR"/>
        </w:rPr>
        <w:t>elle</w:t>
      </w:r>
      <w:r>
        <w:rPr>
          <w:lang w:val="fr-FR"/>
        </w:rPr>
        <w:noBreakHyphen/>
      </w:r>
      <w:r w:rsidRPr="007A47C6">
        <w:rPr>
          <w:lang w:val="fr-FR"/>
        </w:rPr>
        <w:t>même</w:t>
      </w:r>
      <w:r>
        <w:rPr>
          <w:lang w:val="fr-FR"/>
        </w:rPr>
        <w:t xml:space="preserve">. On a veillé à trouver un équilibre entre </w:t>
      </w:r>
      <w:r w:rsidRPr="007A47C6">
        <w:rPr>
          <w:lang w:val="fr-FR"/>
        </w:rPr>
        <w:t xml:space="preserve">les considérations pertinentes et </w:t>
      </w:r>
      <w:r>
        <w:rPr>
          <w:lang w:val="fr-FR"/>
        </w:rPr>
        <w:t xml:space="preserve">à rendre la procédure aussi </w:t>
      </w:r>
      <w:r w:rsidRPr="007A47C6">
        <w:rPr>
          <w:lang w:val="fr-FR"/>
        </w:rPr>
        <w:t xml:space="preserve">efficace </w:t>
      </w:r>
      <w:r>
        <w:rPr>
          <w:lang w:val="fr-FR"/>
        </w:rPr>
        <w:t xml:space="preserve">et opérante que </w:t>
      </w:r>
      <w:r w:rsidRPr="007A47C6">
        <w:rPr>
          <w:lang w:val="fr-FR"/>
        </w:rPr>
        <w:t>possible</w:t>
      </w:r>
      <w:r>
        <w:rPr>
          <w:lang w:val="fr-FR"/>
        </w:rPr>
        <w:t>.</w:t>
      </w:r>
    </w:p>
    <w:p w14:paraId="4109F7FA" w14:textId="77777777" w:rsidR="006D4345" w:rsidRPr="005718DE" w:rsidRDefault="006D4345" w:rsidP="006D4345">
      <w:pPr>
        <w:pStyle w:val="SingleTxtG"/>
        <w:rPr>
          <w:lang w:val="fr-FR"/>
        </w:rPr>
      </w:pPr>
      <w:r w:rsidRPr="002E2AA2">
        <w:rPr>
          <w:lang w:val="fr-FR"/>
        </w:rPr>
        <w:t>31.</w:t>
      </w:r>
      <w:r w:rsidRPr="002E2AA2">
        <w:rPr>
          <w:lang w:val="fr-FR"/>
        </w:rPr>
        <w:tab/>
      </w:r>
      <w:r>
        <w:rPr>
          <w:lang w:val="fr-FR"/>
        </w:rPr>
        <w:t>La</w:t>
      </w:r>
      <w:r w:rsidRPr="002E2AA2">
        <w:rPr>
          <w:lang w:val="fr-FR"/>
        </w:rPr>
        <w:t xml:space="preserve"> Procédure a été présentée au public </w:t>
      </w:r>
      <w:r>
        <w:rPr>
          <w:lang w:val="fr-FR"/>
        </w:rPr>
        <w:t xml:space="preserve">et </w:t>
      </w:r>
      <w:r w:rsidRPr="002E2AA2">
        <w:rPr>
          <w:lang w:val="fr-FR"/>
        </w:rPr>
        <w:t>aux organismes concernés par</w:t>
      </w:r>
      <w:r>
        <w:rPr>
          <w:lang w:val="fr-FR"/>
        </w:rPr>
        <w:t xml:space="preserve"> </w:t>
      </w:r>
      <w:r w:rsidRPr="002E2AA2">
        <w:rPr>
          <w:lang w:val="fr-FR"/>
        </w:rPr>
        <w:t xml:space="preserve">divers aspects </w:t>
      </w:r>
      <w:r>
        <w:rPr>
          <w:lang w:val="fr-FR"/>
        </w:rPr>
        <w:t>de la procédure</w:t>
      </w:r>
      <w:r w:rsidRPr="002E2AA2">
        <w:rPr>
          <w:lang w:val="fr-FR"/>
        </w:rPr>
        <w:t xml:space="preserve"> d</w:t>
      </w:r>
      <w:r>
        <w:rPr>
          <w:lang w:val="fr-FR"/>
        </w:rPr>
        <w:t>’</w:t>
      </w:r>
      <w:r w:rsidRPr="002E2AA2">
        <w:rPr>
          <w:lang w:val="fr-FR"/>
        </w:rPr>
        <w:t>asile, notamment le</w:t>
      </w:r>
      <w:r w:rsidRPr="007A7B8A">
        <w:rPr>
          <w:lang w:val="fr-FR"/>
        </w:rPr>
        <w:t xml:space="preserve"> Haut</w:t>
      </w:r>
      <w:r w:rsidRPr="007A7B8A">
        <w:rPr>
          <w:lang w:val="fr-FR"/>
        </w:rPr>
        <w:noBreakHyphen/>
        <w:t>Commissariat des Nations Unies pour les réfugiés et la société civile.</w:t>
      </w:r>
      <w:r>
        <w:rPr>
          <w:lang w:val="fr-FR"/>
        </w:rPr>
        <w:t xml:space="preserve"> Avant d’entrer en vigueur, elle</w:t>
      </w:r>
      <w:r w:rsidRPr="005718DE">
        <w:rPr>
          <w:lang w:val="fr-FR"/>
        </w:rPr>
        <w:t xml:space="preserve"> a été modifiée </w:t>
      </w:r>
      <w:r>
        <w:rPr>
          <w:lang w:val="fr-FR"/>
        </w:rPr>
        <w:t xml:space="preserve">au terme d’un dialogue avec les </w:t>
      </w:r>
      <w:r w:rsidRPr="002E2AA2">
        <w:rPr>
          <w:lang w:val="fr-FR"/>
        </w:rPr>
        <w:t>organismes concernés</w:t>
      </w:r>
      <w:r>
        <w:rPr>
          <w:lang w:val="fr-FR"/>
        </w:rPr>
        <w:t>.</w:t>
      </w:r>
    </w:p>
    <w:p w14:paraId="367B0E5C" w14:textId="7CAFCC4E" w:rsidR="006D4345" w:rsidRPr="00BF6422" w:rsidRDefault="006D4345" w:rsidP="00B00296">
      <w:pPr>
        <w:pStyle w:val="H23G"/>
        <w:rPr>
          <w:rtl/>
        </w:rPr>
      </w:pPr>
      <w:r w:rsidRPr="005718DE">
        <w:rPr>
          <w:lang w:val="fr-FR"/>
        </w:rPr>
        <w:tab/>
      </w:r>
      <w:r w:rsidRPr="005718DE">
        <w:rPr>
          <w:lang w:val="fr-FR"/>
        </w:rPr>
        <w:tab/>
      </w:r>
      <w:r>
        <w:rPr>
          <w:lang w:val="fr-FR"/>
        </w:rPr>
        <w:t>Recommandation tendant à autoriser l’ac</w:t>
      </w:r>
      <w:r w:rsidRPr="0095765B">
        <w:rPr>
          <w:lang w:val="fr-FR"/>
        </w:rPr>
        <w:t xml:space="preserve">cès des demandeurs d’asile </w:t>
      </w:r>
      <w:r w:rsidR="007C7DBD">
        <w:rPr>
          <w:lang w:val="fr-FR"/>
        </w:rPr>
        <w:br/>
      </w:r>
      <w:r w:rsidRPr="0095765B">
        <w:rPr>
          <w:lang w:val="fr-FR"/>
        </w:rPr>
        <w:t>au marché du travail</w:t>
      </w:r>
    </w:p>
    <w:p w14:paraId="29E29F6A" w14:textId="77777777" w:rsidR="006D4345" w:rsidRPr="00D46D9B" w:rsidRDefault="006D4345" w:rsidP="006D4345">
      <w:pPr>
        <w:pStyle w:val="SingleTxtG"/>
        <w:rPr>
          <w:lang w:val="fr-FR"/>
        </w:rPr>
      </w:pPr>
      <w:r w:rsidRPr="001B2B26">
        <w:rPr>
          <w:lang w:val="fr-FR"/>
        </w:rPr>
        <w:t>32.</w:t>
      </w:r>
      <w:r w:rsidRPr="001B2B26">
        <w:rPr>
          <w:lang w:val="fr-FR"/>
        </w:rPr>
        <w:tab/>
      </w:r>
      <w:r>
        <w:rPr>
          <w:lang w:val="fr-FR"/>
        </w:rPr>
        <w:t>En application de l’article </w:t>
      </w:r>
      <w:r w:rsidRPr="001B2B26">
        <w:rPr>
          <w:lang w:val="fr-FR"/>
        </w:rPr>
        <w:t>2</w:t>
      </w:r>
      <w:r>
        <w:rPr>
          <w:lang w:val="fr-FR"/>
        </w:rPr>
        <w:t> </w:t>
      </w:r>
      <w:r w:rsidRPr="001B2B26">
        <w:rPr>
          <w:lang w:val="fr-FR"/>
        </w:rPr>
        <w:t>a)</w:t>
      </w:r>
      <w:r>
        <w:rPr>
          <w:lang w:val="fr-FR"/>
        </w:rPr>
        <w:t> </w:t>
      </w:r>
      <w:r w:rsidRPr="001B2B26">
        <w:rPr>
          <w:lang w:val="fr-FR"/>
        </w:rPr>
        <w:t xml:space="preserve">5) </w:t>
      </w:r>
      <w:r>
        <w:rPr>
          <w:lang w:val="fr-FR"/>
        </w:rPr>
        <w:t>de la loi n</w:t>
      </w:r>
      <w:r w:rsidRPr="001B2B26">
        <w:rPr>
          <w:vertAlign w:val="superscript"/>
          <w:lang w:val="fr-FR"/>
        </w:rPr>
        <w:t>o</w:t>
      </w:r>
      <w:r>
        <w:rPr>
          <w:lang w:val="fr-FR"/>
        </w:rPr>
        <w:t> </w:t>
      </w:r>
      <w:r w:rsidRPr="001B2B26">
        <w:rPr>
          <w:lang w:val="fr-FR"/>
        </w:rPr>
        <w:t>5712</w:t>
      </w:r>
      <w:r>
        <w:rPr>
          <w:lang w:val="fr-FR"/>
        </w:rPr>
        <w:noBreakHyphen/>
      </w:r>
      <w:r w:rsidRPr="001B2B26">
        <w:rPr>
          <w:lang w:val="fr-FR"/>
        </w:rPr>
        <w:t>1952</w:t>
      </w:r>
      <w:r>
        <w:rPr>
          <w:lang w:val="fr-FR"/>
        </w:rPr>
        <w:t xml:space="preserve"> relative à l’entrée en Israël,</w:t>
      </w:r>
      <w:r w:rsidRPr="001B2B26">
        <w:rPr>
          <w:lang w:val="fr-FR"/>
        </w:rPr>
        <w:t xml:space="preserve"> </w:t>
      </w:r>
      <w:r>
        <w:rPr>
          <w:lang w:val="fr-FR"/>
        </w:rPr>
        <w:t>l</w:t>
      </w:r>
      <w:r w:rsidRPr="001B2B26">
        <w:rPr>
          <w:lang w:val="fr-FR"/>
        </w:rPr>
        <w:t xml:space="preserve">es demandeurs d’asile </w:t>
      </w:r>
      <w:r>
        <w:rPr>
          <w:lang w:val="fr-FR"/>
        </w:rPr>
        <w:t>se voient délivrer</w:t>
      </w:r>
      <w:r w:rsidRPr="001B2B26">
        <w:rPr>
          <w:lang w:val="fr-FR"/>
        </w:rPr>
        <w:t xml:space="preserve"> des permis de séjour temporaires qui ne sont pas considéré</w:t>
      </w:r>
      <w:r>
        <w:rPr>
          <w:lang w:val="fr-FR"/>
        </w:rPr>
        <w:t xml:space="preserve">s comme des permis de travail. </w:t>
      </w:r>
      <w:r w:rsidRPr="00B458BD">
        <w:rPr>
          <w:lang w:val="fr-FR"/>
        </w:rPr>
        <w:t>Or, dans le contexte d</w:t>
      </w:r>
      <w:r>
        <w:rPr>
          <w:lang w:val="fr-FR"/>
        </w:rPr>
        <w:t>u</w:t>
      </w:r>
      <w:r w:rsidRPr="00B458BD">
        <w:rPr>
          <w:lang w:val="fr-FR"/>
        </w:rPr>
        <w:t xml:space="preserve"> jugement </w:t>
      </w:r>
      <w:r>
        <w:rPr>
          <w:lang w:val="fr-FR"/>
        </w:rPr>
        <w:t>n</w:t>
      </w:r>
      <w:r w:rsidRPr="0068249B">
        <w:rPr>
          <w:vertAlign w:val="superscript"/>
          <w:lang w:val="fr-FR"/>
        </w:rPr>
        <w:t>o</w:t>
      </w:r>
      <w:r>
        <w:rPr>
          <w:lang w:val="fr-FR"/>
        </w:rPr>
        <w:t> </w:t>
      </w:r>
      <w:r w:rsidRPr="0068249B">
        <w:rPr>
          <w:lang w:val="fr-FR"/>
        </w:rPr>
        <w:t xml:space="preserve">6312/10 </w:t>
      </w:r>
      <w:r w:rsidRPr="00B458BD">
        <w:rPr>
          <w:lang w:val="fr-FR"/>
        </w:rPr>
        <w:t>rendu par la Haute Cour de ju</w:t>
      </w:r>
      <w:r>
        <w:rPr>
          <w:lang w:val="fr-FR"/>
        </w:rPr>
        <w:t>s</w:t>
      </w:r>
      <w:r w:rsidRPr="00B458BD">
        <w:rPr>
          <w:lang w:val="fr-FR"/>
        </w:rPr>
        <w:t>tice</w:t>
      </w:r>
      <w:r>
        <w:rPr>
          <w:lang w:val="fr-FR"/>
        </w:rPr>
        <w:t xml:space="preserve"> dans l’affaire </w:t>
      </w:r>
      <w:r w:rsidRPr="0068249B">
        <w:rPr>
          <w:i/>
          <w:iCs/>
          <w:lang w:val="fr-FR"/>
        </w:rPr>
        <w:t>Kav L</w:t>
      </w:r>
      <w:r>
        <w:rPr>
          <w:i/>
          <w:iCs/>
          <w:lang w:val="fr-FR"/>
        </w:rPr>
        <w:t>a</w:t>
      </w:r>
      <w:r w:rsidRPr="0068249B">
        <w:rPr>
          <w:i/>
          <w:iCs/>
          <w:lang w:val="fr-FR"/>
        </w:rPr>
        <w:t xml:space="preserve">’Oved </w:t>
      </w:r>
      <w:r>
        <w:rPr>
          <w:i/>
          <w:iCs/>
          <w:lang w:val="fr-FR"/>
        </w:rPr>
        <w:t>c. le Gouvernement</w:t>
      </w:r>
      <w:r w:rsidRPr="0068249B">
        <w:rPr>
          <w:i/>
          <w:iCs/>
          <w:lang w:val="fr-FR"/>
        </w:rPr>
        <w:t xml:space="preserve"> </w:t>
      </w:r>
      <w:r>
        <w:rPr>
          <w:i/>
          <w:iCs/>
          <w:lang w:val="fr-FR"/>
        </w:rPr>
        <w:t>i</w:t>
      </w:r>
      <w:r w:rsidRPr="0068249B">
        <w:rPr>
          <w:i/>
          <w:iCs/>
          <w:lang w:val="fr-FR"/>
        </w:rPr>
        <w:t>sraél</w:t>
      </w:r>
      <w:r>
        <w:rPr>
          <w:i/>
          <w:iCs/>
          <w:lang w:val="fr-FR"/>
        </w:rPr>
        <w:t>ien</w:t>
      </w:r>
      <w:r w:rsidRPr="0068249B">
        <w:rPr>
          <w:lang w:val="fr-FR"/>
        </w:rPr>
        <w:t>,</w:t>
      </w:r>
      <w:r>
        <w:rPr>
          <w:lang w:val="fr-FR"/>
        </w:rPr>
        <w:t xml:space="preserve"> l’État a déclaré que, malgré ce statut juridique, aucune mesure ne serait prise dans la pratique contre l’emploi de demandeurs d’asile</w:t>
      </w:r>
      <w:r w:rsidRPr="00D1477B">
        <w:rPr>
          <w:lang w:val="fr-FR"/>
        </w:rPr>
        <w:t xml:space="preserve">. </w:t>
      </w:r>
      <w:r>
        <w:rPr>
          <w:lang w:val="fr-FR"/>
        </w:rPr>
        <w:t xml:space="preserve">Cette déclaration a été confirmée par les </w:t>
      </w:r>
      <w:r w:rsidRPr="00352BA4">
        <w:rPr>
          <w:lang w:val="fr-FR"/>
        </w:rPr>
        <w:t>article</w:t>
      </w:r>
      <w:r>
        <w:rPr>
          <w:lang w:val="fr-FR"/>
        </w:rPr>
        <w:t>s</w:t>
      </w:r>
      <w:r w:rsidRPr="00352BA4">
        <w:rPr>
          <w:lang w:val="fr-FR"/>
        </w:rPr>
        <w:t xml:space="preserve"> 1 e) et 1 f) de la </w:t>
      </w:r>
      <w:r>
        <w:rPr>
          <w:lang w:val="fr-FR"/>
        </w:rPr>
        <w:t>P</w:t>
      </w:r>
      <w:r w:rsidRPr="00352BA4">
        <w:rPr>
          <w:lang w:val="fr-FR"/>
        </w:rPr>
        <w:t xml:space="preserve">rocédure de détermination du statut de réfugié. </w:t>
      </w:r>
      <w:r w:rsidRPr="00D46D9B">
        <w:rPr>
          <w:lang w:val="fr-FR"/>
        </w:rPr>
        <w:t>Par conséquent, les demandeurs d’asile peuvent accéder au</w:t>
      </w:r>
      <w:r>
        <w:rPr>
          <w:lang w:val="fr-FR"/>
        </w:rPr>
        <w:t xml:space="preserve"> marché du travail et leur droit à l’emploi est de ce fait protégé par la législation nationale relative au travail.</w:t>
      </w:r>
    </w:p>
    <w:p w14:paraId="760A5DA0" w14:textId="77777777" w:rsidR="006D4345" w:rsidRPr="001B79BA" w:rsidRDefault="006D4345" w:rsidP="00B00296">
      <w:pPr>
        <w:pStyle w:val="H23G"/>
        <w:rPr>
          <w:lang w:val="fr-FR"/>
        </w:rPr>
      </w:pPr>
      <w:r w:rsidRPr="00D46D9B">
        <w:rPr>
          <w:lang w:val="fr-FR"/>
        </w:rPr>
        <w:tab/>
      </w:r>
      <w:r w:rsidRPr="00D46D9B">
        <w:rPr>
          <w:lang w:val="fr-FR"/>
        </w:rPr>
        <w:tab/>
      </w:r>
      <w:r>
        <w:rPr>
          <w:lang w:val="fr-FR"/>
        </w:rPr>
        <w:t>Recommandation tendant à élargir l’accès aux p</w:t>
      </w:r>
      <w:r w:rsidRPr="001B79BA">
        <w:rPr>
          <w:lang w:val="fr-FR"/>
        </w:rPr>
        <w:t>restations sociales</w:t>
      </w:r>
    </w:p>
    <w:p w14:paraId="06B6C534" w14:textId="77777777" w:rsidR="006D4345" w:rsidRPr="00EC7AF5" w:rsidRDefault="006D4345" w:rsidP="006D4345">
      <w:pPr>
        <w:pStyle w:val="SingleTxtG"/>
        <w:rPr>
          <w:lang w:val="fr-FR"/>
        </w:rPr>
      </w:pPr>
      <w:r w:rsidRPr="001B79BA">
        <w:rPr>
          <w:lang w:val="fr-FR"/>
        </w:rPr>
        <w:t>33.</w:t>
      </w:r>
      <w:r w:rsidRPr="001B79BA">
        <w:rPr>
          <w:lang w:val="fr-FR"/>
        </w:rPr>
        <w:tab/>
        <w:t>Selon l</w:t>
      </w:r>
      <w:r>
        <w:rPr>
          <w:lang w:val="fr-FR"/>
        </w:rPr>
        <w:t>a circulaire n</w:t>
      </w:r>
      <w:r w:rsidRPr="00470D73">
        <w:rPr>
          <w:vertAlign w:val="superscript"/>
          <w:lang w:val="fr-FR"/>
        </w:rPr>
        <w:t>o</w:t>
      </w:r>
      <w:r>
        <w:rPr>
          <w:lang w:val="fr-FR"/>
        </w:rPr>
        <w:t> 100 du Directeur général du</w:t>
      </w:r>
      <w:r w:rsidRPr="001B79BA">
        <w:rPr>
          <w:lang w:val="fr-FR"/>
        </w:rPr>
        <w:t xml:space="preserve"> Ministère </w:t>
      </w:r>
      <w:r>
        <w:rPr>
          <w:lang w:val="fr-FR"/>
        </w:rPr>
        <w:t xml:space="preserve">de la protection et des affaires sociales relative aux enfants à risque et à leur famille, tous les </w:t>
      </w:r>
      <w:r w:rsidRPr="00F23C07">
        <w:rPr>
          <w:lang w:val="fr-FR"/>
        </w:rPr>
        <w:t>enfant</w:t>
      </w:r>
      <w:r>
        <w:rPr>
          <w:lang w:val="fr-FR"/>
        </w:rPr>
        <w:t>s</w:t>
      </w:r>
      <w:r w:rsidRPr="00F23C07">
        <w:rPr>
          <w:lang w:val="fr-FR"/>
        </w:rPr>
        <w:t xml:space="preserve"> handicapé</w:t>
      </w:r>
      <w:r>
        <w:rPr>
          <w:lang w:val="fr-FR"/>
        </w:rPr>
        <w:t>s</w:t>
      </w:r>
      <w:r w:rsidRPr="00F23C07">
        <w:rPr>
          <w:lang w:val="fr-FR"/>
        </w:rPr>
        <w:t xml:space="preserve"> et </w:t>
      </w:r>
      <w:r>
        <w:rPr>
          <w:lang w:val="fr-FR"/>
        </w:rPr>
        <w:t xml:space="preserve">leur </w:t>
      </w:r>
      <w:r w:rsidRPr="00F23C07">
        <w:rPr>
          <w:lang w:val="fr-FR"/>
        </w:rPr>
        <w:t>famille</w:t>
      </w:r>
      <w:r>
        <w:rPr>
          <w:lang w:val="fr-FR"/>
        </w:rPr>
        <w:t xml:space="preserve"> ont accès à la totalité des services dont bénéficie tout mineur enregistré à l’état civil. </w:t>
      </w:r>
      <w:r w:rsidRPr="00EC7AF5">
        <w:rPr>
          <w:lang w:val="fr-FR"/>
        </w:rPr>
        <w:t xml:space="preserve">En application de cette directive, un budget </w:t>
      </w:r>
      <w:r>
        <w:rPr>
          <w:lang w:val="fr-FR"/>
        </w:rPr>
        <w:t xml:space="preserve">annuel </w:t>
      </w:r>
      <w:r w:rsidRPr="00EC7AF5">
        <w:rPr>
          <w:lang w:val="fr-FR"/>
        </w:rPr>
        <w:t>de cinq millions de nouveaux shekels (environ 1,38 million de dol</w:t>
      </w:r>
      <w:r>
        <w:rPr>
          <w:lang w:val="fr-FR"/>
        </w:rPr>
        <w:t>lars des États</w:t>
      </w:r>
      <w:r>
        <w:rPr>
          <w:lang w:val="fr-FR"/>
        </w:rPr>
        <w:noBreakHyphen/>
        <w:t>Unis</w:t>
      </w:r>
      <w:r w:rsidRPr="00EC7AF5">
        <w:rPr>
          <w:lang w:val="fr-FR"/>
        </w:rPr>
        <w:t xml:space="preserve">) </w:t>
      </w:r>
      <w:r>
        <w:rPr>
          <w:lang w:val="fr-FR"/>
        </w:rPr>
        <w:t>est consacré à des initiatives communautaires en faveur de ces enfants et de leur famille</w:t>
      </w:r>
      <w:r w:rsidRPr="00EC7AF5">
        <w:rPr>
          <w:lang w:val="fr-FR"/>
        </w:rPr>
        <w:t>.</w:t>
      </w:r>
    </w:p>
    <w:p w14:paraId="2CB81BF5" w14:textId="75C87AC2" w:rsidR="006D4345" w:rsidRPr="00D04DE5" w:rsidRDefault="006D4345" w:rsidP="006D4345">
      <w:pPr>
        <w:pStyle w:val="SingleTxtG"/>
        <w:rPr>
          <w:rtl/>
          <w:lang w:val="fr-FR"/>
        </w:rPr>
      </w:pPr>
      <w:r w:rsidRPr="00635CFE">
        <w:rPr>
          <w:lang w:val="fr-FR"/>
        </w:rPr>
        <w:t>34.</w:t>
      </w:r>
      <w:r w:rsidRPr="00635CFE">
        <w:rPr>
          <w:lang w:val="fr-FR"/>
        </w:rPr>
        <w:tab/>
        <w:t xml:space="preserve">En outre, </w:t>
      </w:r>
      <w:r>
        <w:rPr>
          <w:lang w:val="fr-FR"/>
        </w:rPr>
        <w:t>le Gouvernement a pris plusieurs décisions afin de fournir des</w:t>
      </w:r>
      <w:r w:rsidRPr="00635CFE">
        <w:rPr>
          <w:lang w:val="fr-FR"/>
        </w:rPr>
        <w:t xml:space="preserve"> services de réadaptation à toutes les victimes de la traite </w:t>
      </w:r>
      <w:r>
        <w:rPr>
          <w:lang w:val="fr-FR"/>
        </w:rPr>
        <w:t>qui n’ont pas de</w:t>
      </w:r>
      <w:r w:rsidRPr="00635CFE">
        <w:rPr>
          <w:lang w:val="fr-FR"/>
        </w:rPr>
        <w:t xml:space="preserve"> documents d’état civil</w:t>
      </w:r>
      <w:r>
        <w:rPr>
          <w:lang w:val="fr-FR"/>
        </w:rPr>
        <w:t xml:space="preserve">. </w:t>
      </w:r>
      <w:r w:rsidRPr="00D04DE5">
        <w:rPr>
          <w:lang w:val="fr-FR"/>
        </w:rPr>
        <w:t>En</w:t>
      </w:r>
      <w:r w:rsidR="007C7DBD">
        <w:rPr>
          <w:lang w:val="fr-FR"/>
        </w:rPr>
        <w:t> </w:t>
      </w:r>
      <w:r w:rsidRPr="00D04DE5">
        <w:rPr>
          <w:lang w:val="fr-FR"/>
        </w:rPr>
        <w:t xml:space="preserve">application de ces </w:t>
      </w:r>
      <w:r>
        <w:rPr>
          <w:lang w:val="fr-FR"/>
        </w:rPr>
        <w:t>décisions</w:t>
      </w:r>
      <w:r w:rsidRPr="00D04DE5">
        <w:rPr>
          <w:lang w:val="fr-FR"/>
        </w:rPr>
        <w:t>, 580 000 nouveaux shekels (environ 160 000 dollars des États</w:t>
      </w:r>
      <w:r w:rsidRPr="00D04DE5">
        <w:rPr>
          <w:lang w:val="fr-FR"/>
        </w:rPr>
        <w:noBreakHyphen/>
        <w:t xml:space="preserve">Unis) </w:t>
      </w:r>
      <w:r>
        <w:rPr>
          <w:lang w:val="fr-FR"/>
        </w:rPr>
        <w:t xml:space="preserve">ont été alloués au </w:t>
      </w:r>
      <w:r w:rsidRPr="00D04DE5">
        <w:rPr>
          <w:lang w:val="fr-FR"/>
        </w:rPr>
        <w:t>centre d’accuei</w:t>
      </w:r>
      <w:r>
        <w:rPr>
          <w:lang w:val="fr-FR"/>
        </w:rPr>
        <w:t>l</w:t>
      </w:r>
      <w:r w:rsidRPr="00D04DE5">
        <w:rPr>
          <w:lang w:val="fr-FR"/>
        </w:rPr>
        <w:t xml:space="preserve"> de jour de Tel Aviv</w:t>
      </w:r>
      <w:r w:rsidRPr="00D04DE5">
        <w:rPr>
          <w:lang w:val="fr-FR"/>
        </w:rPr>
        <w:noBreakHyphen/>
        <w:t>Jaffa</w:t>
      </w:r>
      <w:r>
        <w:rPr>
          <w:lang w:val="fr-FR"/>
        </w:rPr>
        <w:t xml:space="preserve">, qui a disposé en 2020 d’un budget de </w:t>
      </w:r>
      <w:r w:rsidRPr="00D04DE5">
        <w:rPr>
          <w:lang w:val="fr-FR"/>
        </w:rPr>
        <w:t>771 400 nouveaux shekels (242 355 dollars des États</w:t>
      </w:r>
      <w:r w:rsidRPr="00D04DE5">
        <w:rPr>
          <w:lang w:val="fr-FR"/>
        </w:rPr>
        <w:noBreakHyphen/>
        <w:t xml:space="preserve">Unis). </w:t>
      </w:r>
      <w:r w:rsidRPr="00002AC4">
        <w:rPr>
          <w:lang w:val="fr-FR"/>
        </w:rPr>
        <w:t>Les</w:t>
      </w:r>
      <w:r w:rsidR="007C7DBD">
        <w:rPr>
          <w:lang w:val="fr-FR"/>
        </w:rPr>
        <w:t> </w:t>
      </w:r>
      <w:r w:rsidRPr="00002AC4">
        <w:rPr>
          <w:lang w:val="fr-FR"/>
        </w:rPr>
        <w:t>migrants qui ne peuvent pas être renvoyés dans leur pays d</w:t>
      </w:r>
      <w:r>
        <w:rPr>
          <w:lang w:val="fr-FR"/>
        </w:rPr>
        <w:t>’</w:t>
      </w:r>
      <w:r w:rsidRPr="00002AC4">
        <w:rPr>
          <w:lang w:val="fr-FR"/>
        </w:rPr>
        <w:t xml:space="preserve">origine et qui </w:t>
      </w:r>
      <w:r>
        <w:rPr>
          <w:lang w:val="fr-FR"/>
        </w:rPr>
        <w:t>ont été</w:t>
      </w:r>
      <w:r w:rsidRPr="00002AC4">
        <w:rPr>
          <w:lang w:val="fr-FR"/>
        </w:rPr>
        <w:t xml:space="preserve"> victimes de la traite ou de la torture sont </w:t>
      </w:r>
      <w:r>
        <w:rPr>
          <w:lang w:val="fr-FR"/>
        </w:rPr>
        <w:t xml:space="preserve">accueillis </w:t>
      </w:r>
      <w:r w:rsidRPr="00002AC4">
        <w:rPr>
          <w:lang w:val="fr-FR"/>
        </w:rPr>
        <w:t xml:space="preserve">dans </w:t>
      </w:r>
      <w:r>
        <w:rPr>
          <w:lang w:val="fr-FR"/>
        </w:rPr>
        <w:t>des foyers de ce type qui, depuis</w:t>
      </w:r>
      <w:r w:rsidRPr="00002AC4">
        <w:rPr>
          <w:lang w:val="fr-FR"/>
        </w:rPr>
        <w:t xml:space="preserve"> 2020</w:t>
      </w:r>
      <w:r>
        <w:rPr>
          <w:lang w:val="fr-FR"/>
        </w:rPr>
        <w:t>, hébergent également</w:t>
      </w:r>
      <w:r w:rsidRPr="00002AC4">
        <w:rPr>
          <w:lang w:val="fr-FR"/>
        </w:rPr>
        <w:t xml:space="preserve"> </w:t>
      </w:r>
      <w:r>
        <w:rPr>
          <w:lang w:val="fr-FR"/>
        </w:rPr>
        <w:t xml:space="preserve">des </w:t>
      </w:r>
      <w:r w:rsidRPr="00002AC4">
        <w:rPr>
          <w:lang w:val="fr-FR"/>
        </w:rPr>
        <w:t>victimes de la prostitution. Cet</w:t>
      </w:r>
      <w:r>
        <w:rPr>
          <w:lang w:val="fr-FR"/>
        </w:rPr>
        <w:t>te année</w:t>
      </w:r>
      <w:r>
        <w:rPr>
          <w:lang w:val="fr-FR"/>
        </w:rPr>
        <w:noBreakHyphen/>
        <w:t>là</w:t>
      </w:r>
      <w:r w:rsidRPr="00002AC4">
        <w:rPr>
          <w:lang w:val="fr-FR"/>
        </w:rPr>
        <w:t>, 14 femmes migrantes ont été accueilli</w:t>
      </w:r>
      <w:r>
        <w:rPr>
          <w:lang w:val="fr-FR"/>
        </w:rPr>
        <w:t>es</w:t>
      </w:r>
      <w:r w:rsidRPr="00002AC4">
        <w:rPr>
          <w:lang w:val="fr-FR"/>
        </w:rPr>
        <w:t xml:space="preserve"> dans un </w:t>
      </w:r>
      <w:r>
        <w:rPr>
          <w:lang w:val="fr-FR"/>
        </w:rPr>
        <w:t>centre de réadaptation des victimes de la prostitution</w:t>
      </w:r>
      <w:r w:rsidRPr="00002AC4">
        <w:rPr>
          <w:lang w:val="fr-FR"/>
        </w:rPr>
        <w:t xml:space="preserve"> </w:t>
      </w:r>
      <w:r>
        <w:rPr>
          <w:lang w:val="fr-FR"/>
        </w:rPr>
        <w:t>et dix autres femmes l’ont été en</w:t>
      </w:r>
      <w:r w:rsidRPr="00002AC4">
        <w:rPr>
          <w:lang w:val="fr-FR"/>
        </w:rPr>
        <w:t xml:space="preserve"> 2021 (</w:t>
      </w:r>
      <w:r>
        <w:rPr>
          <w:lang w:val="fr-FR"/>
        </w:rPr>
        <w:t>les derniers chiffres disponibles remontent à novembre</w:t>
      </w:r>
      <w:r w:rsidRPr="00002AC4">
        <w:rPr>
          <w:lang w:val="fr-FR"/>
        </w:rPr>
        <w:t>)</w:t>
      </w:r>
      <w:r>
        <w:rPr>
          <w:lang w:val="fr-FR"/>
        </w:rPr>
        <w:t>.</w:t>
      </w:r>
      <w:r w:rsidRPr="00002AC4">
        <w:rPr>
          <w:lang w:val="fr-FR"/>
        </w:rPr>
        <w:t xml:space="preserve"> </w:t>
      </w:r>
    </w:p>
    <w:p w14:paraId="2E154518" w14:textId="77777777" w:rsidR="006D4345" w:rsidRPr="00D01DBC" w:rsidRDefault="006D4345" w:rsidP="006D4345">
      <w:pPr>
        <w:pStyle w:val="SingleTxtG"/>
        <w:rPr>
          <w:rtl/>
          <w:lang w:val="fr-FR"/>
        </w:rPr>
      </w:pPr>
      <w:r w:rsidRPr="00DB7F86">
        <w:rPr>
          <w:lang w:val="fr-FR"/>
        </w:rPr>
        <w:t>35.</w:t>
      </w:r>
      <w:r w:rsidRPr="00470A7C">
        <w:rPr>
          <w:rtl/>
        </w:rPr>
        <w:tab/>
      </w:r>
      <w:r w:rsidRPr="00DB7F86">
        <w:rPr>
          <w:lang w:val="fr-FR"/>
        </w:rPr>
        <w:t>La circulaire n</w:t>
      </w:r>
      <w:r w:rsidRPr="00DB7F86">
        <w:rPr>
          <w:vertAlign w:val="superscript"/>
          <w:lang w:val="fr-FR"/>
        </w:rPr>
        <w:t>o</w:t>
      </w:r>
      <w:r w:rsidRPr="00DB7F86">
        <w:rPr>
          <w:lang w:val="fr-FR"/>
        </w:rPr>
        <w:t xml:space="preserve"> 168 du Directeur général du Ministère </w:t>
      </w:r>
      <w:r>
        <w:rPr>
          <w:lang w:val="fr-FR"/>
        </w:rPr>
        <w:t>de la protection</w:t>
      </w:r>
      <w:r w:rsidRPr="00DB7F86">
        <w:rPr>
          <w:lang w:val="fr-FR"/>
        </w:rPr>
        <w:t xml:space="preserve"> et des affaires sociales </w:t>
      </w:r>
      <w:r>
        <w:rPr>
          <w:lang w:val="fr-FR"/>
        </w:rPr>
        <w:t>régit la façon dont sont traités les</w:t>
      </w:r>
      <w:r w:rsidRPr="00DB7F86">
        <w:rPr>
          <w:lang w:val="fr-FR"/>
        </w:rPr>
        <w:t xml:space="preserve"> </w:t>
      </w:r>
      <w:r>
        <w:rPr>
          <w:lang w:val="fr-FR"/>
        </w:rPr>
        <w:t xml:space="preserve">migrants qui ne peuvent pas être renvoyés dans leur pays d’origine, </w:t>
      </w:r>
      <w:r w:rsidRPr="00DB7F86">
        <w:rPr>
          <w:lang w:val="fr-FR"/>
        </w:rPr>
        <w:t>en particulier les sans</w:t>
      </w:r>
      <w:r>
        <w:rPr>
          <w:lang w:val="fr-FR"/>
        </w:rPr>
        <w:noBreakHyphen/>
      </w:r>
      <w:r w:rsidRPr="00DB7F86">
        <w:rPr>
          <w:lang w:val="fr-FR"/>
        </w:rPr>
        <w:t xml:space="preserve">abri, les personnes handicapées et les femmes battues </w:t>
      </w:r>
      <w:r>
        <w:rPr>
          <w:lang w:val="fr-FR"/>
        </w:rPr>
        <w:t>vulnérables</w:t>
      </w:r>
      <w:r w:rsidRPr="00DB7F86">
        <w:rPr>
          <w:lang w:val="fr-FR"/>
        </w:rPr>
        <w:t>.</w:t>
      </w:r>
      <w:r>
        <w:rPr>
          <w:lang w:val="fr-FR"/>
        </w:rPr>
        <w:t xml:space="preserve"> En application de cette circulaire, le Ministère prend totalement en charge les placements en centres d’accueil, grâce à des subventions qui représentent un coût annuel de plus de </w:t>
      </w:r>
      <w:r w:rsidRPr="00D01DBC">
        <w:rPr>
          <w:lang w:val="fr-FR"/>
        </w:rPr>
        <w:t>10 millions de nouveaux shekels (environ 2,78 millions de dollars des États</w:t>
      </w:r>
      <w:r w:rsidRPr="00D01DBC">
        <w:rPr>
          <w:lang w:val="fr-FR"/>
        </w:rPr>
        <w:noBreakHyphen/>
        <w:t>Unis).</w:t>
      </w:r>
    </w:p>
    <w:p w14:paraId="01088150" w14:textId="77777777" w:rsidR="006D4345" w:rsidRPr="00D01DBC" w:rsidRDefault="006D4345" w:rsidP="006D4345">
      <w:pPr>
        <w:pStyle w:val="SingleTxtG"/>
        <w:rPr>
          <w:lang w:val="fr-FR"/>
        </w:rPr>
      </w:pPr>
      <w:r w:rsidRPr="00D01DBC">
        <w:rPr>
          <w:lang w:val="fr-FR"/>
        </w:rPr>
        <w:t>36.</w:t>
      </w:r>
      <w:r w:rsidRPr="00D01DBC">
        <w:rPr>
          <w:lang w:val="fr-FR"/>
        </w:rPr>
        <w:tab/>
        <w:t xml:space="preserve">En outre, vingt </w:t>
      </w:r>
      <w:r>
        <w:rPr>
          <w:lang w:val="fr-FR"/>
        </w:rPr>
        <w:t xml:space="preserve">nouveaux </w:t>
      </w:r>
      <w:r w:rsidRPr="00D01DBC">
        <w:rPr>
          <w:lang w:val="fr-FR"/>
        </w:rPr>
        <w:t xml:space="preserve">postes de travailleurs sociaux ont été </w:t>
      </w:r>
      <w:r>
        <w:rPr>
          <w:lang w:val="fr-FR"/>
        </w:rPr>
        <w:t>créés dans les localités concernées afin de fournir des services de réadaptation, un soutien et une assistance à ces personnes</w:t>
      </w:r>
      <w:r w:rsidRPr="00D01DBC">
        <w:rPr>
          <w:lang w:val="fr-FR"/>
        </w:rPr>
        <w:t>.</w:t>
      </w:r>
    </w:p>
    <w:p w14:paraId="3E559A80" w14:textId="77777777" w:rsidR="006D4345" w:rsidRPr="00967CB6" w:rsidRDefault="006D4345" w:rsidP="006D4345">
      <w:pPr>
        <w:pStyle w:val="SingleTxtG"/>
        <w:rPr>
          <w:lang w:val="fr-FR"/>
        </w:rPr>
      </w:pPr>
      <w:r w:rsidRPr="007822B3">
        <w:rPr>
          <w:lang w:val="fr-FR"/>
        </w:rPr>
        <w:t>37.</w:t>
      </w:r>
      <w:r w:rsidRPr="007822B3">
        <w:rPr>
          <w:lang w:val="fr-FR"/>
        </w:rPr>
        <w:tab/>
        <w:t xml:space="preserve">En ce qui concerne les victimes de la violence domestique, conformément aux procédures en vigueur, la police israélienne </w:t>
      </w:r>
      <w:r>
        <w:rPr>
          <w:lang w:val="fr-FR"/>
        </w:rPr>
        <w:t>organise</w:t>
      </w:r>
      <w:r w:rsidRPr="007822B3">
        <w:rPr>
          <w:lang w:val="fr-FR"/>
        </w:rPr>
        <w:t xml:space="preserve"> tous les six mois une réunion avec des responsables du Ministère </w:t>
      </w:r>
      <w:r>
        <w:rPr>
          <w:lang w:val="fr-FR"/>
        </w:rPr>
        <w:t>de la protection</w:t>
      </w:r>
      <w:r w:rsidRPr="007822B3">
        <w:rPr>
          <w:lang w:val="fr-FR"/>
        </w:rPr>
        <w:t xml:space="preserve"> et des affaires sociales et </w:t>
      </w:r>
      <w:r>
        <w:rPr>
          <w:lang w:val="fr-FR"/>
        </w:rPr>
        <w:t>l</w:t>
      </w:r>
      <w:r w:rsidRPr="007822B3">
        <w:rPr>
          <w:lang w:val="fr-FR"/>
        </w:rPr>
        <w:t xml:space="preserve">es autorités locales pour </w:t>
      </w:r>
      <w:r>
        <w:rPr>
          <w:lang w:val="fr-FR"/>
        </w:rPr>
        <w:t xml:space="preserve">évoquer des possibilités </w:t>
      </w:r>
      <w:r w:rsidRPr="007822B3">
        <w:rPr>
          <w:lang w:val="fr-FR"/>
        </w:rPr>
        <w:t xml:space="preserve">générales de coopération et des </w:t>
      </w:r>
      <w:r>
        <w:rPr>
          <w:lang w:val="fr-FR"/>
        </w:rPr>
        <w:t>cas particuliers</w:t>
      </w:r>
      <w:r w:rsidRPr="007822B3">
        <w:rPr>
          <w:lang w:val="fr-FR"/>
        </w:rPr>
        <w:t xml:space="preserve"> </w:t>
      </w:r>
      <w:r>
        <w:rPr>
          <w:lang w:val="fr-FR"/>
        </w:rPr>
        <w:t>en matière de lutte</w:t>
      </w:r>
      <w:r w:rsidRPr="007822B3">
        <w:rPr>
          <w:lang w:val="fr-FR"/>
        </w:rPr>
        <w:t xml:space="preserve"> contre la violence domestique </w:t>
      </w:r>
      <w:r>
        <w:rPr>
          <w:lang w:val="fr-FR"/>
        </w:rPr>
        <w:t>dont sont victimes des</w:t>
      </w:r>
      <w:r w:rsidRPr="007822B3">
        <w:rPr>
          <w:lang w:val="fr-FR"/>
        </w:rPr>
        <w:t xml:space="preserve"> femmes migrantes</w:t>
      </w:r>
      <w:r>
        <w:rPr>
          <w:lang w:val="fr-FR"/>
        </w:rPr>
        <w:t>. Lorsqu’un enfant court un risque</w:t>
      </w:r>
      <w:r w:rsidRPr="005E68B2">
        <w:rPr>
          <w:lang w:val="fr-FR"/>
        </w:rPr>
        <w:t xml:space="preserve">, que ce soit en raison de </w:t>
      </w:r>
      <w:r>
        <w:rPr>
          <w:lang w:val="fr-FR"/>
        </w:rPr>
        <w:t xml:space="preserve">la </w:t>
      </w:r>
      <w:r w:rsidRPr="005E68B2">
        <w:rPr>
          <w:lang w:val="fr-FR"/>
        </w:rPr>
        <w:t xml:space="preserve">violence domestique ou de toute autre </w:t>
      </w:r>
      <w:r>
        <w:rPr>
          <w:lang w:val="fr-FR"/>
        </w:rPr>
        <w:t xml:space="preserve">situation </w:t>
      </w:r>
      <w:r w:rsidRPr="005E68B2">
        <w:rPr>
          <w:lang w:val="fr-FR"/>
        </w:rPr>
        <w:t>diffic</w:t>
      </w:r>
      <w:r>
        <w:rPr>
          <w:lang w:val="fr-FR"/>
        </w:rPr>
        <w:t>ile</w:t>
      </w:r>
      <w:r w:rsidRPr="005E68B2">
        <w:rPr>
          <w:lang w:val="fr-FR"/>
        </w:rPr>
        <w:t>, l</w:t>
      </w:r>
      <w:r>
        <w:rPr>
          <w:lang w:val="fr-FR"/>
        </w:rPr>
        <w:t>’</w:t>
      </w:r>
      <w:r w:rsidRPr="005E68B2">
        <w:rPr>
          <w:lang w:val="fr-FR"/>
        </w:rPr>
        <w:t xml:space="preserve">enfant et sa famille </w:t>
      </w:r>
      <w:r>
        <w:rPr>
          <w:lang w:val="fr-FR"/>
        </w:rPr>
        <w:t xml:space="preserve">se voient proposer </w:t>
      </w:r>
      <w:r w:rsidRPr="005E68B2">
        <w:rPr>
          <w:lang w:val="fr-FR"/>
        </w:rPr>
        <w:t>de</w:t>
      </w:r>
      <w:r>
        <w:rPr>
          <w:lang w:val="fr-FR"/>
        </w:rPr>
        <w:t>s</w:t>
      </w:r>
      <w:r w:rsidRPr="005E68B2">
        <w:rPr>
          <w:lang w:val="fr-FR"/>
        </w:rPr>
        <w:t xml:space="preserve"> solutions au </w:t>
      </w:r>
      <w:r>
        <w:rPr>
          <w:lang w:val="fr-FR"/>
        </w:rPr>
        <w:t>niveau local</w:t>
      </w:r>
      <w:r w:rsidRPr="005E68B2">
        <w:rPr>
          <w:lang w:val="fr-FR"/>
        </w:rPr>
        <w:t xml:space="preserve">, comme tout </w:t>
      </w:r>
      <w:r>
        <w:rPr>
          <w:lang w:val="fr-FR"/>
        </w:rPr>
        <w:t>autre e</w:t>
      </w:r>
      <w:r w:rsidRPr="005E68B2">
        <w:rPr>
          <w:lang w:val="fr-FR"/>
        </w:rPr>
        <w:t xml:space="preserve">nfant </w:t>
      </w:r>
      <w:r>
        <w:rPr>
          <w:lang w:val="fr-FR"/>
        </w:rPr>
        <w:t>enregistré à</w:t>
      </w:r>
      <w:r w:rsidRPr="00635CFE">
        <w:rPr>
          <w:lang w:val="fr-FR"/>
        </w:rPr>
        <w:t xml:space="preserve"> </w:t>
      </w:r>
      <w:r>
        <w:rPr>
          <w:lang w:val="fr-FR"/>
        </w:rPr>
        <w:t>l</w:t>
      </w:r>
      <w:r w:rsidRPr="00635CFE">
        <w:rPr>
          <w:lang w:val="fr-FR"/>
        </w:rPr>
        <w:t>’état civil</w:t>
      </w:r>
      <w:r w:rsidRPr="005E68B2">
        <w:rPr>
          <w:lang w:val="fr-FR"/>
        </w:rPr>
        <w:t>.</w:t>
      </w:r>
      <w:r>
        <w:rPr>
          <w:lang w:val="fr-FR"/>
        </w:rPr>
        <w:t xml:space="preserve"> </w:t>
      </w:r>
      <w:r w:rsidRPr="00967CB6">
        <w:rPr>
          <w:lang w:val="fr-FR"/>
        </w:rPr>
        <w:t>En outre, depuis 2020, la somme de deux millions de nouveaux shekels (environ 642 258 dollars des États</w:t>
      </w:r>
      <w:r w:rsidRPr="00967CB6">
        <w:rPr>
          <w:lang w:val="fr-FR"/>
        </w:rPr>
        <w:noBreakHyphen/>
        <w:t xml:space="preserve">Unis) a été </w:t>
      </w:r>
      <w:r>
        <w:rPr>
          <w:lang w:val="fr-FR"/>
        </w:rPr>
        <w:t>allouée à la prise en charge des</w:t>
      </w:r>
      <w:r w:rsidRPr="00967CB6">
        <w:rPr>
          <w:lang w:val="fr-FR"/>
        </w:rPr>
        <w:t xml:space="preserve"> femmes migrantes victimes de violence qui ne peuvent pas être renvoyées dans leur pays d</w:t>
      </w:r>
      <w:r>
        <w:rPr>
          <w:lang w:val="fr-FR"/>
        </w:rPr>
        <w:t>’</w:t>
      </w:r>
      <w:r w:rsidRPr="00967CB6">
        <w:rPr>
          <w:lang w:val="fr-FR"/>
        </w:rPr>
        <w:t>origine.</w:t>
      </w:r>
    </w:p>
    <w:p w14:paraId="7515026E" w14:textId="77777777" w:rsidR="006D4345" w:rsidRPr="006E4AB9" w:rsidRDefault="006D4345" w:rsidP="006D4345">
      <w:pPr>
        <w:pStyle w:val="SingleTxtG"/>
        <w:rPr>
          <w:lang w:val="fr-FR"/>
        </w:rPr>
      </w:pPr>
      <w:r w:rsidRPr="00967CB6">
        <w:rPr>
          <w:lang w:val="fr-FR"/>
        </w:rPr>
        <w:t>38.</w:t>
      </w:r>
      <w:r w:rsidRPr="00967CB6">
        <w:rPr>
          <w:lang w:val="fr-FR"/>
        </w:rPr>
        <w:tab/>
      </w:r>
      <w:r>
        <w:rPr>
          <w:lang w:val="fr-FR"/>
        </w:rPr>
        <w:t>P</w:t>
      </w:r>
      <w:r w:rsidRPr="00967CB6">
        <w:rPr>
          <w:lang w:val="fr-FR"/>
        </w:rPr>
        <w:t>endant la pandémie de COVID</w:t>
      </w:r>
      <w:r w:rsidRPr="00967CB6">
        <w:rPr>
          <w:lang w:val="fr-FR"/>
        </w:rPr>
        <w:noBreakHyphen/>
        <w:t xml:space="preserve">19, le Ministère </w:t>
      </w:r>
      <w:r>
        <w:rPr>
          <w:lang w:val="fr-FR"/>
        </w:rPr>
        <w:t>de la protection</w:t>
      </w:r>
      <w:r w:rsidRPr="00967CB6">
        <w:rPr>
          <w:lang w:val="fr-FR"/>
        </w:rPr>
        <w:t xml:space="preserve"> et des affaires sociales a accordé des subventions supplémentaires </w:t>
      </w:r>
      <w:r>
        <w:rPr>
          <w:lang w:val="fr-FR"/>
        </w:rPr>
        <w:t>urgentes pour répondre aux</w:t>
      </w:r>
      <w:r w:rsidRPr="00967CB6">
        <w:rPr>
          <w:lang w:val="fr-FR"/>
        </w:rPr>
        <w:t xml:space="preserve"> besoins </w:t>
      </w:r>
      <w:r>
        <w:rPr>
          <w:lang w:val="fr-FR"/>
        </w:rPr>
        <w:t>d</w:t>
      </w:r>
      <w:r w:rsidRPr="00967CB6">
        <w:rPr>
          <w:lang w:val="fr-FR"/>
        </w:rPr>
        <w:t xml:space="preserve">es migrants qui </w:t>
      </w:r>
      <w:r>
        <w:rPr>
          <w:lang w:val="fr-FR"/>
        </w:rPr>
        <w:t>ne peuvent</w:t>
      </w:r>
      <w:r w:rsidRPr="00967CB6">
        <w:rPr>
          <w:lang w:val="fr-FR"/>
        </w:rPr>
        <w:t xml:space="preserve"> </w:t>
      </w:r>
      <w:r>
        <w:rPr>
          <w:lang w:val="fr-FR"/>
        </w:rPr>
        <w:t xml:space="preserve">pas </w:t>
      </w:r>
      <w:r w:rsidRPr="00967CB6">
        <w:rPr>
          <w:lang w:val="fr-FR"/>
        </w:rPr>
        <w:t>être renvoyés dans leur pays d</w:t>
      </w:r>
      <w:r>
        <w:rPr>
          <w:lang w:val="fr-FR"/>
        </w:rPr>
        <w:t>’</w:t>
      </w:r>
      <w:r w:rsidRPr="00967CB6">
        <w:rPr>
          <w:lang w:val="fr-FR"/>
        </w:rPr>
        <w:t>origine</w:t>
      </w:r>
      <w:r w:rsidRPr="006E4AB9">
        <w:rPr>
          <w:lang w:val="fr-FR"/>
        </w:rPr>
        <w:t>.</w:t>
      </w:r>
    </w:p>
    <w:p w14:paraId="420B2AC6" w14:textId="77777777" w:rsidR="006D4345" w:rsidRPr="00404BCC" w:rsidRDefault="006D4345" w:rsidP="00B00296">
      <w:pPr>
        <w:pStyle w:val="H23G"/>
        <w:rPr>
          <w:lang w:val="fr-FR"/>
        </w:rPr>
      </w:pPr>
      <w:r w:rsidRPr="006E4AB9">
        <w:rPr>
          <w:lang w:val="fr-FR"/>
        </w:rPr>
        <w:tab/>
      </w:r>
      <w:r w:rsidRPr="006E4AB9">
        <w:rPr>
          <w:lang w:val="fr-FR"/>
        </w:rPr>
        <w:tab/>
      </w:r>
      <w:r>
        <w:rPr>
          <w:lang w:val="fr-FR"/>
        </w:rPr>
        <w:t>Recommandation en matière de s</w:t>
      </w:r>
      <w:r w:rsidRPr="00404BCC">
        <w:rPr>
          <w:lang w:val="fr-FR"/>
        </w:rPr>
        <w:t>oins médicaux</w:t>
      </w:r>
    </w:p>
    <w:p w14:paraId="4174CEAA" w14:textId="77777777" w:rsidR="006D4345" w:rsidRPr="006A32AF" w:rsidRDefault="006D4345" w:rsidP="006D4345">
      <w:pPr>
        <w:pStyle w:val="SingleTxtG"/>
        <w:rPr>
          <w:lang w:val="fr-FR"/>
        </w:rPr>
      </w:pPr>
      <w:r w:rsidRPr="00D116BA">
        <w:rPr>
          <w:lang w:val="fr-FR"/>
        </w:rPr>
        <w:t>39.</w:t>
      </w:r>
      <w:r w:rsidRPr="00D116BA">
        <w:rPr>
          <w:lang w:val="fr-FR"/>
        </w:rPr>
        <w:tab/>
        <w:t>En application de la loi n</w:t>
      </w:r>
      <w:r w:rsidRPr="00D116BA">
        <w:rPr>
          <w:vertAlign w:val="superscript"/>
          <w:lang w:val="fr-FR"/>
        </w:rPr>
        <w:t>o</w:t>
      </w:r>
      <w:r w:rsidRPr="00D116BA">
        <w:rPr>
          <w:lang w:val="fr-FR"/>
        </w:rPr>
        <w:t> 5756</w:t>
      </w:r>
      <w:r w:rsidRPr="00D116BA">
        <w:rPr>
          <w:lang w:val="fr-FR"/>
        </w:rPr>
        <w:noBreakHyphen/>
        <w:t xml:space="preserve">1996 sur les droits des patients, toute personne a droit à </w:t>
      </w:r>
      <w:r>
        <w:rPr>
          <w:lang w:val="fr-FR"/>
        </w:rPr>
        <w:t>des soins</w:t>
      </w:r>
      <w:r w:rsidRPr="00D116BA">
        <w:rPr>
          <w:lang w:val="fr-FR"/>
        </w:rPr>
        <w:t xml:space="preserve"> m</w:t>
      </w:r>
      <w:r>
        <w:rPr>
          <w:lang w:val="fr-FR"/>
        </w:rPr>
        <w:t>édicaux en cas d’urgence. L</w:t>
      </w:r>
      <w:r w:rsidRPr="00D116BA">
        <w:rPr>
          <w:lang w:val="fr-FR"/>
        </w:rPr>
        <w:t>es migrants</w:t>
      </w:r>
      <w:r>
        <w:rPr>
          <w:lang w:val="fr-FR"/>
        </w:rPr>
        <w:t xml:space="preserve"> en particulier</w:t>
      </w:r>
      <w:r w:rsidRPr="00D116BA">
        <w:rPr>
          <w:lang w:val="fr-FR"/>
        </w:rPr>
        <w:t>, y compris les mineurs, ont accès aux services de santé suivants (outre les soins médicaux urgents susmentionnés</w:t>
      </w:r>
      <w:r>
        <w:rPr>
          <w:lang w:val="fr-FR"/>
        </w:rPr>
        <w:t xml:space="preserve">) : des services de médecine préventive sont proposés aux femmes enceintes, aux bébés et aux enfants dans des centres de santé familiale ; des soins de santé primaire sont dispensés aux personnes sans documents d’état civil dans la clinique </w:t>
      </w:r>
      <w:r w:rsidRPr="00DB2D01">
        <w:rPr>
          <w:i/>
          <w:iCs/>
          <w:lang w:val="fr-FR"/>
        </w:rPr>
        <w:t>Terem</w:t>
      </w:r>
      <w:r w:rsidRPr="00DB2D01">
        <w:rPr>
          <w:lang w:val="fr-FR"/>
        </w:rPr>
        <w:t xml:space="preserve"> </w:t>
      </w:r>
      <w:r>
        <w:rPr>
          <w:lang w:val="fr-FR"/>
        </w:rPr>
        <w:t xml:space="preserve">à </w:t>
      </w:r>
      <w:r w:rsidRPr="00DB2D01">
        <w:rPr>
          <w:lang w:val="fr-FR"/>
        </w:rPr>
        <w:t>Tel Aviv</w:t>
      </w:r>
      <w:r>
        <w:rPr>
          <w:lang w:val="fr-FR"/>
        </w:rPr>
        <w:noBreakHyphen/>
      </w:r>
      <w:r w:rsidRPr="00DB2D01">
        <w:rPr>
          <w:lang w:val="fr-FR"/>
        </w:rPr>
        <w:t>Jaffa</w:t>
      </w:r>
      <w:r>
        <w:rPr>
          <w:lang w:val="fr-FR"/>
        </w:rPr>
        <w:t> ; un suivi</w:t>
      </w:r>
      <w:r w:rsidRPr="00DB2D01">
        <w:rPr>
          <w:lang w:val="fr-FR"/>
        </w:rPr>
        <w:t xml:space="preserve"> psychosocial et médicamenteux</w:t>
      </w:r>
      <w:r>
        <w:rPr>
          <w:lang w:val="fr-FR"/>
        </w:rPr>
        <w:t xml:space="preserve"> est proposé dans la clinique </w:t>
      </w:r>
      <w:r w:rsidRPr="00B253E7">
        <w:rPr>
          <w:i/>
          <w:iCs/>
          <w:lang w:val="fr-FR"/>
        </w:rPr>
        <w:t>Ruth</w:t>
      </w:r>
      <w:r w:rsidRPr="00B253E7">
        <w:rPr>
          <w:lang w:val="fr-FR"/>
        </w:rPr>
        <w:t xml:space="preserve"> </w:t>
      </w:r>
      <w:r>
        <w:rPr>
          <w:lang w:val="fr-FR"/>
        </w:rPr>
        <w:t xml:space="preserve">à </w:t>
      </w:r>
      <w:r w:rsidRPr="00B253E7">
        <w:rPr>
          <w:lang w:val="fr-FR"/>
        </w:rPr>
        <w:t>Tel Aviv</w:t>
      </w:r>
      <w:r>
        <w:rPr>
          <w:lang w:val="fr-FR"/>
        </w:rPr>
        <w:noBreakHyphen/>
      </w:r>
      <w:r w:rsidRPr="00B253E7">
        <w:rPr>
          <w:lang w:val="fr-FR"/>
        </w:rPr>
        <w:t>Jaffa</w:t>
      </w:r>
      <w:r>
        <w:rPr>
          <w:lang w:val="fr-FR"/>
        </w:rPr>
        <w:t>, qui est spécialisée dans le domaine de la santé mentale.</w:t>
      </w:r>
      <w:r w:rsidRPr="00B253E7">
        <w:rPr>
          <w:lang w:val="fr-FR"/>
        </w:rPr>
        <w:t xml:space="preserve"> </w:t>
      </w:r>
      <w:r w:rsidRPr="001D2434">
        <w:rPr>
          <w:lang w:val="fr-FR"/>
        </w:rPr>
        <w:t xml:space="preserve">En outre, les mineurs sans documents d’état civil </w:t>
      </w:r>
      <w:r>
        <w:rPr>
          <w:lang w:val="fr-FR"/>
        </w:rPr>
        <w:t xml:space="preserve">bénéficient de soins médicaux subventionnés par </w:t>
      </w:r>
      <w:r w:rsidRPr="001D2434">
        <w:rPr>
          <w:lang w:val="fr-FR"/>
        </w:rPr>
        <w:t>la caisse de santé Meuhedet</w:t>
      </w:r>
      <w:r>
        <w:rPr>
          <w:lang w:val="fr-FR"/>
        </w:rPr>
        <w:t xml:space="preserve"> (r</w:t>
      </w:r>
      <w:r w:rsidRPr="001D2434">
        <w:rPr>
          <w:lang w:val="fr-FR"/>
        </w:rPr>
        <w:t>éseau de soins coordonné</w:t>
      </w:r>
      <w:r>
        <w:rPr>
          <w:lang w:val="fr-FR"/>
        </w:rPr>
        <w:t xml:space="preserve">). </w:t>
      </w:r>
      <w:r w:rsidRPr="009A73E9">
        <w:rPr>
          <w:lang w:val="fr-FR"/>
        </w:rPr>
        <w:t xml:space="preserve">Les travailleurs étrangers et les </w:t>
      </w:r>
      <w:r>
        <w:rPr>
          <w:lang w:val="fr-FR"/>
        </w:rPr>
        <w:t>salariés</w:t>
      </w:r>
      <w:r w:rsidRPr="009A73E9">
        <w:rPr>
          <w:lang w:val="fr-FR"/>
        </w:rPr>
        <w:t xml:space="preserve"> </w:t>
      </w:r>
      <w:r w:rsidRPr="006A32AF">
        <w:rPr>
          <w:lang w:val="fr-FR"/>
        </w:rPr>
        <w:t>sans documents d’état civil</w:t>
      </w:r>
      <w:r>
        <w:rPr>
          <w:lang w:val="fr-FR"/>
        </w:rPr>
        <w:t xml:space="preserve"> ont droit à une </w:t>
      </w:r>
      <w:r w:rsidRPr="006A32AF">
        <w:rPr>
          <w:lang w:val="fr-FR"/>
        </w:rPr>
        <w:t xml:space="preserve">assurance maladie </w:t>
      </w:r>
      <w:r>
        <w:rPr>
          <w:lang w:val="fr-FR"/>
        </w:rPr>
        <w:t>qui est prise en charge par leur employeur</w:t>
      </w:r>
      <w:r w:rsidRPr="006A32AF">
        <w:rPr>
          <w:lang w:val="fr-FR"/>
        </w:rPr>
        <w:t>.</w:t>
      </w:r>
    </w:p>
    <w:p w14:paraId="39291657" w14:textId="77777777" w:rsidR="006D4345" w:rsidRPr="006A32AF" w:rsidRDefault="006D4345" w:rsidP="006D4345">
      <w:pPr>
        <w:pStyle w:val="SingleTxtG"/>
        <w:rPr>
          <w:lang w:val="fr-FR"/>
        </w:rPr>
      </w:pPr>
      <w:r w:rsidRPr="006A32AF">
        <w:rPr>
          <w:lang w:val="fr-FR"/>
        </w:rPr>
        <w:t>40.</w:t>
      </w:r>
      <w:r w:rsidRPr="006A32AF">
        <w:rPr>
          <w:lang w:val="fr-FR"/>
        </w:rPr>
        <w:tab/>
        <w:t xml:space="preserve">De surcroît, plusieurs cliniques et </w:t>
      </w:r>
      <w:r>
        <w:rPr>
          <w:lang w:val="fr-FR"/>
        </w:rPr>
        <w:t>centres</w:t>
      </w:r>
      <w:r w:rsidRPr="006A32AF">
        <w:rPr>
          <w:lang w:val="fr-FR"/>
        </w:rPr>
        <w:t xml:space="preserve"> spécialisés </w:t>
      </w:r>
      <w:r>
        <w:rPr>
          <w:lang w:val="fr-FR"/>
        </w:rPr>
        <w:t>fournissent</w:t>
      </w:r>
      <w:r w:rsidRPr="006A32AF">
        <w:rPr>
          <w:lang w:val="fr-FR"/>
        </w:rPr>
        <w:t xml:space="preserve"> des </w:t>
      </w:r>
      <w:r>
        <w:rPr>
          <w:lang w:val="fr-FR"/>
        </w:rPr>
        <w:t>soins</w:t>
      </w:r>
      <w:r w:rsidRPr="006A32AF">
        <w:rPr>
          <w:lang w:val="fr-FR"/>
        </w:rPr>
        <w:t xml:space="preserve"> aux migrants, </w:t>
      </w:r>
      <w:r>
        <w:rPr>
          <w:lang w:val="fr-FR"/>
        </w:rPr>
        <w:t>avec le concours d’</w:t>
      </w:r>
      <w:r w:rsidRPr="006A32AF">
        <w:rPr>
          <w:lang w:val="fr-FR"/>
        </w:rPr>
        <w:t>organisations non gouvernementales ou d</w:t>
      </w:r>
      <w:r>
        <w:rPr>
          <w:lang w:val="fr-FR"/>
        </w:rPr>
        <w:t>’</w:t>
      </w:r>
      <w:r w:rsidRPr="006A32AF">
        <w:rPr>
          <w:lang w:val="fr-FR"/>
        </w:rPr>
        <w:t xml:space="preserve">hôpitaux. </w:t>
      </w:r>
    </w:p>
    <w:p w14:paraId="784AE57D" w14:textId="7D4CE6BC" w:rsidR="006D4345" w:rsidRDefault="006D4345" w:rsidP="006D4345">
      <w:pPr>
        <w:pStyle w:val="SingleTxtG"/>
        <w:rPr>
          <w:lang w:val="fr-FR"/>
        </w:rPr>
      </w:pPr>
      <w:r w:rsidRPr="00F33D4E">
        <w:rPr>
          <w:lang w:val="fr-FR"/>
        </w:rPr>
        <w:t>41.</w:t>
      </w:r>
      <w:r w:rsidRPr="00F33D4E">
        <w:rPr>
          <w:lang w:val="fr-FR"/>
        </w:rPr>
        <w:tab/>
        <w:t>Pendant la pandémie de COVID</w:t>
      </w:r>
      <w:r w:rsidRPr="00F33D4E">
        <w:rPr>
          <w:lang w:val="fr-FR"/>
        </w:rPr>
        <w:noBreakHyphen/>
        <w:t xml:space="preserve">19, l’accès des migrants </w:t>
      </w:r>
      <w:r>
        <w:rPr>
          <w:lang w:val="fr-FR"/>
        </w:rPr>
        <w:t>aux services de santé a été garanti</w:t>
      </w:r>
      <w:r w:rsidRPr="00F33D4E">
        <w:rPr>
          <w:lang w:val="fr-FR"/>
        </w:rPr>
        <w:t>. En mars 2020, le Ministère de la santé a enjoint aux</w:t>
      </w:r>
      <w:r>
        <w:rPr>
          <w:lang w:val="fr-FR"/>
        </w:rPr>
        <w:t xml:space="preserve"> administrateurs et directeurs généraux d’hôpitaux, ainsi qu’à l’administrateur général du service d’urgence </w:t>
      </w:r>
      <w:r w:rsidRPr="00F33D4E">
        <w:rPr>
          <w:i/>
          <w:iCs/>
          <w:lang w:val="fr-FR"/>
        </w:rPr>
        <w:t>Magen David Adom</w:t>
      </w:r>
      <w:r w:rsidRPr="00D95802">
        <w:rPr>
          <w:lang w:val="fr-FR"/>
        </w:rPr>
        <w:t xml:space="preserve">, </w:t>
      </w:r>
      <w:r>
        <w:rPr>
          <w:lang w:val="fr-FR"/>
        </w:rPr>
        <w:t xml:space="preserve">de proposer à tous les migrants des tests de dépistage de la </w:t>
      </w:r>
      <w:r w:rsidRPr="003B6A81">
        <w:rPr>
          <w:lang w:val="fr-FR"/>
        </w:rPr>
        <w:t>COVID</w:t>
      </w:r>
      <w:r w:rsidRPr="003B6A81">
        <w:rPr>
          <w:lang w:val="fr-FR"/>
        </w:rPr>
        <w:noBreakHyphen/>
        <w:t xml:space="preserve">19, </w:t>
      </w:r>
      <w:r>
        <w:rPr>
          <w:lang w:val="fr-FR"/>
        </w:rPr>
        <w:t>des traitements contre cette maladie et des informations via un numéro d’urgence,</w:t>
      </w:r>
      <w:r w:rsidRPr="003B6A81">
        <w:rPr>
          <w:lang w:val="fr-FR"/>
        </w:rPr>
        <w:t xml:space="preserve"> </w:t>
      </w:r>
      <w:r>
        <w:rPr>
          <w:lang w:val="fr-FR"/>
        </w:rPr>
        <w:t xml:space="preserve">selon que de </w:t>
      </w:r>
      <w:r w:rsidRPr="003B6A81">
        <w:rPr>
          <w:lang w:val="fr-FR"/>
        </w:rPr>
        <w:t>besoin. Les</w:t>
      </w:r>
      <w:r w:rsidR="0049482F">
        <w:rPr>
          <w:lang w:val="fr-FR"/>
        </w:rPr>
        <w:t> </w:t>
      </w:r>
      <w:r>
        <w:rPr>
          <w:lang w:val="fr-FR"/>
        </w:rPr>
        <w:t>centres de</w:t>
      </w:r>
      <w:r w:rsidRPr="003B6A81">
        <w:rPr>
          <w:lang w:val="fr-FR"/>
        </w:rPr>
        <w:t xml:space="preserve"> dépistage de la COVID</w:t>
      </w:r>
      <w:r w:rsidRPr="003B6A81">
        <w:rPr>
          <w:lang w:val="fr-FR"/>
        </w:rPr>
        <w:noBreakHyphen/>
        <w:t xml:space="preserve">19 </w:t>
      </w:r>
      <w:r>
        <w:rPr>
          <w:lang w:val="fr-FR"/>
        </w:rPr>
        <w:t>sont restés accessibles à tous, sans frais</w:t>
      </w:r>
      <w:r w:rsidRPr="003B6A81">
        <w:rPr>
          <w:lang w:val="fr-FR"/>
        </w:rPr>
        <w:t xml:space="preserve">. </w:t>
      </w:r>
      <w:r w:rsidRPr="00A4284E">
        <w:rPr>
          <w:lang w:val="fr-FR"/>
        </w:rPr>
        <w:t>Les</w:t>
      </w:r>
      <w:r w:rsidR="0049482F">
        <w:rPr>
          <w:lang w:val="fr-FR"/>
        </w:rPr>
        <w:t> </w:t>
      </w:r>
      <w:r w:rsidRPr="00A4284E">
        <w:rPr>
          <w:lang w:val="fr-FR"/>
        </w:rPr>
        <w:t xml:space="preserve">hôpitaux ont </w:t>
      </w:r>
      <w:r>
        <w:rPr>
          <w:lang w:val="fr-FR"/>
        </w:rPr>
        <w:t>proposé</w:t>
      </w:r>
      <w:r w:rsidRPr="00A4284E">
        <w:rPr>
          <w:lang w:val="fr-FR"/>
        </w:rPr>
        <w:t xml:space="preserve"> un traitement complet, y compris </w:t>
      </w:r>
      <w:r>
        <w:rPr>
          <w:lang w:val="fr-FR"/>
        </w:rPr>
        <w:t>une prise en charge</w:t>
      </w:r>
      <w:r w:rsidRPr="00A4284E">
        <w:rPr>
          <w:lang w:val="fr-FR"/>
        </w:rPr>
        <w:t xml:space="preserve"> ventilatoire complexe</w:t>
      </w:r>
      <w:r>
        <w:rPr>
          <w:lang w:val="fr-FR"/>
        </w:rPr>
        <w:t xml:space="preserve"> aux</w:t>
      </w:r>
      <w:r w:rsidRPr="00A4284E">
        <w:rPr>
          <w:lang w:val="fr-FR"/>
        </w:rPr>
        <w:t xml:space="preserve"> soins intensifs, </w:t>
      </w:r>
      <w:r>
        <w:rPr>
          <w:lang w:val="fr-FR"/>
        </w:rPr>
        <w:t xml:space="preserve">une </w:t>
      </w:r>
      <w:r w:rsidRPr="002D6C42">
        <w:rPr>
          <w:lang w:val="fr-FR"/>
        </w:rPr>
        <w:t>oxygénation par membrane extracorporelle</w:t>
      </w:r>
      <w:r w:rsidRPr="00A4284E">
        <w:rPr>
          <w:lang w:val="fr-FR"/>
        </w:rPr>
        <w:t xml:space="preserve"> et </w:t>
      </w:r>
      <w:r>
        <w:rPr>
          <w:lang w:val="fr-FR"/>
        </w:rPr>
        <w:t>des mesures de</w:t>
      </w:r>
      <w:r w:rsidRPr="00A4284E">
        <w:rPr>
          <w:lang w:val="fr-FR"/>
        </w:rPr>
        <w:t xml:space="preserve"> réadaptation</w:t>
      </w:r>
      <w:r>
        <w:rPr>
          <w:lang w:val="fr-FR"/>
        </w:rPr>
        <w:t>, le tout, gracieusement.</w:t>
      </w:r>
    </w:p>
    <w:p w14:paraId="6C52DD1A" w14:textId="77777777" w:rsidR="006D4345" w:rsidRPr="002D6C42" w:rsidRDefault="006D4345" w:rsidP="006D4345">
      <w:pPr>
        <w:pStyle w:val="SingleTxtG"/>
        <w:rPr>
          <w:lang w:val="fr-FR"/>
        </w:rPr>
      </w:pPr>
      <w:r w:rsidRPr="002D6C42">
        <w:rPr>
          <w:lang w:val="fr-FR"/>
        </w:rPr>
        <w:t>42.</w:t>
      </w:r>
      <w:r w:rsidRPr="002D6C42">
        <w:rPr>
          <w:lang w:val="fr-FR"/>
        </w:rPr>
        <w:tab/>
        <w:t xml:space="preserve">Les migrants ont </w:t>
      </w:r>
      <w:r>
        <w:rPr>
          <w:lang w:val="fr-FR"/>
        </w:rPr>
        <w:t>pu</w:t>
      </w:r>
      <w:r w:rsidRPr="002D6C42">
        <w:rPr>
          <w:lang w:val="fr-FR"/>
        </w:rPr>
        <w:t xml:space="preserve"> se faire vacciner contre la COVID</w:t>
      </w:r>
      <w:r w:rsidRPr="002D6C42">
        <w:rPr>
          <w:lang w:val="fr-FR"/>
        </w:rPr>
        <w:noBreakHyphen/>
        <w:t xml:space="preserve">19 </w:t>
      </w:r>
      <w:r>
        <w:rPr>
          <w:lang w:val="fr-FR"/>
        </w:rPr>
        <w:t>partout dans</w:t>
      </w:r>
      <w:r w:rsidRPr="002D6C42">
        <w:rPr>
          <w:lang w:val="fr-FR"/>
        </w:rPr>
        <w:t xml:space="preserve"> le pays, </w:t>
      </w:r>
      <w:r>
        <w:rPr>
          <w:lang w:val="fr-FR"/>
        </w:rPr>
        <w:t>notamment dans</w:t>
      </w:r>
      <w:r w:rsidRPr="002D6C42">
        <w:rPr>
          <w:lang w:val="fr-FR"/>
        </w:rPr>
        <w:t xml:space="preserve"> un centre spécialisé à Tel Aviv</w:t>
      </w:r>
      <w:r>
        <w:rPr>
          <w:lang w:val="fr-FR"/>
        </w:rPr>
        <w:noBreakHyphen/>
      </w:r>
      <w:r w:rsidRPr="002D6C42">
        <w:rPr>
          <w:lang w:val="fr-FR"/>
        </w:rPr>
        <w:t>Jaffa</w:t>
      </w:r>
      <w:r>
        <w:rPr>
          <w:lang w:val="fr-FR"/>
        </w:rPr>
        <w:t xml:space="preserve">. En juin 2021, le taux de vaccination des migrants était élevé et </w:t>
      </w:r>
      <w:r w:rsidRPr="002D6C42">
        <w:rPr>
          <w:lang w:val="fr-FR"/>
        </w:rPr>
        <w:t xml:space="preserve">comparable à celui </w:t>
      </w:r>
      <w:r>
        <w:rPr>
          <w:lang w:val="fr-FR"/>
        </w:rPr>
        <w:t xml:space="preserve">du reste </w:t>
      </w:r>
      <w:r w:rsidRPr="002D6C42">
        <w:rPr>
          <w:lang w:val="fr-FR"/>
        </w:rPr>
        <w:t>de la population israélienne.</w:t>
      </w:r>
    </w:p>
    <w:p w14:paraId="41F90F7A" w14:textId="5405921D" w:rsidR="006D4345" w:rsidRPr="00FA7AA1" w:rsidRDefault="006D4345" w:rsidP="006D4345">
      <w:pPr>
        <w:pStyle w:val="SingleTxtG"/>
        <w:rPr>
          <w:lang w:val="fr-FR"/>
        </w:rPr>
      </w:pPr>
      <w:r w:rsidRPr="00FD62BA">
        <w:rPr>
          <w:lang w:val="fr-FR"/>
        </w:rPr>
        <w:t>43.</w:t>
      </w:r>
      <w:r w:rsidRPr="00FD62BA">
        <w:rPr>
          <w:lang w:val="fr-FR"/>
        </w:rPr>
        <w:tab/>
        <w:t>En outre, un comité i</w:t>
      </w:r>
      <w:r>
        <w:rPr>
          <w:lang w:val="fr-FR"/>
        </w:rPr>
        <w:t xml:space="preserve">nterministériel a été constitué et chargé d’examiner </w:t>
      </w:r>
      <w:r w:rsidRPr="007B0A28">
        <w:rPr>
          <w:lang w:val="fr-FR"/>
        </w:rPr>
        <w:t>la possibilité d</w:t>
      </w:r>
      <w:r>
        <w:rPr>
          <w:lang w:val="fr-FR"/>
        </w:rPr>
        <w:t>’</w:t>
      </w:r>
      <w:r w:rsidRPr="007B0A28">
        <w:rPr>
          <w:lang w:val="fr-FR"/>
        </w:rPr>
        <w:t>offrir des services de santé subventionnés aux migrants qui</w:t>
      </w:r>
      <w:r>
        <w:rPr>
          <w:lang w:val="fr-FR"/>
        </w:rPr>
        <w:t xml:space="preserve"> ne</w:t>
      </w:r>
      <w:r w:rsidRPr="007B0A28">
        <w:rPr>
          <w:lang w:val="fr-FR"/>
        </w:rPr>
        <w:t xml:space="preserve"> </w:t>
      </w:r>
      <w:r>
        <w:rPr>
          <w:lang w:val="fr-FR"/>
        </w:rPr>
        <w:t>peuvent pas</w:t>
      </w:r>
      <w:r w:rsidRPr="007B0A28">
        <w:rPr>
          <w:lang w:val="fr-FR"/>
        </w:rPr>
        <w:t xml:space="preserve"> être renvoyés dans leur pays d</w:t>
      </w:r>
      <w:r>
        <w:rPr>
          <w:lang w:val="fr-FR"/>
        </w:rPr>
        <w:t>’</w:t>
      </w:r>
      <w:r w:rsidRPr="007B0A28">
        <w:rPr>
          <w:lang w:val="fr-FR"/>
        </w:rPr>
        <w:t>origine</w:t>
      </w:r>
      <w:r>
        <w:rPr>
          <w:lang w:val="fr-FR"/>
        </w:rPr>
        <w:t>. En raison de l’ambiguïté de son champ d’application, le</w:t>
      </w:r>
      <w:r w:rsidRPr="007B0A28">
        <w:rPr>
          <w:lang w:val="fr-FR"/>
        </w:rPr>
        <w:t xml:space="preserve"> comité a passé en revue l’accord </w:t>
      </w:r>
      <w:r>
        <w:rPr>
          <w:lang w:val="fr-FR"/>
        </w:rPr>
        <w:t>conclu en</w:t>
      </w:r>
      <w:r w:rsidRPr="007B0A28">
        <w:rPr>
          <w:lang w:val="fr-FR"/>
        </w:rPr>
        <w:t xml:space="preserve"> 2001 avec l</w:t>
      </w:r>
      <w:r>
        <w:rPr>
          <w:lang w:val="fr-FR"/>
        </w:rPr>
        <w:t>a</w:t>
      </w:r>
      <w:r w:rsidRPr="007B0A28">
        <w:rPr>
          <w:lang w:val="fr-FR"/>
        </w:rPr>
        <w:t xml:space="preserve"> </w:t>
      </w:r>
      <w:r w:rsidRPr="001D2434">
        <w:rPr>
          <w:lang w:val="fr-FR"/>
        </w:rPr>
        <w:t>caisse de santé Meuhedet</w:t>
      </w:r>
      <w:r>
        <w:rPr>
          <w:lang w:val="fr-FR"/>
        </w:rPr>
        <w:t>, qui visait à</w:t>
      </w:r>
      <w:r w:rsidRPr="007B0A28">
        <w:rPr>
          <w:lang w:val="fr-FR"/>
        </w:rPr>
        <w:t xml:space="preserve"> fourni</w:t>
      </w:r>
      <w:r>
        <w:rPr>
          <w:lang w:val="fr-FR"/>
        </w:rPr>
        <w:t>r</w:t>
      </w:r>
      <w:r w:rsidRPr="007B0A28">
        <w:rPr>
          <w:lang w:val="fr-FR"/>
        </w:rPr>
        <w:t xml:space="preserve"> de</w:t>
      </w:r>
      <w:r>
        <w:rPr>
          <w:lang w:val="fr-FR"/>
        </w:rPr>
        <w:t>s</w:t>
      </w:r>
      <w:r w:rsidRPr="007B0A28">
        <w:rPr>
          <w:lang w:val="fr-FR"/>
        </w:rPr>
        <w:t xml:space="preserve"> services de santé subventionnés aux mineurs sans </w:t>
      </w:r>
      <w:r>
        <w:rPr>
          <w:lang w:val="fr-FR"/>
        </w:rPr>
        <w:t>documents d’</w:t>
      </w:r>
      <w:r w:rsidRPr="007B0A28">
        <w:rPr>
          <w:lang w:val="fr-FR"/>
        </w:rPr>
        <w:t>état civil</w:t>
      </w:r>
      <w:r>
        <w:rPr>
          <w:lang w:val="fr-FR"/>
        </w:rPr>
        <w:t>. En</w:t>
      </w:r>
      <w:r w:rsidR="0049482F">
        <w:rPr>
          <w:lang w:val="fr-FR"/>
        </w:rPr>
        <w:t> </w:t>
      </w:r>
      <w:r>
        <w:rPr>
          <w:lang w:val="fr-FR"/>
        </w:rPr>
        <w:t>conséquence, le comité a également examiné la possibilité d’étendre ce dispositif aux migrants majeurs qui bénéficient d’</w:t>
      </w:r>
      <w:r w:rsidRPr="0007587B">
        <w:rPr>
          <w:lang w:val="fr-FR"/>
        </w:rPr>
        <w:t xml:space="preserve">une protection collective temporaire </w:t>
      </w:r>
      <w:r>
        <w:rPr>
          <w:lang w:val="fr-FR"/>
        </w:rPr>
        <w:t>et</w:t>
      </w:r>
      <w:r w:rsidRPr="0007587B">
        <w:rPr>
          <w:lang w:val="fr-FR"/>
        </w:rPr>
        <w:t xml:space="preserve"> ne peuvent </w:t>
      </w:r>
      <w:r>
        <w:rPr>
          <w:lang w:val="fr-FR"/>
        </w:rPr>
        <w:t xml:space="preserve">pas </w:t>
      </w:r>
      <w:r w:rsidRPr="0007587B">
        <w:rPr>
          <w:lang w:val="fr-FR"/>
        </w:rPr>
        <w:t>être renvoyés dans leur pays d</w:t>
      </w:r>
      <w:r>
        <w:rPr>
          <w:lang w:val="fr-FR"/>
        </w:rPr>
        <w:t>’</w:t>
      </w:r>
      <w:r w:rsidRPr="0007587B">
        <w:rPr>
          <w:lang w:val="fr-FR"/>
        </w:rPr>
        <w:t>origine. Le 14 décembre 2021, l</w:t>
      </w:r>
      <w:r>
        <w:rPr>
          <w:lang w:val="fr-FR"/>
        </w:rPr>
        <w:t>e</w:t>
      </w:r>
      <w:r w:rsidRPr="0007587B">
        <w:rPr>
          <w:lang w:val="fr-FR"/>
        </w:rPr>
        <w:t xml:space="preserve"> comité a présenté son rapport au Ministre de la santé et au Dire</w:t>
      </w:r>
      <w:r>
        <w:rPr>
          <w:lang w:val="fr-FR"/>
        </w:rPr>
        <w:t>c</w:t>
      </w:r>
      <w:r w:rsidRPr="0007587B">
        <w:rPr>
          <w:lang w:val="fr-FR"/>
        </w:rPr>
        <w:t xml:space="preserve">teur </w:t>
      </w:r>
      <w:r>
        <w:rPr>
          <w:lang w:val="fr-FR"/>
        </w:rPr>
        <w:t>g</w:t>
      </w:r>
      <w:r w:rsidRPr="0007587B">
        <w:rPr>
          <w:lang w:val="fr-FR"/>
        </w:rPr>
        <w:t>énéral du Ministèr</w:t>
      </w:r>
      <w:r>
        <w:rPr>
          <w:lang w:val="fr-FR"/>
        </w:rPr>
        <w:t>e</w:t>
      </w:r>
      <w:r w:rsidRPr="0007587B">
        <w:rPr>
          <w:lang w:val="fr-FR"/>
        </w:rPr>
        <w:t xml:space="preserve"> de la san</w:t>
      </w:r>
      <w:r>
        <w:rPr>
          <w:lang w:val="fr-FR"/>
        </w:rPr>
        <w:t>té</w:t>
      </w:r>
      <w:r w:rsidRPr="0007587B">
        <w:rPr>
          <w:lang w:val="fr-FR"/>
        </w:rPr>
        <w:t xml:space="preserve">, </w:t>
      </w:r>
      <w:r>
        <w:rPr>
          <w:lang w:val="fr-FR"/>
        </w:rPr>
        <w:t>dans lequel il recommande qu’un régime de soins de santé subventionné par l’État soit proposé à certains groupes de mineurs et d’adultes étrangers qui bénéficient d’</w:t>
      </w:r>
      <w:r w:rsidRPr="0007587B">
        <w:rPr>
          <w:lang w:val="fr-FR"/>
        </w:rPr>
        <w:t xml:space="preserve">une protection collective temporaire </w:t>
      </w:r>
      <w:r>
        <w:rPr>
          <w:lang w:val="fr-FR"/>
        </w:rPr>
        <w:t>et</w:t>
      </w:r>
      <w:r w:rsidRPr="0007587B">
        <w:rPr>
          <w:lang w:val="fr-FR"/>
        </w:rPr>
        <w:t xml:space="preserve"> ne peuvent </w:t>
      </w:r>
      <w:r>
        <w:rPr>
          <w:lang w:val="fr-FR"/>
        </w:rPr>
        <w:t xml:space="preserve">pas </w:t>
      </w:r>
      <w:r w:rsidRPr="0007587B">
        <w:rPr>
          <w:lang w:val="fr-FR"/>
        </w:rPr>
        <w:t>être renvoyés dans leur pays d</w:t>
      </w:r>
      <w:r>
        <w:rPr>
          <w:lang w:val="fr-FR"/>
        </w:rPr>
        <w:t>’</w:t>
      </w:r>
      <w:r w:rsidRPr="0007587B">
        <w:rPr>
          <w:lang w:val="fr-FR"/>
        </w:rPr>
        <w:t>origine</w:t>
      </w:r>
      <w:r>
        <w:rPr>
          <w:lang w:val="fr-FR"/>
        </w:rPr>
        <w:t>. Le Ministre de la santé est en train d’examiner ces recommandations</w:t>
      </w:r>
      <w:r w:rsidRPr="00FA7AA1">
        <w:rPr>
          <w:lang w:val="fr-FR"/>
        </w:rPr>
        <w:t>.</w:t>
      </w:r>
    </w:p>
    <w:p w14:paraId="0AD39DDB" w14:textId="77777777" w:rsidR="006D4345" w:rsidRPr="00D66357" w:rsidRDefault="006D4345" w:rsidP="00B00296">
      <w:pPr>
        <w:pStyle w:val="H23G"/>
        <w:rPr>
          <w:lang w:val="fr-FR"/>
        </w:rPr>
      </w:pPr>
      <w:r w:rsidRPr="00FA7AA1">
        <w:rPr>
          <w:lang w:val="fr-FR"/>
        </w:rPr>
        <w:tab/>
      </w:r>
      <w:r w:rsidRPr="00FA7AA1">
        <w:rPr>
          <w:lang w:val="fr-FR"/>
        </w:rPr>
        <w:tab/>
      </w:r>
      <w:r>
        <w:rPr>
          <w:lang w:val="fr-FR"/>
        </w:rPr>
        <w:t>Recommandation tendant à abroger la l</w:t>
      </w:r>
      <w:r w:rsidRPr="00D66357">
        <w:rPr>
          <w:lang w:val="fr-FR"/>
        </w:rPr>
        <w:t xml:space="preserve">oi </w:t>
      </w:r>
      <w:r>
        <w:rPr>
          <w:lang w:val="fr-FR"/>
        </w:rPr>
        <w:t>relative aux dépôts</w:t>
      </w:r>
    </w:p>
    <w:p w14:paraId="0A6FCE15" w14:textId="06DE1DFE" w:rsidR="006D4345" w:rsidRDefault="006D4345" w:rsidP="006D4345">
      <w:pPr>
        <w:pStyle w:val="SingleTxtG"/>
        <w:rPr>
          <w:lang w:val="fr-FR"/>
        </w:rPr>
      </w:pPr>
      <w:r w:rsidRPr="00D80130">
        <w:rPr>
          <w:lang w:val="fr-FR"/>
        </w:rPr>
        <w:t>44.</w:t>
      </w:r>
      <w:r w:rsidRPr="00470A7C">
        <w:rPr>
          <w:rtl/>
        </w:rPr>
        <w:tab/>
      </w:r>
      <w:r w:rsidRPr="00D80130">
        <w:rPr>
          <w:lang w:val="fr-FR"/>
        </w:rPr>
        <w:t xml:space="preserve">Le 23 avril 2020, la Haute Cour de justice a </w:t>
      </w:r>
      <w:r>
        <w:rPr>
          <w:lang w:val="fr-FR"/>
        </w:rPr>
        <w:t xml:space="preserve">déclaré que </w:t>
      </w:r>
      <w:r w:rsidRPr="00D80130">
        <w:rPr>
          <w:lang w:val="fr-FR"/>
        </w:rPr>
        <w:t xml:space="preserve">l’obligation </w:t>
      </w:r>
      <w:r>
        <w:rPr>
          <w:lang w:val="fr-FR"/>
        </w:rPr>
        <w:t xml:space="preserve">faite aux personnes entrées illégalement en </w:t>
      </w:r>
      <w:r w:rsidRPr="00D80130">
        <w:rPr>
          <w:lang w:val="fr-FR"/>
        </w:rPr>
        <w:t xml:space="preserve">Israël </w:t>
      </w:r>
      <w:r>
        <w:rPr>
          <w:lang w:val="fr-FR"/>
        </w:rPr>
        <w:t>par la frontière avec l’É</w:t>
      </w:r>
      <w:r w:rsidRPr="00D80130">
        <w:rPr>
          <w:lang w:val="fr-FR"/>
        </w:rPr>
        <w:t>gypt</w:t>
      </w:r>
      <w:r>
        <w:rPr>
          <w:lang w:val="fr-FR"/>
        </w:rPr>
        <w:t xml:space="preserve">e de déposer </w:t>
      </w:r>
      <w:r w:rsidRPr="00D80130">
        <w:rPr>
          <w:lang w:val="fr-FR"/>
        </w:rPr>
        <w:t>20 % de leur salaire</w:t>
      </w:r>
      <w:r>
        <w:rPr>
          <w:lang w:val="fr-FR"/>
        </w:rPr>
        <w:t xml:space="preserve"> dans un fonds de départ était contraire à la Constitution et que cette disposition visant à les encourager à quitter le territoire israélien était frappée de nullité</w:t>
      </w:r>
      <w:r w:rsidRPr="00F45ECF">
        <w:rPr>
          <w:lang w:val="fr-FR"/>
        </w:rPr>
        <w:t xml:space="preserve">. </w:t>
      </w:r>
      <w:r w:rsidRPr="008377BE">
        <w:rPr>
          <w:lang w:val="fr-FR"/>
        </w:rPr>
        <w:t xml:space="preserve">La Cour a conclu que ce dépôt </w:t>
      </w:r>
      <w:r w:rsidRPr="00E5701A">
        <w:rPr>
          <w:lang w:val="fr-FR"/>
        </w:rPr>
        <w:t xml:space="preserve">serait uniquement </w:t>
      </w:r>
      <w:r>
        <w:rPr>
          <w:lang w:val="fr-FR"/>
        </w:rPr>
        <w:t>versé par l’</w:t>
      </w:r>
      <w:r w:rsidRPr="00E5701A">
        <w:rPr>
          <w:lang w:val="fr-FR"/>
        </w:rPr>
        <w:t>employeur (16 %</w:t>
      </w:r>
      <w:r>
        <w:rPr>
          <w:lang w:val="fr-FR"/>
        </w:rPr>
        <w:t xml:space="preserve"> du salaire</w:t>
      </w:r>
      <w:r w:rsidRPr="00E5701A">
        <w:rPr>
          <w:lang w:val="fr-FR"/>
        </w:rPr>
        <w:t xml:space="preserve">) et </w:t>
      </w:r>
      <w:r>
        <w:rPr>
          <w:lang w:val="fr-FR"/>
        </w:rPr>
        <w:t xml:space="preserve">a </w:t>
      </w:r>
      <w:r w:rsidRPr="00E5701A">
        <w:rPr>
          <w:lang w:val="fr-FR"/>
        </w:rPr>
        <w:t xml:space="preserve">approuvé </w:t>
      </w:r>
      <w:r>
        <w:rPr>
          <w:lang w:val="fr-FR"/>
        </w:rPr>
        <w:t xml:space="preserve">la mise en place </w:t>
      </w:r>
      <w:r w:rsidRPr="00E5701A">
        <w:rPr>
          <w:lang w:val="fr-FR"/>
        </w:rPr>
        <w:t xml:space="preserve">d’un mécanisme de </w:t>
      </w:r>
      <w:r>
        <w:rPr>
          <w:lang w:val="fr-FR"/>
        </w:rPr>
        <w:t>« </w:t>
      </w:r>
      <w:r w:rsidRPr="00E5701A">
        <w:rPr>
          <w:lang w:val="fr-FR"/>
        </w:rPr>
        <w:t>retenue administrative</w:t>
      </w:r>
      <w:r>
        <w:rPr>
          <w:lang w:val="fr-FR"/>
        </w:rPr>
        <w:t> »</w:t>
      </w:r>
      <w:r w:rsidRPr="00E5701A">
        <w:rPr>
          <w:lang w:val="fr-FR"/>
        </w:rPr>
        <w:t xml:space="preserve"> </w:t>
      </w:r>
      <w:r>
        <w:rPr>
          <w:lang w:val="fr-FR"/>
        </w:rPr>
        <w:t>selon lequel</w:t>
      </w:r>
      <w:r w:rsidRPr="00E5701A">
        <w:rPr>
          <w:lang w:val="fr-FR"/>
        </w:rPr>
        <w:t xml:space="preserve"> </w:t>
      </w:r>
      <w:r>
        <w:rPr>
          <w:lang w:val="fr-FR"/>
        </w:rPr>
        <w:t>un certain</w:t>
      </w:r>
      <w:r w:rsidRPr="00E5701A">
        <w:rPr>
          <w:lang w:val="fr-FR"/>
        </w:rPr>
        <w:t xml:space="preserve"> </w:t>
      </w:r>
      <w:r>
        <w:rPr>
          <w:lang w:val="fr-FR"/>
        </w:rPr>
        <w:t>montant peut être prélevé sur le fonds de départ de l’employé si celui</w:t>
      </w:r>
      <w:r>
        <w:rPr>
          <w:lang w:val="fr-FR"/>
        </w:rPr>
        <w:noBreakHyphen/>
        <w:t xml:space="preserve">ci quitte le pays après la date fixée par les autorités. </w:t>
      </w:r>
      <w:r w:rsidRPr="00DF5ADE">
        <w:rPr>
          <w:lang w:val="fr-FR"/>
        </w:rPr>
        <w:t xml:space="preserve">La loi </w:t>
      </w:r>
      <w:r>
        <w:rPr>
          <w:lang w:val="fr-FR"/>
        </w:rPr>
        <w:t>dispose que le</w:t>
      </w:r>
      <w:r w:rsidRPr="00DF5ADE">
        <w:rPr>
          <w:lang w:val="fr-FR"/>
        </w:rPr>
        <w:t xml:space="preserve"> montant de</w:t>
      </w:r>
      <w:r>
        <w:rPr>
          <w:lang w:val="fr-FR"/>
        </w:rPr>
        <w:t xml:space="preserve"> cette</w:t>
      </w:r>
      <w:r w:rsidRPr="00DF5ADE">
        <w:rPr>
          <w:lang w:val="fr-FR"/>
        </w:rPr>
        <w:t xml:space="preserve"> retenue </w:t>
      </w:r>
      <w:r>
        <w:rPr>
          <w:lang w:val="fr-FR"/>
        </w:rPr>
        <w:t>est fonction de</w:t>
      </w:r>
      <w:r w:rsidRPr="00DF5ADE">
        <w:rPr>
          <w:lang w:val="fr-FR"/>
        </w:rPr>
        <w:t xml:space="preserve"> la dur</w:t>
      </w:r>
      <w:r>
        <w:rPr>
          <w:lang w:val="fr-FR"/>
        </w:rPr>
        <w:t xml:space="preserve">ée du dépassement et peut aller jusqu’à </w:t>
      </w:r>
      <w:r w:rsidRPr="00162B87">
        <w:rPr>
          <w:lang w:val="fr-FR"/>
        </w:rPr>
        <w:t>33 %</w:t>
      </w:r>
      <w:r>
        <w:rPr>
          <w:lang w:val="fr-FR"/>
        </w:rPr>
        <w:t xml:space="preserve"> du fonds de départ</w:t>
      </w:r>
      <w:r w:rsidRPr="00EE6F24">
        <w:rPr>
          <w:rStyle w:val="Appelnotedebasdep"/>
        </w:rPr>
        <w:footnoteReference w:id="7"/>
      </w:r>
      <w:r w:rsidRPr="00162B87">
        <w:rPr>
          <w:lang w:val="fr-FR"/>
        </w:rPr>
        <w:t>.</w:t>
      </w:r>
    </w:p>
    <w:p w14:paraId="06EF3ADF" w14:textId="0D774ADF" w:rsidR="00B00296" w:rsidRPr="00B00296" w:rsidRDefault="00B00296" w:rsidP="00B00296">
      <w:pPr>
        <w:pStyle w:val="SingleTxtG"/>
        <w:spacing w:before="240" w:after="0"/>
        <w:jc w:val="center"/>
        <w:rPr>
          <w:u w:val="single"/>
        </w:rPr>
      </w:pPr>
      <w:r>
        <w:rPr>
          <w:u w:val="single"/>
        </w:rPr>
        <w:tab/>
      </w:r>
      <w:r>
        <w:rPr>
          <w:u w:val="single"/>
        </w:rPr>
        <w:tab/>
      </w:r>
      <w:r>
        <w:rPr>
          <w:u w:val="single"/>
        </w:rPr>
        <w:tab/>
      </w:r>
    </w:p>
    <w:sectPr w:rsidR="00B00296" w:rsidRPr="00B00296" w:rsidSect="006D43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956DFC" w14:textId="77777777" w:rsidR="00CE3771" w:rsidRDefault="00CE3771" w:rsidP="00F95C08">
      <w:pPr>
        <w:spacing w:line="240" w:lineRule="auto"/>
      </w:pPr>
    </w:p>
  </w:endnote>
  <w:endnote w:type="continuationSeparator" w:id="0">
    <w:p w14:paraId="7B2D3C87" w14:textId="77777777" w:rsidR="00CE3771" w:rsidRPr="00AC3823" w:rsidRDefault="00CE3771" w:rsidP="00AC3823">
      <w:pPr>
        <w:pStyle w:val="Pieddepage"/>
      </w:pPr>
    </w:p>
  </w:endnote>
  <w:endnote w:type="continuationNotice" w:id="1">
    <w:p w14:paraId="453947F1" w14:textId="77777777" w:rsidR="00CE3771" w:rsidRDefault="00CE37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5317C" w14:textId="1A419395" w:rsidR="006D4345" w:rsidRPr="006D4345" w:rsidRDefault="006D4345" w:rsidP="006D4345">
    <w:pPr>
      <w:pStyle w:val="Pieddepage"/>
      <w:tabs>
        <w:tab w:val="right" w:pos="9638"/>
      </w:tabs>
    </w:pPr>
    <w:r w:rsidRPr="006D4345">
      <w:rPr>
        <w:b/>
        <w:sz w:val="18"/>
      </w:rPr>
      <w:fldChar w:fldCharType="begin"/>
    </w:r>
    <w:r w:rsidRPr="006D4345">
      <w:rPr>
        <w:b/>
        <w:sz w:val="18"/>
      </w:rPr>
      <w:instrText xml:space="preserve"> PAGE  \* MERGEFORMAT </w:instrText>
    </w:r>
    <w:r w:rsidRPr="006D4345">
      <w:rPr>
        <w:b/>
        <w:sz w:val="18"/>
      </w:rPr>
      <w:fldChar w:fldCharType="separate"/>
    </w:r>
    <w:r w:rsidRPr="006D4345">
      <w:rPr>
        <w:b/>
        <w:noProof/>
        <w:sz w:val="18"/>
      </w:rPr>
      <w:t>2</w:t>
    </w:r>
    <w:r w:rsidRPr="006D4345">
      <w:rPr>
        <w:b/>
        <w:sz w:val="18"/>
      </w:rPr>
      <w:fldChar w:fldCharType="end"/>
    </w:r>
    <w:r>
      <w:rPr>
        <w:b/>
        <w:sz w:val="18"/>
      </w:rPr>
      <w:tab/>
    </w:r>
    <w:r>
      <w:t>GE.22-04299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1AE23" w14:textId="27A36F7A" w:rsidR="006D4345" w:rsidRPr="006D4345" w:rsidRDefault="006D4345" w:rsidP="006D4345">
    <w:pPr>
      <w:pStyle w:val="Pieddepage"/>
      <w:tabs>
        <w:tab w:val="right" w:pos="9638"/>
      </w:tabs>
      <w:rPr>
        <w:b/>
        <w:sz w:val="18"/>
      </w:rPr>
    </w:pPr>
    <w:r>
      <w:t>GE.22-04299</w:t>
    </w:r>
    <w:r>
      <w:tab/>
    </w:r>
    <w:r w:rsidRPr="006D4345">
      <w:rPr>
        <w:b/>
        <w:sz w:val="18"/>
      </w:rPr>
      <w:fldChar w:fldCharType="begin"/>
    </w:r>
    <w:r w:rsidRPr="006D4345">
      <w:rPr>
        <w:b/>
        <w:sz w:val="18"/>
      </w:rPr>
      <w:instrText xml:space="preserve"> PAGE  \* MERGEFORMAT </w:instrText>
    </w:r>
    <w:r w:rsidRPr="006D4345">
      <w:rPr>
        <w:b/>
        <w:sz w:val="18"/>
      </w:rPr>
      <w:fldChar w:fldCharType="separate"/>
    </w:r>
    <w:r w:rsidRPr="006D4345">
      <w:rPr>
        <w:b/>
        <w:noProof/>
        <w:sz w:val="18"/>
      </w:rPr>
      <w:t>3</w:t>
    </w:r>
    <w:r w:rsidRPr="006D43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997A4" w14:textId="723AE04D" w:rsidR="0080236C" w:rsidRPr="006D4345" w:rsidRDefault="006D4345" w:rsidP="006D4345">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6B918C2" wp14:editId="7C72E7E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22-04299  (F)</w:t>
    </w:r>
    <w:r>
      <w:rPr>
        <w:noProof/>
        <w:sz w:val="20"/>
      </w:rPr>
      <w:drawing>
        <wp:anchor distT="0" distB="0" distL="114300" distR="114300" simplePos="0" relativeHeight="251660288" behindDoc="0" locked="0" layoutInCell="1" allowOverlap="1" wp14:anchorId="16514598" wp14:editId="3F0ADDC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01C6">
      <w:rPr>
        <w:sz w:val="20"/>
      </w:rPr>
      <w:t xml:space="preserve">    230522    240522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33E08" w14:textId="77777777" w:rsidR="00CE3771" w:rsidRPr="00AC3823" w:rsidRDefault="00CE3771" w:rsidP="00AC3823">
      <w:pPr>
        <w:pStyle w:val="Pieddepage"/>
        <w:tabs>
          <w:tab w:val="right" w:pos="2155"/>
        </w:tabs>
        <w:spacing w:after="80" w:line="240" w:lineRule="atLeast"/>
        <w:ind w:left="680"/>
        <w:rPr>
          <w:u w:val="single"/>
        </w:rPr>
      </w:pPr>
      <w:r>
        <w:rPr>
          <w:u w:val="single"/>
        </w:rPr>
        <w:tab/>
      </w:r>
    </w:p>
  </w:footnote>
  <w:footnote w:type="continuationSeparator" w:id="0">
    <w:p w14:paraId="593759E5" w14:textId="77777777" w:rsidR="00CE3771" w:rsidRPr="00AC3823" w:rsidRDefault="00CE3771" w:rsidP="00AC3823">
      <w:pPr>
        <w:pStyle w:val="Pieddepage"/>
        <w:tabs>
          <w:tab w:val="right" w:pos="2155"/>
        </w:tabs>
        <w:spacing w:after="80" w:line="240" w:lineRule="atLeast"/>
        <w:ind w:left="680"/>
        <w:rPr>
          <w:u w:val="single"/>
        </w:rPr>
      </w:pPr>
      <w:r>
        <w:rPr>
          <w:u w:val="single"/>
        </w:rPr>
        <w:tab/>
      </w:r>
    </w:p>
  </w:footnote>
  <w:footnote w:type="continuationNotice" w:id="1">
    <w:p w14:paraId="4BDC2328" w14:textId="77777777" w:rsidR="00CE3771" w:rsidRPr="00AC3823" w:rsidRDefault="00CE3771">
      <w:pPr>
        <w:spacing w:line="240" w:lineRule="auto"/>
        <w:rPr>
          <w:sz w:val="2"/>
          <w:szCs w:val="2"/>
        </w:rPr>
      </w:pPr>
    </w:p>
  </w:footnote>
  <w:footnote w:id="2">
    <w:p w14:paraId="6EEC9936" w14:textId="7F66FFC6" w:rsidR="006D4345" w:rsidRPr="006D4345" w:rsidRDefault="006D4345">
      <w:pPr>
        <w:pStyle w:val="Notedebasdepage"/>
      </w:pPr>
      <w:r>
        <w:rPr>
          <w:rStyle w:val="Appelnotedebasdep"/>
        </w:rPr>
        <w:tab/>
      </w:r>
      <w:r w:rsidRPr="006D4345">
        <w:rPr>
          <w:rStyle w:val="Appelnotedebasdep"/>
          <w:sz w:val="20"/>
          <w:vertAlign w:val="baseline"/>
        </w:rPr>
        <w:t>*</w:t>
      </w:r>
      <w:r>
        <w:rPr>
          <w:rStyle w:val="Appelnotedebasdep"/>
          <w:sz w:val="20"/>
          <w:vertAlign w:val="baseline"/>
        </w:rPr>
        <w:tab/>
      </w:r>
      <w:r w:rsidRPr="00B772CC">
        <w:rPr>
          <w:szCs w:val="18"/>
        </w:rPr>
        <w:t>La version originale du présent document n’a pas été revue par les services d’édition.</w:t>
      </w:r>
    </w:p>
  </w:footnote>
  <w:footnote w:id="3">
    <w:p w14:paraId="1992EA63" w14:textId="77777777" w:rsidR="006D4345" w:rsidRPr="00DA578E" w:rsidRDefault="006D4345" w:rsidP="006D4345">
      <w:pPr>
        <w:pStyle w:val="Notedebasdepage"/>
        <w:rPr>
          <w:lang w:val="fr-FR"/>
        </w:rPr>
      </w:pPr>
      <w:r w:rsidRPr="00DA578E">
        <w:rPr>
          <w:lang w:val="fr-FR"/>
        </w:rPr>
        <w:tab/>
      </w:r>
      <w:r w:rsidRPr="00EE6F24">
        <w:rPr>
          <w:rStyle w:val="Appelnotedebasdep"/>
        </w:rPr>
        <w:footnoteRef/>
      </w:r>
      <w:r w:rsidRPr="00DA578E">
        <w:rPr>
          <w:lang w:val="fr-FR"/>
        </w:rPr>
        <w:t xml:space="preserve"> </w:t>
      </w:r>
      <w:r w:rsidRPr="00DA578E">
        <w:rPr>
          <w:lang w:val="fr-FR"/>
        </w:rPr>
        <w:tab/>
        <w:t xml:space="preserve">Haute Cour de justice, 9518/16, </w:t>
      </w:r>
      <w:r w:rsidRPr="00DA578E">
        <w:rPr>
          <w:i/>
          <w:iCs/>
          <w:lang w:val="fr-FR"/>
        </w:rPr>
        <w:t xml:space="preserve">Harel c. la Knesset </w:t>
      </w:r>
      <w:r w:rsidRPr="00DA578E">
        <w:rPr>
          <w:lang w:val="fr-FR"/>
        </w:rPr>
        <w:t>(5 septembre 2017).</w:t>
      </w:r>
    </w:p>
  </w:footnote>
  <w:footnote w:id="4">
    <w:p w14:paraId="343684FF" w14:textId="77777777" w:rsidR="006D4345" w:rsidRPr="00DA578E" w:rsidRDefault="006D4345" w:rsidP="006D4345">
      <w:pPr>
        <w:pStyle w:val="Notedebasdepage"/>
        <w:rPr>
          <w:lang w:val="fr-FR"/>
        </w:rPr>
      </w:pPr>
      <w:r w:rsidRPr="00DA578E">
        <w:rPr>
          <w:rtl/>
        </w:rPr>
        <w:tab/>
      </w:r>
      <w:r w:rsidRPr="00EE6F24">
        <w:rPr>
          <w:rStyle w:val="Appelnotedebasdep"/>
        </w:rPr>
        <w:footnoteRef/>
      </w:r>
      <w:r w:rsidRPr="00DA578E">
        <w:rPr>
          <w:rtl/>
        </w:rPr>
        <w:t xml:space="preserve"> </w:t>
      </w:r>
      <w:r w:rsidRPr="00DA578E">
        <w:rPr>
          <w:rtl/>
        </w:rPr>
        <w:tab/>
      </w:r>
      <w:r w:rsidRPr="00DA578E">
        <w:rPr>
          <w:lang w:val="fr-FR"/>
        </w:rPr>
        <w:t xml:space="preserve">Haute Cour de justice, 9518/16, </w:t>
      </w:r>
      <w:r w:rsidRPr="00DA578E">
        <w:rPr>
          <w:i/>
          <w:iCs/>
          <w:lang w:val="fr-FR"/>
        </w:rPr>
        <w:t xml:space="preserve">Harel c. la Knesset </w:t>
      </w:r>
      <w:r w:rsidRPr="00DA578E">
        <w:rPr>
          <w:lang w:val="fr-FR"/>
        </w:rPr>
        <w:t>(5 septembre 2017).</w:t>
      </w:r>
    </w:p>
  </w:footnote>
  <w:footnote w:id="5">
    <w:p w14:paraId="2A990AD9" w14:textId="77777777" w:rsidR="006D4345" w:rsidRPr="00DA578E" w:rsidRDefault="006D4345" w:rsidP="006D4345">
      <w:pPr>
        <w:pStyle w:val="Notedebasdepage"/>
        <w:rPr>
          <w:rtl/>
        </w:rPr>
      </w:pPr>
      <w:r w:rsidRPr="00DA578E">
        <w:rPr>
          <w:lang w:val="fr-FR"/>
        </w:rPr>
        <w:tab/>
      </w:r>
      <w:r w:rsidRPr="00EE6F24">
        <w:rPr>
          <w:rStyle w:val="Appelnotedebasdep"/>
        </w:rPr>
        <w:footnoteRef/>
      </w:r>
      <w:r w:rsidRPr="00DA578E">
        <w:rPr>
          <w:lang w:val="fr-FR"/>
        </w:rPr>
        <w:tab/>
        <w:t xml:space="preserve">Haute Cour de justice, 16/6411, </w:t>
      </w:r>
      <w:r w:rsidRPr="00DA578E">
        <w:rPr>
          <w:i/>
          <w:iCs/>
          <w:lang w:val="fr-FR"/>
        </w:rPr>
        <w:t>Comité national des autorités locales c. la Knesset</w:t>
      </w:r>
      <w:r w:rsidRPr="00DA578E">
        <w:rPr>
          <w:lang w:val="fr-FR"/>
        </w:rPr>
        <w:t>.</w:t>
      </w:r>
    </w:p>
  </w:footnote>
  <w:footnote w:id="6">
    <w:p w14:paraId="4C41E300" w14:textId="58E2EF7C" w:rsidR="006D4345" w:rsidRPr="00DA578E" w:rsidRDefault="006D4345" w:rsidP="006D4345">
      <w:pPr>
        <w:pStyle w:val="Notedebasdepage"/>
        <w:rPr>
          <w:lang w:val="fr-FR"/>
        </w:rPr>
      </w:pPr>
      <w:r w:rsidRPr="00DA578E">
        <w:rPr>
          <w:rtl/>
        </w:rPr>
        <w:tab/>
      </w:r>
      <w:r w:rsidRPr="00EE6F24">
        <w:rPr>
          <w:rStyle w:val="Appelnotedebasdep"/>
        </w:rPr>
        <w:footnoteRef/>
      </w:r>
      <w:r w:rsidRPr="00DA578E">
        <w:rPr>
          <w:rtl/>
        </w:rPr>
        <w:tab/>
      </w:r>
      <w:r w:rsidRPr="00DA578E">
        <w:rPr>
          <w:lang w:val="fr-FR"/>
        </w:rPr>
        <w:t xml:space="preserve">Haute Cour de justice, 5555/18, </w:t>
      </w:r>
      <w:r w:rsidRPr="00DA578E">
        <w:rPr>
          <w:i/>
          <w:iCs/>
          <w:lang w:val="fr-FR"/>
        </w:rPr>
        <w:t>MK Akram Hasson et consort</w:t>
      </w:r>
      <w:r>
        <w:rPr>
          <w:i/>
          <w:iCs/>
          <w:lang w:val="fr-FR"/>
        </w:rPr>
        <w:t>s</w:t>
      </w:r>
      <w:r w:rsidRPr="00DA578E">
        <w:rPr>
          <w:i/>
          <w:iCs/>
          <w:lang w:val="fr-FR"/>
        </w:rPr>
        <w:t>. c. la Knesset e</w:t>
      </w:r>
      <w:r>
        <w:rPr>
          <w:i/>
          <w:iCs/>
          <w:lang w:val="fr-FR"/>
        </w:rPr>
        <w:t>t</w:t>
      </w:r>
      <w:r w:rsidRPr="00DA578E">
        <w:rPr>
          <w:i/>
          <w:iCs/>
          <w:lang w:val="fr-FR"/>
        </w:rPr>
        <w:t xml:space="preserve"> consorts </w:t>
      </w:r>
      <w:r w:rsidR="0049482F">
        <w:rPr>
          <w:i/>
          <w:iCs/>
          <w:lang w:val="fr-FR"/>
        </w:rPr>
        <w:br/>
      </w:r>
      <w:r w:rsidRPr="00DA578E">
        <w:rPr>
          <w:lang w:val="fr-FR"/>
        </w:rPr>
        <w:t>(8 juillet 2021).</w:t>
      </w:r>
    </w:p>
  </w:footnote>
  <w:footnote w:id="7">
    <w:p w14:paraId="16AE4B5F" w14:textId="15C24522" w:rsidR="006D4345" w:rsidRPr="00DA578E" w:rsidRDefault="006D4345" w:rsidP="006D4345">
      <w:pPr>
        <w:pStyle w:val="Notedebasdepage"/>
        <w:rPr>
          <w:lang w:val="fr-FR"/>
        </w:rPr>
      </w:pPr>
      <w:r w:rsidRPr="00DA578E">
        <w:rPr>
          <w:rtl/>
        </w:rPr>
        <w:tab/>
      </w:r>
      <w:r w:rsidRPr="00EE6F24">
        <w:rPr>
          <w:rStyle w:val="Appelnotedebasdep"/>
        </w:rPr>
        <w:footnoteRef/>
      </w:r>
      <w:r w:rsidRPr="00DA578E">
        <w:rPr>
          <w:lang w:val="fr-FR"/>
        </w:rPr>
        <w:tab/>
        <w:t xml:space="preserve">Haute Cour de justice, 2293/17, </w:t>
      </w:r>
      <w:r w:rsidRPr="00DA578E">
        <w:rPr>
          <w:i/>
          <w:iCs/>
          <w:lang w:val="fr-FR"/>
        </w:rPr>
        <w:t>Esther Tsgey Garsgher et consorts c. la Knesset</w:t>
      </w:r>
      <w:r w:rsidRPr="00DA578E">
        <w:rPr>
          <w:lang w:val="fr-FR"/>
        </w:rPr>
        <w:t xml:space="preserve"> </w:t>
      </w:r>
      <w:r w:rsidRPr="00DA578E">
        <w:rPr>
          <w:i/>
          <w:iCs/>
          <w:lang w:val="fr-FR"/>
        </w:rPr>
        <w:t>et consorts</w:t>
      </w:r>
      <w:r w:rsidR="0049482F">
        <w:rPr>
          <w:i/>
          <w:iCs/>
          <w:lang w:val="fr-FR"/>
        </w:rPr>
        <w:t xml:space="preserve"> </w:t>
      </w:r>
      <w:r w:rsidR="0049482F">
        <w:rPr>
          <w:i/>
          <w:iCs/>
          <w:lang w:val="fr-FR"/>
        </w:rPr>
        <w:br/>
      </w:r>
      <w:r w:rsidRPr="00DA578E">
        <w:rPr>
          <w:lang w:val="fr-FR"/>
        </w:rPr>
        <w:t>(23 avril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B9C58" w14:textId="51844C83" w:rsidR="006D4345" w:rsidRPr="006D4345" w:rsidRDefault="00E6741D">
    <w:pPr>
      <w:pStyle w:val="En-tte"/>
    </w:pPr>
    <w:r>
      <w:fldChar w:fldCharType="begin"/>
    </w:r>
    <w:r>
      <w:instrText xml:space="preserve"> TITLE  \* MERGEFORMAT </w:instrText>
    </w:r>
    <w:r>
      <w:fldChar w:fldCharType="separate"/>
    </w:r>
    <w:r>
      <w:t>E/C.12/ISR/FCO/4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4A8AE" w14:textId="2C102724" w:rsidR="006D4345" w:rsidRPr="006D4345" w:rsidRDefault="00E6741D" w:rsidP="006D4345">
    <w:pPr>
      <w:pStyle w:val="En-tte"/>
      <w:jc w:val="right"/>
    </w:pPr>
    <w:r>
      <w:fldChar w:fldCharType="begin"/>
    </w:r>
    <w:r>
      <w:instrText xml:space="preserve"> TITLE  \* MERGEFORMAT </w:instrText>
    </w:r>
    <w:r>
      <w:fldChar w:fldCharType="separate"/>
    </w:r>
    <w:r>
      <w:t>E/C.12/ISR/FCO/4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19"/>
  </w:num>
  <w:num w:numId="23">
    <w:abstractNumId w:val="12"/>
  </w:num>
  <w:num w:numId="24">
    <w:abstractNumId w:val="18"/>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savePreviewPicture/>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740"/>
    <w:rsid w:val="00017F94"/>
    <w:rsid w:val="00023842"/>
    <w:rsid w:val="0002432E"/>
    <w:rsid w:val="000334F9"/>
    <w:rsid w:val="00073B9D"/>
    <w:rsid w:val="0007796D"/>
    <w:rsid w:val="000B7790"/>
    <w:rsid w:val="00111F2F"/>
    <w:rsid w:val="00112740"/>
    <w:rsid w:val="0014365E"/>
    <w:rsid w:val="00164F54"/>
    <w:rsid w:val="00176178"/>
    <w:rsid w:val="001C3868"/>
    <w:rsid w:val="001F525A"/>
    <w:rsid w:val="00223272"/>
    <w:rsid w:val="0024779E"/>
    <w:rsid w:val="002515E3"/>
    <w:rsid w:val="00266ACE"/>
    <w:rsid w:val="002832AC"/>
    <w:rsid w:val="002D7C93"/>
    <w:rsid w:val="00441C3B"/>
    <w:rsid w:val="00446FE5"/>
    <w:rsid w:val="00452396"/>
    <w:rsid w:val="00465074"/>
    <w:rsid w:val="0049482F"/>
    <w:rsid w:val="004E468C"/>
    <w:rsid w:val="005505B7"/>
    <w:rsid w:val="00573BE5"/>
    <w:rsid w:val="00586ED3"/>
    <w:rsid w:val="00596AA9"/>
    <w:rsid w:val="006D4345"/>
    <w:rsid w:val="0071601D"/>
    <w:rsid w:val="007A62E6"/>
    <w:rsid w:val="007C1326"/>
    <w:rsid w:val="007C7DBD"/>
    <w:rsid w:val="007F04CC"/>
    <w:rsid w:val="0080236C"/>
    <w:rsid w:val="0080684C"/>
    <w:rsid w:val="00831EB8"/>
    <w:rsid w:val="00871C75"/>
    <w:rsid w:val="008776DC"/>
    <w:rsid w:val="00967489"/>
    <w:rsid w:val="009705C8"/>
    <w:rsid w:val="009C1CF4"/>
    <w:rsid w:val="00A30353"/>
    <w:rsid w:val="00A61CAF"/>
    <w:rsid w:val="00AA42FA"/>
    <w:rsid w:val="00AC3823"/>
    <w:rsid w:val="00AE323C"/>
    <w:rsid w:val="00AF290F"/>
    <w:rsid w:val="00B00181"/>
    <w:rsid w:val="00B00296"/>
    <w:rsid w:val="00B00B0D"/>
    <w:rsid w:val="00B765F7"/>
    <w:rsid w:val="00B772CC"/>
    <w:rsid w:val="00BA0CA9"/>
    <w:rsid w:val="00BF01C6"/>
    <w:rsid w:val="00C02897"/>
    <w:rsid w:val="00CE3771"/>
    <w:rsid w:val="00D3439C"/>
    <w:rsid w:val="00D75300"/>
    <w:rsid w:val="00DB1831"/>
    <w:rsid w:val="00DD3BFD"/>
    <w:rsid w:val="00DF6678"/>
    <w:rsid w:val="00E6741D"/>
    <w:rsid w:val="00EF2E22"/>
    <w:rsid w:val="00F0631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74347CCF"/>
  <w15:docId w15:val="{4784CF51-47E0-436B-88C4-A4E7539A7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D4345"/>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D4345"/>
    <w:pPr>
      <w:numPr>
        <w:numId w:val="21"/>
      </w:numPr>
    </w:pPr>
  </w:style>
  <w:style w:type="numbering" w:styleId="1ai">
    <w:name w:val="Outline List 1"/>
    <w:basedOn w:val="Aucuneliste"/>
    <w:semiHidden/>
    <w:rsid w:val="006D4345"/>
    <w:pPr>
      <w:numPr>
        <w:numId w:val="22"/>
      </w:numPr>
    </w:pPr>
  </w:style>
  <w:style w:type="character" w:styleId="Titredulivre">
    <w:name w:val="Book Title"/>
    <w:basedOn w:val="Policepardfaut"/>
    <w:uiPriority w:val="33"/>
    <w:semiHidden/>
    <w:rsid w:val="006D4345"/>
    <w:rPr>
      <w:b/>
      <w:bCs/>
      <w:smallCaps/>
      <w:spacing w:val="5"/>
    </w:rPr>
  </w:style>
  <w:style w:type="character" w:customStyle="1" w:styleId="SingleTxtGChar">
    <w:name w:val="_ Single Txt_G Char"/>
    <w:basedOn w:val="Policepardfaut"/>
    <w:link w:val="SingleTxtG"/>
    <w:rsid w:val="006D4345"/>
    <w:rPr>
      <w:rFonts w:ascii="Times New Roman" w:eastAsiaTheme="minorHAnsi" w:hAnsi="Times New Roman" w:cs="Times New Roman"/>
      <w:sz w:val="20"/>
      <w:szCs w:val="20"/>
      <w:lang w:eastAsia="en-US"/>
    </w:rPr>
  </w:style>
  <w:style w:type="character" w:styleId="Accentuation">
    <w:name w:val="Emphasis"/>
    <w:basedOn w:val="Policepardfaut"/>
    <w:uiPriority w:val="20"/>
    <w:qFormat/>
    <w:rsid w:val="006D4345"/>
    <w:rPr>
      <w:i/>
      <w:iCs/>
    </w:rPr>
  </w:style>
  <w:style w:type="character" w:styleId="Marquedecommentaire">
    <w:name w:val="annotation reference"/>
    <w:basedOn w:val="Policepardfaut"/>
    <w:uiPriority w:val="99"/>
    <w:semiHidden/>
    <w:unhideWhenUsed/>
    <w:rsid w:val="006D4345"/>
    <w:rPr>
      <w:sz w:val="16"/>
      <w:szCs w:val="16"/>
    </w:rPr>
  </w:style>
  <w:style w:type="paragraph" w:styleId="Commentaire">
    <w:name w:val="annotation text"/>
    <w:basedOn w:val="Normal"/>
    <w:link w:val="CommentaireCar"/>
    <w:uiPriority w:val="99"/>
    <w:unhideWhenUsed/>
    <w:rsid w:val="006D434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D4345"/>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D4345"/>
    <w:rPr>
      <w:b/>
      <w:bCs/>
    </w:rPr>
  </w:style>
  <w:style w:type="character" w:customStyle="1" w:styleId="ObjetducommentaireCar">
    <w:name w:val="Objet du commentaire Car"/>
    <w:basedOn w:val="CommentaireCar"/>
    <w:link w:val="Objetducommentaire"/>
    <w:uiPriority w:val="99"/>
    <w:semiHidden/>
    <w:rsid w:val="006D4345"/>
    <w:rPr>
      <w:rFonts w:ascii="Times New Roman" w:hAnsi="Times New Roman" w:cs="Times New Roman"/>
      <w:b/>
      <w:bCs/>
      <w:sz w:val="20"/>
      <w:szCs w:val="20"/>
      <w:lang w:val="en-GB" w:eastAsia="en-US"/>
    </w:rPr>
  </w:style>
  <w:style w:type="paragraph" w:styleId="Liste">
    <w:name w:val="List"/>
    <w:basedOn w:val="Normal"/>
    <w:semiHidden/>
    <w:rsid w:val="006D4345"/>
    <w:pPr>
      <w:suppressAutoHyphens w:val="0"/>
      <w:kinsoku/>
      <w:overflowPunct/>
      <w:autoSpaceDE/>
      <w:autoSpaceDN/>
      <w:adjustRightInd/>
      <w:snapToGrid/>
      <w:ind w:left="283" w:hanging="283"/>
    </w:pPr>
    <w:rPr>
      <w:rFonts w:eastAsia="Times New Roman"/>
      <w:lang w:val="es-ES" w:eastAsia="es-ES"/>
    </w:rPr>
  </w:style>
  <w:style w:type="character" w:styleId="lev">
    <w:name w:val="Strong"/>
    <w:uiPriority w:val="22"/>
    <w:qFormat/>
    <w:rsid w:val="006D4345"/>
    <w:rPr>
      <w:b/>
      <w:bCs/>
    </w:rPr>
  </w:style>
  <w:style w:type="character" w:styleId="Mentionnonrsolue">
    <w:name w:val="Unresolved Mention"/>
    <w:basedOn w:val="Policepardfaut"/>
    <w:uiPriority w:val="99"/>
    <w:semiHidden/>
    <w:unhideWhenUsed/>
    <w:rsid w:val="006D4345"/>
    <w:rPr>
      <w:color w:val="605E5C"/>
      <w:shd w:val="clear" w:color="auto" w:fill="E1DFDD"/>
    </w:rPr>
  </w:style>
  <w:style w:type="character" w:customStyle="1" w:styleId="terminologypart">
    <w:name w:val="terminologypart"/>
    <w:basedOn w:val="Policepardfaut"/>
    <w:rsid w:val="006D4345"/>
  </w:style>
  <w:style w:type="character" w:customStyle="1" w:styleId="preferred">
    <w:name w:val="preferred"/>
    <w:basedOn w:val="Policepardfaut"/>
    <w:rsid w:val="006D43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3956</Words>
  <Characters>22551</Characters>
  <Application>Microsoft Office Word</Application>
  <DocSecurity>0</DocSecurity>
  <Lines>187</Lines>
  <Paragraphs>52</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E/C.12/ISR/FCO/4</vt:lpstr>
      <vt:lpstr>Renseignements reçus d’Israël au sujet de la suite donnée aux observations fin</vt:lpstr>
      <vt:lpstr>        Renseignements sur la suite donnée aux recommandations figurant au paragraphe </vt:lpstr>
      <vt:lpstr>        Renseignements sur la suite donnée aux recommandations figurant au paragraphe </vt:lpstr>
      <vt:lpstr>        Renseignements sur la suite donnée aux recommandations figurant au paragraphe </vt:lpstr>
    </vt:vector>
  </TitlesOfParts>
  <Company>DCM</Company>
  <LinksUpToDate>false</LinksUpToDate>
  <CharactersWithSpaces>26455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E/C.12/ISR/FCO/4</dc:title>
  <dc:subject/>
  <dc:creator>Julien OKRZESIK</dc:creator>
  <cp:keywords/>
  <dc:description/>
  <cp:lastModifiedBy>Julien Okrzesik</cp:lastModifiedBy>
  <cp:revision>3</cp:revision>
  <cp:lastPrinted>2022-05-24T10:35:00Z</cp:lastPrinted>
  <dcterms:created xsi:type="dcterms:W3CDTF">2022-05-24T10:35:00Z</dcterms:created>
  <dcterms:modified xsi:type="dcterms:W3CDTF">2022-05-24T10:36:00Z</dcterms:modified>
</cp:coreProperties>
</file>