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5FB" w:rsidRPr="002245FB" w:rsidRDefault="002245FB" w:rsidP="002245FB">
      <w:pPr>
        <w:spacing w:line="240" w:lineRule="auto"/>
        <w:rPr>
          <w:sz w:val="2"/>
        </w:rPr>
        <w:sectPr w:rsidR="002245FB" w:rsidRPr="002245FB" w:rsidSect="00A173D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80"/>
        </w:sectPr>
      </w:pPr>
      <w:commentRangeStart w:id="0"/>
      <w:r w:rsidRPr="002245F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334&amp;Size =1&amp;Lang = E"/>
          </v:shape>
        </w:pict>
      </w:r>
      <w:commentRangeEnd w:id="0"/>
      <w:r w:rsidRPr="002245FB">
        <w:rPr>
          <w:rStyle w:val="CommentReference"/>
          <w:sz w:val="2"/>
        </w:rPr>
        <w:commentReference w:id="0"/>
      </w:r>
    </w:p>
    <w:p w:rsidR="00F95A0F" w:rsidRDefault="00F95A0F" w:rsidP="00406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Sixty-eighth session</w:t>
      </w:r>
    </w:p>
    <w:p w:rsidR="004065CA" w:rsidRPr="004065CA" w:rsidRDefault="004065CA" w:rsidP="004065CA">
      <w:pPr>
        <w:framePr w:w="9792" w:h="432" w:hSpace="180" w:wrap="around" w:hAnchor="page" w:x="1210" w:yAlign="bottom"/>
        <w:spacing w:line="240" w:lineRule="auto"/>
        <w:rPr>
          <w:sz w:val="10"/>
        </w:rPr>
      </w:pPr>
    </w:p>
    <w:p w:rsidR="004065CA" w:rsidRPr="004065CA" w:rsidRDefault="004065CA" w:rsidP="004065CA">
      <w:pPr>
        <w:framePr w:w="9792" w:h="432" w:hSpace="180" w:wrap="around" w:hAnchor="page" w:x="1210" w:yAlign="bottom"/>
        <w:spacing w:line="240" w:lineRule="auto"/>
        <w:rPr>
          <w:sz w:val="6"/>
        </w:rPr>
      </w:pPr>
      <w:r w:rsidRPr="004065CA">
        <w:rPr>
          <w:noProof/>
          <w:w w:val="100"/>
          <w:sz w:val="6"/>
          <w:lang w:val="en-US"/>
        </w:rPr>
        <w:pict>
          <v:line id="_x0000_s1027" style="position:absolute;z-index:2;mso-position-horizontal-relative:page" from="108pt,-1pt" to="180pt,-1pt" strokeweight=".25pt">
            <w10:wrap anchorx="page"/>
          </v:line>
        </w:pict>
      </w:r>
    </w:p>
    <w:p w:rsidR="004065CA" w:rsidRPr="004065CA" w:rsidRDefault="004065CA" w:rsidP="004065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hyperlink r:id="rId15" w:history="1">
        <w:r w:rsidRPr="00BD571C">
          <w:rPr>
            <w:rStyle w:val="Hyperlink"/>
            <w:sz w:val="17"/>
          </w:rPr>
          <w:t>A/68/150</w:t>
        </w:r>
      </w:hyperlink>
      <w:r>
        <w:rPr>
          <w:sz w:val="17"/>
        </w:rPr>
        <w:t>.</w:t>
      </w:r>
    </w:p>
    <w:p w:rsidR="00F95A0F" w:rsidRDefault="00F95A0F" w:rsidP="004065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69 (a) of the provisional agenda</w:t>
      </w:r>
      <w:r w:rsidR="004065CA">
        <w:t>*</w:t>
      </w:r>
    </w:p>
    <w:p w:rsidR="00F95A0F" w:rsidRDefault="00F95A0F" w:rsidP="004065CA">
      <w:pPr>
        <w:pStyle w:val="H23"/>
        <w:ind w:right="1260"/>
      </w:pPr>
      <w:r>
        <w:t>Promotion and protection of human rights</w:t>
      </w:r>
    </w:p>
    <w:p w:rsidR="004065CA" w:rsidRPr="004065CA" w:rsidRDefault="004065CA" w:rsidP="004065CA">
      <w:pPr>
        <w:pStyle w:val="SingleTxt"/>
        <w:spacing w:after="0" w:line="120" w:lineRule="exact"/>
        <w:rPr>
          <w:sz w:val="10"/>
        </w:rPr>
      </w:pPr>
    </w:p>
    <w:p w:rsidR="004065CA" w:rsidRPr="004065CA" w:rsidRDefault="004065CA" w:rsidP="004065CA">
      <w:pPr>
        <w:pStyle w:val="SingleTxt"/>
        <w:spacing w:after="0" w:line="120" w:lineRule="exact"/>
        <w:rPr>
          <w:sz w:val="10"/>
        </w:rPr>
      </w:pPr>
    </w:p>
    <w:p w:rsidR="004065CA" w:rsidRPr="004065CA" w:rsidRDefault="004065CA" w:rsidP="004065CA">
      <w:pPr>
        <w:pStyle w:val="SingleTxt"/>
        <w:spacing w:after="0" w:line="120" w:lineRule="exact"/>
        <w:rPr>
          <w:sz w:val="10"/>
        </w:rPr>
      </w:pPr>
    </w:p>
    <w:p w:rsidR="00F95A0F" w:rsidRDefault="00F95A0F" w:rsidP="004065CA">
      <w:pPr>
        <w:pStyle w:val="HCh"/>
        <w:ind w:left="1267" w:right="1260" w:hanging="1267"/>
      </w:pPr>
      <w:r>
        <w:tab/>
      </w:r>
      <w:r>
        <w:tab/>
        <w:t>Implementation of human rights instruments</w:t>
      </w:r>
    </w:p>
    <w:p w:rsidR="004065CA" w:rsidRPr="004065CA" w:rsidRDefault="004065CA" w:rsidP="004065CA">
      <w:pPr>
        <w:pStyle w:val="SingleTxt"/>
        <w:spacing w:after="0" w:line="120" w:lineRule="exact"/>
        <w:rPr>
          <w:sz w:val="10"/>
        </w:rPr>
      </w:pPr>
    </w:p>
    <w:p w:rsidR="004065CA" w:rsidRPr="004065CA" w:rsidRDefault="004065CA" w:rsidP="004065CA">
      <w:pPr>
        <w:pStyle w:val="SingleTxt"/>
        <w:spacing w:after="0" w:line="120" w:lineRule="exact"/>
        <w:rPr>
          <w:sz w:val="10"/>
        </w:rPr>
      </w:pPr>
    </w:p>
    <w:p w:rsidR="00F95A0F" w:rsidRDefault="00F95A0F" w:rsidP="004065CA">
      <w:pPr>
        <w:pStyle w:val="H1"/>
        <w:ind w:right="1260"/>
      </w:pPr>
      <w:r>
        <w:tab/>
      </w:r>
      <w:r>
        <w:tab/>
        <w:t>Note by the Secretary-General</w:t>
      </w:r>
    </w:p>
    <w:p w:rsidR="004065CA" w:rsidRPr="004065CA" w:rsidRDefault="004065CA" w:rsidP="004065CA">
      <w:pPr>
        <w:pStyle w:val="SingleTxt"/>
        <w:spacing w:after="0" w:line="120" w:lineRule="exact"/>
        <w:rPr>
          <w:sz w:val="10"/>
        </w:rPr>
      </w:pPr>
    </w:p>
    <w:p w:rsidR="004065CA" w:rsidRPr="004065CA" w:rsidRDefault="004065CA" w:rsidP="004065CA">
      <w:pPr>
        <w:pStyle w:val="SingleTxt"/>
        <w:spacing w:after="0" w:line="120" w:lineRule="exact"/>
        <w:rPr>
          <w:sz w:val="10"/>
        </w:rPr>
      </w:pPr>
    </w:p>
    <w:p w:rsidR="00F95A0F" w:rsidRDefault="00F95A0F" w:rsidP="00F95A0F">
      <w:pPr>
        <w:pStyle w:val="SingleTxt"/>
      </w:pPr>
      <w:r>
        <w:tab/>
        <w:t xml:space="preserve">The Secretary-General has the honour to transmit to the General Assembly the report of the </w:t>
      </w:r>
      <w:r w:rsidR="004065CA" w:rsidRPr="004065CA">
        <w:t>Chairs</w:t>
      </w:r>
      <w:r>
        <w:t xml:space="preserve"> of the human rights treaty bodies on their twenty-fifth meeting, held in </w:t>
      </w:r>
      <w:smartTag w:uri="urn:schemas-microsoft-com:office:smarttags" w:element="place">
        <w:smartTag w:uri="urn:schemas-microsoft-com:office:smarttags" w:element="State">
          <w:r>
            <w:t>New York</w:t>
          </w:r>
        </w:smartTag>
      </w:smartTag>
      <w:r>
        <w:t xml:space="preserve"> from 20 to 24 May 2013, pursuant to General Assembly resolution </w:t>
      </w:r>
      <w:hyperlink r:id="rId16" w:history="1">
        <w:r w:rsidRPr="004423CC">
          <w:rPr>
            <w:rStyle w:val="Hyperlink"/>
          </w:rPr>
          <w:t>57/202</w:t>
        </w:r>
      </w:hyperlink>
      <w:r>
        <w:t>.</w:t>
      </w:r>
    </w:p>
    <w:p w:rsidR="00F95A0F" w:rsidRDefault="00FE4179" w:rsidP="00FE41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95A0F">
        <w:tab/>
      </w:r>
      <w:r w:rsidR="00F95A0F">
        <w:tab/>
        <w:t xml:space="preserve">Report of the </w:t>
      </w:r>
      <w:r w:rsidR="004065CA" w:rsidRPr="004065CA">
        <w:t>Chairs</w:t>
      </w:r>
      <w:r w:rsidR="00F95A0F">
        <w:t xml:space="preserve"> of the human rights treaty bodies </w:t>
      </w:r>
      <w:r>
        <w:br/>
      </w:r>
      <w:r w:rsidR="00F95A0F">
        <w:t>on their twenty-fifth meeting</w:t>
      </w:r>
    </w:p>
    <w:p w:rsidR="00FE4179" w:rsidRPr="00FE4179" w:rsidRDefault="00FE4179" w:rsidP="00FE4179">
      <w:pPr>
        <w:pStyle w:val="SingleTxt"/>
        <w:spacing w:after="0" w:line="120" w:lineRule="exact"/>
        <w:rPr>
          <w:sz w:val="10"/>
        </w:rPr>
      </w:pPr>
    </w:p>
    <w:p w:rsidR="00FE4179" w:rsidRPr="00FE4179" w:rsidRDefault="00FE4179" w:rsidP="00FE4179">
      <w:pPr>
        <w:pStyle w:val="SingleTxt"/>
        <w:spacing w:after="0" w:line="120" w:lineRule="exact"/>
        <w:rPr>
          <w:sz w:val="10"/>
        </w:rPr>
      </w:pPr>
    </w:p>
    <w:p w:rsidR="00FE4179" w:rsidRPr="00FE4179" w:rsidRDefault="00FE4179" w:rsidP="00FE4179">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FE4179" w:rsidTr="00FE4179">
        <w:tblPrEx>
          <w:tblCellMar>
            <w:top w:w="0" w:type="dxa"/>
            <w:bottom w:w="0" w:type="dxa"/>
          </w:tblCellMar>
        </w:tblPrEx>
        <w:tc>
          <w:tcPr>
            <w:tcW w:w="9922" w:type="dxa"/>
            <w:tcBorders>
              <w:top w:val="single" w:sz="2" w:space="0" w:color="auto"/>
            </w:tcBorders>
            <w:shd w:val="clear" w:color="auto" w:fill="auto"/>
          </w:tcPr>
          <w:p w:rsidR="00FE4179" w:rsidRPr="00FE4179" w:rsidRDefault="00FE4179" w:rsidP="00FE4179">
            <w:pPr>
              <w:tabs>
                <w:tab w:val="left" w:pos="240"/>
              </w:tabs>
              <w:spacing w:before="240" w:after="120"/>
              <w:rPr>
                <w:i/>
                <w:sz w:val="24"/>
              </w:rPr>
            </w:pPr>
            <w:r>
              <w:rPr>
                <w:i/>
                <w:sz w:val="24"/>
              </w:rPr>
              <w:tab/>
              <w:t>Summary</w:t>
            </w:r>
          </w:p>
        </w:tc>
      </w:tr>
      <w:tr w:rsidR="00FE4179" w:rsidTr="00FE4179">
        <w:tblPrEx>
          <w:tblCellMar>
            <w:top w:w="0" w:type="dxa"/>
            <w:bottom w:w="0" w:type="dxa"/>
          </w:tblCellMar>
        </w:tblPrEx>
        <w:tc>
          <w:tcPr>
            <w:tcW w:w="9922" w:type="dxa"/>
            <w:shd w:val="clear" w:color="auto" w:fill="auto"/>
          </w:tcPr>
          <w:p w:rsidR="00FE4179" w:rsidRPr="00FE4179" w:rsidRDefault="00FE4179" w:rsidP="00FE4179">
            <w:pPr>
              <w:pStyle w:val="SingleTxt"/>
            </w:pPr>
            <w:r>
              <w:tab/>
              <w:t xml:space="preserve">The General Assembly, in its resolution </w:t>
            </w:r>
            <w:hyperlink r:id="rId17" w:history="1">
              <w:r w:rsidRPr="004423CC">
                <w:rPr>
                  <w:rStyle w:val="Hyperlink"/>
                </w:rPr>
                <w:t>57/202</w:t>
              </w:r>
            </w:hyperlink>
            <w:r>
              <w:t xml:space="preserve">, requested the Secretary-General to submit to the Assembly the reports of the </w:t>
            </w:r>
            <w:r w:rsidRPr="004065CA">
              <w:t>Chairs</w:t>
            </w:r>
            <w:r>
              <w:t xml:space="preserve"> of the human rights treaty bodies on their periodic meetings. The present document contains the report on the twenty-fifth meeting of the </w:t>
            </w:r>
            <w:r w:rsidRPr="004065CA">
              <w:t>Chairs</w:t>
            </w:r>
            <w:r>
              <w:t xml:space="preserve"> of the </w:t>
            </w:r>
            <w:r w:rsidR="008441F3">
              <w:t xml:space="preserve">United Nations </w:t>
            </w:r>
            <w:r>
              <w:t xml:space="preserve">human rights treaty bodies, which was convened </w:t>
            </w:r>
            <w:r w:rsidR="008441F3">
              <w:t xml:space="preserve">in </w:t>
            </w:r>
            <w:smartTag w:uri="urn:schemas-microsoft-com:office:smarttags" w:element="place">
              <w:smartTag w:uri="urn:schemas-microsoft-com:office:smarttags" w:element="State">
                <w:r w:rsidR="008441F3">
                  <w:t>New York</w:t>
                </w:r>
              </w:smartTag>
            </w:smartTag>
            <w:r w:rsidR="008441F3">
              <w:t xml:space="preserve"> </w:t>
            </w:r>
            <w:r>
              <w:t xml:space="preserve">from 20 to 24 May 2013. The meeting of the </w:t>
            </w:r>
            <w:r w:rsidRPr="004065CA">
              <w:t>Chairs</w:t>
            </w:r>
            <w:r>
              <w:t xml:space="preserve">, convened annually pursuant to Assembly resolution </w:t>
            </w:r>
            <w:hyperlink r:id="rId18" w:history="1">
              <w:r w:rsidRPr="004423CC">
                <w:rPr>
                  <w:rStyle w:val="Hyperlink"/>
                </w:rPr>
                <w:t>49/178</w:t>
              </w:r>
            </w:hyperlink>
            <w:r>
              <w:t xml:space="preserve">, was held with a view to </w:t>
            </w:r>
            <w:r w:rsidR="008441F3">
              <w:t xml:space="preserve">enhancing </w:t>
            </w:r>
            <w:r>
              <w:t xml:space="preserve">synergies with the intergovernmental process on treaty body strengthening. The </w:t>
            </w:r>
            <w:r w:rsidRPr="004065CA">
              <w:t>Chairs</w:t>
            </w:r>
            <w:r>
              <w:t xml:space="preserve"> considered the follow-up to the recommendations of the twenty-fourth meeting and reviewed developments, including the implementation by treaty bodies of recommendations included in the </w:t>
            </w:r>
            <w:r w:rsidR="00620466">
              <w:t xml:space="preserve">report of the United Nations </w:t>
            </w:r>
            <w:r>
              <w:t xml:space="preserve">High Commissioner </w:t>
            </w:r>
            <w:r w:rsidR="00620466">
              <w:t xml:space="preserve">for Human Rights </w:t>
            </w:r>
            <w:r>
              <w:t xml:space="preserve">on the strengthening of the treaty body system. In the context of the intergovernmental process on treaty body strengthening, the </w:t>
            </w:r>
            <w:r w:rsidRPr="004065CA">
              <w:t>Chairs</w:t>
            </w:r>
            <w:r>
              <w:t xml:space="preserve"> met with the co-facilitators, the </w:t>
            </w:r>
            <w:r w:rsidR="00620466">
              <w:t xml:space="preserve">Permanent Representatives to the United Nations </w:t>
            </w:r>
            <w:r>
              <w:t xml:space="preserve">of Iceland and </w:t>
            </w:r>
            <w:smartTag w:uri="urn:schemas-microsoft-com:office:smarttags" w:element="country-region">
              <w:r>
                <w:t>Indonesia</w:t>
              </w:r>
            </w:smartTag>
            <w:r>
              <w:t xml:space="preserve">,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and groups, as well as civil society organizations. The </w:t>
            </w:r>
            <w:r w:rsidRPr="004065CA">
              <w:t>Chairs</w:t>
            </w:r>
            <w:r>
              <w:t xml:space="preserve"> further discussed the </w:t>
            </w:r>
            <w:r w:rsidR="00620466">
              <w:t>p</w:t>
            </w:r>
            <w:r>
              <w:t xml:space="preserve">ost-2015 </w:t>
            </w:r>
            <w:r w:rsidR="00620466">
              <w:t xml:space="preserve">development agenda </w:t>
            </w:r>
            <w:r>
              <w:t xml:space="preserve">and adopted a joint statement. The </w:t>
            </w:r>
            <w:r w:rsidRPr="004065CA">
              <w:t>Chairs</w:t>
            </w:r>
            <w:r>
              <w:t xml:space="preserve"> adopted recommendations, which are contained in section VI of the present report.</w:t>
            </w:r>
          </w:p>
        </w:tc>
      </w:tr>
      <w:tr w:rsidR="00FE4179" w:rsidTr="00FE4179">
        <w:tblPrEx>
          <w:tblCellMar>
            <w:top w:w="0" w:type="dxa"/>
            <w:bottom w:w="0" w:type="dxa"/>
          </w:tblCellMar>
        </w:tblPrEx>
        <w:tc>
          <w:tcPr>
            <w:tcW w:w="9922" w:type="dxa"/>
            <w:tcBorders>
              <w:bottom w:val="single" w:sz="2" w:space="0" w:color="auto"/>
            </w:tcBorders>
            <w:shd w:val="clear" w:color="auto" w:fill="auto"/>
          </w:tcPr>
          <w:p w:rsidR="00FE4179" w:rsidRPr="00FE4179" w:rsidRDefault="00FE4179" w:rsidP="00FE4179">
            <w:pPr>
              <w:pStyle w:val="SingleTxt"/>
            </w:pPr>
          </w:p>
        </w:tc>
      </w:tr>
    </w:tbl>
    <w:p w:rsidR="00B35A85" w:rsidRPr="00B35A85" w:rsidRDefault="00B35A85" w:rsidP="00B35A85">
      <w:pPr>
        <w:pStyle w:val="SingleTxt"/>
        <w:spacing w:after="0" w:line="120" w:lineRule="exact"/>
        <w:rPr>
          <w:sz w:val="10"/>
        </w:rPr>
      </w:pPr>
    </w:p>
    <w:p w:rsidR="00B35A85" w:rsidRPr="00B35A85" w:rsidRDefault="00B35A85" w:rsidP="00B35A85">
      <w:pPr>
        <w:pStyle w:val="SingleTxt"/>
        <w:spacing w:after="0" w:line="120" w:lineRule="exact"/>
        <w:rPr>
          <w:sz w:val="10"/>
        </w:rPr>
      </w:pPr>
    </w:p>
    <w:p w:rsidR="00B35A85" w:rsidRPr="00B35A85" w:rsidRDefault="00B35A85" w:rsidP="00B35A85">
      <w:pPr>
        <w:pStyle w:val="SingleTxt"/>
        <w:spacing w:after="0" w:line="120" w:lineRule="exact"/>
        <w:rPr>
          <w:sz w:val="10"/>
        </w:rPr>
      </w:pPr>
    </w:p>
    <w:p w:rsidR="00B35A85" w:rsidRPr="00B35A85" w:rsidRDefault="00B35A85" w:rsidP="00B35A85">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B35A85" w:rsidRPr="00B35A85" w:rsidTr="00B35A85">
        <w:tblPrEx>
          <w:tblCellMar>
            <w:top w:w="0" w:type="dxa"/>
            <w:bottom w:w="0" w:type="dxa"/>
          </w:tblCellMar>
        </w:tblPrEx>
        <w:tc>
          <w:tcPr>
            <w:tcW w:w="1060" w:type="dxa"/>
            <w:shd w:val="clear" w:color="auto" w:fill="auto"/>
          </w:tcPr>
          <w:p w:rsidR="00B35A85" w:rsidRPr="00B35A85" w:rsidRDefault="00B35A85" w:rsidP="00B35A85">
            <w:pPr>
              <w:spacing w:after="120" w:line="240" w:lineRule="auto"/>
              <w:jc w:val="right"/>
              <w:rPr>
                <w:i/>
                <w:sz w:val="14"/>
              </w:rPr>
            </w:pPr>
          </w:p>
        </w:tc>
        <w:tc>
          <w:tcPr>
            <w:tcW w:w="7315" w:type="dxa"/>
            <w:shd w:val="clear" w:color="auto" w:fill="auto"/>
          </w:tcPr>
          <w:p w:rsidR="00B35A85" w:rsidRPr="00B35A85" w:rsidRDefault="00B35A85" w:rsidP="00B35A85">
            <w:pPr>
              <w:spacing w:after="120" w:line="240" w:lineRule="auto"/>
              <w:rPr>
                <w:i/>
                <w:sz w:val="14"/>
              </w:rPr>
            </w:pPr>
          </w:p>
        </w:tc>
        <w:tc>
          <w:tcPr>
            <w:tcW w:w="994" w:type="dxa"/>
            <w:shd w:val="clear" w:color="auto" w:fill="auto"/>
          </w:tcPr>
          <w:p w:rsidR="00B35A85" w:rsidRPr="00B35A85" w:rsidRDefault="00B35A85" w:rsidP="00B35A85">
            <w:pPr>
              <w:spacing w:after="120" w:line="240" w:lineRule="auto"/>
              <w:jc w:val="right"/>
              <w:rPr>
                <w:i/>
                <w:sz w:val="14"/>
              </w:rPr>
            </w:pPr>
          </w:p>
        </w:tc>
        <w:tc>
          <w:tcPr>
            <w:tcW w:w="533" w:type="dxa"/>
            <w:shd w:val="clear" w:color="auto" w:fill="auto"/>
          </w:tcPr>
          <w:p w:rsidR="00B35A85" w:rsidRPr="00B35A85" w:rsidRDefault="00B35A85" w:rsidP="00B35A85">
            <w:pPr>
              <w:spacing w:after="120" w:line="240" w:lineRule="auto"/>
              <w:jc w:val="right"/>
              <w:rPr>
                <w:i/>
                <w:sz w:val="14"/>
              </w:rPr>
            </w:pPr>
            <w:r>
              <w:rPr>
                <w:i/>
                <w:sz w:val="14"/>
              </w:rPr>
              <w:t>Page</w:t>
            </w:r>
          </w:p>
        </w:tc>
      </w:tr>
      <w:tr w:rsidR="00B35A85" w:rsidRPr="00B35A85" w:rsidTr="00B35A85">
        <w:tblPrEx>
          <w:tblCellMar>
            <w:top w:w="0" w:type="dxa"/>
            <w:bottom w:w="0" w:type="dxa"/>
          </w:tblCellMar>
        </w:tblPrEx>
        <w:tc>
          <w:tcPr>
            <w:tcW w:w="9369" w:type="dxa"/>
            <w:gridSpan w:val="3"/>
            <w:shd w:val="clear" w:color="auto" w:fill="auto"/>
          </w:tcPr>
          <w:p w:rsidR="00B35A85" w:rsidRPr="00B35A85" w:rsidRDefault="00B35A85" w:rsidP="00B35A85">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B35A85" w:rsidRPr="00B35A85" w:rsidRDefault="00C35C12" w:rsidP="00B35A85">
            <w:pPr>
              <w:spacing w:after="120"/>
              <w:jc w:val="right"/>
            </w:pPr>
            <w:r>
              <w:t>4</w:t>
            </w:r>
          </w:p>
        </w:tc>
      </w:tr>
      <w:tr w:rsidR="00B35A85" w:rsidRPr="00B35A85" w:rsidTr="00B35A85">
        <w:tblPrEx>
          <w:tblCellMar>
            <w:top w:w="0" w:type="dxa"/>
            <w:bottom w:w="0" w:type="dxa"/>
          </w:tblCellMar>
        </w:tblPrEx>
        <w:tc>
          <w:tcPr>
            <w:tcW w:w="9369" w:type="dxa"/>
            <w:gridSpan w:val="3"/>
            <w:shd w:val="clear" w:color="auto" w:fill="auto"/>
          </w:tcPr>
          <w:p w:rsidR="00B35A85" w:rsidRDefault="00B35A85" w:rsidP="00B35A85">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Organization of the meeting</w:t>
            </w:r>
            <w:r>
              <w:rPr>
                <w:spacing w:val="60"/>
                <w:sz w:val="17"/>
              </w:rPr>
              <w:tab/>
            </w:r>
          </w:p>
        </w:tc>
        <w:tc>
          <w:tcPr>
            <w:tcW w:w="533" w:type="dxa"/>
            <w:shd w:val="clear" w:color="auto" w:fill="auto"/>
            <w:vAlign w:val="bottom"/>
          </w:tcPr>
          <w:p w:rsidR="00B35A85" w:rsidRDefault="00C35C12" w:rsidP="00B35A85">
            <w:pPr>
              <w:spacing w:after="120"/>
              <w:jc w:val="right"/>
            </w:pPr>
            <w:r>
              <w:t>4</w:t>
            </w:r>
          </w:p>
        </w:tc>
      </w:tr>
      <w:tr w:rsidR="00B35A85" w:rsidRPr="00B35A85" w:rsidTr="00B35A85">
        <w:tblPrEx>
          <w:tblCellMar>
            <w:top w:w="0" w:type="dxa"/>
            <w:bottom w:w="0" w:type="dxa"/>
          </w:tblCellMar>
        </w:tblPrEx>
        <w:tc>
          <w:tcPr>
            <w:tcW w:w="9369" w:type="dxa"/>
            <w:gridSpan w:val="3"/>
            <w:shd w:val="clear" w:color="auto" w:fill="auto"/>
          </w:tcPr>
          <w:p w:rsidR="00B35A85" w:rsidRDefault="00B35A85" w:rsidP="00B5400C">
            <w:pPr>
              <w:numPr>
                <w:ilvl w:val="0"/>
                <w:numId w:val="1"/>
              </w:numPr>
              <w:tabs>
                <w:tab w:val="right" w:pos="1080"/>
                <w:tab w:val="left" w:pos="1296"/>
                <w:tab w:val="left" w:pos="1728"/>
                <w:tab w:val="right" w:leader="dot" w:pos="9360"/>
              </w:tabs>
              <w:spacing w:after="120"/>
            </w:pPr>
            <w:r>
              <w:tab/>
              <w:t xml:space="preserve">Follow-up to the recommendations of the twenty-fourth meeting of the Chairs of the human rights treaty bodies, including implementation of recommendations contained in the report of the United Nations High Commissioner </w:t>
            </w:r>
            <w:r w:rsidR="00B5400C">
              <w:t xml:space="preserve">for Human Rights </w:t>
            </w:r>
            <w:r>
              <w:t>on the strengthening of the treaty bodies</w:t>
            </w:r>
            <w:r w:rsidR="00B5400C">
              <w:rPr>
                <w:spacing w:val="60"/>
                <w:sz w:val="17"/>
              </w:rPr>
              <w:tab/>
            </w:r>
          </w:p>
        </w:tc>
        <w:tc>
          <w:tcPr>
            <w:tcW w:w="533" w:type="dxa"/>
            <w:shd w:val="clear" w:color="auto" w:fill="auto"/>
            <w:vAlign w:val="bottom"/>
          </w:tcPr>
          <w:p w:rsidR="00B35A85" w:rsidRDefault="00C35C12" w:rsidP="00B35A85">
            <w:pPr>
              <w:spacing w:after="120"/>
              <w:jc w:val="right"/>
            </w:pPr>
            <w:r>
              <w:t>6</w:t>
            </w:r>
          </w:p>
        </w:tc>
      </w:tr>
      <w:tr w:rsidR="00B35A85" w:rsidRPr="00B35A85" w:rsidTr="00B35A85">
        <w:tblPrEx>
          <w:tblCellMar>
            <w:top w:w="0" w:type="dxa"/>
            <w:bottom w:w="0" w:type="dxa"/>
          </w:tblCellMar>
        </w:tblPrEx>
        <w:tc>
          <w:tcPr>
            <w:tcW w:w="9369" w:type="dxa"/>
            <w:gridSpan w:val="3"/>
            <w:shd w:val="clear" w:color="auto" w:fill="auto"/>
          </w:tcPr>
          <w:p w:rsidR="00B35A85" w:rsidRDefault="00B5400C" w:rsidP="00AF0E6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r>
            <w:r w:rsidR="00AF0E6C">
              <w:t>Treaty bodies and the intergovernmental process on the strengthening of the treaty bodies</w:t>
            </w:r>
            <w:r w:rsidR="00AF0E6C">
              <w:rPr>
                <w:spacing w:val="60"/>
                <w:sz w:val="17"/>
              </w:rPr>
              <w:tab/>
            </w:r>
          </w:p>
        </w:tc>
        <w:tc>
          <w:tcPr>
            <w:tcW w:w="533" w:type="dxa"/>
            <w:shd w:val="clear" w:color="auto" w:fill="auto"/>
            <w:vAlign w:val="bottom"/>
          </w:tcPr>
          <w:p w:rsidR="00B35A85" w:rsidRDefault="00C35C12" w:rsidP="00B35A85">
            <w:pPr>
              <w:spacing w:after="120"/>
              <w:jc w:val="right"/>
            </w:pPr>
            <w:r>
              <w:t>7</w:t>
            </w:r>
          </w:p>
        </w:tc>
      </w:tr>
      <w:tr w:rsidR="00AF0E6C" w:rsidRPr="00B35A85" w:rsidTr="00B35A85">
        <w:tblPrEx>
          <w:tblCellMar>
            <w:top w:w="0" w:type="dxa"/>
            <w:bottom w:w="0" w:type="dxa"/>
          </w:tblCellMar>
        </w:tblPrEx>
        <w:tc>
          <w:tcPr>
            <w:tcW w:w="9369" w:type="dxa"/>
            <w:gridSpan w:val="3"/>
            <w:shd w:val="clear" w:color="auto" w:fill="auto"/>
          </w:tcPr>
          <w:p w:rsidR="00AF0E6C" w:rsidRDefault="00AF0E6C" w:rsidP="00AF0E6C">
            <w:pPr>
              <w:numPr>
                <w:ilvl w:val="1"/>
                <w:numId w:val="1"/>
              </w:numPr>
              <w:tabs>
                <w:tab w:val="right" w:pos="1080"/>
                <w:tab w:val="left" w:pos="1296"/>
                <w:tab w:val="left" w:pos="1728"/>
                <w:tab w:val="left" w:pos="2160"/>
                <w:tab w:val="left" w:pos="2592"/>
                <w:tab w:val="left" w:pos="3024"/>
                <w:tab w:val="right" w:leader="dot" w:pos="9360"/>
              </w:tabs>
              <w:spacing w:after="120"/>
            </w:pPr>
            <w:r>
              <w:t>Meeting with the co-facilitators of the intergovernmental process on the strengthening of the treaty bodies</w:t>
            </w:r>
            <w:r>
              <w:rPr>
                <w:spacing w:val="60"/>
                <w:sz w:val="17"/>
              </w:rPr>
              <w:tab/>
            </w:r>
          </w:p>
        </w:tc>
        <w:tc>
          <w:tcPr>
            <w:tcW w:w="533" w:type="dxa"/>
            <w:shd w:val="clear" w:color="auto" w:fill="auto"/>
            <w:vAlign w:val="bottom"/>
          </w:tcPr>
          <w:p w:rsidR="00AF0E6C" w:rsidRDefault="00C35C12" w:rsidP="00B35A85">
            <w:pPr>
              <w:spacing w:after="120"/>
              <w:jc w:val="right"/>
            </w:pPr>
            <w:r>
              <w:t>7</w:t>
            </w:r>
          </w:p>
        </w:tc>
      </w:tr>
      <w:tr w:rsidR="00AF0E6C" w:rsidRPr="00B35A85" w:rsidTr="00B35A85">
        <w:tblPrEx>
          <w:tblCellMar>
            <w:top w:w="0" w:type="dxa"/>
            <w:bottom w:w="0" w:type="dxa"/>
          </w:tblCellMar>
        </w:tblPrEx>
        <w:tc>
          <w:tcPr>
            <w:tcW w:w="9369" w:type="dxa"/>
            <w:gridSpan w:val="3"/>
            <w:shd w:val="clear" w:color="auto" w:fill="auto"/>
          </w:tcPr>
          <w:p w:rsidR="00AF0E6C" w:rsidRDefault="00AF0E6C" w:rsidP="00AF0E6C">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Informal consultation with States</w:t>
            </w:r>
            <w:r>
              <w:rPr>
                <w:spacing w:val="60"/>
                <w:sz w:val="17"/>
              </w:rPr>
              <w:tab/>
            </w:r>
          </w:p>
        </w:tc>
        <w:tc>
          <w:tcPr>
            <w:tcW w:w="533" w:type="dxa"/>
            <w:shd w:val="clear" w:color="auto" w:fill="auto"/>
            <w:vAlign w:val="bottom"/>
          </w:tcPr>
          <w:p w:rsidR="00AF0E6C" w:rsidRDefault="00C35C12" w:rsidP="00B35A85">
            <w:pPr>
              <w:spacing w:after="120"/>
              <w:jc w:val="right"/>
            </w:pPr>
            <w:r>
              <w:t>9</w:t>
            </w:r>
          </w:p>
        </w:tc>
      </w:tr>
      <w:tr w:rsidR="00AF0E6C" w:rsidRPr="00B35A85" w:rsidTr="00B35A85">
        <w:tblPrEx>
          <w:tblCellMar>
            <w:top w:w="0" w:type="dxa"/>
            <w:bottom w:w="0" w:type="dxa"/>
          </w:tblCellMar>
        </w:tblPrEx>
        <w:tc>
          <w:tcPr>
            <w:tcW w:w="9369" w:type="dxa"/>
            <w:gridSpan w:val="3"/>
            <w:shd w:val="clear" w:color="auto" w:fill="auto"/>
          </w:tcPr>
          <w:p w:rsidR="00AF0E6C" w:rsidRDefault="00AF0E6C" w:rsidP="00AF0E6C">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 xml:space="preserve">Informal consultations with civil society organizations and the International </w:t>
            </w:r>
            <w:r w:rsidR="00BD571C">
              <w:t>Coordinating Committee</w:t>
            </w:r>
            <w:r>
              <w:t xml:space="preserve"> of national human rights institutions</w:t>
            </w:r>
            <w:r>
              <w:rPr>
                <w:spacing w:val="60"/>
                <w:sz w:val="17"/>
              </w:rPr>
              <w:tab/>
            </w:r>
          </w:p>
        </w:tc>
        <w:tc>
          <w:tcPr>
            <w:tcW w:w="533" w:type="dxa"/>
            <w:shd w:val="clear" w:color="auto" w:fill="auto"/>
            <w:vAlign w:val="bottom"/>
          </w:tcPr>
          <w:p w:rsidR="00AF0E6C" w:rsidRDefault="00C35C12" w:rsidP="00B35A85">
            <w:pPr>
              <w:spacing w:after="120"/>
              <w:jc w:val="right"/>
            </w:pPr>
            <w:r>
              <w:t>12</w:t>
            </w:r>
          </w:p>
        </w:tc>
      </w:tr>
      <w:tr w:rsidR="00AF0E6C" w:rsidRPr="00B35A85" w:rsidTr="00B35A85">
        <w:tblPrEx>
          <w:tblCellMar>
            <w:top w:w="0" w:type="dxa"/>
            <w:bottom w:w="0" w:type="dxa"/>
          </w:tblCellMar>
        </w:tblPrEx>
        <w:tc>
          <w:tcPr>
            <w:tcW w:w="9369" w:type="dxa"/>
            <w:gridSpan w:val="3"/>
            <w:shd w:val="clear" w:color="auto" w:fill="auto"/>
          </w:tcPr>
          <w:p w:rsidR="00AF0E6C" w:rsidRDefault="00AF0E6C" w:rsidP="00AF0E6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AF0E6C">
              <w:t xml:space="preserve">Treaty bodies and the </w:t>
            </w:r>
            <w:r>
              <w:t>p</w:t>
            </w:r>
            <w:r w:rsidRPr="00AF0E6C">
              <w:t>ost-2015 development agenda</w:t>
            </w:r>
            <w:r>
              <w:rPr>
                <w:spacing w:val="60"/>
                <w:sz w:val="17"/>
              </w:rPr>
              <w:tab/>
            </w:r>
          </w:p>
        </w:tc>
        <w:tc>
          <w:tcPr>
            <w:tcW w:w="533" w:type="dxa"/>
            <w:shd w:val="clear" w:color="auto" w:fill="auto"/>
            <w:vAlign w:val="bottom"/>
          </w:tcPr>
          <w:p w:rsidR="00AF0E6C" w:rsidRDefault="00C35C12" w:rsidP="00B35A85">
            <w:pPr>
              <w:spacing w:after="120"/>
              <w:jc w:val="right"/>
            </w:pPr>
            <w:r>
              <w:t>13</w:t>
            </w:r>
          </w:p>
        </w:tc>
      </w:tr>
      <w:tr w:rsidR="00AF0E6C" w:rsidRPr="00B35A85" w:rsidTr="00B35A85">
        <w:tblPrEx>
          <w:tblCellMar>
            <w:top w:w="0" w:type="dxa"/>
            <w:bottom w:w="0" w:type="dxa"/>
          </w:tblCellMar>
        </w:tblPrEx>
        <w:tc>
          <w:tcPr>
            <w:tcW w:w="9369" w:type="dxa"/>
            <w:gridSpan w:val="3"/>
            <w:shd w:val="clear" w:color="auto" w:fill="auto"/>
          </w:tcPr>
          <w:p w:rsidR="00AF0E6C" w:rsidRDefault="00AF0E6C" w:rsidP="00AF0E6C">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t>Decisions and recommendations</w:t>
            </w:r>
            <w:r>
              <w:rPr>
                <w:spacing w:val="60"/>
                <w:sz w:val="17"/>
              </w:rPr>
              <w:tab/>
            </w:r>
          </w:p>
        </w:tc>
        <w:tc>
          <w:tcPr>
            <w:tcW w:w="533" w:type="dxa"/>
            <w:shd w:val="clear" w:color="auto" w:fill="auto"/>
            <w:vAlign w:val="bottom"/>
          </w:tcPr>
          <w:p w:rsidR="00AF0E6C" w:rsidRDefault="00C35C12" w:rsidP="00B35A85">
            <w:pPr>
              <w:spacing w:after="120"/>
              <w:jc w:val="right"/>
            </w:pPr>
            <w:r>
              <w:t>14</w:t>
            </w:r>
          </w:p>
        </w:tc>
      </w:tr>
      <w:tr w:rsidR="004D786C" w:rsidRPr="00B35A85" w:rsidTr="00B35A85">
        <w:tblPrEx>
          <w:tblCellMar>
            <w:top w:w="0" w:type="dxa"/>
            <w:bottom w:w="0" w:type="dxa"/>
          </w:tblCellMar>
        </w:tblPrEx>
        <w:tc>
          <w:tcPr>
            <w:tcW w:w="9369" w:type="dxa"/>
            <w:gridSpan w:val="3"/>
            <w:shd w:val="clear" w:color="auto" w:fill="auto"/>
          </w:tcPr>
          <w:p w:rsidR="004D786C" w:rsidRDefault="004D786C" w:rsidP="004D786C">
            <w:pPr>
              <w:tabs>
                <w:tab w:val="right" w:pos="1080"/>
                <w:tab w:val="left" w:pos="1728"/>
                <w:tab w:val="left" w:pos="2160"/>
                <w:tab w:val="left" w:pos="2592"/>
                <w:tab w:val="left" w:pos="3024"/>
                <w:tab w:val="left" w:pos="3456"/>
                <w:tab w:val="left" w:pos="3888"/>
                <w:tab w:val="right" w:leader="dot" w:pos="9360"/>
              </w:tabs>
              <w:spacing w:after="120"/>
            </w:pPr>
            <w:r>
              <w:tab/>
              <w:t>Annex</w:t>
            </w:r>
          </w:p>
        </w:tc>
        <w:tc>
          <w:tcPr>
            <w:tcW w:w="533" w:type="dxa"/>
            <w:shd w:val="clear" w:color="auto" w:fill="auto"/>
            <w:vAlign w:val="bottom"/>
          </w:tcPr>
          <w:p w:rsidR="004D786C" w:rsidRDefault="004D786C" w:rsidP="00B35A85">
            <w:pPr>
              <w:spacing w:after="120"/>
              <w:jc w:val="right"/>
            </w:pPr>
          </w:p>
        </w:tc>
      </w:tr>
      <w:tr w:rsidR="004D786C" w:rsidRPr="00B35A85" w:rsidTr="00B35A85">
        <w:tblPrEx>
          <w:tblCellMar>
            <w:top w:w="0" w:type="dxa"/>
            <w:bottom w:w="0" w:type="dxa"/>
          </w:tblCellMar>
        </w:tblPrEx>
        <w:tc>
          <w:tcPr>
            <w:tcW w:w="9369" w:type="dxa"/>
            <w:gridSpan w:val="3"/>
            <w:shd w:val="clear" w:color="auto" w:fill="auto"/>
          </w:tcPr>
          <w:p w:rsidR="004D786C" w:rsidRPr="004D786C" w:rsidRDefault="004D786C" w:rsidP="004D786C">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Joint statement of the Chairs of the United Nations treaty bodies on the post-2015 development agenda</w:t>
            </w:r>
            <w:r>
              <w:rPr>
                <w:spacing w:val="60"/>
                <w:sz w:val="17"/>
              </w:rPr>
              <w:tab/>
            </w:r>
          </w:p>
        </w:tc>
        <w:tc>
          <w:tcPr>
            <w:tcW w:w="533" w:type="dxa"/>
            <w:shd w:val="clear" w:color="auto" w:fill="auto"/>
            <w:vAlign w:val="bottom"/>
          </w:tcPr>
          <w:p w:rsidR="004D786C" w:rsidRDefault="00C35C12" w:rsidP="00B35A85">
            <w:pPr>
              <w:spacing w:after="120"/>
              <w:jc w:val="right"/>
            </w:pPr>
            <w:r>
              <w:t>17</w:t>
            </w:r>
          </w:p>
        </w:tc>
      </w:tr>
    </w:tbl>
    <w:p w:rsidR="00B35A85" w:rsidRPr="00B35A85" w:rsidRDefault="00B35A85" w:rsidP="00B35A85">
      <w:pPr>
        <w:pStyle w:val="SingleTxt"/>
        <w:spacing w:after="0" w:line="120" w:lineRule="exact"/>
        <w:rPr>
          <w:sz w:val="10"/>
        </w:rPr>
      </w:pPr>
    </w:p>
    <w:p w:rsidR="00B35A85" w:rsidRPr="00B35A85" w:rsidRDefault="00B35A85" w:rsidP="00B35A85">
      <w:pPr>
        <w:pStyle w:val="SingleTxt"/>
        <w:spacing w:after="0" w:line="120" w:lineRule="exact"/>
        <w:rPr>
          <w:sz w:val="10"/>
        </w:rPr>
      </w:pPr>
    </w:p>
    <w:p w:rsidR="00B35A85" w:rsidRPr="00B35A85" w:rsidRDefault="00B35A85" w:rsidP="00B35A85">
      <w:pPr>
        <w:pStyle w:val="SingleTxt"/>
        <w:spacing w:after="0" w:line="120" w:lineRule="exact"/>
        <w:rPr>
          <w:sz w:val="10"/>
        </w:rPr>
      </w:pPr>
    </w:p>
    <w:p w:rsidR="00F95A0F" w:rsidRDefault="00AF0E6C" w:rsidP="00776D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95A0F">
        <w:tab/>
        <w:t>I.</w:t>
      </w:r>
      <w:r w:rsidR="00F95A0F">
        <w:tab/>
      </w:r>
      <w:r w:rsidR="00776D10">
        <w:t>Introduction</w:t>
      </w:r>
    </w:p>
    <w:p w:rsidR="00776D10" w:rsidRPr="00776D10" w:rsidRDefault="00776D10" w:rsidP="00776D10">
      <w:pPr>
        <w:pStyle w:val="SingleTxt"/>
        <w:spacing w:after="0" w:line="120" w:lineRule="exact"/>
        <w:rPr>
          <w:sz w:val="10"/>
        </w:rPr>
      </w:pPr>
    </w:p>
    <w:p w:rsidR="00776D10" w:rsidRPr="00776D10" w:rsidRDefault="00776D10" w:rsidP="00776D10">
      <w:pPr>
        <w:pStyle w:val="SingleTxt"/>
        <w:spacing w:after="0" w:line="120" w:lineRule="exact"/>
        <w:rPr>
          <w:sz w:val="10"/>
        </w:rPr>
      </w:pPr>
    </w:p>
    <w:p w:rsidR="00F95A0F" w:rsidRDefault="00F95A0F" w:rsidP="00F95A0F">
      <w:pPr>
        <w:pStyle w:val="SingleTxt"/>
      </w:pPr>
      <w:r>
        <w:t>1.</w:t>
      </w:r>
      <w:r>
        <w:tab/>
        <w:t xml:space="preserve">The twenty-fifth meeting of the </w:t>
      </w:r>
      <w:r w:rsidR="004065CA" w:rsidRPr="004065CA">
        <w:t>Chairs</w:t>
      </w:r>
      <w:r>
        <w:t xml:space="preserve"> of the human rights treaty bodies was held in </w:t>
      </w:r>
      <w:smartTag w:uri="urn:schemas-microsoft-com:office:smarttags" w:element="place">
        <w:smartTag w:uri="urn:schemas-microsoft-com:office:smarttags" w:element="State">
          <w:r>
            <w:t>New York</w:t>
          </w:r>
        </w:smartTag>
      </w:smartTag>
      <w:r>
        <w:t xml:space="preserve"> from 20 to 24 May 2013. The meetings are convened annually pursuant to General Assembly resolution </w:t>
      </w:r>
      <w:hyperlink r:id="rId19" w:history="1">
        <w:r w:rsidRPr="004423CC">
          <w:rPr>
            <w:rStyle w:val="Hyperlink"/>
          </w:rPr>
          <w:t>49/178</w:t>
        </w:r>
      </w:hyperlink>
      <w:r>
        <w:t xml:space="preserve">. The meeting was convened in </w:t>
      </w:r>
      <w:smartTag w:uri="urn:schemas-microsoft-com:office:smarttags" w:element="place">
        <w:smartTag w:uri="urn:schemas-microsoft-com:office:smarttags" w:element="State">
          <w:r>
            <w:t>New York</w:t>
          </w:r>
        </w:smartTag>
      </w:smartTag>
      <w:r>
        <w:t xml:space="preserve"> with a view to enhanc</w:t>
      </w:r>
      <w:r w:rsidR="00776D10">
        <w:t>ing</w:t>
      </w:r>
      <w:r>
        <w:t xml:space="preserve"> synergies with the intergovernmental process on treaty body strengthening. </w:t>
      </w:r>
    </w:p>
    <w:p w:rsidR="00776D10" w:rsidRPr="00776D10" w:rsidRDefault="00776D10" w:rsidP="00776D10">
      <w:pPr>
        <w:pStyle w:val="SingleTxt"/>
        <w:spacing w:after="0" w:line="120" w:lineRule="exact"/>
        <w:rPr>
          <w:sz w:val="10"/>
        </w:rPr>
      </w:pPr>
    </w:p>
    <w:p w:rsidR="00776D10" w:rsidRPr="00776D10" w:rsidRDefault="00776D10" w:rsidP="00776D10">
      <w:pPr>
        <w:pStyle w:val="SingleTxt"/>
        <w:spacing w:after="0" w:line="120" w:lineRule="exact"/>
        <w:rPr>
          <w:sz w:val="10"/>
        </w:rPr>
      </w:pPr>
    </w:p>
    <w:p w:rsidR="00776D10" w:rsidRDefault="00776D10" w:rsidP="00776D10">
      <w:pPr>
        <w:pStyle w:val="HCh"/>
        <w:ind w:left="1267" w:right="1260" w:hanging="1267"/>
      </w:pPr>
      <w:r>
        <w:tab/>
        <w:t>II.</w:t>
      </w:r>
      <w:r>
        <w:tab/>
        <w:t>Organization of the meeting</w:t>
      </w:r>
    </w:p>
    <w:p w:rsidR="00776D10" w:rsidRPr="00776D10" w:rsidRDefault="00776D10" w:rsidP="00776D10">
      <w:pPr>
        <w:pStyle w:val="SingleTxt"/>
        <w:spacing w:after="0" w:line="120" w:lineRule="exact"/>
        <w:rPr>
          <w:sz w:val="10"/>
        </w:rPr>
      </w:pPr>
    </w:p>
    <w:p w:rsidR="00776D10" w:rsidRPr="00776D10" w:rsidRDefault="00776D10" w:rsidP="00776D10">
      <w:pPr>
        <w:pStyle w:val="SingleTxt"/>
        <w:spacing w:after="0" w:line="120" w:lineRule="exact"/>
        <w:rPr>
          <w:sz w:val="10"/>
        </w:rPr>
      </w:pPr>
    </w:p>
    <w:p w:rsidR="00F95A0F" w:rsidRDefault="00F95A0F" w:rsidP="00F95A0F">
      <w:pPr>
        <w:pStyle w:val="SingleTxt"/>
      </w:pPr>
      <w:r>
        <w:t>2.</w:t>
      </w:r>
      <w:r>
        <w:tab/>
        <w:t xml:space="preserve">The meeting was attended by the </w:t>
      </w:r>
      <w:r w:rsidR="004065CA" w:rsidRPr="004065CA">
        <w:t>Chairs</w:t>
      </w:r>
      <w:r>
        <w:t xml:space="preserve"> of the following bodies: Committee </w:t>
      </w:r>
      <w:r w:rsidR="00776D10">
        <w:t>a</w:t>
      </w:r>
      <w:r>
        <w:t xml:space="preserve">gainst Torture (Claudio Grossman); Human Rights Committee (Nigel Rodley); Committee on the Elimination of Discrimination against Women (Nicole Ameline); Committee on Enforced Disappearance (Emmanuel Decaux); Committee on the Elimination of Racial Discrimination (Alexei Avtonomov); Committee on the Protection of the Rights of All Migrant Workers and Members of Their Families (Abdelhamid </w:t>
      </w:r>
      <w:r w:rsidR="00144CA8" w:rsidRPr="00144CA8">
        <w:t>El Jamri</w:t>
      </w:r>
      <w:r>
        <w:t>); Subcommittee on Prevention of Torture and Other Cruel, Inhuman or Degrading Treatment or Punishment (Malcolm Evans)</w:t>
      </w:r>
      <w:r w:rsidR="00776D10">
        <w:t>;</w:t>
      </w:r>
      <w:r>
        <w:t xml:space="preserve"> and Committee on the Rights of Persons with Disabilities (Maria Soledad Cisternas Reyes). In addition, the Committee on Economic, Social and Cultural Rights and the Committee on the Rights of the Child were represented by their </w:t>
      </w:r>
      <w:r w:rsidR="00776D10">
        <w:t xml:space="preserve">respective </w:t>
      </w:r>
      <w:r>
        <w:t>Vice</w:t>
      </w:r>
      <w:r w:rsidR="0082736A">
        <w:noBreakHyphen/>
      </w:r>
      <w:r w:rsidR="004065CA" w:rsidRPr="004065CA">
        <w:t>Chairs</w:t>
      </w:r>
      <w:r>
        <w:t>, Azzouz Kerdoun and Hatem Kotrane.</w:t>
      </w:r>
    </w:p>
    <w:p w:rsidR="00F95A0F" w:rsidRDefault="00F95A0F" w:rsidP="00F95A0F">
      <w:pPr>
        <w:pStyle w:val="SingleTxt"/>
      </w:pPr>
      <w:r>
        <w:t>3.</w:t>
      </w:r>
      <w:r>
        <w:tab/>
        <w:t xml:space="preserve">Ibrahim Salama, Director of the Human Rights Treaties Division of </w:t>
      </w:r>
      <w:r w:rsidR="009432EF">
        <w:t>the Office of the United Nations High Commissioner for Human Rights (OHCHR)</w:t>
      </w:r>
      <w:r>
        <w:t xml:space="preserve">, opened the meeting and welcomed the </w:t>
      </w:r>
      <w:r w:rsidR="004065CA" w:rsidRPr="004065CA">
        <w:t>Chairs</w:t>
      </w:r>
      <w:r>
        <w:t>. He underscored the historical importance of the meeting</w:t>
      </w:r>
      <w:r w:rsidR="009432EF">
        <w:t>,</w:t>
      </w:r>
      <w:r>
        <w:t xml:space="preserve"> which had two major items on its agenda: treaty body strengthening and the </w:t>
      </w:r>
      <w:r w:rsidR="009432EF">
        <w:t>p</w:t>
      </w:r>
      <w:r>
        <w:t xml:space="preserve">ost-2015 development agenda. He thanked the outgoing </w:t>
      </w:r>
      <w:r w:rsidR="00967134" w:rsidRPr="00967134">
        <w:t>Chair</w:t>
      </w:r>
      <w:r>
        <w:t xml:space="preserve">, Abdelhamid </w:t>
      </w:r>
      <w:r w:rsidR="00144CA8" w:rsidRPr="00144CA8">
        <w:t>El</w:t>
      </w:r>
      <w:r w:rsidR="00566432">
        <w:t> </w:t>
      </w:r>
      <w:r w:rsidR="00144CA8" w:rsidRPr="00144CA8">
        <w:t>Jamri</w:t>
      </w:r>
      <w:r>
        <w:t xml:space="preserve">, for his leadership during the </w:t>
      </w:r>
      <w:r w:rsidR="009432EF">
        <w:t xml:space="preserve">previous 12 </w:t>
      </w:r>
      <w:r>
        <w:t>months and his active role in the treaty body strengthening process. He noted the progress that had been made since the start of the intergovernmental process to ensure the inclusion of treaty body members in th</w:t>
      </w:r>
      <w:r w:rsidR="009432EF">
        <w:t>e</w:t>
      </w:r>
      <w:r>
        <w:t xml:space="preserve"> process and emphasized that the collective wisdom of the treaty bodies was needed more than ever.</w:t>
      </w:r>
    </w:p>
    <w:p w:rsidR="00E20014" w:rsidRPr="00E20014" w:rsidRDefault="00F95A0F" w:rsidP="00F95A0F">
      <w:pPr>
        <w:pStyle w:val="SingleTxt"/>
      </w:pPr>
      <w:r>
        <w:t>4.</w:t>
      </w:r>
      <w:r>
        <w:tab/>
        <w:t xml:space="preserve">Mr. Salama then proceeded with item 1 </w:t>
      </w:r>
      <w:r w:rsidR="009432EF">
        <w:t xml:space="preserve">of </w:t>
      </w:r>
      <w:r>
        <w:t>the provisional agenda, namely the election of officers</w:t>
      </w:r>
      <w:r w:rsidR="009432EF">
        <w:t>,</w:t>
      </w:r>
      <w:r>
        <w:t xml:space="preserve"> and made reference to the list provided by the </w:t>
      </w:r>
      <w:r w:rsidR="009432EF">
        <w:t>s</w:t>
      </w:r>
      <w:r>
        <w:t xml:space="preserve">ecretariat of former </w:t>
      </w:r>
      <w:r w:rsidR="004065CA" w:rsidRPr="004065CA">
        <w:t>Chairs</w:t>
      </w:r>
      <w:r>
        <w:t xml:space="preserve"> and Vice-</w:t>
      </w:r>
      <w:r w:rsidR="004065CA" w:rsidRPr="004065CA">
        <w:t>Chairs</w:t>
      </w:r>
      <w:r>
        <w:t xml:space="preserve"> of the annual meeting</w:t>
      </w:r>
      <w:r w:rsidR="009432EF">
        <w:t>s</w:t>
      </w:r>
      <w:r>
        <w:t xml:space="preserve">. Based on the principle of rotation, the </w:t>
      </w:r>
      <w:r w:rsidR="00967134" w:rsidRPr="00967134">
        <w:t>Chair</w:t>
      </w:r>
      <w:r>
        <w:t xml:space="preserve"> of the Committee </w:t>
      </w:r>
      <w:r w:rsidR="009432EF">
        <w:t>a</w:t>
      </w:r>
      <w:r>
        <w:t xml:space="preserve">gainst Torture, Claudio Grossman, was elected </w:t>
      </w:r>
      <w:r w:rsidR="00967134" w:rsidRPr="00967134">
        <w:t>Chair</w:t>
      </w:r>
      <w:r>
        <w:t>-Rapporteur of the twenty-fifth meeting and the Vice-</w:t>
      </w:r>
      <w:r w:rsidR="00967134" w:rsidRPr="00967134">
        <w:t>Chair</w:t>
      </w:r>
      <w:r>
        <w:t xml:space="preserve"> of the Sub</w:t>
      </w:r>
      <w:r w:rsidR="009432EF">
        <w:t>c</w:t>
      </w:r>
      <w:r>
        <w:t>ommittee on Prevention of Torture, Malcolm Evans, was elected Vice-</w:t>
      </w:r>
      <w:r w:rsidR="00967134" w:rsidRPr="00967134">
        <w:t>Chair</w:t>
      </w:r>
      <w:r>
        <w:t xml:space="preserve">. The rotation principle was reiterated, as </w:t>
      </w:r>
      <w:r w:rsidR="009432EF">
        <w:t xml:space="preserve">was </w:t>
      </w:r>
      <w:r>
        <w:t xml:space="preserve">the need to ensure that new committees were duly incorporated through the vice-chairmanship. </w:t>
      </w:r>
      <w:r w:rsidR="009432EF">
        <w:t>Consequently</w:t>
      </w:r>
      <w:r>
        <w:t xml:space="preserve">, the Subcommittee on Prevention of Torture would hold the </w:t>
      </w:r>
      <w:r w:rsidR="009432EF">
        <w:t xml:space="preserve">Chair </w:t>
      </w:r>
      <w:r>
        <w:t xml:space="preserve">in 2014, while the Committee on Enforced Disappearance would enter the rotation as Vice-Chair. In 2015, the Committee on Enforced Disappearance would take over the </w:t>
      </w:r>
      <w:r w:rsidR="00573BF2">
        <w:t>Chair</w:t>
      </w:r>
      <w:r>
        <w:t xml:space="preserve">. At that point, all </w:t>
      </w:r>
      <w:r w:rsidR="00573BF2">
        <w:t>c</w:t>
      </w:r>
      <w:r>
        <w:t xml:space="preserve">ommittees would have held the </w:t>
      </w:r>
      <w:r w:rsidR="00573BF2">
        <w:t xml:space="preserve">Chair </w:t>
      </w:r>
      <w:r>
        <w:t xml:space="preserve">at least </w:t>
      </w:r>
      <w:r w:rsidR="00573BF2">
        <w:t>once</w:t>
      </w:r>
      <w:r>
        <w:t>. Hence, it was resolved that in 2015, the Vice-Chair would be identified taking the year 2006 as starting point and that, from then on, the historical rotation would resume.</w:t>
      </w:r>
    </w:p>
    <w:p w:rsidR="00F95A0F" w:rsidRDefault="00F95A0F" w:rsidP="00F95A0F">
      <w:pPr>
        <w:pStyle w:val="SingleTxt"/>
      </w:pPr>
      <w:r>
        <w:t>5.</w:t>
      </w:r>
      <w:r>
        <w:tab/>
        <w:t xml:space="preserve">The </w:t>
      </w:r>
      <w:r w:rsidR="004065CA" w:rsidRPr="004065CA">
        <w:t>Chairs</w:t>
      </w:r>
      <w:r>
        <w:t xml:space="preserve"> adopted the agenda on the basis of the provisional agenda and annotations (</w:t>
      </w:r>
      <w:hyperlink r:id="rId20" w:history="1">
        <w:r w:rsidRPr="004423CC">
          <w:rPr>
            <w:rStyle w:val="Hyperlink"/>
          </w:rPr>
          <w:t>HRI/MC/2013/1</w:t>
        </w:r>
      </w:hyperlink>
      <w:r w:rsidR="00573BF2">
        <w:t xml:space="preserve"> and Corr.1</w:t>
      </w:r>
      <w:r>
        <w:t>).</w:t>
      </w:r>
    </w:p>
    <w:p w:rsidR="00F95A0F" w:rsidRPr="00566432" w:rsidRDefault="00F95A0F" w:rsidP="00F95A0F">
      <w:pPr>
        <w:pStyle w:val="SingleTxt"/>
        <w:rPr>
          <w:spacing w:val="2"/>
        </w:rPr>
      </w:pPr>
      <w:r w:rsidRPr="00566432">
        <w:rPr>
          <w:spacing w:val="2"/>
        </w:rPr>
        <w:t>6.</w:t>
      </w:r>
      <w:r w:rsidRPr="00566432">
        <w:rPr>
          <w:spacing w:val="2"/>
        </w:rPr>
        <w:tab/>
        <w:t xml:space="preserve">The </w:t>
      </w:r>
      <w:r w:rsidR="00967134" w:rsidRPr="00566432">
        <w:rPr>
          <w:spacing w:val="2"/>
        </w:rPr>
        <w:t>Chair</w:t>
      </w:r>
      <w:r w:rsidRPr="00566432">
        <w:rPr>
          <w:spacing w:val="2"/>
        </w:rPr>
        <w:t xml:space="preserve"> of the twenty-fifth meeting, Mr. Grossman, then invited Mr.</w:t>
      </w:r>
      <w:r w:rsidR="00566432" w:rsidRPr="00566432">
        <w:rPr>
          <w:spacing w:val="2"/>
        </w:rPr>
        <w:t xml:space="preserve"> </w:t>
      </w:r>
      <w:r w:rsidR="00144CA8" w:rsidRPr="00566432">
        <w:rPr>
          <w:spacing w:val="2"/>
        </w:rPr>
        <w:t>El Jamri</w:t>
      </w:r>
      <w:r w:rsidRPr="00566432">
        <w:rPr>
          <w:spacing w:val="2"/>
        </w:rPr>
        <w:t xml:space="preserve">, </w:t>
      </w:r>
      <w:r w:rsidR="00967134" w:rsidRPr="00566432">
        <w:rPr>
          <w:spacing w:val="2"/>
        </w:rPr>
        <w:t>Chair</w:t>
      </w:r>
      <w:r w:rsidRPr="00566432">
        <w:rPr>
          <w:spacing w:val="2"/>
        </w:rPr>
        <w:t xml:space="preserve"> of the twenty-fourth meeting, </w:t>
      </w:r>
      <w:r w:rsidR="00573BF2" w:rsidRPr="00566432">
        <w:rPr>
          <w:spacing w:val="2"/>
        </w:rPr>
        <w:t xml:space="preserve">held in </w:t>
      </w:r>
      <w:smartTag w:uri="urn:schemas-microsoft-com:office:smarttags" w:element="place">
        <w:smartTag w:uri="urn:schemas-microsoft-com:office:smarttags" w:element="City">
          <w:r w:rsidR="00573BF2" w:rsidRPr="00566432">
            <w:rPr>
              <w:spacing w:val="2"/>
            </w:rPr>
            <w:t>Addis Ababa</w:t>
          </w:r>
        </w:smartTag>
      </w:smartTag>
      <w:r w:rsidR="00573BF2" w:rsidRPr="00566432">
        <w:rPr>
          <w:spacing w:val="2"/>
        </w:rPr>
        <w:t xml:space="preserve">, </w:t>
      </w:r>
      <w:r w:rsidRPr="00566432">
        <w:rPr>
          <w:spacing w:val="2"/>
        </w:rPr>
        <w:t>to inform participants of his activities</w:t>
      </w:r>
      <w:r w:rsidR="00573BF2" w:rsidRPr="00566432">
        <w:rPr>
          <w:spacing w:val="2"/>
        </w:rPr>
        <w:t>.</w:t>
      </w:r>
      <w:r w:rsidRPr="00566432">
        <w:rPr>
          <w:spacing w:val="2"/>
        </w:rPr>
        <w:t xml:space="preserve"> Mr. </w:t>
      </w:r>
      <w:r w:rsidR="00144CA8" w:rsidRPr="00566432">
        <w:rPr>
          <w:spacing w:val="2"/>
        </w:rPr>
        <w:t>El Jamri</w:t>
      </w:r>
      <w:r w:rsidRPr="00566432">
        <w:rPr>
          <w:spacing w:val="2"/>
        </w:rPr>
        <w:t xml:space="preserve"> spoke of the important developments that had occurred in the intergovernmental process and the contribution of treaty body experts hereto. He praised the co-facilitators for having consulted </w:t>
      </w:r>
      <w:r w:rsidR="00573BF2" w:rsidRPr="00566432">
        <w:rPr>
          <w:spacing w:val="2"/>
        </w:rPr>
        <w:t xml:space="preserve">the </w:t>
      </w:r>
      <w:r w:rsidRPr="00566432">
        <w:rPr>
          <w:spacing w:val="2"/>
        </w:rPr>
        <w:t xml:space="preserve">treaty bodies in the course of the intergovernmental process and emphasized that, </w:t>
      </w:r>
      <w:r w:rsidR="00573BF2" w:rsidRPr="00566432">
        <w:rPr>
          <w:spacing w:val="2"/>
        </w:rPr>
        <w:t xml:space="preserve">at the present </w:t>
      </w:r>
      <w:r w:rsidRPr="00566432">
        <w:rPr>
          <w:spacing w:val="2"/>
        </w:rPr>
        <w:t xml:space="preserve">meeting, the </w:t>
      </w:r>
      <w:r w:rsidR="004065CA" w:rsidRPr="00566432">
        <w:rPr>
          <w:spacing w:val="2"/>
        </w:rPr>
        <w:t>Chairs</w:t>
      </w:r>
      <w:r w:rsidRPr="00566432">
        <w:rPr>
          <w:spacing w:val="2"/>
        </w:rPr>
        <w:t xml:space="preserve"> would have a unique opportunity to put forward a common vision, as the co</w:t>
      </w:r>
      <w:r w:rsidR="00566432">
        <w:rPr>
          <w:spacing w:val="2"/>
        </w:rPr>
        <w:noBreakHyphen/>
      </w:r>
      <w:r w:rsidRPr="00566432">
        <w:rPr>
          <w:spacing w:val="2"/>
        </w:rPr>
        <w:t xml:space="preserve">facilitators planned to conclude their report in the coming month. He welcomed the fact that the meeting was taking place in </w:t>
      </w:r>
      <w:smartTag w:uri="urn:schemas-microsoft-com:office:smarttags" w:element="place">
        <w:smartTag w:uri="urn:schemas-microsoft-com:office:smarttags" w:element="State">
          <w:r w:rsidRPr="00566432">
            <w:rPr>
              <w:spacing w:val="2"/>
            </w:rPr>
            <w:t>New York</w:t>
          </w:r>
        </w:smartTag>
      </w:smartTag>
      <w:r w:rsidR="00573BF2" w:rsidRPr="00566432">
        <w:rPr>
          <w:spacing w:val="2"/>
        </w:rPr>
        <w:t>,</w:t>
      </w:r>
      <w:r w:rsidRPr="00566432">
        <w:rPr>
          <w:spacing w:val="2"/>
        </w:rPr>
        <w:t xml:space="preserve"> as </w:t>
      </w:r>
      <w:r w:rsidR="00573BF2" w:rsidRPr="00566432">
        <w:rPr>
          <w:spacing w:val="2"/>
        </w:rPr>
        <w:t xml:space="preserve">that </w:t>
      </w:r>
      <w:r w:rsidRPr="00566432">
        <w:rPr>
          <w:spacing w:val="2"/>
        </w:rPr>
        <w:t xml:space="preserve">would have a direct bearing on the intergovernmental process. He recalled that at their </w:t>
      </w:r>
      <w:r w:rsidR="00573BF2" w:rsidRPr="00566432">
        <w:rPr>
          <w:spacing w:val="2"/>
        </w:rPr>
        <w:t xml:space="preserve">twenty-fourth </w:t>
      </w:r>
      <w:r w:rsidRPr="00566432">
        <w:rPr>
          <w:spacing w:val="2"/>
        </w:rPr>
        <w:t xml:space="preserve">meeting, the </w:t>
      </w:r>
      <w:r w:rsidR="004065CA" w:rsidRPr="00566432">
        <w:rPr>
          <w:spacing w:val="2"/>
        </w:rPr>
        <w:t>Chairs</w:t>
      </w:r>
      <w:r w:rsidRPr="00566432">
        <w:rPr>
          <w:spacing w:val="2"/>
        </w:rPr>
        <w:t xml:space="preserve"> had reiterated their recommendation that the annual meeting of </w:t>
      </w:r>
      <w:r w:rsidR="004065CA" w:rsidRPr="00566432">
        <w:rPr>
          <w:spacing w:val="2"/>
        </w:rPr>
        <w:t>Chairs</w:t>
      </w:r>
      <w:r w:rsidRPr="00566432">
        <w:rPr>
          <w:spacing w:val="2"/>
        </w:rPr>
        <w:t xml:space="preserve"> should be held every other year in a different region, in order to make the human rights treaty bodies more accessible to all stakeholders involved in the implementation process and to raise awareness of their work by strengthening linkages and synergies between international and regional human rights mechanisms and institutions.</w:t>
      </w:r>
    </w:p>
    <w:p w:rsidR="00F95A0F" w:rsidRDefault="00F95A0F" w:rsidP="00F95A0F">
      <w:pPr>
        <w:pStyle w:val="SingleTxt"/>
      </w:pPr>
      <w:r>
        <w:t>7.</w:t>
      </w:r>
      <w:r>
        <w:tab/>
        <w:t xml:space="preserve">Mr. </w:t>
      </w:r>
      <w:r w:rsidR="00144CA8" w:rsidRPr="00144CA8">
        <w:t>El Jamri</w:t>
      </w:r>
      <w:r>
        <w:t xml:space="preserve"> recalled that at the </w:t>
      </w:r>
      <w:r w:rsidR="00573BF2">
        <w:t xml:space="preserve">previous </w:t>
      </w:r>
      <w:r>
        <w:t xml:space="preserve">annual meeting, the </w:t>
      </w:r>
      <w:r w:rsidR="004065CA" w:rsidRPr="004065CA">
        <w:t>Chairs</w:t>
      </w:r>
      <w:r>
        <w:t xml:space="preserve"> had endorsed the </w:t>
      </w:r>
      <w:r w:rsidR="00573BF2">
        <w:t>g</w:t>
      </w:r>
      <w:r>
        <w:t>uidelines on the independence and impartiality of members of the human rights treaty bodies (</w:t>
      </w:r>
      <w:r w:rsidR="00E20014" w:rsidRPr="00E20014">
        <w:t>“</w:t>
      </w:r>
      <w:r>
        <w:t>the Addis Ababa guidelines</w:t>
      </w:r>
      <w:r w:rsidR="00E20014" w:rsidRPr="00E20014">
        <w:t>”</w:t>
      </w:r>
      <w:r>
        <w:t xml:space="preserve">) </w:t>
      </w:r>
      <w:r w:rsidR="00573BF2">
        <w:t>(</w:t>
      </w:r>
      <w:hyperlink r:id="rId21" w:history="1">
        <w:r w:rsidR="00573BF2" w:rsidRPr="00566432">
          <w:rPr>
            <w:rStyle w:val="Hyperlink"/>
          </w:rPr>
          <w:t>A/67/222</w:t>
        </w:r>
      </w:hyperlink>
      <w:r w:rsidR="00573BF2">
        <w:t xml:space="preserve">, annex I), </w:t>
      </w:r>
      <w:r>
        <w:t xml:space="preserve">which constituted the source of credibility and integrity of the system and should be adopted by all treaty bodies and reflected in their rules of procedure. So far, seven treaty bodies had amended their rules of procedures or annexed the guidelines to their rules. He added that </w:t>
      </w:r>
      <w:r w:rsidR="00566432">
        <w:t xml:space="preserve">the </w:t>
      </w:r>
      <w:r w:rsidR="00573BF2">
        <w:t xml:space="preserve">report of </w:t>
      </w:r>
      <w:r>
        <w:t xml:space="preserve">the </w:t>
      </w:r>
      <w:r w:rsidR="00573BF2">
        <w:t xml:space="preserve">United Nations </w:t>
      </w:r>
      <w:r>
        <w:t xml:space="preserve">High Commissioner </w:t>
      </w:r>
      <w:r w:rsidR="00573BF2">
        <w:t>for Human Rights on the strengthening of the human rights treaty bodies (</w:t>
      </w:r>
      <w:hyperlink r:id="rId22" w:history="1">
        <w:r w:rsidR="00573BF2" w:rsidRPr="00566432">
          <w:rPr>
            <w:rStyle w:val="Hyperlink"/>
          </w:rPr>
          <w:t>A/66/860</w:t>
        </w:r>
      </w:hyperlink>
      <w:r w:rsidR="00573BF2">
        <w:t xml:space="preserve">) </w:t>
      </w:r>
      <w:r>
        <w:t>had been useful in helping treaty bodies focus their reflection</w:t>
      </w:r>
      <w:r w:rsidR="00573BF2">
        <w:t>s</w:t>
      </w:r>
      <w:r>
        <w:t xml:space="preserve"> and </w:t>
      </w:r>
      <w:r w:rsidR="00573BF2">
        <w:t xml:space="preserve">noted that </w:t>
      </w:r>
      <w:r>
        <w:t>the proposals put forward in the report were the result of almost three years of consultations</w:t>
      </w:r>
      <w:r w:rsidR="00573BF2">
        <w:t>,</w:t>
      </w:r>
      <w:r>
        <w:t xml:space="preserve"> in which treaty body experts had played a key role. Mr. </w:t>
      </w:r>
      <w:r w:rsidR="00144CA8" w:rsidRPr="00144CA8">
        <w:t>El Jamri</w:t>
      </w:r>
      <w:r>
        <w:t xml:space="preserve"> further expressed the view that the adoption of a comprehensive reporting calendar would increase the transparency of the system. </w:t>
      </w:r>
    </w:p>
    <w:p w:rsidR="00F95A0F" w:rsidRDefault="00F95A0F" w:rsidP="00F95A0F">
      <w:pPr>
        <w:pStyle w:val="SingleTxt"/>
      </w:pPr>
      <w:r>
        <w:t>8.</w:t>
      </w:r>
      <w:r>
        <w:tab/>
        <w:t xml:space="preserve">As regards the follow-up to the recommendations adopted by the </w:t>
      </w:r>
      <w:r w:rsidR="004065CA" w:rsidRPr="004065CA">
        <w:t>Chairs</w:t>
      </w:r>
      <w:r>
        <w:t xml:space="preserve"> at their </w:t>
      </w:r>
      <w:r w:rsidR="00573BF2">
        <w:t xml:space="preserve">twenty-fourth </w:t>
      </w:r>
      <w:r>
        <w:t xml:space="preserve">meeting, Mr. </w:t>
      </w:r>
      <w:r w:rsidR="00144CA8" w:rsidRPr="00144CA8">
        <w:t>El Jamri</w:t>
      </w:r>
      <w:r>
        <w:t xml:space="preserve"> described concrete initiatives which had been taken to improve cooperation between treaty bodies and African regional mechanisms. He noted in particular the participation of the President of the African Court on Human and Peoples</w:t>
      </w:r>
      <w:r w:rsidR="005234C6">
        <w:t>’</w:t>
      </w:r>
      <w:r>
        <w:t xml:space="preserve"> Rights in a session of the Committee on the Elimination of Racial Discrimination in August 2012 and the participation of a delegation of the African Committee </w:t>
      </w:r>
      <w:r w:rsidR="00246CD2">
        <w:t xml:space="preserve">of Experts </w:t>
      </w:r>
      <w:r>
        <w:t>on the Rights and Welfare of the Child in a session of the Committee on the Rights of the Child in June 2013. In order to strengthen the coherence between regional and international protection systems</w:t>
      </w:r>
      <w:r w:rsidR="00246CD2">
        <w:t xml:space="preserve"> and to ensure consistency in jurisprudence</w:t>
      </w:r>
      <w:r>
        <w:t xml:space="preserve">, a seminar had been organized in October 2012 by the </w:t>
      </w:r>
      <w:smartTag w:uri="urn:schemas-microsoft-com:office:smarttags" w:element="Street">
        <w:smartTag w:uri="urn:schemas-microsoft-com:office:smarttags" w:element="address">
          <w:r>
            <w:t>African Court</w:t>
          </w:r>
        </w:smartTag>
      </w:smartTag>
      <w:r>
        <w:t xml:space="preserve"> on Human and Peoples</w:t>
      </w:r>
      <w:r w:rsidR="005234C6">
        <w:t>’</w:t>
      </w:r>
      <w:r>
        <w:t xml:space="preserve"> Rights</w:t>
      </w:r>
      <w:r w:rsidR="00246CD2">
        <w:t>,</w:t>
      </w:r>
      <w:r>
        <w:t xml:space="preserve"> with the participation of subregional courts in </w:t>
      </w:r>
      <w:smartTag w:uri="urn:schemas-microsoft-com:office:smarttags" w:element="place">
        <w:r>
          <w:t>Africa</w:t>
        </w:r>
      </w:smartTag>
      <w:r>
        <w:t xml:space="preserve">. </w:t>
      </w:r>
      <w:r w:rsidR="00246CD2">
        <w:t>I</w:t>
      </w:r>
      <w:r>
        <w:t xml:space="preserve">n the spirit of the recommendations adopted by the </w:t>
      </w:r>
      <w:r w:rsidR="004065CA" w:rsidRPr="004065CA">
        <w:t>Chairs</w:t>
      </w:r>
      <w:r>
        <w:t xml:space="preserve"> at their </w:t>
      </w:r>
      <w:r w:rsidR="00246CD2">
        <w:t xml:space="preserve">twenty-fourth </w:t>
      </w:r>
      <w:r>
        <w:t xml:space="preserve">session, the Regional Office for East Africa of the Office of the </w:t>
      </w:r>
      <w:r w:rsidR="00246CD2">
        <w:t xml:space="preserve">United Nations </w:t>
      </w:r>
      <w:r>
        <w:t xml:space="preserve">High Commissioner for Human Rights in Addis Ababa was organizing a training </w:t>
      </w:r>
      <w:r w:rsidR="00246CD2">
        <w:t xml:space="preserve">in June 2013 </w:t>
      </w:r>
      <w:r>
        <w:t>for the bar associations from the subregion to strengthen their knowledge of and capacity to submit communications to both international and regional human rights mechanisms. Mr.</w:t>
      </w:r>
      <w:r w:rsidR="00246CD2">
        <w:t> </w:t>
      </w:r>
      <w:r w:rsidR="00144CA8" w:rsidRPr="00144CA8">
        <w:t>El Jamri</w:t>
      </w:r>
      <w:r>
        <w:t xml:space="preserve"> noted that strengthening the collaboration between the treaty bodies and African human rights mechanisms was a long-term project that required continued efforts from all sides. He congratulate</w:t>
      </w:r>
      <w:r w:rsidR="00246CD2">
        <w:t>d</w:t>
      </w:r>
      <w:r>
        <w:t xml:space="preserve"> the </w:t>
      </w:r>
      <w:r w:rsidR="00246CD2">
        <w:t xml:space="preserve">OHCHR </w:t>
      </w:r>
      <w:r>
        <w:t>Regional Office for East Africa for its relentless efforts to build the capacity of the African human rights mechanism</w:t>
      </w:r>
      <w:r w:rsidR="00246CD2">
        <w:t>s</w:t>
      </w:r>
      <w:r>
        <w:t xml:space="preserve">, including its efforts to explore the possibility of an exchange programme that would allow for civil servants of African human rights mechanisms to be trained in relevant </w:t>
      </w:r>
      <w:r w:rsidR="00246CD2">
        <w:t>s</w:t>
      </w:r>
      <w:r>
        <w:t xml:space="preserve">ecretariats of the treaty bodies in </w:t>
      </w:r>
      <w:smartTag w:uri="urn:schemas-microsoft-com:office:smarttags" w:element="place">
        <w:smartTag w:uri="urn:schemas-microsoft-com:office:smarttags" w:element="City">
          <w:r>
            <w:t>Geneva</w:t>
          </w:r>
        </w:smartTag>
      </w:smartTag>
      <w:r>
        <w:t xml:space="preserve">. </w:t>
      </w:r>
    </w:p>
    <w:p w:rsidR="00F95A0F" w:rsidRDefault="00F95A0F" w:rsidP="00F95A0F">
      <w:pPr>
        <w:pStyle w:val="SingleTxt"/>
      </w:pPr>
      <w:r>
        <w:t>9.</w:t>
      </w:r>
      <w:r>
        <w:tab/>
        <w:t xml:space="preserve">The </w:t>
      </w:r>
      <w:r w:rsidR="00967134" w:rsidRPr="00967134">
        <w:t>Chair</w:t>
      </w:r>
      <w:r>
        <w:t xml:space="preserve"> present</w:t>
      </w:r>
      <w:r w:rsidR="00246CD2">
        <w:t>ed</w:t>
      </w:r>
      <w:r>
        <w:t xml:space="preserve"> the programme of work of the </w:t>
      </w:r>
      <w:r w:rsidR="00246CD2">
        <w:t xml:space="preserve">twenty-fifth </w:t>
      </w:r>
      <w:r>
        <w:t xml:space="preserve">annual meeting of </w:t>
      </w:r>
      <w:r w:rsidR="00246CD2">
        <w:t xml:space="preserve">the </w:t>
      </w:r>
      <w:r w:rsidR="004065CA" w:rsidRPr="004065CA">
        <w:t>Chairs</w:t>
      </w:r>
      <w:r>
        <w:t xml:space="preserve"> of </w:t>
      </w:r>
      <w:r w:rsidR="00246CD2">
        <w:t xml:space="preserve">the United Nations </w:t>
      </w:r>
      <w:r>
        <w:t xml:space="preserve">treaty bodies. </w:t>
      </w:r>
    </w:p>
    <w:p w:rsidR="00246CD2" w:rsidRPr="00246CD2" w:rsidRDefault="00246CD2" w:rsidP="00246CD2">
      <w:pPr>
        <w:pStyle w:val="SingleTxt"/>
        <w:spacing w:after="0" w:line="120" w:lineRule="exact"/>
        <w:rPr>
          <w:sz w:val="10"/>
        </w:rPr>
      </w:pPr>
    </w:p>
    <w:p w:rsidR="00246CD2" w:rsidRPr="00246CD2" w:rsidRDefault="00246CD2" w:rsidP="00246CD2">
      <w:pPr>
        <w:pStyle w:val="SingleTxt"/>
        <w:spacing w:after="0" w:line="120" w:lineRule="exact"/>
        <w:rPr>
          <w:sz w:val="10"/>
        </w:rPr>
      </w:pPr>
    </w:p>
    <w:p w:rsidR="00F95A0F" w:rsidRDefault="00F95A0F" w:rsidP="00246CD2">
      <w:pPr>
        <w:pStyle w:val="HCh"/>
        <w:ind w:left="1267" w:right="1260" w:hanging="1267"/>
      </w:pPr>
      <w:r>
        <w:tab/>
        <w:t>I</w:t>
      </w:r>
      <w:r w:rsidR="004C7B2E">
        <w:t>II</w:t>
      </w:r>
      <w:r>
        <w:t>.</w:t>
      </w:r>
      <w:r>
        <w:tab/>
        <w:t xml:space="preserve">Follow-up to the recommendations of the twenty-fourth meeting of </w:t>
      </w:r>
      <w:r w:rsidR="004065CA" w:rsidRPr="004065CA">
        <w:t>Chairs</w:t>
      </w:r>
      <w:r>
        <w:t xml:space="preserve"> of the human rights treaty bodies, including implementation of recommendations </w:t>
      </w:r>
      <w:r w:rsidR="00246CD2">
        <w:t xml:space="preserve">contained </w:t>
      </w:r>
      <w:r w:rsidR="00246CD2">
        <w:br/>
      </w:r>
      <w:r>
        <w:t xml:space="preserve">in the report </w:t>
      </w:r>
      <w:r w:rsidR="00246CD2">
        <w:t xml:space="preserve">of the United Nations High Commissioner </w:t>
      </w:r>
      <w:r w:rsidR="00E2700E">
        <w:t xml:space="preserve">for Human Rights </w:t>
      </w:r>
      <w:r>
        <w:t xml:space="preserve">on the strengthening of the treaty </w:t>
      </w:r>
      <w:r w:rsidR="00246CD2">
        <w:t>bodies</w:t>
      </w:r>
    </w:p>
    <w:p w:rsidR="00246CD2" w:rsidRPr="00246CD2" w:rsidRDefault="00246CD2" w:rsidP="00246CD2">
      <w:pPr>
        <w:pStyle w:val="SingleTxt"/>
        <w:spacing w:after="0" w:line="120" w:lineRule="exact"/>
        <w:rPr>
          <w:sz w:val="10"/>
        </w:rPr>
      </w:pPr>
    </w:p>
    <w:p w:rsidR="00246CD2" w:rsidRPr="00246CD2" w:rsidRDefault="00246CD2" w:rsidP="00246CD2">
      <w:pPr>
        <w:pStyle w:val="SingleTxt"/>
        <w:spacing w:after="0" w:line="120" w:lineRule="exact"/>
        <w:rPr>
          <w:sz w:val="10"/>
        </w:rPr>
      </w:pPr>
    </w:p>
    <w:p w:rsidR="00F95A0F" w:rsidRDefault="00F95A0F" w:rsidP="00F95A0F">
      <w:pPr>
        <w:pStyle w:val="SingleTxt"/>
      </w:pPr>
      <w:r>
        <w:t>10.</w:t>
      </w:r>
      <w:r>
        <w:tab/>
        <w:t xml:space="preserve">The Chair recalled that one of the most important projects currently being undertaken by the annual meeting was to assist in </w:t>
      </w:r>
      <w:r w:rsidR="00246CD2">
        <w:t xml:space="preserve">harmonizing </w:t>
      </w:r>
      <w:r>
        <w:t>the working methods and rules of procedure of treaty bodies</w:t>
      </w:r>
      <w:r w:rsidR="00246CD2">
        <w:t xml:space="preserve">. In that regard, he drew the </w:t>
      </w:r>
      <w:r>
        <w:t xml:space="preserve">attention </w:t>
      </w:r>
      <w:r w:rsidR="00246CD2">
        <w:t xml:space="preserve">of the Chairs </w:t>
      </w:r>
      <w:r>
        <w:t xml:space="preserve">to three documents prepared by the </w:t>
      </w:r>
      <w:r w:rsidR="00246CD2">
        <w:t>S</w:t>
      </w:r>
      <w:r>
        <w:t xml:space="preserve">ecretariat to facilitate the discussion of </w:t>
      </w:r>
      <w:r w:rsidR="00246CD2">
        <w:t xml:space="preserve">the </w:t>
      </w:r>
      <w:r>
        <w:t>agenda item</w:t>
      </w:r>
      <w:r w:rsidR="00246CD2">
        <w:t>, entitled as follows:</w:t>
      </w:r>
      <w:r>
        <w:t xml:space="preserve"> </w:t>
      </w:r>
      <w:r w:rsidR="00E20014" w:rsidRPr="00E20014">
        <w:t>“</w:t>
      </w:r>
      <w:r>
        <w:t>Overview of the human rights treaty body system and working methods related to the review of the States parties</w:t>
      </w:r>
      <w:r w:rsidR="00E20014" w:rsidRPr="00E20014">
        <w:t>”</w:t>
      </w:r>
      <w:r>
        <w:t xml:space="preserve"> (</w:t>
      </w:r>
      <w:hyperlink r:id="rId23" w:history="1">
        <w:r w:rsidRPr="004423CC">
          <w:rPr>
            <w:rStyle w:val="Hyperlink"/>
          </w:rPr>
          <w:t>HRI/MC/2013/2</w:t>
        </w:r>
      </w:hyperlink>
      <w:r w:rsidR="00246CD2">
        <w:t xml:space="preserve"> and Corr.1</w:t>
      </w:r>
      <w:r>
        <w:t>)</w:t>
      </w:r>
      <w:r w:rsidR="00246CD2">
        <w:t>;</w:t>
      </w:r>
      <w:r>
        <w:t xml:space="preserve"> </w:t>
      </w:r>
      <w:r w:rsidR="00E20014" w:rsidRPr="00E20014">
        <w:t>“</w:t>
      </w:r>
      <w:r>
        <w:t>Other activities of the human rights treaty bodies and participation of stakeholders in the human rights treaty process</w:t>
      </w:r>
      <w:r w:rsidR="00E20014" w:rsidRPr="00E20014">
        <w:t>”</w:t>
      </w:r>
      <w:r>
        <w:t xml:space="preserve"> (</w:t>
      </w:r>
      <w:hyperlink r:id="rId24" w:history="1">
        <w:r w:rsidRPr="004423CC">
          <w:rPr>
            <w:rStyle w:val="Hyperlink"/>
          </w:rPr>
          <w:t>HRI/MC/2013/3</w:t>
        </w:r>
      </w:hyperlink>
      <w:r w:rsidR="00246CD2">
        <w:t xml:space="preserve"> and Corr.1</w:t>
      </w:r>
      <w:r>
        <w:t>)</w:t>
      </w:r>
      <w:r w:rsidR="00246CD2">
        <w:t>;</w:t>
      </w:r>
      <w:r>
        <w:t xml:space="preserve"> </w:t>
      </w:r>
      <w:r w:rsidR="00246CD2">
        <w:t xml:space="preserve">and </w:t>
      </w:r>
      <w:r w:rsidR="00E20014" w:rsidRPr="00E20014">
        <w:t>“</w:t>
      </w:r>
      <w:r>
        <w:t xml:space="preserve">Report on the implementation by the treaty bodies of the recommendations contained in the report of the </w:t>
      </w:r>
      <w:r w:rsidR="00246CD2">
        <w:t xml:space="preserve">United Nations </w:t>
      </w:r>
      <w:r>
        <w:t xml:space="preserve">High Commissioner </w:t>
      </w:r>
      <w:r w:rsidR="00246CD2">
        <w:t xml:space="preserve">for Human Rights </w:t>
      </w:r>
      <w:r>
        <w:t xml:space="preserve">on </w:t>
      </w:r>
      <w:r w:rsidR="00246CD2">
        <w:t xml:space="preserve">the </w:t>
      </w:r>
      <w:r>
        <w:t xml:space="preserve">strengthening </w:t>
      </w:r>
      <w:r w:rsidR="00246CD2">
        <w:t xml:space="preserve">of </w:t>
      </w:r>
      <w:r>
        <w:t xml:space="preserve">the </w:t>
      </w:r>
      <w:r w:rsidR="00246CD2">
        <w:t xml:space="preserve">human rights </w:t>
      </w:r>
      <w:r>
        <w:t xml:space="preserve">treaty </w:t>
      </w:r>
      <w:r w:rsidR="00246CD2">
        <w:t>bodies</w:t>
      </w:r>
      <w:r w:rsidR="00E20014" w:rsidRPr="00E20014">
        <w:t>”</w:t>
      </w:r>
      <w:r>
        <w:t xml:space="preserve"> </w:t>
      </w:r>
      <w:r w:rsidR="00246CD2">
        <w:t>(</w:t>
      </w:r>
      <w:hyperlink r:id="rId25" w:history="1">
        <w:r w:rsidR="00246CD2" w:rsidRPr="00246CD2">
          <w:rPr>
            <w:rStyle w:val="Hyperlink"/>
          </w:rPr>
          <w:t>HRI/MC/2013/4</w:t>
        </w:r>
      </w:hyperlink>
      <w:r w:rsidR="00246CD2">
        <w:t xml:space="preserve">), which </w:t>
      </w:r>
      <w:r>
        <w:t xml:space="preserve">was prepared </w:t>
      </w:r>
      <w:r w:rsidR="00246CD2">
        <w:t>in accordance with the recommendatio</w:t>
      </w:r>
      <w:r w:rsidR="005743F0">
        <w:t>n</w:t>
      </w:r>
      <w:r w:rsidR="00246CD2">
        <w:t xml:space="preserve"> made at the</w:t>
      </w:r>
      <w:r w:rsidR="005743F0">
        <w:t>ir</w:t>
      </w:r>
      <w:r w:rsidR="00246CD2">
        <w:t xml:space="preserve"> </w:t>
      </w:r>
      <w:r>
        <w:t>twenty-fourth meeting (</w:t>
      </w:r>
      <w:r w:rsidR="00246CD2">
        <w:t xml:space="preserve">see </w:t>
      </w:r>
      <w:hyperlink r:id="rId26" w:history="1">
        <w:r w:rsidRPr="004423CC">
          <w:rPr>
            <w:rStyle w:val="Hyperlink"/>
          </w:rPr>
          <w:t>A/67/222</w:t>
        </w:r>
      </w:hyperlink>
      <w:r w:rsidR="00246CD2">
        <w:t>, para. 32 (c)</w:t>
      </w:r>
      <w:r>
        <w:t xml:space="preserve">) that the Secretariat </w:t>
      </w:r>
      <w:r w:rsidR="005743F0">
        <w:t xml:space="preserve">should </w:t>
      </w:r>
      <w:r>
        <w:t xml:space="preserve">produce and regularly update a report </w:t>
      </w:r>
      <w:r w:rsidR="005743F0">
        <w:t xml:space="preserve">on </w:t>
      </w:r>
      <w:r>
        <w:t xml:space="preserve">that </w:t>
      </w:r>
      <w:r w:rsidR="005743F0">
        <w:t xml:space="preserve">subject </w:t>
      </w:r>
      <w:r>
        <w:t xml:space="preserve">for consideration by the meeting of </w:t>
      </w:r>
      <w:r w:rsidR="004065CA" w:rsidRPr="004065CA">
        <w:t>Chairs</w:t>
      </w:r>
      <w:r>
        <w:t xml:space="preserve"> in order to review progress and full implementation, bearing in mind that the strengthening process was by definition a continuing one. Reference was also made to the working document circulated by the co-facilitators entitled </w:t>
      </w:r>
      <w:r w:rsidR="00E20014" w:rsidRPr="00E20014">
        <w:t>“</w:t>
      </w:r>
      <w:r>
        <w:t xml:space="preserve">The </w:t>
      </w:r>
      <w:r w:rsidR="005743F0">
        <w:t>way forward</w:t>
      </w:r>
      <w:r w:rsidR="00E20014" w:rsidRPr="00E20014">
        <w:t>”</w:t>
      </w:r>
      <w:r>
        <w:t>.</w:t>
      </w:r>
    </w:p>
    <w:p w:rsidR="00F95A0F" w:rsidRDefault="00F95A0F" w:rsidP="00F95A0F">
      <w:pPr>
        <w:pStyle w:val="SingleTxt"/>
      </w:pPr>
      <w:r>
        <w:t>11.</w:t>
      </w:r>
      <w:r>
        <w:tab/>
        <w:t xml:space="preserve">The </w:t>
      </w:r>
      <w:r w:rsidR="004065CA" w:rsidRPr="004065CA">
        <w:t>Chairs</w:t>
      </w:r>
      <w:r>
        <w:t xml:space="preserve"> noted that the harmonization by </w:t>
      </w:r>
      <w:r w:rsidR="005743F0">
        <w:t xml:space="preserve">the </w:t>
      </w:r>
      <w:r>
        <w:t xml:space="preserve">treaty bodies of their working methods was an ongoing process that </w:t>
      </w:r>
      <w:r w:rsidR="005743F0">
        <w:t xml:space="preserve">had </w:t>
      </w:r>
      <w:r>
        <w:t xml:space="preserve">existed prior to </w:t>
      </w:r>
      <w:r w:rsidR="005743F0">
        <w:t xml:space="preserve">issuance of </w:t>
      </w:r>
      <w:r>
        <w:t xml:space="preserve">the </w:t>
      </w:r>
      <w:r w:rsidR="005743F0">
        <w:t xml:space="preserve">report of the United Nations </w:t>
      </w:r>
      <w:r>
        <w:t xml:space="preserve">High Commissioner and </w:t>
      </w:r>
      <w:r w:rsidR="005743F0">
        <w:t xml:space="preserve">that the process </w:t>
      </w:r>
      <w:r>
        <w:t xml:space="preserve">would continue in the future. Each </w:t>
      </w:r>
      <w:r w:rsidR="00967134" w:rsidRPr="00967134">
        <w:t>Chair</w:t>
      </w:r>
      <w:r>
        <w:t xml:space="preserve"> then reported on developments within their </w:t>
      </w:r>
      <w:r w:rsidR="005743F0">
        <w:t xml:space="preserve">respective </w:t>
      </w:r>
      <w:r>
        <w:t>committees, both in relation to harmonization of working methods and to progress and implementation related to the strengthening process. New developments included but were not limited to the use of modern technologies</w:t>
      </w:r>
      <w:r w:rsidR="005743F0">
        <w:t>,</w:t>
      </w:r>
      <w:r>
        <w:t xml:space="preserve"> including webcasting/captioning </w:t>
      </w:r>
      <w:r w:rsidR="005743F0">
        <w:t xml:space="preserve">(Committee on the Rights of Persons with Disabilities), more committees adopting a simplified reporting procedure (Committee on the Protection of the Rights of All Migrant Workers and Members of Their Families), </w:t>
      </w:r>
      <w:r>
        <w:t xml:space="preserve">reducing the length of concluding observations </w:t>
      </w:r>
      <w:r w:rsidR="005743F0">
        <w:t xml:space="preserve">(Committee on the </w:t>
      </w:r>
      <w:r w:rsidR="00F42C9F">
        <w:t>R</w:t>
      </w:r>
      <w:r w:rsidR="005743F0">
        <w:t xml:space="preserve">ights of the </w:t>
      </w:r>
      <w:r w:rsidR="001D2424">
        <w:t xml:space="preserve">Child </w:t>
      </w:r>
      <w:r w:rsidR="005743F0">
        <w:t xml:space="preserve">and Committee against Torture), </w:t>
      </w:r>
      <w:r>
        <w:t>and calendars adapted to individual committees (</w:t>
      </w:r>
      <w:r w:rsidR="005743F0">
        <w:t xml:space="preserve">Committee on the Rights of Persons with </w:t>
      </w:r>
      <w:r w:rsidR="00B046B3">
        <w:t>Disabilities</w:t>
      </w:r>
      <w:r w:rsidR="005743F0">
        <w:t xml:space="preserve"> and Committee on Enforced Disappearance)</w:t>
      </w:r>
      <w:r>
        <w:t xml:space="preserve">. The entry into force of new protocols was leading to a reorganization of working methods </w:t>
      </w:r>
      <w:r w:rsidR="00FE199E">
        <w:t xml:space="preserve">(Committee on Economic, Social and Cultural Rights) </w:t>
      </w:r>
      <w:r>
        <w:t>and a request for additional meeting time to meet the growing demand. The need to deal with reprisals was also discussed.</w:t>
      </w:r>
    </w:p>
    <w:p w:rsidR="00F95A0F" w:rsidRDefault="00F95A0F" w:rsidP="00F95A0F">
      <w:pPr>
        <w:pStyle w:val="SingleTxt"/>
      </w:pPr>
      <w:r>
        <w:t>12.</w:t>
      </w:r>
      <w:r>
        <w:tab/>
      </w:r>
      <w:r w:rsidR="00D0450E">
        <w:t xml:space="preserve">The </w:t>
      </w:r>
      <w:r w:rsidR="00F33D48">
        <w:t>Subcommittee</w:t>
      </w:r>
      <w:r w:rsidR="00D0450E">
        <w:t xml:space="preserve"> on Prevention of Torture had amended its rules of procedure to bring them into line with </w:t>
      </w:r>
      <w:r w:rsidR="001D2424">
        <w:t xml:space="preserve">the </w:t>
      </w:r>
      <w:smartTag w:uri="urn:schemas-microsoft-com:office:smarttags" w:element="place">
        <w:smartTag w:uri="urn:schemas-microsoft-com:office:smarttags" w:element="City">
          <w:r>
            <w:t>Addis Ababa</w:t>
          </w:r>
        </w:smartTag>
      </w:smartTag>
      <w:r>
        <w:t xml:space="preserve"> guidelines</w:t>
      </w:r>
      <w:r w:rsidR="00D0450E">
        <w:t xml:space="preserve">. At a recent retreat, members of the </w:t>
      </w:r>
      <w:r>
        <w:t>Human Rights Committee had discussed that the guidelines reflect</w:t>
      </w:r>
      <w:r w:rsidR="00D0450E">
        <w:t>ed</w:t>
      </w:r>
      <w:r>
        <w:t xml:space="preserve"> existing </w:t>
      </w:r>
      <w:r w:rsidR="00D0450E">
        <w:t>C</w:t>
      </w:r>
      <w:r>
        <w:t xml:space="preserve">ommittee guidelines and </w:t>
      </w:r>
      <w:r w:rsidR="00D0450E">
        <w:t xml:space="preserve">that they </w:t>
      </w:r>
      <w:r>
        <w:t xml:space="preserve">would envisage incorporating them into the </w:t>
      </w:r>
      <w:r w:rsidR="00D0450E">
        <w:t>rules of procedure</w:t>
      </w:r>
      <w:r>
        <w:t xml:space="preserve">. </w:t>
      </w:r>
      <w:r w:rsidR="00D0450E">
        <w:t>No amendment had been adopted by the Committee on the Elimination of Racial Discrimination as that Committee had indicated that it would like to conduct a comprehensive review of its rules of procedure, considering that the present rules had been adopted 40 years ago.</w:t>
      </w:r>
    </w:p>
    <w:p w:rsidR="00F95A0F" w:rsidRDefault="00F95A0F" w:rsidP="00F95A0F">
      <w:pPr>
        <w:pStyle w:val="SingleTxt"/>
      </w:pPr>
      <w:r>
        <w:t>13.</w:t>
      </w:r>
      <w:r>
        <w:tab/>
      </w:r>
      <w:r w:rsidR="00722588">
        <w:t xml:space="preserve">Concerning a </w:t>
      </w:r>
      <w:r>
        <w:t xml:space="preserve">comprehensive reporting calendar, the </w:t>
      </w:r>
      <w:r w:rsidR="004065CA" w:rsidRPr="004065CA">
        <w:t>Chairs</w:t>
      </w:r>
      <w:r>
        <w:t xml:space="preserve"> pointed out the need to have a shared, broad, common proposal that provided for a predictable, clear and transparent reporting system. </w:t>
      </w:r>
      <w:r w:rsidR="00722588">
        <w:t xml:space="preserve">They </w:t>
      </w:r>
      <w:r>
        <w:t xml:space="preserve">agreed that, if a calendar </w:t>
      </w:r>
      <w:r w:rsidR="00722588">
        <w:t xml:space="preserve">were </w:t>
      </w:r>
      <w:r>
        <w:t xml:space="preserve">adopted, its periodicity should not exceed five years. Moreover, for the calendar to work properly, it would have to be adequately resourced. On the issue of resources, the </w:t>
      </w:r>
      <w:r w:rsidR="004065CA" w:rsidRPr="004065CA">
        <w:t>Chairs</w:t>
      </w:r>
      <w:r>
        <w:t xml:space="preserve"> pointed out that measures were already being taken within committees to </w:t>
      </w:r>
      <w:r w:rsidR="00722588">
        <w:t xml:space="preserve">keep </w:t>
      </w:r>
      <w:r>
        <w:t xml:space="preserve">costs </w:t>
      </w:r>
      <w:r w:rsidR="00722588">
        <w:t xml:space="preserve">down by improving </w:t>
      </w:r>
      <w:r>
        <w:t xml:space="preserve">working methods. </w:t>
      </w:r>
      <w:r w:rsidR="00722588">
        <w:t>I</w:t>
      </w:r>
      <w:r>
        <w:t xml:space="preserve">t was not clear how </w:t>
      </w:r>
      <w:r w:rsidR="00722588">
        <w:t xml:space="preserve">opt-in approaches would </w:t>
      </w:r>
      <w:r>
        <w:t>work as the calendar would not be predictable</w:t>
      </w:r>
      <w:r w:rsidR="00722588">
        <w:t>,</w:t>
      </w:r>
      <w:r>
        <w:t xml:space="preserve"> and tailor-made reporting</w:t>
      </w:r>
      <w:r w:rsidR="00722588">
        <w:t xml:space="preserve"> should be avoided. The review of </w:t>
      </w:r>
      <w:r>
        <w:t xml:space="preserve">States parties in the absence of a report was already included in a number of treaties and was used by committees, </w:t>
      </w:r>
      <w:r w:rsidR="00722588">
        <w:t xml:space="preserve">albeit sparingly, </w:t>
      </w:r>
      <w:r>
        <w:t>especially for States with long</w:t>
      </w:r>
      <w:r w:rsidR="00722588">
        <w:t>-</w:t>
      </w:r>
      <w:r>
        <w:t>overdue reports. The issue was lack of compliance by States parties</w:t>
      </w:r>
      <w:r w:rsidR="00722588">
        <w:t>,</w:t>
      </w:r>
      <w:r>
        <w:t xml:space="preserve"> and often cooperation was </w:t>
      </w:r>
      <w:r w:rsidR="00722588">
        <w:t xml:space="preserve">forthcoming </w:t>
      </w:r>
      <w:r>
        <w:t>when the committees inform</w:t>
      </w:r>
      <w:r w:rsidR="00722588">
        <w:t>ed</w:t>
      </w:r>
      <w:r>
        <w:t xml:space="preserve"> the States parties that they </w:t>
      </w:r>
      <w:r w:rsidR="00722588">
        <w:t xml:space="preserve">would </w:t>
      </w:r>
      <w:r>
        <w:t xml:space="preserve">be reviewed. </w:t>
      </w:r>
    </w:p>
    <w:p w:rsidR="00F95A0F" w:rsidRDefault="00F95A0F" w:rsidP="00F95A0F">
      <w:pPr>
        <w:pStyle w:val="SingleTxt"/>
      </w:pPr>
      <w:r>
        <w:t>14.</w:t>
      </w:r>
      <w:r>
        <w:tab/>
      </w:r>
      <w:r w:rsidR="004C7B2E">
        <w:t xml:space="preserve">During </w:t>
      </w:r>
      <w:r>
        <w:t xml:space="preserve">the discussion on working methods, the </w:t>
      </w:r>
      <w:r w:rsidR="004065CA" w:rsidRPr="004065CA">
        <w:t>Chairs</w:t>
      </w:r>
      <w:r>
        <w:t xml:space="preserve"> also </w:t>
      </w:r>
      <w:r w:rsidR="004C7B2E">
        <w:t xml:space="preserve">discussed </w:t>
      </w:r>
      <w:r>
        <w:t xml:space="preserve">how their respective committees conducted their interactive dialogue and the time </w:t>
      </w:r>
      <w:r w:rsidR="004C7B2E">
        <w:t xml:space="preserve">devoted to each </w:t>
      </w:r>
      <w:r>
        <w:t xml:space="preserve">State </w:t>
      </w:r>
      <w:r w:rsidR="004C7B2E">
        <w:t>p</w:t>
      </w:r>
      <w:r>
        <w:t xml:space="preserve">arty and </w:t>
      </w:r>
      <w:r w:rsidR="004C7B2E">
        <w:t xml:space="preserve">to </w:t>
      </w:r>
      <w:r>
        <w:t xml:space="preserve">individual communications. The discussion </w:t>
      </w:r>
      <w:r w:rsidR="004C7B2E">
        <w:t xml:space="preserve">revealed </w:t>
      </w:r>
      <w:r>
        <w:t xml:space="preserve">different practices in terms of the length of time for the consideration of a report, rapporteurs versus country task forces, or the clustering of provisions in the treaty. In </w:t>
      </w:r>
      <w:r w:rsidR="004C7B2E">
        <w:t xml:space="preserve">that </w:t>
      </w:r>
      <w:r>
        <w:t xml:space="preserve">context, the issue of </w:t>
      </w:r>
      <w:r w:rsidR="004C7B2E">
        <w:t xml:space="preserve">the use of </w:t>
      </w:r>
      <w:r>
        <w:t>parallel chambers was also discussed</w:t>
      </w:r>
      <w:r w:rsidR="004C7B2E">
        <w:t>:</w:t>
      </w:r>
      <w:r>
        <w:t xml:space="preserve"> its impact on the nature of the dialogue and the need for concluding observations to be adopted in plenary, even if the interactive dialogue was held in dual chambers. At its twenty-sixth session, the </w:t>
      </w:r>
      <w:r w:rsidR="004065CA" w:rsidRPr="004065CA">
        <w:t>Chairs</w:t>
      </w:r>
      <w:r>
        <w:t xml:space="preserve"> will discuss the possible alignment of the methodolog</w:t>
      </w:r>
      <w:r w:rsidR="004C7B2E">
        <w:t>ies</w:t>
      </w:r>
      <w:r>
        <w:t xml:space="preserve"> for the interactive dialogue in more depth.</w:t>
      </w:r>
    </w:p>
    <w:p w:rsidR="004C7B2E" w:rsidRPr="004C7B2E" w:rsidRDefault="004C7B2E" w:rsidP="004C7B2E">
      <w:pPr>
        <w:pStyle w:val="SingleTxt"/>
        <w:spacing w:after="0" w:line="120" w:lineRule="exact"/>
        <w:rPr>
          <w:sz w:val="10"/>
        </w:rPr>
      </w:pPr>
    </w:p>
    <w:p w:rsidR="004C7B2E" w:rsidRPr="004C7B2E" w:rsidRDefault="004C7B2E" w:rsidP="004C7B2E">
      <w:pPr>
        <w:pStyle w:val="SingleTxt"/>
        <w:spacing w:after="0" w:line="120" w:lineRule="exact"/>
        <w:rPr>
          <w:sz w:val="10"/>
        </w:rPr>
      </w:pPr>
    </w:p>
    <w:p w:rsidR="00F95A0F" w:rsidRDefault="00F95A0F" w:rsidP="004C7B2E">
      <w:pPr>
        <w:pStyle w:val="HCh"/>
        <w:ind w:left="1267" w:right="1260" w:hanging="1267"/>
      </w:pPr>
      <w:r>
        <w:tab/>
      </w:r>
      <w:r w:rsidR="004C7B2E">
        <w:t>I</w:t>
      </w:r>
      <w:r>
        <w:t>V.</w:t>
      </w:r>
      <w:r>
        <w:tab/>
        <w:t xml:space="preserve">Treaty bodies and the intergovernmental process on </w:t>
      </w:r>
      <w:r w:rsidR="004C7B2E">
        <w:t xml:space="preserve">the strengthening of the </w:t>
      </w:r>
      <w:r>
        <w:t xml:space="preserve">treaty </w:t>
      </w:r>
      <w:r w:rsidR="004C7B2E">
        <w:t>bodies</w:t>
      </w:r>
    </w:p>
    <w:p w:rsidR="004C7B2E" w:rsidRPr="004C7B2E" w:rsidRDefault="004C7B2E" w:rsidP="004C7B2E">
      <w:pPr>
        <w:pStyle w:val="SingleTxt"/>
        <w:spacing w:after="0" w:line="120" w:lineRule="exact"/>
        <w:rPr>
          <w:sz w:val="10"/>
        </w:rPr>
      </w:pPr>
    </w:p>
    <w:p w:rsidR="004C7B2E" w:rsidRPr="004C7B2E" w:rsidRDefault="004C7B2E" w:rsidP="004C7B2E">
      <w:pPr>
        <w:pStyle w:val="SingleTxt"/>
        <w:spacing w:after="0" w:line="120" w:lineRule="exact"/>
        <w:rPr>
          <w:sz w:val="10"/>
        </w:rPr>
      </w:pPr>
    </w:p>
    <w:p w:rsidR="00F95A0F" w:rsidRDefault="00F95A0F" w:rsidP="004C7B2E">
      <w:pPr>
        <w:pStyle w:val="H1"/>
        <w:ind w:right="1260"/>
      </w:pPr>
      <w:r>
        <w:tab/>
        <w:t xml:space="preserve">A. </w:t>
      </w:r>
      <w:r>
        <w:tab/>
        <w:t xml:space="preserve">Meeting with the co-facilitators of the intergovernmental process on </w:t>
      </w:r>
      <w:r w:rsidR="004C7B2E">
        <w:t xml:space="preserve">the </w:t>
      </w:r>
      <w:r>
        <w:t xml:space="preserve">strengthening </w:t>
      </w:r>
      <w:r w:rsidR="004C7B2E">
        <w:t xml:space="preserve">of the </w:t>
      </w:r>
      <w:r>
        <w:t xml:space="preserve">treaty bodies </w:t>
      </w:r>
    </w:p>
    <w:p w:rsidR="004C7B2E" w:rsidRPr="004C7B2E" w:rsidRDefault="004C7B2E" w:rsidP="004C7B2E">
      <w:pPr>
        <w:pStyle w:val="SingleTxt"/>
        <w:spacing w:after="0" w:line="120" w:lineRule="exact"/>
        <w:rPr>
          <w:sz w:val="10"/>
        </w:rPr>
      </w:pPr>
    </w:p>
    <w:p w:rsidR="004C7B2E" w:rsidRPr="004C7B2E" w:rsidRDefault="004C7B2E" w:rsidP="004C7B2E">
      <w:pPr>
        <w:pStyle w:val="SingleTxt"/>
        <w:spacing w:after="0" w:line="120" w:lineRule="exact"/>
        <w:rPr>
          <w:sz w:val="10"/>
        </w:rPr>
      </w:pPr>
    </w:p>
    <w:p w:rsidR="00F95A0F" w:rsidRDefault="00F95A0F" w:rsidP="00F95A0F">
      <w:pPr>
        <w:pStyle w:val="SingleTxt"/>
      </w:pPr>
      <w:r>
        <w:t>15.</w:t>
      </w:r>
      <w:r>
        <w:tab/>
        <w:t>On 20 and 24 May, meetings were organi</w:t>
      </w:r>
      <w:r w:rsidR="004C7B2E">
        <w:t>z</w:t>
      </w:r>
      <w:r>
        <w:t xml:space="preserve">ed between the </w:t>
      </w:r>
      <w:r w:rsidR="004065CA" w:rsidRPr="004065CA">
        <w:t>Chairs</w:t>
      </w:r>
      <w:r>
        <w:t xml:space="preserve"> and the </w:t>
      </w:r>
      <w:r w:rsidR="004C7B2E">
        <w:t xml:space="preserve">Permanent Representatives to the United Nations </w:t>
      </w:r>
      <w:r>
        <w:t xml:space="preserve">of Iceland and </w:t>
      </w:r>
      <w:smartTag w:uri="urn:schemas-microsoft-com:office:smarttags" w:element="place">
        <w:smartTag w:uri="urn:schemas-microsoft-com:office:smarttags" w:element="country-region">
          <w:r>
            <w:t>Indonesia</w:t>
          </w:r>
        </w:smartTag>
      </w:smartTag>
      <w:r>
        <w:t>, the co</w:t>
      </w:r>
      <w:r w:rsidR="004C7B2E">
        <w:noBreakHyphen/>
      </w:r>
      <w:r>
        <w:t xml:space="preserve">facilitators of the intergovernmental process on </w:t>
      </w:r>
      <w:r w:rsidR="004C7B2E">
        <w:t xml:space="preserve">the </w:t>
      </w:r>
      <w:r>
        <w:t xml:space="preserve">strengthening </w:t>
      </w:r>
      <w:r w:rsidR="004C7B2E">
        <w:t xml:space="preserve">of the </w:t>
      </w:r>
      <w:r>
        <w:t xml:space="preserve">treaty bodies. The </w:t>
      </w:r>
      <w:r w:rsidR="004065CA" w:rsidRPr="004065CA">
        <w:t>Chairs</w:t>
      </w:r>
      <w:r>
        <w:t xml:space="preserve"> extended a warm welcome to the co-facilitators and </w:t>
      </w:r>
      <w:r w:rsidR="004C7B2E">
        <w:t xml:space="preserve">expressed their appreciation for </w:t>
      </w:r>
      <w:r>
        <w:t>the opportunity to exchange views</w:t>
      </w:r>
      <w:r w:rsidR="004C7B2E">
        <w:t>,</w:t>
      </w:r>
      <w:r>
        <w:t xml:space="preserve"> with the common goal of strengthening human rights protection worldwide by strengthening the treaty bodies. The </w:t>
      </w:r>
      <w:r w:rsidR="004065CA" w:rsidRPr="004065CA">
        <w:t>Chairs</w:t>
      </w:r>
      <w:r>
        <w:t xml:space="preserve"> then reviewed</w:t>
      </w:r>
      <w:r w:rsidR="004C7B2E">
        <w:t>, issue by issue,</w:t>
      </w:r>
      <w:r>
        <w:t xml:space="preserve"> the paper submitted by the co-facilitators entitled </w:t>
      </w:r>
      <w:r w:rsidR="004C7B2E">
        <w:t>“</w:t>
      </w:r>
      <w:r>
        <w:t>The way forward</w:t>
      </w:r>
      <w:r w:rsidR="004C7B2E">
        <w:t xml:space="preserve">”, </w:t>
      </w:r>
      <w:r>
        <w:t xml:space="preserve">and shared their comments. The </w:t>
      </w:r>
      <w:r w:rsidR="004065CA" w:rsidRPr="004065CA">
        <w:t>Chairs</w:t>
      </w:r>
      <w:r>
        <w:t xml:space="preserve"> emphasized the principle that any savings should be reinvested in the treaty body system. The co</w:t>
      </w:r>
      <w:r w:rsidR="004C7B2E">
        <w:noBreakHyphen/>
      </w:r>
      <w:r>
        <w:t xml:space="preserve">facilitators expressed their gratitude for </w:t>
      </w:r>
      <w:r w:rsidR="004C7B2E">
        <w:t xml:space="preserve">the </w:t>
      </w:r>
      <w:r>
        <w:t xml:space="preserve">opportunity to hear the views of the </w:t>
      </w:r>
      <w:r w:rsidR="004065CA" w:rsidRPr="004065CA">
        <w:t>Chairs</w:t>
      </w:r>
      <w:r>
        <w:t xml:space="preserve"> on their proposals. </w:t>
      </w:r>
    </w:p>
    <w:p w:rsidR="00F95A0F" w:rsidRDefault="00F95A0F" w:rsidP="00F95A0F">
      <w:pPr>
        <w:pStyle w:val="SingleTxt"/>
      </w:pPr>
      <w:r>
        <w:t>16.</w:t>
      </w:r>
      <w:r>
        <w:tab/>
        <w:t>The paper shared by the co-facilitators listed 31 issues and was divided into three parts: (</w:t>
      </w:r>
      <w:r w:rsidR="00993605">
        <w:t>a</w:t>
      </w:r>
      <w:r>
        <w:t xml:space="preserve">) </w:t>
      </w:r>
      <w:r w:rsidR="00993605">
        <w:t>g</w:t>
      </w:r>
      <w:r>
        <w:t>eneral agreement on action based on background papers</w:t>
      </w:r>
      <w:r w:rsidR="00E20014" w:rsidRPr="00E20014">
        <w:t xml:space="preserve"> </w:t>
      </w:r>
      <w:r w:rsidR="00993605">
        <w:t>(to be</w:t>
      </w:r>
      <w:r>
        <w:t xml:space="preserve"> further refine</w:t>
      </w:r>
      <w:r w:rsidR="00993605">
        <w:t>d);</w:t>
      </w:r>
      <w:r>
        <w:t xml:space="preserve"> (</w:t>
      </w:r>
      <w:r w:rsidR="00993605">
        <w:t>b</w:t>
      </w:r>
      <w:r>
        <w:t xml:space="preserve">) </w:t>
      </w:r>
      <w:r w:rsidR="00993605">
        <w:t>g</w:t>
      </w:r>
      <w:r>
        <w:t xml:space="preserve">eneral agreement </w:t>
      </w:r>
      <w:r w:rsidR="00993605">
        <w:t>that</w:t>
      </w:r>
      <w:r>
        <w:t xml:space="preserve"> no further action </w:t>
      </w:r>
      <w:r w:rsidR="00993605">
        <w:t xml:space="preserve">was needed </w:t>
      </w:r>
      <w:r>
        <w:t>within the inte</w:t>
      </w:r>
      <w:r w:rsidR="00993605">
        <w:t>r</w:t>
      </w:r>
      <w:r>
        <w:t>governmental process</w:t>
      </w:r>
      <w:r w:rsidR="00993605">
        <w:t>;</w:t>
      </w:r>
      <w:r>
        <w:t xml:space="preserve"> and (</w:t>
      </w:r>
      <w:r w:rsidR="00993605">
        <w:t>c</w:t>
      </w:r>
      <w:r>
        <w:t xml:space="preserve">) </w:t>
      </w:r>
      <w:r w:rsidR="00993605">
        <w:t>i</w:t>
      </w:r>
      <w:r>
        <w:t>ssues requiring further discussion</w:t>
      </w:r>
      <w:r w:rsidR="00E20014" w:rsidRPr="00E20014">
        <w:t xml:space="preserve"> — </w:t>
      </w:r>
      <w:r>
        <w:t xml:space="preserve">proposals </w:t>
      </w:r>
      <w:r w:rsidR="00993605">
        <w:t>by</w:t>
      </w:r>
      <w:r>
        <w:t xml:space="preserve"> the co-facilitators. </w:t>
      </w:r>
    </w:p>
    <w:p w:rsidR="00F95A0F" w:rsidRDefault="00F95A0F" w:rsidP="00F95A0F">
      <w:pPr>
        <w:pStyle w:val="SingleTxt"/>
      </w:pPr>
      <w:r>
        <w:t>17.</w:t>
      </w:r>
      <w:r>
        <w:tab/>
        <w:t xml:space="preserve">The proposal on webcasting and captioning was generally welcomed by the </w:t>
      </w:r>
      <w:r w:rsidR="004065CA" w:rsidRPr="004065CA">
        <w:t>Chairs</w:t>
      </w:r>
      <w:r>
        <w:t xml:space="preserve"> as </w:t>
      </w:r>
      <w:r w:rsidR="00993605">
        <w:t>it</w:t>
      </w:r>
      <w:r>
        <w:t xml:space="preserve"> would ensure the integration of evolving technologies and contribute to increasing participation, including </w:t>
      </w:r>
      <w:r w:rsidR="00993605">
        <w:t>by</w:t>
      </w:r>
      <w:r>
        <w:t xml:space="preserve"> persons with disabilities. The </w:t>
      </w:r>
      <w:r w:rsidR="004065CA" w:rsidRPr="004065CA">
        <w:t>Chairs</w:t>
      </w:r>
      <w:r>
        <w:t xml:space="preserve"> noted that the provision of </w:t>
      </w:r>
      <w:r w:rsidR="00993605">
        <w:t>United Nations</w:t>
      </w:r>
      <w:r>
        <w:t xml:space="preserve"> webcasting could formalize the ad hoc arrangements currently in place. If meetings could be reliably indexed and searched</w:t>
      </w:r>
      <w:r w:rsidR="00993605" w:rsidRPr="00993605">
        <w:t xml:space="preserve"> </w:t>
      </w:r>
      <w:r w:rsidR="00993605">
        <w:t>further</w:t>
      </w:r>
      <w:r>
        <w:t xml:space="preserve">, for example through digital recording, the need for summary records could be reduced. The </w:t>
      </w:r>
      <w:r w:rsidR="004065CA" w:rsidRPr="004065CA">
        <w:t>Chairs</w:t>
      </w:r>
      <w:r>
        <w:t xml:space="preserve"> also welcomed the proposal for videoconferencing and highlighted the precedent set by the Committee on the Rights of the Child. </w:t>
      </w:r>
    </w:p>
    <w:p w:rsidR="00F95A0F" w:rsidRDefault="00F95A0F" w:rsidP="00F95A0F">
      <w:pPr>
        <w:pStyle w:val="SingleTxt"/>
      </w:pPr>
      <w:r>
        <w:t>18.</w:t>
      </w:r>
      <w:r>
        <w:tab/>
      </w:r>
      <w:r w:rsidR="00993605">
        <w:t>T</w:t>
      </w:r>
      <w:r>
        <w:t>he co-facilitators noted that the adoption of the simplified reporting procedure (</w:t>
      </w:r>
      <w:r w:rsidR="00E20014" w:rsidRPr="00E20014">
        <w:t>“</w:t>
      </w:r>
      <w:r>
        <w:t>list of issues prior to reporting</w:t>
      </w:r>
      <w:r w:rsidR="00E20014" w:rsidRPr="00E20014">
        <w:t>”</w:t>
      </w:r>
      <w:r>
        <w:t xml:space="preserve">) could become an important cost-saving measure. On the submission of common core documents, updates by way of an addendum could be considered. </w:t>
      </w:r>
      <w:r w:rsidR="00993605">
        <w:t>T</w:t>
      </w:r>
      <w:r>
        <w:t xml:space="preserve">he </w:t>
      </w:r>
      <w:r w:rsidR="004065CA" w:rsidRPr="004065CA">
        <w:t>Chairs</w:t>
      </w:r>
      <w:r>
        <w:t xml:space="preserve"> </w:t>
      </w:r>
      <w:r w:rsidR="00993605">
        <w:t>found the proposal on annual reports</w:t>
      </w:r>
      <w:r>
        <w:t xml:space="preserve"> </w:t>
      </w:r>
      <w:r w:rsidR="00993605">
        <w:t>to be</w:t>
      </w:r>
      <w:r>
        <w:t xml:space="preserve"> acceptable </w:t>
      </w:r>
      <w:r w:rsidR="00993605">
        <w:t>since, although</w:t>
      </w:r>
      <w:r>
        <w:t xml:space="preserve"> concluding observations could</w:t>
      </w:r>
      <w:r w:rsidR="00781416">
        <w:t xml:space="preserve"> now</w:t>
      </w:r>
      <w:r>
        <w:t xml:space="preserve"> be accessed electronically, other documents </w:t>
      </w:r>
      <w:r w:rsidR="00781416">
        <w:t xml:space="preserve">would </w:t>
      </w:r>
      <w:r>
        <w:t xml:space="preserve">still need to be reflected in the annual report. The </w:t>
      </w:r>
      <w:r w:rsidR="004065CA" w:rsidRPr="004065CA">
        <w:t>Chairs</w:t>
      </w:r>
      <w:r>
        <w:t xml:space="preserve"> </w:t>
      </w:r>
      <w:r w:rsidR="00781416">
        <w:t>also</w:t>
      </w:r>
      <w:r>
        <w:t xml:space="preserve"> welcomed the proposal on strict adherence to page limits. </w:t>
      </w:r>
      <w:r w:rsidR="00781416">
        <w:t xml:space="preserve">The </w:t>
      </w:r>
      <w:r w:rsidR="00781416" w:rsidRPr="004065CA">
        <w:t>Chairs</w:t>
      </w:r>
      <w:r w:rsidR="00781416">
        <w:t xml:space="preserve"> noted that </w:t>
      </w:r>
      <w:r>
        <w:t xml:space="preserve">the important issue of addressing the backlog and coordinated requests for additional meeting time, might create competition </w:t>
      </w:r>
      <w:r w:rsidR="00781416">
        <w:t>between</w:t>
      </w:r>
      <w:r>
        <w:t xml:space="preserve"> the committees. The co-facilitators, however, stressed the need to avoid future ad</w:t>
      </w:r>
      <w:r w:rsidR="00781416">
        <w:t xml:space="preserve"> </w:t>
      </w:r>
      <w:r>
        <w:t>hoc requests for additional resources.</w:t>
      </w:r>
    </w:p>
    <w:p w:rsidR="00F95A0F" w:rsidRDefault="00F95A0F" w:rsidP="00F95A0F">
      <w:pPr>
        <w:pStyle w:val="SingleTxt"/>
      </w:pPr>
      <w:r>
        <w:t>19.</w:t>
      </w:r>
      <w:r>
        <w:tab/>
        <w:t xml:space="preserve">On </w:t>
      </w:r>
      <w:r w:rsidR="00781416">
        <w:t>an</w:t>
      </w:r>
      <w:r>
        <w:t xml:space="preserve"> aligned methodology for the constructive dialogue between States </w:t>
      </w:r>
      <w:r w:rsidR="00781416">
        <w:t>p</w:t>
      </w:r>
      <w:r>
        <w:t xml:space="preserve">arties and treaty bodies, the </w:t>
      </w:r>
      <w:r w:rsidR="004065CA" w:rsidRPr="004065CA">
        <w:t>Chairs</w:t>
      </w:r>
      <w:r>
        <w:t xml:space="preserve"> </w:t>
      </w:r>
      <w:r w:rsidR="00781416">
        <w:t>highlighted</w:t>
      </w:r>
      <w:r>
        <w:t xml:space="preserve"> that a uniform allocation of two meetings for the interactive dialogue with a State </w:t>
      </w:r>
      <w:r w:rsidR="00781416">
        <w:t>p</w:t>
      </w:r>
      <w:r>
        <w:t xml:space="preserve">arty might not be meaningful in all cases </w:t>
      </w:r>
      <w:r w:rsidR="00781416">
        <w:t>in view of</w:t>
      </w:r>
      <w:r>
        <w:t xml:space="preserve"> </w:t>
      </w:r>
      <w:r w:rsidR="00781416">
        <w:t>the differences between States p</w:t>
      </w:r>
      <w:r>
        <w:t>arties, and advocated a degree of flexibility</w:t>
      </w:r>
      <w:r w:rsidR="00781416">
        <w:t xml:space="preserve"> in that regard</w:t>
      </w:r>
      <w:r>
        <w:t>.</w:t>
      </w:r>
      <w:r w:rsidR="00781416">
        <w:t xml:space="preserve"> They also asked for flexibility </w:t>
      </w:r>
      <w:r>
        <w:t>on other proposals such as the issue of task forces</w:t>
      </w:r>
      <w:r w:rsidR="00781416">
        <w:t xml:space="preserve"> and</w:t>
      </w:r>
      <w:r>
        <w:t xml:space="preserve"> with respect to the various methods of work that had been developed by each committee on the basis of </w:t>
      </w:r>
      <w:r w:rsidR="00781416">
        <w:t xml:space="preserve">its </w:t>
      </w:r>
      <w:r>
        <w:t xml:space="preserve">experience, composition and precedents. </w:t>
      </w:r>
    </w:p>
    <w:p w:rsidR="00F95A0F" w:rsidRDefault="00F95A0F" w:rsidP="00F95A0F">
      <w:pPr>
        <w:pStyle w:val="SingleTxt"/>
      </w:pPr>
      <w:r>
        <w:t>20.</w:t>
      </w:r>
      <w:r>
        <w:tab/>
      </w:r>
      <w:r w:rsidR="00781416">
        <w:t>T</w:t>
      </w:r>
      <w:r>
        <w:t xml:space="preserve">he </w:t>
      </w:r>
      <w:r w:rsidR="004065CA" w:rsidRPr="004065CA">
        <w:t>Chairs</w:t>
      </w:r>
      <w:r>
        <w:t xml:space="preserve"> expressed concern over reprisals and agreed with the recommendation of the </w:t>
      </w:r>
      <w:r w:rsidR="00781416">
        <w:t>c</w:t>
      </w:r>
      <w:r>
        <w:t xml:space="preserve">o-facilitators. The </w:t>
      </w:r>
      <w:r w:rsidR="004065CA" w:rsidRPr="004065CA">
        <w:t>Chairs</w:t>
      </w:r>
      <w:r>
        <w:t xml:space="preserve"> added </w:t>
      </w:r>
      <w:r w:rsidR="00781416">
        <w:t xml:space="preserve">that </w:t>
      </w:r>
      <w:r>
        <w:t xml:space="preserve">there was a need for a collective response </w:t>
      </w:r>
      <w:r w:rsidR="00781416">
        <w:t>that</w:t>
      </w:r>
      <w:r>
        <w:t xml:space="preserve"> would include measures of reparation, and suggested </w:t>
      </w:r>
      <w:r w:rsidR="00781416">
        <w:t>that each committee designate</w:t>
      </w:r>
      <w:r>
        <w:t xml:space="preserve"> a focal point and th</w:t>
      </w:r>
      <w:r w:rsidR="00781416">
        <w:t>at</w:t>
      </w:r>
      <w:r>
        <w:t xml:space="preserve"> a joint body to address reprisals be explored. </w:t>
      </w:r>
    </w:p>
    <w:p w:rsidR="00F95A0F" w:rsidRDefault="00F95A0F" w:rsidP="00F95A0F">
      <w:pPr>
        <w:pStyle w:val="SingleTxt"/>
      </w:pPr>
      <w:r>
        <w:t>21.</w:t>
      </w:r>
      <w:r>
        <w:tab/>
        <w:t xml:space="preserve">The advantages and disadvantages of dual chambers were discussed. The </w:t>
      </w:r>
      <w:r w:rsidR="004065CA" w:rsidRPr="004065CA">
        <w:t>Chairs</w:t>
      </w:r>
      <w:r>
        <w:t xml:space="preserve"> noted that, while there were clear benefits in terms of saving time and money, dual chambers would be difficult for smaller committees, such as </w:t>
      </w:r>
      <w:r w:rsidR="005234C6">
        <w:t>the Committee against Torture</w:t>
      </w:r>
      <w:r>
        <w:t xml:space="preserve"> which</w:t>
      </w:r>
      <w:r w:rsidR="005234C6">
        <w:t xml:space="preserve"> had</w:t>
      </w:r>
      <w:r>
        <w:t xml:space="preserve"> only 10 members and for which it could be difficult, if not impossible</w:t>
      </w:r>
      <w:r w:rsidR="005234C6">
        <w:t>,</w:t>
      </w:r>
      <w:r>
        <w:t xml:space="preserve"> to find a balanced composition for each chamber. The question was also raised as to how treaty body members who did not participate in the interactive dialogue could properly participate in adopting concluding observations. </w:t>
      </w:r>
    </w:p>
    <w:p w:rsidR="00F95A0F" w:rsidRDefault="00F95A0F" w:rsidP="00F95A0F">
      <w:pPr>
        <w:pStyle w:val="SingleTxt"/>
      </w:pPr>
      <w:r>
        <w:t>22.</w:t>
      </w:r>
      <w:r>
        <w:tab/>
      </w:r>
      <w:r w:rsidR="005234C6">
        <w:t>T</w:t>
      </w:r>
      <w:r>
        <w:t xml:space="preserve">he </w:t>
      </w:r>
      <w:r w:rsidR="004065CA" w:rsidRPr="004065CA">
        <w:t>Chairs</w:t>
      </w:r>
      <w:r>
        <w:t xml:space="preserve"> expressed strong support for capacity</w:t>
      </w:r>
      <w:r w:rsidR="005234C6">
        <w:t>-</w:t>
      </w:r>
      <w:r>
        <w:t>building efforts</w:t>
      </w:r>
      <w:r w:rsidR="005234C6">
        <w:t>,</w:t>
      </w:r>
      <w:r>
        <w:t xml:space="preserve"> both for reporting and for the implementation of concluding observations. They underscored, however, that any cost savings from the treaty bodies should be entirely reinvested in the treaty body system </w:t>
      </w:r>
      <w:r w:rsidR="001D2424">
        <w:t xml:space="preserve">in order </w:t>
      </w:r>
      <w:r>
        <w:t>to allow the system</w:t>
      </w:r>
      <w:r w:rsidR="005234C6">
        <w:t xml:space="preserve"> </w:t>
      </w:r>
      <w:r>
        <w:t xml:space="preserve">to address the challenges it </w:t>
      </w:r>
      <w:r w:rsidR="005234C6">
        <w:t>faced</w:t>
      </w:r>
      <w:r>
        <w:t>. The co-facilitators explained that many delegations attached great importance to capacity</w:t>
      </w:r>
      <w:r w:rsidR="005234C6">
        <w:t>-</w:t>
      </w:r>
      <w:r>
        <w:t xml:space="preserve">building and that </w:t>
      </w:r>
      <w:r w:rsidR="005234C6">
        <w:t>it</w:t>
      </w:r>
      <w:r>
        <w:t xml:space="preserve"> would be a critical element of any final agreement. The </w:t>
      </w:r>
      <w:r w:rsidR="004065CA" w:rsidRPr="004065CA">
        <w:t>Chairs</w:t>
      </w:r>
      <w:r>
        <w:t xml:space="preserve"> agreed that additional resources should be committed to building the capacity of States parties to report and to implement, but that such effort</w:t>
      </w:r>
      <w:r w:rsidR="005234C6">
        <w:t>s</w:t>
      </w:r>
      <w:r>
        <w:t xml:space="preserve"> should not be made at the expense of an already underresourced system. </w:t>
      </w:r>
    </w:p>
    <w:p w:rsidR="00F95A0F" w:rsidRDefault="00F95A0F" w:rsidP="00F95A0F">
      <w:pPr>
        <w:pStyle w:val="SingleTxt"/>
      </w:pPr>
      <w:r>
        <w:t>23.</w:t>
      </w:r>
      <w:r>
        <w:tab/>
        <w:t xml:space="preserve">The </w:t>
      </w:r>
      <w:r w:rsidR="004065CA" w:rsidRPr="004065CA">
        <w:t>Chairs</w:t>
      </w:r>
      <w:r>
        <w:t xml:space="preserve"> agreed with the co-facilitators on the need for more predictability</w:t>
      </w:r>
      <w:r w:rsidR="005234C6">
        <w:t>,</w:t>
      </w:r>
      <w:r>
        <w:t xml:space="preserve"> which a calendar could provide. However, they cautioned that the nimble and </w:t>
      </w:r>
      <w:r w:rsidR="00E20014" w:rsidRPr="00E20014">
        <w:t>“</w:t>
      </w:r>
      <w:r>
        <w:t>opt</w:t>
      </w:r>
      <w:r w:rsidR="005234C6">
        <w:t>-</w:t>
      </w:r>
      <w:r>
        <w:t>in</w:t>
      </w:r>
      <w:r w:rsidR="00E20014" w:rsidRPr="00E20014">
        <w:t>”</w:t>
      </w:r>
      <w:r>
        <w:t xml:space="preserve"> calendar proposals might contradict the treaties by making a legal obligation optional and further create a </w:t>
      </w:r>
      <w:r w:rsidR="005234C6">
        <w:t xml:space="preserve">“two-speed” </w:t>
      </w:r>
      <w:r>
        <w:t>reporting system. The co-facilitators noted that th</w:t>
      </w:r>
      <w:r w:rsidR="005234C6">
        <w:t>e</w:t>
      </w:r>
      <w:r>
        <w:t xml:space="preserve"> proposal </w:t>
      </w:r>
      <w:r w:rsidR="005234C6">
        <w:t>had</w:t>
      </w:r>
      <w:r>
        <w:t xml:space="preserve"> just</w:t>
      </w:r>
      <w:r w:rsidR="005234C6">
        <w:t xml:space="preserve"> been</w:t>
      </w:r>
      <w:r>
        <w:t xml:space="preserve"> shared with Member States so it was too early to gauge their reaction. On the five</w:t>
      </w:r>
      <w:r w:rsidR="005234C6">
        <w:t>-</w:t>
      </w:r>
      <w:r>
        <w:t>year comprehensive reporting calendar proposal in the</w:t>
      </w:r>
      <w:r w:rsidR="005234C6">
        <w:t xml:space="preserve"> report of the United Nations</w:t>
      </w:r>
      <w:r>
        <w:t xml:space="preserve"> High Commissioner, the co-facilitators </w:t>
      </w:r>
      <w:r w:rsidR="005234C6">
        <w:t>stated</w:t>
      </w:r>
      <w:r>
        <w:t xml:space="preserve"> that a number of delegations had expressed concern about the possibility of a review in the absence of a report. The </w:t>
      </w:r>
      <w:r w:rsidR="004065CA" w:rsidRPr="004065CA">
        <w:t>Chairs</w:t>
      </w:r>
      <w:r>
        <w:t xml:space="preserve"> responded that State reviews in the absence of a report were already </w:t>
      </w:r>
      <w:r w:rsidR="005234C6">
        <w:t xml:space="preserve">a </w:t>
      </w:r>
      <w:r>
        <w:t xml:space="preserve">current practice </w:t>
      </w:r>
      <w:r w:rsidR="005234C6">
        <w:t>in</w:t>
      </w:r>
      <w:r>
        <w:t xml:space="preserve"> several committees.</w:t>
      </w:r>
    </w:p>
    <w:p w:rsidR="00F95A0F" w:rsidRDefault="00F95A0F" w:rsidP="00F95A0F">
      <w:pPr>
        <w:pStyle w:val="SingleTxt"/>
      </w:pPr>
      <w:r>
        <w:t>24.</w:t>
      </w:r>
      <w:r>
        <w:tab/>
      </w:r>
      <w:r w:rsidR="005234C6">
        <w:t xml:space="preserve">In respect of the </w:t>
      </w:r>
      <w:smartTag w:uri="urn:schemas-microsoft-com:office:smarttags" w:element="place">
        <w:smartTag w:uri="urn:schemas-microsoft-com:office:smarttags" w:element="City">
          <w:r w:rsidR="005234C6">
            <w:t>Addis Ababa</w:t>
          </w:r>
        </w:smartTag>
      </w:smartTag>
      <w:r w:rsidR="005234C6">
        <w:t xml:space="preserve"> guidelines</w:t>
      </w:r>
      <w:r>
        <w:t xml:space="preserve">, the </w:t>
      </w:r>
      <w:r w:rsidR="004065CA" w:rsidRPr="004065CA">
        <w:t>Chairs</w:t>
      </w:r>
      <w:r>
        <w:t xml:space="preserve"> pointed out that the guidelines had only recently been </w:t>
      </w:r>
      <w:r w:rsidR="005234C6">
        <w:t>adopted</w:t>
      </w:r>
      <w:r>
        <w:t xml:space="preserve"> and that it was </w:t>
      </w:r>
      <w:r w:rsidR="005234C6">
        <w:t xml:space="preserve">therefore </w:t>
      </w:r>
      <w:r>
        <w:t>too early to review them. They added that the guidelines affirmed what already existed and that only</w:t>
      </w:r>
      <w:r w:rsidR="005234C6">
        <w:t xml:space="preserve"> the</w:t>
      </w:r>
      <w:r>
        <w:t xml:space="preserve"> treaty bodies were responsible for implementing and evaluating </w:t>
      </w:r>
      <w:r w:rsidR="005234C6">
        <w:t>them</w:t>
      </w:r>
      <w:r>
        <w:t xml:space="preserve"> as part of their internal rules and regulations. On the </w:t>
      </w:r>
      <w:r w:rsidR="005234C6">
        <w:t>subject of the</w:t>
      </w:r>
      <w:r>
        <w:t xml:space="preserve"> annual meeting</w:t>
      </w:r>
      <w:r w:rsidR="005234C6">
        <w:t xml:space="preserve"> of the Chairs</w:t>
      </w:r>
      <w:r>
        <w:t xml:space="preserve">, the </w:t>
      </w:r>
      <w:r w:rsidR="004065CA" w:rsidRPr="004065CA">
        <w:t>Chairs</w:t>
      </w:r>
      <w:r>
        <w:t xml:space="preserve"> informed the co-facilitators of their recommendation</w:t>
      </w:r>
      <w:r w:rsidR="005234C6">
        <w:t>, made</w:t>
      </w:r>
      <w:r>
        <w:t xml:space="preserve"> at </w:t>
      </w:r>
      <w:r w:rsidR="005234C6">
        <w:t>the previous</w:t>
      </w:r>
      <w:r>
        <w:t xml:space="preserve"> annual meeting</w:t>
      </w:r>
      <w:r w:rsidR="005234C6">
        <w:t>,</w:t>
      </w:r>
      <w:r>
        <w:t xml:space="preserve"> that the meetings be decentralized and alternate between </w:t>
      </w:r>
      <w:smartTag w:uri="urn:schemas-microsoft-com:office:smarttags" w:element="place">
        <w:smartTag w:uri="urn:schemas-microsoft-com:office:smarttags" w:element="City">
          <w:r>
            <w:t>Geneva</w:t>
          </w:r>
        </w:smartTag>
      </w:smartTag>
      <w:r>
        <w:t xml:space="preserve"> and the field. They </w:t>
      </w:r>
      <w:r w:rsidR="005234C6">
        <w:t>also</w:t>
      </w:r>
      <w:r>
        <w:t xml:space="preserve"> noted that it would be </w:t>
      </w:r>
      <w:r w:rsidR="005234C6">
        <w:t>useful for</w:t>
      </w:r>
      <w:r>
        <w:t xml:space="preserve"> the annual meeting </w:t>
      </w:r>
      <w:r w:rsidR="005234C6">
        <w:t>to be held</w:t>
      </w:r>
      <w:r>
        <w:t xml:space="preserve"> in </w:t>
      </w:r>
      <w:smartTag w:uri="urn:schemas-microsoft-com:office:smarttags" w:element="place">
        <w:smartTag w:uri="urn:schemas-microsoft-com:office:smarttags" w:element="State">
          <w:r>
            <w:t>New York</w:t>
          </w:r>
        </w:smartTag>
      </w:smartTag>
      <w:r>
        <w:t xml:space="preserve"> every few years</w:t>
      </w:r>
      <w:r w:rsidR="005234C6">
        <w:t xml:space="preserve"> in order</w:t>
      </w:r>
      <w:r>
        <w:t xml:space="preserve"> to allow for greater interaction with Member States.</w:t>
      </w:r>
    </w:p>
    <w:p w:rsidR="00F95A0F" w:rsidRDefault="00F95A0F" w:rsidP="00F95A0F">
      <w:pPr>
        <w:pStyle w:val="SingleTxt"/>
      </w:pPr>
      <w:r>
        <w:t>25.</w:t>
      </w:r>
      <w:r>
        <w:tab/>
        <w:t xml:space="preserve"> In conclusion, both the co-facilitators and the </w:t>
      </w:r>
      <w:r w:rsidR="004065CA" w:rsidRPr="004065CA">
        <w:t>Chairs</w:t>
      </w:r>
      <w:r>
        <w:t xml:space="preserve"> expressed</w:t>
      </w:r>
      <w:r w:rsidR="005234C6">
        <w:t xml:space="preserve"> great</w:t>
      </w:r>
      <w:r>
        <w:t xml:space="preserve"> </w:t>
      </w:r>
      <w:r w:rsidR="00CE25EC">
        <w:t>satisfaction</w:t>
      </w:r>
      <w:r w:rsidR="005234C6">
        <w:t xml:space="preserve"> with</w:t>
      </w:r>
      <w:r>
        <w:t xml:space="preserve"> the exchange. The co-facilitators hoped to finalize the process by mid-June</w:t>
      </w:r>
      <w:r w:rsidR="005234C6">
        <w:t>, with</w:t>
      </w:r>
      <w:r>
        <w:t xml:space="preserve"> a report to the President of the General Assembly</w:t>
      </w:r>
      <w:r w:rsidR="005234C6">
        <w:t>,</w:t>
      </w:r>
      <w:r>
        <w:t xml:space="preserve"> who in turn would submit </w:t>
      </w:r>
      <w:r w:rsidR="005234C6">
        <w:t>the report</w:t>
      </w:r>
      <w:r>
        <w:t xml:space="preserve"> to the Assembly. They also </w:t>
      </w:r>
      <w:r w:rsidR="005234C6">
        <w:t>expected</w:t>
      </w:r>
      <w:r>
        <w:t xml:space="preserve"> that some proposals would be staggered in their implementation</w:t>
      </w:r>
      <w:r w:rsidR="00D1148E">
        <w:t>, namely,</w:t>
      </w:r>
      <w:r w:rsidR="00E20014" w:rsidRPr="00E20014">
        <w:t xml:space="preserve"> </w:t>
      </w:r>
      <w:r>
        <w:t>short</w:t>
      </w:r>
      <w:r w:rsidR="00D1148E">
        <w:t xml:space="preserve">-, </w:t>
      </w:r>
      <w:r>
        <w:t>mid</w:t>
      </w:r>
      <w:r w:rsidR="00D1148E">
        <w:t xml:space="preserve">- and </w:t>
      </w:r>
      <w:r w:rsidR="001D2424">
        <w:t>long-</w:t>
      </w:r>
      <w:r>
        <w:t>term</w:t>
      </w:r>
      <w:r w:rsidR="00D1148E">
        <w:t xml:space="preserve"> proposals</w:t>
      </w:r>
      <w:r>
        <w:t xml:space="preserve">. The co-facilitators conveyed a sense of urgency </w:t>
      </w:r>
      <w:r w:rsidR="00D1148E">
        <w:t>in achieving</w:t>
      </w:r>
      <w:r>
        <w:t xml:space="preserve"> an outcome despite divergent views. </w:t>
      </w:r>
    </w:p>
    <w:p w:rsidR="00D1148E" w:rsidRPr="00D1148E" w:rsidRDefault="00D1148E" w:rsidP="00D1148E">
      <w:pPr>
        <w:pStyle w:val="SingleTxt"/>
        <w:spacing w:after="0" w:line="120" w:lineRule="exact"/>
        <w:rPr>
          <w:sz w:val="10"/>
        </w:rPr>
      </w:pPr>
    </w:p>
    <w:p w:rsidR="00D1148E" w:rsidRPr="00D1148E" w:rsidRDefault="00D1148E" w:rsidP="00D1148E">
      <w:pPr>
        <w:pStyle w:val="SingleTxt"/>
        <w:spacing w:after="0" w:line="120" w:lineRule="exact"/>
        <w:rPr>
          <w:sz w:val="10"/>
        </w:rPr>
      </w:pPr>
    </w:p>
    <w:p w:rsidR="00F95A0F" w:rsidRDefault="00F95A0F" w:rsidP="00D1148E">
      <w:pPr>
        <w:pStyle w:val="H1"/>
        <w:ind w:right="1260"/>
      </w:pPr>
      <w:r>
        <w:tab/>
        <w:t>B.</w:t>
      </w:r>
      <w:r>
        <w:tab/>
        <w:t>Informal consultation with States</w:t>
      </w:r>
    </w:p>
    <w:p w:rsidR="00D1148E" w:rsidRPr="00D1148E" w:rsidRDefault="00D1148E" w:rsidP="00D1148E">
      <w:pPr>
        <w:pStyle w:val="SingleTxt"/>
        <w:spacing w:after="0" w:line="120" w:lineRule="exact"/>
        <w:rPr>
          <w:sz w:val="10"/>
        </w:rPr>
      </w:pPr>
    </w:p>
    <w:p w:rsidR="00D1148E" w:rsidRPr="00D1148E" w:rsidRDefault="00D1148E" w:rsidP="00D1148E">
      <w:pPr>
        <w:pStyle w:val="SingleTxt"/>
        <w:spacing w:after="0" w:line="120" w:lineRule="exact"/>
        <w:rPr>
          <w:sz w:val="10"/>
        </w:rPr>
      </w:pPr>
    </w:p>
    <w:p w:rsidR="00F95A0F" w:rsidRDefault="00F95A0F" w:rsidP="00F95A0F">
      <w:pPr>
        <w:pStyle w:val="SingleTxt"/>
      </w:pPr>
      <w:r>
        <w:t>26.</w:t>
      </w:r>
      <w:r>
        <w:tab/>
        <w:t xml:space="preserve">On 21 May 2013, the </w:t>
      </w:r>
      <w:r w:rsidR="004065CA" w:rsidRPr="004065CA">
        <w:t>Chairs</w:t>
      </w:r>
      <w:r>
        <w:t xml:space="preserve"> held an informal consultation with States, as well as informal exchanges with groups of Member States in the following days. At the opening of the informal consultation with States, the </w:t>
      </w:r>
      <w:r w:rsidR="00967134" w:rsidRPr="00967134">
        <w:t>Chair</w:t>
      </w:r>
      <w:r>
        <w:t xml:space="preserve"> of the annual meeting </w:t>
      </w:r>
      <w:r w:rsidR="00D1148E">
        <w:t>made</w:t>
      </w:r>
      <w:r>
        <w:t xml:space="preserve"> a statement on behalf of all the </w:t>
      </w:r>
      <w:r w:rsidR="004065CA" w:rsidRPr="004065CA">
        <w:t>Chairs</w:t>
      </w:r>
      <w:r>
        <w:t xml:space="preserve">. He welcomed the open dialogue between the co-facilitators and the treaty bodies, and recognized </w:t>
      </w:r>
      <w:r w:rsidR="00D1148E">
        <w:t>the former’s</w:t>
      </w:r>
      <w:r>
        <w:t xml:space="preserve"> role in facilitating the participation of several treaty body members in the informal consultations of the intergovernmental process, including by videoconference from </w:t>
      </w:r>
      <w:smartTag w:uri="urn:schemas-microsoft-com:office:smarttags" w:element="State">
        <w:r>
          <w:t>New York</w:t>
        </w:r>
      </w:smartTag>
      <w:r>
        <w:t xml:space="preserve"> and through their visit to </w:t>
      </w:r>
      <w:smartTag w:uri="urn:schemas-microsoft-com:office:smarttags" w:element="place">
        <w:smartTag w:uri="urn:schemas-microsoft-com:office:smarttags" w:element="City">
          <w:r>
            <w:t>Geneva</w:t>
          </w:r>
        </w:smartTag>
      </w:smartTag>
      <w:r>
        <w:t xml:space="preserve"> in April 2013. The </w:t>
      </w:r>
      <w:r w:rsidR="00967134" w:rsidRPr="00967134">
        <w:t>Chair</w:t>
      </w:r>
      <w:r>
        <w:t xml:space="preserve"> stated that the success of the treaty body strengthening process would be measured by its ability to offer more protection to right</w:t>
      </w:r>
      <w:r w:rsidR="00D1148E">
        <w:t xml:space="preserve">s </w:t>
      </w:r>
      <w:r>
        <w:t xml:space="preserve">holders than was currently the case. He then gave an overview of the unprecedented challenges which confronted the human rights treaty body system, such as the immense backlog in reviewing States </w:t>
      </w:r>
      <w:r w:rsidR="00D1148E">
        <w:t>p</w:t>
      </w:r>
      <w:r>
        <w:t>arties</w:t>
      </w:r>
      <w:r w:rsidR="005234C6">
        <w:t>’</w:t>
      </w:r>
      <w:r>
        <w:t xml:space="preserve"> reports and communications and the high degr</w:t>
      </w:r>
      <w:r w:rsidR="00D1148E">
        <w:t>ee of non-compliance by States p</w:t>
      </w:r>
      <w:r>
        <w:t xml:space="preserve">arties with their reporting obligations, which constituted a threat to the integrity, coherence and effectiveness of the system, as did the significant delay between the submission of reports and their review. The </w:t>
      </w:r>
      <w:r w:rsidR="00967134" w:rsidRPr="00967134">
        <w:t>Chair</w:t>
      </w:r>
      <w:r>
        <w:t xml:space="preserve"> further criticized the severe underresourcing of the system</w:t>
      </w:r>
      <w:r w:rsidR="00D1148E">
        <w:t>,</w:t>
      </w:r>
      <w:r>
        <w:t xml:space="preserve"> which forced it to rely to an unsafe degree on extrabudgetary resources. The Chair further expressed the deep concern of the treaty body </w:t>
      </w:r>
      <w:r w:rsidR="00D1148E">
        <w:t>C</w:t>
      </w:r>
      <w:r>
        <w:t>hairs over cases of reprisals, including against human rights defenders who provided information to the treaty bodies, and called for greater access for civil society organizations from all State</w:t>
      </w:r>
      <w:r w:rsidR="00D1148E">
        <w:t>s</w:t>
      </w:r>
      <w:r>
        <w:t xml:space="preserve"> </w:t>
      </w:r>
      <w:r w:rsidR="00D1148E">
        <w:t>p</w:t>
      </w:r>
      <w:r>
        <w:t xml:space="preserve">arties to the treaty bodies. </w:t>
      </w:r>
    </w:p>
    <w:p w:rsidR="00F95A0F" w:rsidRDefault="00F95A0F" w:rsidP="00F95A0F">
      <w:pPr>
        <w:pStyle w:val="SingleTxt"/>
      </w:pPr>
      <w:r>
        <w:t>27.</w:t>
      </w:r>
      <w:r>
        <w:tab/>
        <w:t xml:space="preserve">The </w:t>
      </w:r>
      <w:r w:rsidR="00967134" w:rsidRPr="00967134">
        <w:t>Chair</w:t>
      </w:r>
      <w:r>
        <w:t xml:space="preserve"> then proceeded to enumerate the principles and benchmarks </w:t>
      </w:r>
      <w:r w:rsidR="00D1148E">
        <w:t>that they</w:t>
      </w:r>
      <w:r>
        <w:t xml:space="preserve"> considered </w:t>
      </w:r>
      <w:r w:rsidR="00D1148E">
        <w:t xml:space="preserve">to be </w:t>
      </w:r>
      <w:r>
        <w:t xml:space="preserve">fundamental in relation to the treaty body strengthening process. As the principles were rooted in human rights treaty law, as elaborated and ratified by States, the </w:t>
      </w:r>
      <w:r w:rsidR="004065CA" w:rsidRPr="004065CA">
        <w:t>Chairs</w:t>
      </w:r>
      <w:r>
        <w:t xml:space="preserve"> expected them to be faithfully reflected in the process and outcome of the treaty body strengthening process. The first principle was that any outcome of the intergovernmental process should strengthen the human rights protection that the treaty body system offer</w:t>
      </w:r>
      <w:r w:rsidR="00D1148E">
        <w:t>ed</w:t>
      </w:r>
      <w:r>
        <w:t>. The second principle was the independence and impartiality of the treaty bodies and their members. At the</w:t>
      </w:r>
      <w:r w:rsidR="00D1148E">
        <w:t>ir</w:t>
      </w:r>
      <w:r>
        <w:t xml:space="preserve"> 2012 annual meeting, the </w:t>
      </w:r>
      <w:r w:rsidR="004065CA" w:rsidRPr="004065CA">
        <w:t>Chairs</w:t>
      </w:r>
      <w:r>
        <w:t xml:space="preserve"> had endorsed the </w:t>
      </w:r>
      <w:smartTag w:uri="urn:schemas-microsoft-com:office:smarttags" w:element="place">
        <w:smartTag w:uri="urn:schemas-microsoft-com:office:smarttags" w:element="City">
          <w:r>
            <w:t>Addis Ababa</w:t>
          </w:r>
        </w:smartTag>
      </w:smartTag>
      <w:r>
        <w:t xml:space="preserve"> </w:t>
      </w:r>
      <w:r w:rsidR="00D1148E">
        <w:t>g</w:t>
      </w:r>
      <w:r>
        <w:t>uidelines</w:t>
      </w:r>
      <w:r w:rsidR="00D1148E">
        <w:t>,</w:t>
      </w:r>
      <w:r>
        <w:t xml:space="preserve"> which interpreted the concepts of independence and impartiality for treaty body members.</w:t>
      </w:r>
    </w:p>
    <w:p w:rsidR="00546F5D" w:rsidRDefault="00F95A0F" w:rsidP="00F95A0F">
      <w:pPr>
        <w:pStyle w:val="SingleTxt"/>
      </w:pPr>
      <w:r>
        <w:t>28.</w:t>
      </w:r>
      <w:r>
        <w:tab/>
        <w:t xml:space="preserve">The </w:t>
      </w:r>
      <w:r w:rsidR="00967134" w:rsidRPr="00967134">
        <w:t>Chair</w:t>
      </w:r>
      <w:r w:rsidR="00D1148E">
        <w:t xml:space="preserve"> added that the</w:t>
      </w:r>
      <w:r>
        <w:t xml:space="preserve"> </w:t>
      </w:r>
      <w:r w:rsidR="00D1148E">
        <w:t>g</w:t>
      </w:r>
      <w:r>
        <w:t xml:space="preserve">uidelines were based on pre-existing guidelines of the Human Rights Committee, relevant rules of procedure and decisions of other treaty bodies relating to independence. Less than a year later, the </w:t>
      </w:r>
      <w:smartTag w:uri="urn:schemas-microsoft-com:office:smarttags" w:element="place">
        <w:smartTag w:uri="urn:schemas-microsoft-com:office:smarttags" w:element="City">
          <w:r>
            <w:t>Addis Ababa</w:t>
          </w:r>
        </w:smartTag>
      </w:smartTag>
      <w:r>
        <w:t xml:space="preserve"> </w:t>
      </w:r>
      <w:r w:rsidR="00D1148E">
        <w:t>g</w:t>
      </w:r>
      <w:r>
        <w:t>uidelines had been incorporated, in one way or another, in the rules of procedure and practices of all</w:t>
      </w:r>
      <w:r w:rsidR="00D1148E">
        <w:t xml:space="preserve"> the</w:t>
      </w:r>
      <w:r>
        <w:t xml:space="preserve"> </w:t>
      </w:r>
      <w:r w:rsidR="00D1148E">
        <w:t>c</w:t>
      </w:r>
      <w:r>
        <w:t xml:space="preserve">ommittees, as documented in the report </w:t>
      </w:r>
      <w:r w:rsidR="00D1148E">
        <w:t>(</w:t>
      </w:r>
      <w:hyperlink r:id="rId27" w:history="1">
        <w:r w:rsidR="00D1148E" w:rsidRPr="004423CC">
          <w:rPr>
            <w:rStyle w:val="Hyperlink"/>
          </w:rPr>
          <w:t>HRI/MC/2013/4</w:t>
        </w:r>
      </w:hyperlink>
      <w:r w:rsidR="00D1148E">
        <w:t xml:space="preserve">) </w:t>
      </w:r>
      <w:r>
        <w:t>on the implementation by the treaty bodies of the recommendations contained in the report of the High Commissioner</w:t>
      </w:r>
      <w:r w:rsidR="00E20014" w:rsidRPr="00E20014">
        <w:t xml:space="preserve">. </w:t>
      </w:r>
      <w:r>
        <w:t>Th</w:t>
      </w:r>
      <w:r w:rsidR="00D1148E">
        <w:t>at</w:t>
      </w:r>
      <w:r>
        <w:t xml:space="preserve"> had given the </w:t>
      </w:r>
      <w:smartTag w:uri="urn:schemas-microsoft-com:office:smarttags" w:element="place">
        <w:smartTag w:uri="urn:schemas-microsoft-com:office:smarttags" w:element="City">
          <w:r>
            <w:t>Addis Ababa</w:t>
          </w:r>
        </w:smartTag>
      </w:smartTag>
      <w:r>
        <w:t xml:space="preserve"> guidelines tremendous weight. Third, any outcome of the intergovernmental process should be comprehensive and sustainable, meaning that</w:t>
      </w:r>
      <w:r w:rsidR="00D1148E">
        <w:t xml:space="preserve"> the</w:t>
      </w:r>
      <w:r>
        <w:t xml:space="preserve"> treaty bodies should be equipped with the proper material and human resources from the regular budget to adequately carry out their responsibilities under the respective treaties. The fourth principle was the principle of efficiency and needed to be tested in </w:t>
      </w:r>
      <w:r w:rsidR="00D1148E">
        <w:t xml:space="preserve">the </w:t>
      </w:r>
      <w:r>
        <w:t>light of the goal of the system to respect, protect and promote human rights. In th</w:t>
      </w:r>
      <w:r w:rsidR="00D1148E">
        <w:t>at</w:t>
      </w:r>
      <w:r>
        <w:t xml:space="preserve"> context, all cost</w:t>
      </w:r>
      <w:r w:rsidR="00D1148E">
        <w:t>-</w:t>
      </w:r>
      <w:r>
        <w:t xml:space="preserve">saving measures needed to be fully reinvested in a system that </w:t>
      </w:r>
      <w:r w:rsidR="00D1148E">
        <w:t xml:space="preserve">suffered </w:t>
      </w:r>
      <w:r>
        <w:t>dramatically from a lack of resources. Valuable capacity</w:t>
      </w:r>
      <w:r w:rsidR="00D1148E">
        <w:t>-</w:t>
      </w:r>
      <w:r>
        <w:t>building initiatives should therefore not be undertaken at the expense of the scarce resources of the treaty bodies, but additional resources should be made available for th</w:t>
      </w:r>
      <w:r w:rsidR="00D1148E">
        <w:t>at</w:t>
      </w:r>
      <w:r>
        <w:t xml:space="preserve"> purpose. Fifth, the intergovernmental process provided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and treaty bodies with a unique opportunity to modernize the work of </w:t>
      </w:r>
      <w:r w:rsidR="00D14530">
        <w:t>the latter</w:t>
      </w:r>
      <w:r>
        <w:t xml:space="preserve"> by </w:t>
      </w:r>
      <w:r w:rsidR="00D14530">
        <w:t>allowing them to take full advantage of</w:t>
      </w:r>
      <w:r>
        <w:t xml:space="preserve"> technological development</w:t>
      </w:r>
      <w:r w:rsidR="00D14530">
        <w:t>s</w:t>
      </w:r>
      <w:r>
        <w:t xml:space="preserve"> while at the same time making it universally accessible for persons with disabilities, </w:t>
      </w:r>
      <w:r w:rsidR="00D14530">
        <w:t>thereby</w:t>
      </w:r>
      <w:r>
        <w:t xml:space="preserve"> </w:t>
      </w:r>
      <w:r w:rsidR="00B046B3">
        <w:t>honour</w:t>
      </w:r>
      <w:r w:rsidR="00D14530">
        <w:t>ing</w:t>
      </w:r>
      <w:r>
        <w:t xml:space="preserve"> the principle of reasonable accommodation.</w:t>
      </w:r>
    </w:p>
    <w:p w:rsidR="00363614" w:rsidRDefault="00363614" w:rsidP="00363614">
      <w:pPr>
        <w:pStyle w:val="SingleTxt"/>
      </w:pPr>
      <w:r>
        <w:t>29.</w:t>
      </w:r>
      <w:r>
        <w:tab/>
        <w:t>The Chair further highlighted that the strengthening process was by definition a multi-stakeholder process in which both States and treaty bodies had specific competencies. The Chairs very much valued the dialogue in each committee as well as the informal consultation that was a permanent feature of the annual meeting of Chairs. The treaties, however, provided for the rules of procedure and the working methods of the treaty bodies to be determined by the treaty bodies themselves. The Chair highlighted that the treaty bodies were committed to the continued harmonization of their working methods, and in this context welcomed the report of the High Commissioner on treaty body strengthening. He concluded by stating that the treaty bodies had already invested greatly in developing possible solutions for a crisis that, if not attended to, could seriously weaken a system already under stress.</w:t>
      </w:r>
    </w:p>
    <w:p w:rsidR="00363614" w:rsidRDefault="00363614" w:rsidP="00363614">
      <w:pPr>
        <w:pStyle w:val="SingleTxt"/>
      </w:pPr>
      <w:r>
        <w:t>30.</w:t>
      </w:r>
      <w:r>
        <w:tab/>
        <w:t xml:space="preserve">In their comments, some Member States echoed the view expressed by the Chairs that the intergovernmental process should result in a comprehensive and </w:t>
      </w:r>
      <w:r w:rsidRPr="008C0ACE">
        <w:rPr>
          <w:spacing w:val="2"/>
        </w:rPr>
        <w:t>concrete response to existing challenges and should also lead to increased compliance</w:t>
      </w:r>
      <w:r>
        <w:t xml:space="preserve"> by States with their legal reporting obligations. Others reiterated that any proposals for change should strengthen and not weaken the system. Many delegates expressed respect for the independence and autonomy of the treaty bodies and applauded their self-regulation by adopting the </w:t>
      </w:r>
      <w:smartTag w:uri="urn:schemas-microsoft-com:office:smarttags" w:element="place">
        <w:smartTag w:uri="urn:schemas-microsoft-com:office:smarttags" w:element="City">
          <w:r>
            <w:t>Addis Ababa</w:t>
          </w:r>
        </w:smartTag>
      </w:smartTag>
      <w:r>
        <w:t xml:space="preserve"> guidelines. Some participants asked what measures had been taken by the treaty bodies to implement the guidelines and whether the guidelines would be subject to review by the committees, in the light of best practices and the views of stakeholders. The Chairs were also asked how they assessed the objectivity of information provided by civil society and what initiatives were being undertaken by the treaty bodies themselves to harmonize their working methods and ensure efficiencies. The views of the Chairs were further solicited with respect to the possibility of a reporting calendar, the implications for treaty body experts of increased meeting time, as well as ways and means to avoid ad hoc requests for additional resources from individual committees.</w:t>
      </w:r>
    </w:p>
    <w:p w:rsidR="00363614" w:rsidRDefault="00363614" w:rsidP="00363614">
      <w:pPr>
        <w:pStyle w:val="SingleTxt"/>
      </w:pPr>
      <w:r>
        <w:t>31.</w:t>
      </w:r>
      <w:r>
        <w:tab/>
        <w:t xml:space="preserve">In the ensuing dialogue, the Chairs emphasized the need to give the </w:t>
      </w:r>
      <w:smartTag w:uri="urn:schemas-microsoft-com:office:smarttags" w:element="place">
        <w:smartTag w:uri="urn:schemas-microsoft-com:office:smarttags" w:element="City">
          <w:r>
            <w:t>Addis Ababa</w:t>
          </w:r>
        </w:smartTag>
      </w:smartTag>
      <w:r>
        <w:t xml:space="preserve"> guidelines, which were a valuable interpretive tool, time to be implemented and used before resolving to review them. The Chairs suggested the possibility of a joint treaty body working group to look into the issue of reprisals. On the reliability of sources, treaty bodies pointed to their practice of cross-referencing various sources, including information from other human rights mechanisms and from United Nations entities. The diversity of sources allowed treaty body experts to evaluate the information received. The Chairs provided examples of harmonized working methods and suggested areas where more could be done. On the issue of languages, the Chairs underlined the importance of maintaining diversity. On improving efficiencies through cost-saving measures, the Chairs emphasized that any cost savings should be redirected to the treaty body system. With respect to lack of compliance with reporting obligations, the Chairs noted that, in general, lack of reporting was not only a matter of capacity, but also of political will and that in the absence of additional resources and structural solutions, the current system could not in any case cope with increased State compliance with their reporting obligations. Concerning a calendar, some Chairs stated that a five-year periodicity for reporting would be the maximum acceptable limit. They expressed concern over the fact that a number of proposals that were circulating were allowing States the possibility of reporting as they wished, and stressed that that contradicted voluntarily contracted legal obligations. Chairs acknowledged the advantages of a comprehensive request for additional resources, but asked who the arbiter would be as to the distribution of any additional resources received between the different treaty bodies; they warned against possible competition, and even conflict. Objective parameters would therefore have to be drawn up including the status of ratifications and the existing backlog.</w:t>
      </w:r>
    </w:p>
    <w:p w:rsidR="00363614" w:rsidRPr="00416398" w:rsidRDefault="00363614" w:rsidP="00363614">
      <w:pPr>
        <w:pStyle w:val="SingleTxt"/>
        <w:spacing w:after="0" w:line="120" w:lineRule="exact"/>
        <w:rPr>
          <w:sz w:val="10"/>
        </w:rPr>
      </w:pPr>
    </w:p>
    <w:p w:rsidR="00363614" w:rsidRPr="00416398" w:rsidRDefault="00363614" w:rsidP="00363614">
      <w:pPr>
        <w:pStyle w:val="SingleTxt"/>
        <w:spacing w:after="0" w:line="120" w:lineRule="exact"/>
        <w:rPr>
          <w:sz w:val="10"/>
        </w:rPr>
      </w:pPr>
    </w:p>
    <w:p w:rsidR="00363614" w:rsidRDefault="00363614" w:rsidP="00363614">
      <w:pPr>
        <w:pStyle w:val="H1"/>
        <w:ind w:right="1260"/>
      </w:pPr>
      <w:r>
        <w:tab/>
        <w:t>C.</w:t>
      </w:r>
      <w:r>
        <w:tab/>
        <w:t>Informal consultations with civil society organizations and the International Coordinating Committee of national human rights institutions</w:t>
      </w:r>
    </w:p>
    <w:p w:rsidR="00363614" w:rsidRPr="00416398" w:rsidRDefault="00363614" w:rsidP="00363614">
      <w:pPr>
        <w:pStyle w:val="SingleTxt"/>
        <w:spacing w:after="0" w:line="120" w:lineRule="exact"/>
        <w:rPr>
          <w:sz w:val="10"/>
        </w:rPr>
      </w:pPr>
    </w:p>
    <w:p w:rsidR="00363614" w:rsidRPr="00416398" w:rsidRDefault="00363614" w:rsidP="00363614">
      <w:pPr>
        <w:pStyle w:val="SingleTxt"/>
        <w:spacing w:after="0" w:line="120" w:lineRule="exact"/>
        <w:rPr>
          <w:sz w:val="10"/>
        </w:rPr>
      </w:pPr>
    </w:p>
    <w:p w:rsidR="00363614" w:rsidRDefault="00363614" w:rsidP="00363614">
      <w:pPr>
        <w:pStyle w:val="SingleTxt"/>
      </w:pPr>
      <w:r>
        <w:t>32.</w:t>
      </w:r>
      <w:r>
        <w:tab/>
        <w:t xml:space="preserve">On 22 May 2013, the Chairs held informal consultations with civil society organizations and the International Coordinating Committee of national human rights institutions. A joint statement by 14 civil society organizations highlighted a number of priority areas for consideration by the Chairs. It was stated that the intergovernmental process provided a key opportunity for reminding States of their obligation to fully and effectively implement the recommendations and decisions adopted by the treaty bodies, to ratify all human rights treaties and their optional protocols, and to remove reservations that limited the scope of the treaties. With respect to working methods, the civil society organizations, in their joint statement, welcomed the alignment by the treaty bodies of their working methods. In the light of increased reprisals against civil society organizations and human rights defenders, they called upon the treaty bodies to develop common guidelines on addressing reprisals and to appoint focal points as soon as possible with a broad and clear mandate to take all possible steps to prevent and swiftly address reprisals. Linked to this, they stressed the importance for treaty bodies to continue to organize their formal meetings with civil society organizations related to State reviews in private. On the issue of resources, the civil society organizations noted that the current challenges facing the treaty body system were the result of years of underfunding, which had resulted in a large backlog of reports and communications. Lastly, the civil society organizations called on the Chairs to ensure that the </w:t>
      </w:r>
      <w:smartTag w:uri="urn:schemas-microsoft-com:office:smarttags" w:element="place">
        <w:smartTag w:uri="urn:schemas-microsoft-com:office:smarttags" w:element="City">
          <w:r>
            <w:t>Addis Ababa</w:t>
          </w:r>
        </w:smartTag>
      </w:smartTag>
      <w:r>
        <w:t xml:space="preserve"> guidelines would be strictly adhered to by all treaty body members.</w:t>
      </w:r>
    </w:p>
    <w:p w:rsidR="00363614" w:rsidRDefault="00363614" w:rsidP="00363614">
      <w:pPr>
        <w:pStyle w:val="SingleTxt"/>
      </w:pPr>
      <w:r>
        <w:t>33.</w:t>
      </w:r>
      <w:r>
        <w:tab/>
        <w:t>Other participants spoke about the need to strengthen human rights protection on the ground and also cautioned against extending periodicity beyond the reporting period contained in the treaties. Additional points made included the need for more staff to support the Subcommittee on Prevention of Torture and the importance for treaty bodies to continue their work on general comments and recommendations, which expressed and formalized committee practice on thematic areas as distilled from numerous concluding observations. It was highlighted that the international human rights treaty system is for many individuals and groups the only forum in which they could claim their human rights. Similarly, the treaty monitoring system offered a measure of State accountability for human rights implementation that in some cases was the only accountability available. It was argued that it was therefore essential that treaty bodies should continue to review States parties in the absence of a report. Several participants further expressed the view that capacity-building assistance should only be made available to States parties that committed to promptly complying with their reporting obligations. On the question of a calendar, some civil society organizations suggested predictability, transparency, compliance with reporting obligations and the review of all States parties without exception as principles that should underpin any models put forward in the course of the intergovernmental process.</w:t>
      </w:r>
    </w:p>
    <w:p w:rsidR="00363614" w:rsidRDefault="00363614" w:rsidP="00363614">
      <w:pPr>
        <w:pStyle w:val="SingleTxt"/>
      </w:pPr>
      <w:r>
        <w:t>34.</w:t>
      </w:r>
      <w:r>
        <w:tab/>
        <w:t>The Chairs welcomed the valuable contribution of civil society organizations to the work of the treaty bodies, whether through submissions, inputs, hearings or briefings. They called on those organizations to continue to actively participate in State reviews as well as in the implementation of recommendations emanating from the treaty bodies.</w:t>
      </w:r>
    </w:p>
    <w:p w:rsidR="00363614" w:rsidRDefault="00363614" w:rsidP="00363614">
      <w:pPr>
        <w:pStyle w:val="HCh"/>
        <w:ind w:left="1267" w:right="1260" w:hanging="1267"/>
      </w:pPr>
      <w:r>
        <w:tab/>
        <w:t>V.</w:t>
      </w:r>
      <w:r>
        <w:tab/>
        <w:t>Treaty bodies and the post-2015 development agenda</w:t>
      </w:r>
    </w:p>
    <w:p w:rsidR="00363614" w:rsidRPr="00EA05FE" w:rsidRDefault="00363614" w:rsidP="00363614">
      <w:pPr>
        <w:pStyle w:val="SingleTxt"/>
        <w:spacing w:after="0" w:line="120" w:lineRule="exact"/>
        <w:rPr>
          <w:sz w:val="10"/>
        </w:rPr>
      </w:pPr>
    </w:p>
    <w:p w:rsidR="00363614" w:rsidRPr="00EA05FE" w:rsidRDefault="00363614" w:rsidP="00363614">
      <w:pPr>
        <w:pStyle w:val="SingleTxt"/>
        <w:spacing w:after="0" w:line="120" w:lineRule="exact"/>
        <w:rPr>
          <w:sz w:val="10"/>
        </w:rPr>
      </w:pPr>
    </w:p>
    <w:p w:rsidR="00363614" w:rsidRDefault="00363614" w:rsidP="00363614">
      <w:pPr>
        <w:pStyle w:val="SingleTxt"/>
      </w:pPr>
      <w:r>
        <w:t>35.</w:t>
      </w:r>
      <w:r>
        <w:tab/>
        <w:t>On 24 May 2013, Craig Mokhiber, Chief, Development and Economic and Social Issues Branch, OHCHR, gave a presentation on the post-2015 development agenda, for which preparations were taking place. He stated that treaty bodies could provide a strong accountability framework in the post-2015 framework as, in the State review, they could consider State compliance with the post-2015 commitments that would eventually be adopted.</w:t>
      </w:r>
    </w:p>
    <w:p w:rsidR="00363614" w:rsidRDefault="00363614" w:rsidP="00363614">
      <w:pPr>
        <w:pStyle w:val="SingleTxt"/>
      </w:pPr>
      <w:r>
        <w:t>36.</w:t>
      </w:r>
      <w:r>
        <w:tab/>
        <w:t>He explained that when the Millennium Development Goals were drafted, drafters vetoed the inclusion of human rights, as it was perceived to be a vague and amorphous concept and not a concrete, measurable framework. OHCHR, as part of the United Nations community, had nevertheless engaged on the Millennium Development Goals in spite of the absence of a rights-based approach to important issues such as health, education and poverty. The Goals were a narrow set of socioeconomic indicators that did not address the imperative of inequality and with a weak accountability framework. Goal 8 on “global partnerships for development” was never designed to be implemented.</w:t>
      </w:r>
    </w:p>
    <w:p w:rsidR="00363614" w:rsidRDefault="00363614" w:rsidP="00363614">
      <w:pPr>
        <w:pStyle w:val="SingleTxt"/>
      </w:pPr>
      <w:r>
        <w:t>37.</w:t>
      </w:r>
      <w:r>
        <w:tab/>
        <w:t>The post-2015 agenda gave the international community the opportunity to correct itself by replacing the framework of the Millennium Development Goals with goals or objectives that had a normative base and a strong accountability framework. OHCHR had facilitated one of the global thematic consultations and been actively involved in the others. Since the start of the post-2015 process, OHCHR had relentlessly advocated for human rights to be at the centre of the new development agenda. According to the human rights-based approach, the sustainable development goals must be built around a framework of international law, including human rights law. Human rights principles such as equality, meaningful participation and accountability had to be stressed and the framework to be adopted should address freedom from fear as much as freedom from want. The framework also needed to take into account the environment and address weak goal 8 and the international side of the development agenda in accordance with the right to development. Moreover, the post-2015 framework should also consider the private sector as agents of development, and take into account the accountability of those non-State actors and the need for redress of human rights violations.</w:t>
      </w:r>
    </w:p>
    <w:p w:rsidR="00363614" w:rsidRDefault="00363614" w:rsidP="00363614">
      <w:pPr>
        <w:pStyle w:val="SingleTxt"/>
      </w:pPr>
      <w:r>
        <w:t>38.</w:t>
      </w:r>
      <w:r>
        <w:tab/>
        <w:t xml:space="preserve">In the ensuing discussion, the Chairs pointed out that the role of women as regards the Millennium Development Goals and the post-2015 development agenda was a crucial one. There was also some merit in looking at treaty body strengthening in the context of the post-2015 development agenda, which could lead to providing states with budgetary assistance so they could implement their obligations. The issue of how human rights could be made measurable was also brought up, as was the need to apply human rights indicators. The Chairs also looked at the huge disparities in reaching the Millennium Development Goals in sub-Saharan </w:t>
      </w:r>
      <w:smartTag w:uri="urn:schemas-microsoft-com:office:smarttags" w:element="place">
        <w:r>
          <w:t>Africa</w:t>
        </w:r>
      </w:smartTag>
      <w:r>
        <w:t>. The need to make the link with sustainable development was also stressed. One question was how the issue of corruption was being addressed, since without good governance it would be difficult to achieve the goals in the long term. The significance of the broader framework in which freedom from torture must be framed was also brought up. A broader range of factors had to be addressed, especially the issue of prevention against torture. On accountability, the Chairs emphasized that the treaty bodies had an instrumental role to play that was not limited to political accountability, but also encompassed powers of enforcement.</w:t>
      </w:r>
    </w:p>
    <w:p w:rsidR="00363614" w:rsidRDefault="00363614" w:rsidP="00363614">
      <w:pPr>
        <w:pStyle w:val="SingleTxt"/>
      </w:pPr>
      <w:r>
        <w:t>39.</w:t>
      </w:r>
      <w:r>
        <w:tab/>
        <w:t>In response, Mr. Mokhiber called on the treaty bodies to rally around integrating human rights into outcome documents through a joint statement. On the role of women, there should be clear gender benchmarks. Resources were a key issue, but they were often used as a distraction as it was clearly not a question of a lack of money when military spending or spending on bank bailouts was in the trillions. Therefore, scarcity of resources should not be used as a pretext for the failure to make human rights a priority. Reference was also made to the OHCHR publication on human rights indicators and its recently launched report entitled “Who will be accountable?: human rights and the post-2015 development agenda”. In conclusion, the key challenge was to ensure that the post-2015 framework would be articulated in human rights terms.</w:t>
      </w:r>
    </w:p>
    <w:p w:rsidR="00363614" w:rsidRPr="006E7C74" w:rsidRDefault="00363614" w:rsidP="00363614">
      <w:pPr>
        <w:pStyle w:val="SingleTxt"/>
        <w:spacing w:after="0" w:line="120" w:lineRule="exact"/>
        <w:rPr>
          <w:sz w:val="10"/>
        </w:rPr>
      </w:pPr>
    </w:p>
    <w:p w:rsidR="00363614" w:rsidRPr="006E7C74" w:rsidRDefault="00363614" w:rsidP="00363614">
      <w:pPr>
        <w:pStyle w:val="SingleTxt"/>
        <w:spacing w:after="0" w:line="120" w:lineRule="exact"/>
        <w:rPr>
          <w:sz w:val="10"/>
        </w:rPr>
      </w:pPr>
    </w:p>
    <w:p w:rsidR="00363614" w:rsidRDefault="00363614" w:rsidP="00363614">
      <w:pPr>
        <w:pStyle w:val="HCh"/>
        <w:ind w:left="1267" w:right="1260" w:hanging="1267"/>
      </w:pPr>
      <w:r>
        <w:tab/>
        <w:t>VI.</w:t>
      </w:r>
      <w:r>
        <w:tab/>
        <w:t>Decisions and recommendations</w:t>
      </w:r>
    </w:p>
    <w:p w:rsidR="00363614" w:rsidRPr="006E7C74" w:rsidRDefault="00363614" w:rsidP="00363614">
      <w:pPr>
        <w:pStyle w:val="SingleTxt"/>
        <w:spacing w:after="0" w:line="120" w:lineRule="exact"/>
        <w:rPr>
          <w:sz w:val="10"/>
        </w:rPr>
      </w:pPr>
    </w:p>
    <w:p w:rsidR="00363614" w:rsidRPr="006E7C74" w:rsidRDefault="00363614" w:rsidP="00363614">
      <w:pPr>
        <w:pStyle w:val="SingleTxt"/>
        <w:spacing w:after="0" w:line="120" w:lineRule="exact"/>
        <w:rPr>
          <w:sz w:val="10"/>
        </w:rPr>
      </w:pPr>
    </w:p>
    <w:p w:rsidR="00363614" w:rsidRDefault="00363614" w:rsidP="00363614">
      <w:pPr>
        <w:pStyle w:val="SingleTxt"/>
      </w:pPr>
      <w:r>
        <w:t>40.</w:t>
      </w:r>
      <w:r>
        <w:tab/>
        <w:t>At their twenty-fifth meeting, the Chairs of the United Nations human rights treaty bodies adopted the following recommendations:</w:t>
      </w:r>
    </w:p>
    <w:p w:rsidR="00363614" w:rsidRPr="006E7C74" w:rsidRDefault="00363614" w:rsidP="00363614">
      <w:pPr>
        <w:pStyle w:val="SingleTxt"/>
        <w:spacing w:after="0" w:line="120" w:lineRule="exact"/>
        <w:rPr>
          <w:sz w:val="10"/>
        </w:rPr>
      </w:pPr>
    </w:p>
    <w:p w:rsidR="00363614" w:rsidRDefault="00363614" w:rsidP="00363614">
      <w:pPr>
        <w:pStyle w:val="H23"/>
        <w:ind w:right="1260"/>
      </w:pPr>
      <w:r>
        <w:tab/>
      </w:r>
      <w:r>
        <w:tab/>
        <w:t>Intergovernmental process on treaty body strengthening</w:t>
      </w:r>
    </w:p>
    <w:p w:rsidR="00363614" w:rsidRPr="006E7C74" w:rsidRDefault="00363614" w:rsidP="00363614">
      <w:pPr>
        <w:pStyle w:val="SingleTxt"/>
        <w:spacing w:after="0" w:line="120" w:lineRule="exact"/>
        <w:rPr>
          <w:sz w:val="10"/>
        </w:rPr>
      </w:pPr>
    </w:p>
    <w:p w:rsidR="00363614" w:rsidRDefault="00363614" w:rsidP="00363614">
      <w:pPr>
        <w:pStyle w:val="SingleTxt"/>
      </w:pPr>
      <w:r>
        <w:t>41.</w:t>
      </w:r>
      <w:r>
        <w:tab/>
        <w:t>The Chairs stated that the following principles should be taken into account in the intergovernmental process on treaty body strengthening:</w:t>
      </w:r>
    </w:p>
    <w:p w:rsidR="00363614" w:rsidRDefault="00363614" w:rsidP="00363614">
      <w:pPr>
        <w:pStyle w:val="SingleTxt"/>
      </w:pPr>
      <w:r>
        <w:tab/>
        <w:t>(a)</w:t>
      </w:r>
      <w:r>
        <w:tab/>
        <w:t>The outcome of the intergovernmental process should strengthen the human rights protection that the treaty body system offers and intensify the scrutiny of implementation of obligations as provided by the treaty body system;</w:t>
      </w:r>
    </w:p>
    <w:p w:rsidR="00363614" w:rsidRDefault="00363614" w:rsidP="00363614">
      <w:pPr>
        <w:pStyle w:val="SingleTxt"/>
      </w:pPr>
      <w:r>
        <w:tab/>
        <w:t>(b)</w:t>
      </w:r>
      <w:r>
        <w:tab/>
        <w:t>The independence of treaty body members is the source of the credibility and integrity of the system and guarantees the impartial treatment of States parties. The Addis Ababa guidelines, which were devised and endorsed at the twenty-fourth meeting of the Chairs of the human rights treaty bodies in 2012, enshrine and operationalize these principles;</w:t>
      </w:r>
    </w:p>
    <w:p w:rsidR="00363614" w:rsidRDefault="00363614" w:rsidP="00363614">
      <w:pPr>
        <w:pStyle w:val="SingleTxt"/>
      </w:pPr>
      <w:r>
        <w:tab/>
        <w:t>(c)</w:t>
      </w:r>
      <w:r>
        <w:tab/>
      </w:r>
      <w:r w:rsidRPr="006E7C74">
        <w:rPr>
          <w:spacing w:val="2"/>
        </w:rPr>
        <w:t>The outcome of the intergovernmental process should address the challenges</w:t>
      </w:r>
      <w:r>
        <w:t xml:space="preserve"> faced by the treaty body system in a comprehensive and sustainable manner;</w:t>
      </w:r>
    </w:p>
    <w:p w:rsidR="00363614" w:rsidRDefault="00363614" w:rsidP="00363614">
      <w:pPr>
        <w:pStyle w:val="SingleTxt"/>
      </w:pPr>
      <w:r>
        <w:tab/>
        <w:t>(d)</w:t>
      </w:r>
      <w:r>
        <w:tab/>
        <w:t>All cost-saving and other measures to improve the efficiency of the treaty bodies must be reinvested in the treaty body system and, through additional resources, the treaty bodies should be equipped with the proper material and human resources from the regular budget to adequately carry out their responsibilities under the respective treaties;</w:t>
      </w:r>
    </w:p>
    <w:p w:rsidR="00363614" w:rsidRDefault="00363614" w:rsidP="00363614">
      <w:pPr>
        <w:pStyle w:val="SingleTxt"/>
      </w:pPr>
      <w:r>
        <w:tab/>
        <w:t>(e)</w:t>
      </w:r>
      <w:r>
        <w:tab/>
        <w:t>The work of the treaty bodies should be modernized so as to take full advantage of technological developments, while at the same time making it universally accessible for persons with disabilities, thereby honouring the principle of reasonable accommodation.</w:t>
      </w:r>
    </w:p>
    <w:p w:rsidR="00363614" w:rsidRDefault="00363614" w:rsidP="00363614">
      <w:pPr>
        <w:pStyle w:val="SingleTxt"/>
      </w:pPr>
      <w:r>
        <w:t>42.</w:t>
      </w:r>
      <w:r>
        <w:tab/>
        <w:t xml:space="preserve">The Chairs valued the extensive consultations with </w:t>
      </w:r>
      <w:smartTag w:uri="urn:schemas-microsoft-com:office:smarttags" w:element="place">
        <w:smartTag w:uri="urn:schemas-microsoft-com:office:smarttags" w:element="PlaceName">
          <w:r>
            <w:t>Member</w:t>
          </w:r>
        </w:smartTag>
        <w:r>
          <w:t xml:space="preserve"> </w:t>
        </w:r>
        <w:smartTag w:uri="urn:schemas-microsoft-com:office:smarttags" w:element="PlaceType">
          <w:r>
            <w:t>States</w:t>
          </w:r>
        </w:smartTag>
      </w:smartTag>
      <w:r>
        <w:t xml:space="preserve"> and groups of States, as well as with the co-facilitators and civil society organizations.</w:t>
      </w:r>
    </w:p>
    <w:p w:rsidR="00363614" w:rsidRDefault="00363614" w:rsidP="00363614">
      <w:pPr>
        <w:pStyle w:val="SingleTxt"/>
      </w:pPr>
      <w:r>
        <w:t>43.</w:t>
      </w:r>
      <w:r>
        <w:tab/>
        <w:t>The Chairs welcomed the report of the United Nations High Commissioner on the strengthening of the treaty bodies. They received the proposal for a comprehensive reporting calendar in a positive spirit and endorsed in principle a common reporting calendar which reflects and reinforces the treaty-based reporting commitments of States parties. As a result of the discussions around the comprehensive reporting calendar, a number of proposals for implementation modalities had been put forward by Member States. While the Chairs appreciated that the advantages and disadvantages of various proposals were still under discussion and that some of the proposals were still evolving, they reiterated that any structured calendar of reporting and consideration should meet the following criteria:</w:t>
      </w:r>
    </w:p>
    <w:p w:rsidR="00363614" w:rsidRDefault="00363614" w:rsidP="00363614">
      <w:pPr>
        <w:pStyle w:val="SingleTxt"/>
      </w:pPr>
      <w:r>
        <w:tab/>
        <w:t>(a)</w:t>
      </w:r>
      <w:r>
        <w:tab/>
        <w:t>Any structural solution should eliminate the unequal treatment of States parties by operating on the basis of universal compliance with reporting obligations;</w:t>
      </w:r>
    </w:p>
    <w:p w:rsidR="00363614" w:rsidRDefault="00363614" w:rsidP="00363614">
      <w:pPr>
        <w:pStyle w:val="SingleTxt"/>
      </w:pPr>
      <w:r>
        <w:tab/>
        <w:t>(b)</w:t>
      </w:r>
      <w:r>
        <w:tab/>
        <w:t>Any structured system put in place should be regular and predictable, leading to efficient utilization of resources, and facilitate advance planning for all parties concerned;</w:t>
      </w:r>
    </w:p>
    <w:p w:rsidR="00363614" w:rsidRDefault="00363614" w:rsidP="00363614">
      <w:pPr>
        <w:pStyle w:val="SingleTxt"/>
      </w:pPr>
      <w:r>
        <w:tab/>
        <w:t>(c)</w:t>
      </w:r>
      <w:r>
        <w:tab/>
        <w:t>Any scheduling of reports should follow as closely as possible the periodicity in the treaties, so as not to prejudice the legal reporting obligations of States parties;</w:t>
      </w:r>
    </w:p>
    <w:p w:rsidR="00363614" w:rsidRDefault="00363614" w:rsidP="00363614">
      <w:pPr>
        <w:pStyle w:val="SingleTxt"/>
      </w:pPr>
      <w:r>
        <w:tab/>
        <w:t>(d)</w:t>
      </w:r>
      <w:r>
        <w:tab/>
        <w:t>Non-reporting should be an exception and not the norm; any structured calendar should not be permissive as regards non-reporting;</w:t>
      </w:r>
    </w:p>
    <w:p w:rsidR="00363614" w:rsidRDefault="00363614" w:rsidP="00363614">
      <w:pPr>
        <w:pStyle w:val="SingleTxt"/>
      </w:pPr>
      <w:r>
        <w:tab/>
        <w:t>(e)</w:t>
      </w:r>
      <w:r>
        <w:tab/>
        <w:t>Eliminate backlogs and ad hoc requests for meeting time to the General Assembly.</w:t>
      </w:r>
    </w:p>
    <w:p w:rsidR="00363614" w:rsidRPr="009C5383" w:rsidRDefault="00363614" w:rsidP="00363614">
      <w:pPr>
        <w:pStyle w:val="SingleTxt"/>
        <w:spacing w:after="0" w:line="120" w:lineRule="exact"/>
        <w:rPr>
          <w:sz w:val="10"/>
        </w:rPr>
      </w:pPr>
    </w:p>
    <w:p w:rsidR="00363614" w:rsidRDefault="00363614" w:rsidP="00363614">
      <w:pPr>
        <w:pStyle w:val="H23"/>
        <w:ind w:right="1260"/>
      </w:pPr>
      <w:r>
        <w:tab/>
      </w:r>
      <w:r>
        <w:tab/>
      </w:r>
      <w:smartTag w:uri="urn:schemas-microsoft-com:office:smarttags" w:element="place">
        <w:smartTag w:uri="urn:schemas-microsoft-com:office:smarttags" w:element="City">
          <w:r>
            <w:t>Independence</w:t>
          </w:r>
        </w:smartTag>
      </w:smartTag>
      <w:r>
        <w:t xml:space="preserve"> and impartiality of treaty body members</w:t>
      </w:r>
    </w:p>
    <w:p w:rsidR="00363614" w:rsidRPr="009C5383" w:rsidRDefault="00363614" w:rsidP="00363614">
      <w:pPr>
        <w:pStyle w:val="SingleTxt"/>
        <w:spacing w:after="0" w:line="120" w:lineRule="exact"/>
        <w:rPr>
          <w:sz w:val="10"/>
        </w:rPr>
      </w:pPr>
    </w:p>
    <w:p w:rsidR="00363614" w:rsidRDefault="00363614" w:rsidP="00363614">
      <w:pPr>
        <w:pStyle w:val="SingleTxt"/>
      </w:pPr>
      <w:r>
        <w:t>44.</w:t>
      </w:r>
      <w:r>
        <w:tab/>
        <w:t xml:space="preserve">The majority of the committees have already completed action on the guidelines on the independence and impartiality of treaty body members (“the Addis </w:t>
      </w:r>
      <w:r w:rsidRPr="009C5383">
        <w:rPr>
          <w:spacing w:val="12"/>
        </w:rPr>
        <w:t>Ababa guidelines”) endorsed by the twenty-fourth annual meeting of Chairs</w:t>
      </w:r>
      <w:r>
        <w:t xml:space="preserve"> by incorporating them in their respective rules of procedure. The other committees are in the process of considering the guidelines. The Chairs will continue to exchange views on the practice that will develop over time regarding those recently adopted guidelines.</w:t>
      </w:r>
    </w:p>
    <w:p w:rsidR="00363614" w:rsidRPr="009C5383" w:rsidRDefault="00363614" w:rsidP="00363614">
      <w:pPr>
        <w:pStyle w:val="SingleTxt"/>
        <w:spacing w:after="0" w:line="120" w:lineRule="exact"/>
        <w:rPr>
          <w:sz w:val="10"/>
        </w:rPr>
      </w:pPr>
    </w:p>
    <w:p w:rsidR="00363614" w:rsidRDefault="00363614" w:rsidP="00363614">
      <w:pPr>
        <w:pStyle w:val="H23"/>
        <w:ind w:right="1260"/>
      </w:pPr>
      <w:r>
        <w:tab/>
      </w:r>
      <w:r>
        <w:tab/>
        <w:t>Harmonization of working methods</w:t>
      </w:r>
    </w:p>
    <w:p w:rsidR="00363614" w:rsidRPr="009C5383" w:rsidRDefault="00363614" w:rsidP="00363614">
      <w:pPr>
        <w:pStyle w:val="SingleTxt"/>
        <w:spacing w:after="0" w:line="120" w:lineRule="exact"/>
        <w:rPr>
          <w:sz w:val="10"/>
        </w:rPr>
      </w:pPr>
    </w:p>
    <w:p w:rsidR="00363614" w:rsidRDefault="00363614" w:rsidP="00363614">
      <w:pPr>
        <w:pStyle w:val="SingleTxt"/>
      </w:pPr>
      <w:r>
        <w:t>45.</w:t>
      </w:r>
      <w:r>
        <w:tab/>
        <w:t>The treaty bodies are committed to continuing to align their working methods. It is recommended that, at the next meeting of the Chairs of the treaty bodies, the following issues be discussed:</w:t>
      </w:r>
    </w:p>
    <w:p w:rsidR="00363614" w:rsidRDefault="00363614" w:rsidP="00363614">
      <w:pPr>
        <w:pStyle w:val="SingleTxt"/>
      </w:pPr>
      <w:r>
        <w:tab/>
        <w:t>(a)</w:t>
      </w:r>
      <w:r>
        <w:tab/>
        <w:t>The possibility of a common format for concluding observations (titles, length, number of recommendations);</w:t>
      </w:r>
    </w:p>
    <w:p w:rsidR="00363614" w:rsidRDefault="00363614" w:rsidP="00363614">
      <w:pPr>
        <w:pStyle w:val="SingleTxt"/>
      </w:pPr>
      <w:r>
        <w:tab/>
        <w:t>(b)</w:t>
      </w:r>
      <w:r>
        <w:tab/>
        <w:t xml:space="preserve">The possible alignment of the methodology for the interactive dialogue </w:t>
      </w:r>
      <w:r w:rsidRPr="009C5383">
        <w:rPr>
          <w:spacing w:val="2"/>
        </w:rPr>
        <w:t>(e.g., written guidelines, country task forces or rapporteurs, clustering of questions by</w:t>
      </w:r>
      <w:r>
        <w:t xml:space="preserve"> </w:t>
      </w:r>
      <w:r w:rsidRPr="009C5383">
        <w:rPr>
          <w:spacing w:val="2"/>
        </w:rPr>
        <w:t>themes, equitable allocation of time between treaty body members and the State party,</w:t>
      </w:r>
      <w:r>
        <w:t xml:space="preserve"> follow-up given to previous concluding observations and significant developments).</w:t>
      </w:r>
    </w:p>
    <w:p w:rsidR="00363614" w:rsidRPr="009C5383" w:rsidRDefault="00363614" w:rsidP="00363614">
      <w:pPr>
        <w:pStyle w:val="SingleTxt"/>
        <w:spacing w:after="0" w:line="120" w:lineRule="exact"/>
        <w:rPr>
          <w:sz w:val="10"/>
        </w:rPr>
      </w:pPr>
    </w:p>
    <w:p w:rsidR="00363614" w:rsidRDefault="00363614" w:rsidP="00363614">
      <w:pPr>
        <w:pStyle w:val="H23"/>
        <w:ind w:right="1260"/>
      </w:pPr>
      <w:r>
        <w:tab/>
      </w:r>
      <w:r>
        <w:tab/>
        <w:t>Implementation of the recommendations contained in the report of the United Nations High Commissioner for Human Rights on the strengthening of the treaty bodies</w:t>
      </w:r>
    </w:p>
    <w:p w:rsidR="00363614" w:rsidRPr="009C5383" w:rsidRDefault="00363614" w:rsidP="00363614">
      <w:pPr>
        <w:pStyle w:val="SingleTxt"/>
        <w:spacing w:after="0" w:line="120" w:lineRule="exact"/>
        <w:rPr>
          <w:sz w:val="10"/>
        </w:rPr>
      </w:pPr>
    </w:p>
    <w:p w:rsidR="00363614" w:rsidRDefault="00363614" w:rsidP="00363614">
      <w:pPr>
        <w:pStyle w:val="SingleTxt"/>
      </w:pPr>
      <w:r>
        <w:t>46.</w:t>
      </w:r>
      <w:r>
        <w:tab/>
        <w:t>The Chairs also affirmed their commitment to promote positive consideration of the recommendations contained in the report of the United Nations High Commissioner. In that context, the Chairs stressed that such implementation should be undertaken in coordination with the other treaty bodies and recommended that each treaty body should keep the meeting of the Chairs informed on an annual basis about the progress made. The Chairs further recommended that the Secretariat should produce and regularly update an implementation report in that respect for consideration by the meeting of the Chairs in order to review progress, bearing in mind that the strengthening process was by definition a continuing one. To that effect, the meeting decided to include the issue of treaty body strengthening, and in particular the consideration of the recommendations contained in the report of the High Commissioner, on the agenda of the next meeting.</w:t>
      </w:r>
    </w:p>
    <w:p w:rsidR="00363614" w:rsidRPr="009C5383" w:rsidRDefault="00363614" w:rsidP="00363614">
      <w:pPr>
        <w:pStyle w:val="SingleTxt"/>
        <w:spacing w:after="0" w:line="120" w:lineRule="exact"/>
        <w:rPr>
          <w:sz w:val="10"/>
        </w:rPr>
      </w:pPr>
    </w:p>
    <w:p w:rsidR="00363614" w:rsidRDefault="00363614" w:rsidP="00363614">
      <w:pPr>
        <w:pStyle w:val="H23"/>
        <w:ind w:right="1260"/>
      </w:pPr>
      <w:r>
        <w:tab/>
      </w:r>
      <w:r>
        <w:tab/>
        <w:t>Overdue and non-reporting by States parties</w:t>
      </w:r>
    </w:p>
    <w:p w:rsidR="00363614" w:rsidRPr="009C5383" w:rsidRDefault="00363614" w:rsidP="00363614">
      <w:pPr>
        <w:pStyle w:val="SingleTxt"/>
        <w:spacing w:after="0" w:line="120" w:lineRule="exact"/>
        <w:rPr>
          <w:sz w:val="10"/>
        </w:rPr>
      </w:pPr>
    </w:p>
    <w:p w:rsidR="00363614" w:rsidRDefault="00363614" w:rsidP="00363614">
      <w:pPr>
        <w:pStyle w:val="SingleTxt"/>
      </w:pPr>
      <w:r>
        <w:t>47.</w:t>
      </w:r>
      <w:r>
        <w:tab/>
        <w:t>The Chairs expressed deep concern over late reporting and non-reporting by a number of States parties to international human rights treaties. Based on the annual reports of the respective treaty bodies, the meeting recommended that the Secretariat should provide regular updates on late reporting and non-reporting and place them on the OHCHR website. The item will be included as a standing item on the agenda of the meeting, and the status of late reporting and non-reporting will be included in future meeting reports.</w:t>
      </w:r>
    </w:p>
    <w:p w:rsidR="00363614" w:rsidRPr="002B156A" w:rsidRDefault="00363614" w:rsidP="00363614">
      <w:pPr>
        <w:pStyle w:val="SingleTxt"/>
        <w:spacing w:after="0" w:line="120" w:lineRule="exact"/>
        <w:rPr>
          <w:sz w:val="10"/>
        </w:rPr>
      </w:pPr>
    </w:p>
    <w:p w:rsidR="00363614" w:rsidRDefault="00363614" w:rsidP="00363614">
      <w:pPr>
        <w:pStyle w:val="H23"/>
        <w:ind w:right="1260"/>
      </w:pPr>
      <w:r>
        <w:tab/>
      </w:r>
      <w:r>
        <w:tab/>
        <w:t>Enhancement of the meetings of the Chairs of the human rights treaty bodies</w:t>
      </w:r>
    </w:p>
    <w:p w:rsidR="00363614" w:rsidRPr="002B156A" w:rsidRDefault="00363614" w:rsidP="00363614">
      <w:pPr>
        <w:pStyle w:val="SingleTxt"/>
        <w:spacing w:after="0" w:line="120" w:lineRule="exact"/>
        <w:rPr>
          <w:sz w:val="10"/>
        </w:rPr>
      </w:pPr>
    </w:p>
    <w:p w:rsidR="00363614" w:rsidRDefault="00363614" w:rsidP="00363614">
      <w:pPr>
        <w:pStyle w:val="SingleTxt"/>
      </w:pPr>
      <w:r>
        <w:t>48.</w:t>
      </w:r>
      <w:r>
        <w:tab/>
        <w:t>The Chairs reaffirmed their previously recognized roles to facilitate representation and coordinate common activities, including matters such as the consideration and adoption of joint statements, while respecting the autonomy and specificity of each treaty body. The Chairs also reiterated the recommendation that they should adopt measures on working methods and procedural matters that were common across the treaty body system and had previously been discussed within each committee, and that such measures should be implemented by all the treaty bodies unless a committee subsequently dissociated itself from them.</w:t>
      </w:r>
    </w:p>
    <w:p w:rsidR="00363614" w:rsidRPr="002B156A" w:rsidRDefault="00363614" w:rsidP="00363614">
      <w:pPr>
        <w:pStyle w:val="SingleTxt"/>
        <w:spacing w:after="0" w:line="120" w:lineRule="exact"/>
        <w:rPr>
          <w:sz w:val="10"/>
        </w:rPr>
      </w:pPr>
    </w:p>
    <w:p w:rsidR="00363614" w:rsidRDefault="00363614" w:rsidP="00363614">
      <w:pPr>
        <w:pStyle w:val="H23"/>
        <w:ind w:right="1260"/>
      </w:pPr>
      <w:r>
        <w:tab/>
      </w:r>
      <w:r>
        <w:tab/>
        <w:t>Treaty bodies and the post-2015 development agenda</w:t>
      </w:r>
    </w:p>
    <w:p w:rsidR="00363614" w:rsidRPr="002B156A" w:rsidRDefault="00363614" w:rsidP="00363614">
      <w:pPr>
        <w:pStyle w:val="SingleTxt"/>
        <w:spacing w:after="0" w:line="120" w:lineRule="exact"/>
        <w:rPr>
          <w:sz w:val="10"/>
        </w:rPr>
      </w:pPr>
    </w:p>
    <w:p w:rsidR="00363614" w:rsidRDefault="00363614" w:rsidP="00363614">
      <w:pPr>
        <w:pStyle w:val="SingleTxt"/>
      </w:pPr>
      <w:r>
        <w:t>49.</w:t>
      </w:r>
      <w:r>
        <w:tab/>
        <w:t>After consulting with stakeholders, the Chairs considered and adopted a joint statement on the post-2015 development agenda related to the need to incorporate human rights in that agenda (annex).</w:t>
      </w:r>
    </w:p>
    <w:p w:rsidR="00363614" w:rsidRPr="002B156A" w:rsidRDefault="00363614" w:rsidP="00363614">
      <w:pPr>
        <w:pStyle w:val="SingleTxt"/>
        <w:spacing w:after="0" w:line="120" w:lineRule="exact"/>
        <w:rPr>
          <w:sz w:val="10"/>
        </w:rPr>
      </w:pPr>
    </w:p>
    <w:p w:rsidR="00363614" w:rsidRDefault="00363614" w:rsidP="00363614">
      <w:pPr>
        <w:pStyle w:val="H23"/>
        <w:ind w:right="1260"/>
      </w:pPr>
      <w:r>
        <w:tab/>
      </w:r>
      <w:r>
        <w:tab/>
        <w:t>Agenda for the twenty-sixth meeting of the Chairs</w:t>
      </w:r>
    </w:p>
    <w:p w:rsidR="00363614" w:rsidRPr="002B156A" w:rsidRDefault="00363614" w:rsidP="00363614">
      <w:pPr>
        <w:pStyle w:val="SingleTxt"/>
        <w:spacing w:after="0" w:line="120" w:lineRule="exact"/>
        <w:rPr>
          <w:sz w:val="10"/>
        </w:rPr>
      </w:pPr>
    </w:p>
    <w:p w:rsidR="00363614" w:rsidRDefault="00363614" w:rsidP="00363614">
      <w:pPr>
        <w:pStyle w:val="SingleTxt"/>
      </w:pPr>
      <w:r>
        <w:t>50.</w:t>
      </w:r>
      <w:r>
        <w:tab/>
        <w:t>The Chairs decided that their next meeting would focus on the issue of strengthening the treaty bodies; late reporting and non-reporting of States parties; and harmonization of working methods.</w:t>
      </w:r>
    </w:p>
    <w:p w:rsidR="00363614" w:rsidRPr="002B156A" w:rsidRDefault="00363614" w:rsidP="00363614">
      <w:pPr>
        <w:pStyle w:val="SingleTxt"/>
        <w:spacing w:after="0" w:line="120" w:lineRule="exact"/>
        <w:rPr>
          <w:sz w:val="10"/>
        </w:rPr>
      </w:pPr>
    </w:p>
    <w:p w:rsidR="00363614" w:rsidRDefault="00363614" w:rsidP="00363614">
      <w:pPr>
        <w:pStyle w:val="H23"/>
        <w:ind w:right="1260"/>
      </w:pPr>
      <w:r>
        <w:tab/>
      </w:r>
      <w:r>
        <w:tab/>
        <w:t>Chair-Rapporteur and Vice-Chair-Rapporteur of the twenty-sixth meeting</w:t>
      </w:r>
    </w:p>
    <w:p w:rsidR="00363614" w:rsidRPr="002B156A" w:rsidRDefault="00363614" w:rsidP="00363614">
      <w:pPr>
        <w:pStyle w:val="SingleTxt"/>
        <w:spacing w:after="0" w:line="120" w:lineRule="exact"/>
        <w:rPr>
          <w:sz w:val="10"/>
        </w:rPr>
      </w:pPr>
    </w:p>
    <w:p w:rsidR="00363614" w:rsidRPr="002B156A" w:rsidRDefault="00363614" w:rsidP="00363614">
      <w:pPr>
        <w:pStyle w:val="SingleTxt"/>
        <w:rPr>
          <w:spacing w:val="2"/>
        </w:rPr>
      </w:pPr>
      <w:r>
        <w:t>51.</w:t>
      </w:r>
      <w:r>
        <w:tab/>
        <w:t xml:space="preserve">The Chairs decided that, in accordance with the principle of rotation and inclusion of new committees in the list, the Chair-Rapporteur of the twenty-sixth meeting in 2014 will be Malcolm Evans, Chair of the Subcommittee on Prevention of Torture and Other Cruel, Inhuman or Degrading Treatment or Punishment, and the Vice-Chair will be Emmanuel Decaux, Chair of the Committee on Enforced </w:t>
      </w:r>
      <w:r w:rsidRPr="002B156A">
        <w:rPr>
          <w:spacing w:val="2"/>
        </w:rPr>
        <w:t>Disappearances. In 2015, the rotation will again begin with 2006 as the starting point.</w:t>
      </w:r>
    </w:p>
    <w:p w:rsidR="00363614" w:rsidRPr="002B156A" w:rsidRDefault="00363614" w:rsidP="00363614">
      <w:pPr>
        <w:pStyle w:val="SingleTxt"/>
        <w:spacing w:after="0" w:line="120" w:lineRule="exact"/>
        <w:rPr>
          <w:sz w:val="10"/>
        </w:rPr>
      </w:pPr>
    </w:p>
    <w:p w:rsidR="00363614" w:rsidRDefault="00363614" w:rsidP="003636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w:t>
      </w:r>
    </w:p>
    <w:p w:rsidR="00363614" w:rsidRPr="002B156A" w:rsidRDefault="00363614" w:rsidP="00363614">
      <w:pPr>
        <w:pStyle w:val="SingleTxt"/>
        <w:spacing w:after="0" w:line="120" w:lineRule="exact"/>
        <w:rPr>
          <w:sz w:val="10"/>
        </w:rPr>
      </w:pPr>
    </w:p>
    <w:p w:rsidR="00363614" w:rsidRDefault="00363614" w:rsidP="00363614">
      <w:pPr>
        <w:pStyle w:val="HCh"/>
        <w:ind w:left="1267" w:right="1260" w:hanging="1267"/>
      </w:pPr>
      <w:r>
        <w:tab/>
      </w:r>
      <w:r>
        <w:tab/>
        <w:t>Joint statement of the Chairs of the United Nations treaty bodies on the post-2015 development agenda</w:t>
      </w:r>
    </w:p>
    <w:p w:rsidR="00363614" w:rsidRPr="002B156A" w:rsidRDefault="00363614" w:rsidP="00363614">
      <w:pPr>
        <w:pStyle w:val="SingleTxt"/>
        <w:spacing w:after="0" w:line="120" w:lineRule="exact"/>
        <w:rPr>
          <w:sz w:val="10"/>
        </w:rPr>
      </w:pPr>
    </w:p>
    <w:p w:rsidR="00363614" w:rsidRPr="002B156A" w:rsidRDefault="00363614" w:rsidP="00363614">
      <w:pPr>
        <w:pStyle w:val="SingleTxt"/>
        <w:spacing w:after="0" w:line="120" w:lineRule="exact"/>
        <w:rPr>
          <w:sz w:val="10"/>
        </w:rPr>
      </w:pPr>
    </w:p>
    <w:p w:rsidR="00363614" w:rsidRDefault="00363614" w:rsidP="00363614">
      <w:pPr>
        <w:pStyle w:val="SingleTxt"/>
      </w:pPr>
      <w:r>
        <w:tab/>
        <w:t>The Chairs of the 10 United Nations human rights treaty bodies,</w:t>
      </w:r>
      <w:r>
        <w:rPr>
          <w:rStyle w:val="FootnoteReference"/>
        </w:rPr>
        <w:footnoteReference w:id="1"/>
      </w:r>
      <w:r>
        <w:t xml:space="preserve"> welcome the current reflection on the post-2015 development agenda to follow the Millennium Development Goals, particularly in the context of the forthcoming General Assembly special event on the Millennium Development Goals as well as the work of the Open Working Group on Sustainable Development Goals in follow-up to the United Nations Conference on Sustainable Development held in Rio de Janeiro, Brazil, from 20 to 22 June 2012.</w:t>
      </w:r>
    </w:p>
    <w:p w:rsidR="00363614" w:rsidRDefault="00363614" w:rsidP="00363614">
      <w:pPr>
        <w:pStyle w:val="SingleTxt"/>
      </w:pPr>
      <w:r>
        <w:tab/>
        <w:t xml:space="preserve">International human rights law provides standards covering a range of issues from health, education, housing and labour standards to political participation, </w:t>
      </w:r>
      <w:r w:rsidRPr="00273068">
        <w:rPr>
          <w:spacing w:val="12"/>
        </w:rPr>
        <w:t xml:space="preserve">fundamental freedoms and personal security, administration of justice and </w:t>
      </w:r>
      <w:r>
        <w:t>non-discrimination. These issues are fundamentally linked to development. As such, the Chairs highlight the critical link between development and human rights, including the rights of the most vulnerable groups. We also underline that human beings are at the centre of concerns for sustainable development and have a vital role to play in environmental and natural resource governance.</w:t>
      </w:r>
    </w:p>
    <w:p w:rsidR="00363614" w:rsidRDefault="00363614" w:rsidP="00363614">
      <w:pPr>
        <w:pStyle w:val="SingleTxt"/>
      </w:pPr>
      <w:r>
        <w:tab/>
        <w:t>The Chairs encourage the international community to recognize this link and recognize that development goals, in order to be sustainable, have to be grounded in human rights, justice and the rule of law. By “human rights”, the Chairs mean the full range of civil, political, economic, social and cultural rights. In particular, this human rights-development linkage should be grounded in the right to development as a key parameter since it “finds clear resonance in various human rights treaty provisions, that emphasize the multifaceted, multidimensional and complex nature of development processes and the need for development to be inclusive, equitable and sustainable.”</w:t>
      </w:r>
      <w:r>
        <w:rPr>
          <w:rStyle w:val="FootnoteReference"/>
        </w:rPr>
        <w:footnoteReference w:id="2"/>
      </w:r>
      <w:r>
        <w:t xml:space="preserve"> In terms of the international environment in which development goals are framed and their implementation supported, “the right to development, through the systematic application of the core principles of equality, non</w:t>
      </w:r>
      <w:r>
        <w:noBreakHyphen/>
        <w:t>discrimination, participation, transparency and accountability, at both the national and international levels, establishes a specific framework within which the duty to provide international cooperation and assistance has to be implemented.”</w:t>
      </w:r>
      <w:r>
        <w:rPr>
          <w:rStyle w:val="FootnoteReference"/>
        </w:rPr>
        <w:footnoteReference w:id="3"/>
      </w:r>
      <w:r>
        <w:t xml:space="preserve"> Special attention must be paid to tackling broader governance issues such as corruption and enhancing the right to information and adequate remedies in this regard.</w:t>
      </w:r>
    </w:p>
    <w:p w:rsidR="00363614" w:rsidRDefault="00363614" w:rsidP="00363614">
      <w:pPr>
        <w:pStyle w:val="SingleTxt"/>
      </w:pPr>
      <w:r>
        <w:tab/>
        <w:t xml:space="preserve">In articulating a post-2015 development agenda, the need to promote the use of human rights indicators is crucial to measuring the success of development goals. </w:t>
      </w:r>
    </w:p>
    <w:p w:rsidR="00363614" w:rsidRDefault="00363614" w:rsidP="00363614">
      <w:pPr>
        <w:pStyle w:val="SingleTxt"/>
      </w:pPr>
      <w:r>
        <w:tab/>
        <w:t xml:space="preserve">The current Millennium Development Goals have made some useful contributions to development. Yet, they did not make the link with human rights, with important consequences. </w:t>
      </w:r>
    </w:p>
    <w:p w:rsidR="00363614" w:rsidRDefault="00363614" w:rsidP="00363614">
      <w:pPr>
        <w:pStyle w:val="SingleTxt"/>
      </w:pPr>
      <w:r>
        <w:tab/>
        <w:t xml:space="preserve">The goal of universal primary education did not explicitly refer to the human rights requirement that primary education be free and without discrimination, risking the exclusion of the poor, girls, migrants, indigenous persons and persons with disabilities, among others. </w:t>
      </w:r>
    </w:p>
    <w:p w:rsidR="00363614" w:rsidRDefault="00363614" w:rsidP="00363614">
      <w:pPr>
        <w:pStyle w:val="SingleTxt"/>
      </w:pPr>
      <w:r>
        <w:tab/>
        <w:t xml:space="preserve">The goal of gender equality did not ensure the elimination of discrimination against women and equality between women and men, which should be addressed as a global priority in the future agenda, as should respect for the right to liberty and security of the person, and freedom from torture and other cruel, inhuman or degrading treatment. </w:t>
      </w:r>
    </w:p>
    <w:p w:rsidR="00363614" w:rsidRDefault="00363614" w:rsidP="00363614">
      <w:pPr>
        <w:pStyle w:val="SingleTxt"/>
      </w:pPr>
      <w:r>
        <w:tab/>
        <w:t>Some human rights that are fundamentally linked to development and poverty eradication were omitted or underprioritized, such as freedom of expression and of association, including labour rights and decent work, and the right to water and sanitation, so important for the right to life and to meet health-related goals.</w:t>
      </w:r>
    </w:p>
    <w:p w:rsidR="00363614" w:rsidRDefault="00363614" w:rsidP="00363614">
      <w:pPr>
        <w:pStyle w:val="SingleTxt"/>
      </w:pPr>
      <w:r>
        <w:tab/>
        <w:t>Insufficient attention to the human rights principle of accountability and access to justice has undermined incentives to reach goals and foreclosed any remedy for people whose rights were bypassed or abused in the development process.</w:t>
      </w:r>
    </w:p>
    <w:p w:rsidR="00363614" w:rsidRDefault="00363614" w:rsidP="00363614">
      <w:pPr>
        <w:pStyle w:val="SingleTxt"/>
      </w:pPr>
      <w:r>
        <w:tab/>
        <w:t xml:space="preserve">In a joint statement of the Chairs of the United Nations human rights treaty bodies on the occasion of the United Nations Millennium Summit and the High-level Plenary Meeting of the General Assembly on the Millennium Development Goals (20-22 September 2010), it was clearly pointed out that, with regard to the Millennium Development Goals, “their realization would still fall short of what human rights treaties require, as treaties call for the realization of human rights for all, which goes beyond the reaching of quantified targets”. Ultimately, the failure to make an explicit link to human rights masked inequalities and frustrated advances. Indeed, in several of the celebrated development “success” stories of the previous decade, underlying repression, deprivation and inequality led to violent mass protest and the rolling back of any development gains. </w:t>
      </w:r>
    </w:p>
    <w:p w:rsidR="00363614" w:rsidRDefault="00363614" w:rsidP="00363614">
      <w:pPr>
        <w:pStyle w:val="SingleTxt"/>
      </w:pPr>
      <w:r>
        <w:tab/>
        <w:t>The Chairs therefore welcome the recognition by States in the outcome document of the United Nations Conference on Sustainable Development of the importance and utility of future sustainable development goals being consistent with international law, including international human rights law. This lays the ground for developing a post-2015 development agenda that should deliver freedom from fear and want, in keeping with the legal obligations that States have voluntarily undertaken.</w:t>
      </w:r>
    </w:p>
    <w:p w:rsidR="00363614" w:rsidRDefault="00363614" w:rsidP="00363614">
      <w:pPr>
        <w:pStyle w:val="SingleTxt"/>
      </w:pPr>
      <w:r>
        <w:tab/>
        <w:t>The Chairs call upon the international community to adopt a post-2015 development agenda that:</w:t>
      </w:r>
    </w:p>
    <w:p w:rsidR="00363614" w:rsidRDefault="00363614" w:rsidP="00363614">
      <w:pPr>
        <w:pStyle w:val="SingleTxt"/>
      </w:pPr>
      <w:r>
        <w:tab/>
        <w:t>(a)</w:t>
      </w:r>
      <w:r>
        <w:tab/>
        <w:t xml:space="preserve">Integrates human rights obligations within the development goals with specific human rights indicators to allow for an objective assessment of progress towards sustainable development grounded in human rights; </w:t>
      </w:r>
    </w:p>
    <w:p w:rsidR="00363614" w:rsidRDefault="00363614" w:rsidP="00363614">
      <w:pPr>
        <w:pStyle w:val="SingleTxt"/>
      </w:pPr>
      <w:r>
        <w:tab/>
        <w:t>(b)</w:t>
      </w:r>
      <w:r>
        <w:tab/>
        <w:t>Engages national and international human rights mechanisms, including the treaty bodies and special procedures of the Human Rights Council, in development processes as accountability mechanisms and as sources of significant human rights-related information that can assess progress in meeting development goals and serve as early warning mechanisms where problems, otherwise hidden, might be present.</w:t>
      </w:r>
    </w:p>
    <w:p w:rsidR="00363614" w:rsidRDefault="00363614" w:rsidP="00363614">
      <w:pPr>
        <w:pStyle w:val="SingleTxt"/>
      </w:pPr>
      <w:r>
        <w:tab/>
        <w:t xml:space="preserve">In particular, the Chairs call upon the international community to strengthen accountability of all the actors responsible for development. By linking development goals to legal obligations of States under human rights treaties, development actors are more easily held accountable and their responsibilities are better defined. This should provide additional motivation to move forward nationally on the promises made at conferences globally. </w:t>
      </w:r>
    </w:p>
    <w:p w:rsidR="00363614" w:rsidRDefault="00363614" w:rsidP="00363614">
      <w:pPr>
        <w:pStyle w:val="SingleTxt"/>
      </w:pPr>
      <w:r>
        <w:tab/>
        <w:t xml:space="preserve">The Chairs maintain that accountability can only be ensured if the overall treaty body system is strengthened, through focus on better reporting behaviour by States parties and better compliance with the recommendations aimed at States. In this context, capacity-building for States to discharge their conventional obligations is a common prerequisite to achieve the implementation of human rights norms as well as to implement the post-2015 development agenda. There is a need to continue to encourage periodic reporting by States parties and to reinforce the centrality of human rights in governance and national development planning. </w:t>
      </w:r>
    </w:p>
    <w:p w:rsidR="00363614" w:rsidRDefault="00363614" w:rsidP="00363614">
      <w:pPr>
        <w:pStyle w:val="SingleTxt"/>
      </w:pPr>
      <w:r>
        <w:tab/>
        <w:t xml:space="preserve">For their part, the Chairs commit to continuing to be engaged in the reflection on the post-2015 development agenda. In their own work, the Chairs will encourage their committees to consider the impact of development goals on the rights contained in their respective treaties. The Chairs will also encourage their committees to draw on development data and reports, as appropriate, in their constructive dialogue with States parties. </w:t>
      </w:r>
    </w:p>
    <w:p w:rsidR="00363614" w:rsidRDefault="00363614" w:rsidP="00363614">
      <w:pPr>
        <w:pStyle w:val="SingleTxt"/>
      </w:pPr>
      <w:r>
        <w:tab/>
        <w:t>The Chairs will continue to follow with interest the elaboration of the post-2015 development agenda as active partners in achieving sustainable development goals that respect human rights and, as emphasized in the 2010 statement by the Chairs on the occasion of the Millennium Summit, the realization of any development goals “should be an important step on the longer, and continuous, road towards the full and effective realization of all human rights for all.”</w:t>
      </w:r>
    </w:p>
    <w:p w:rsidR="00363614" w:rsidRPr="00643370" w:rsidRDefault="00363614" w:rsidP="00363614">
      <w:pPr>
        <w:pStyle w:val="SingleTxt"/>
        <w:spacing w:after="0" w:line="120" w:lineRule="exact"/>
        <w:rPr>
          <w:sz w:val="10"/>
        </w:rPr>
      </w:pPr>
    </w:p>
    <w:p w:rsidR="00363614" w:rsidRDefault="00363614" w:rsidP="00363614">
      <w:pPr>
        <w:pStyle w:val="SingleTxt"/>
        <w:jc w:val="right"/>
      </w:pPr>
      <w:r>
        <w:t>May 2013</w:t>
      </w:r>
    </w:p>
    <w:p w:rsidR="00363614" w:rsidRPr="008C0ACE" w:rsidRDefault="00363614" w:rsidP="00363614">
      <w:pPr>
        <w:pStyle w:val="SingleTxt"/>
        <w:jc w:val="right"/>
      </w:pPr>
      <w:r>
        <w:rPr>
          <w:noProof/>
          <w:w w:val="100"/>
          <w:lang w:val="en-US"/>
        </w:rPr>
        <w:pict>
          <v:line id="_x0000_s1028" style="position:absolute;left:0;text-align:left;z-index:3" from="210.2pt,24pt" to="282.2pt,24pt" strokeweight=".25pt"/>
        </w:pict>
      </w:r>
    </w:p>
    <w:sectPr w:rsidR="00363614" w:rsidRPr="008C0ACE" w:rsidSect="00363614">
      <w:footnotePr>
        <w:numFmt w:val="lowerLetter"/>
      </w:footnotePr>
      <w:type w:val="continuous"/>
      <w:pgSz w:w="12240" w:h="15840" w:code="1"/>
      <w:pgMar w:top="1742" w:right="1195" w:bottom="1901" w:left="1195" w:header="576" w:footer="1037" w:gutter="0"/>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12T17:52:00Z" w:initials="Start">
    <w:p w:rsidR="00AC2111" w:rsidRDefault="00AC21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NO&gt;&gt;N1343139E&lt;&lt;ODS JOB NO&gt;&gt;</w:t>
      </w:r>
    </w:p>
    <w:p w:rsidR="00AC2111" w:rsidRDefault="00AC2111">
      <w:pPr>
        <w:pStyle w:val="CommentText"/>
      </w:pPr>
      <w:r>
        <w:t>&lt;&lt;ODS DOC SYMBOL1&gt;&gt;A/68/334&lt;&lt;ODS DOC SYMBOL1&gt;&gt;</w:t>
      </w:r>
    </w:p>
    <w:p w:rsidR="00AC2111" w:rsidRDefault="00AC211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151" w:rsidRDefault="00764151">
      <w:r>
        <w:separator/>
      </w:r>
    </w:p>
  </w:endnote>
  <w:endnote w:type="continuationSeparator" w:id="0">
    <w:p w:rsidR="00764151" w:rsidRDefault="007641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C2111" w:rsidTr="002245FB">
      <w:tblPrEx>
        <w:tblCellMar>
          <w:top w:w="0" w:type="dxa"/>
          <w:bottom w:w="0" w:type="dxa"/>
        </w:tblCellMar>
      </w:tblPrEx>
      <w:tc>
        <w:tcPr>
          <w:tcW w:w="5033" w:type="dxa"/>
          <w:shd w:val="clear" w:color="auto" w:fill="auto"/>
        </w:tcPr>
        <w:p w:rsidR="00AC2111" w:rsidRPr="002245FB" w:rsidRDefault="00AC2111" w:rsidP="002245FB">
          <w:pPr>
            <w:pStyle w:val="Footer"/>
            <w:jc w:val="right"/>
            <w:rPr>
              <w:b w:val="0"/>
              <w:w w:val="103"/>
              <w:sz w:val="14"/>
            </w:rPr>
          </w:pPr>
          <w:fldSimple w:instr=" DOCVARIABLE &quot;FooterJN&quot; \* MERGEFORMAT ">
            <w:r>
              <w:rPr>
                <w:b w:val="0"/>
                <w:w w:val="103"/>
                <w:sz w:val="14"/>
              </w:rPr>
              <w:t>13-43139</w:t>
            </w:r>
          </w:fldSimple>
        </w:p>
      </w:tc>
      <w:tc>
        <w:tcPr>
          <w:tcW w:w="5033" w:type="dxa"/>
          <w:shd w:val="clear" w:color="auto" w:fill="auto"/>
        </w:tcPr>
        <w:p w:rsidR="00AC2111" w:rsidRPr="002245FB" w:rsidRDefault="00AC2111" w:rsidP="002245FB">
          <w:pPr>
            <w:pStyle w:val="Footer"/>
            <w:rPr>
              <w:w w:val="103"/>
            </w:rPr>
          </w:pPr>
          <w:r>
            <w:rPr>
              <w:w w:val="103"/>
            </w:rPr>
            <w:fldChar w:fldCharType="begin"/>
          </w:r>
          <w:r>
            <w:rPr>
              <w:w w:val="103"/>
            </w:rPr>
            <w:instrText xml:space="preserve"> PAGE  \* Arabic  \* MERGEFORMAT </w:instrText>
          </w:r>
          <w:r>
            <w:rPr>
              <w:w w:val="103"/>
            </w:rPr>
            <w:fldChar w:fldCharType="separate"/>
          </w:r>
          <w:r w:rsidR="000E7559">
            <w:rPr>
              <w:w w:val="103"/>
            </w:rPr>
            <w:t>2</w:t>
          </w:r>
          <w:r>
            <w:rPr>
              <w:w w:val="103"/>
            </w:rPr>
            <w:fldChar w:fldCharType="end"/>
          </w:r>
          <w:r>
            <w:rPr>
              <w:w w:val="103"/>
            </w:rPr>
            <w:t>/</w:t>
          </w:r>
          <w:fldSimple w:instr=" NUMPAGES  \* Arabic  \* MERGEFORMAT ">
            <w:r>
              <w:rPr>
                <w:w w:val="103"/>
              </w:rPr>
              <w:t>19</w:t>
            </w:r>
          </w:fldSimple>
        </w:p>
      </w:tc>
    </w:tr>
  </w:tbl>
  <w:p w:rsidR="00AC2111" w:rsidRPr="002245FB" w:rsidRDefault="00AC2111" w:rsidP="002245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C2111" w:rsidTr="002245FB">
      <w:tblPrEx>
        <w:tblCellMar>
          <w:top w:w="0" w:type="dxa"/>
          <w:bottom w:w="0" w:type="dxa"/>
        </w:tblCellMar>
      </w:tblPrEx>
      <w:tc>
        <w:tcPr>
          <w:tcW w:w="5033" w:type="dxa"/>
          <w:shd w:val="clear" w:color="auto" w:fill="auto"/>
        </w:tcPr>
        <w:p w:rsidR="00AC2111" w:rsidRPr="002245FB" w:rsidRDefault="00AC2111" w:rsidP="002245F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91EFD">
            <w:rPr>
              <w:w w:val="103"/>
            </w:rPr>
            <w:t>3</w:t>
          </w:r>
          <w:r>
            <w:rPr>
              <w:w w:val="103"/>
            </w:rPr>
            <w:fldChar w:fldCharType="end"/>
          </w:r>
          <w:r>
            <w:rPr>
              <w:w w:val="103"/>
            </w:rPr>
            <w:t>/</w:t>
          </w:r>
          <w:fldSimple w:instr=" NUMPAGES  \* Arabic  \* MERGEFORMAT ">
            <w:r>
              <w:rPr>
                <w:w w:val="103"/>
              </w:rPr>
              <w:t>19</w:t>
            </w:r>
          </w:fldSimple>
        </w:p>
      </w:tc>
      <w:tc>
        <w:tcPr>
          <w:tcW w:w="5033" w:type="dxa"/>
          <w:shd w:val="clear" w:color="auto" w:fill="auto"/>
        </w:tcPr>
        <w:p w:rsidR="00AC2111" w:rsidRPr="002245FB" w:rsidRDefault="00AC2111" w:rsidP="002245FB">
          <w:pPr>
            <w:pStyle w:val="Footer"/>
            <w:rPr>
              <w:b w:val="0"/>
              <w:w w:val="103"/>
              <w:sz w:val="14"/>
            </w:rPr>
          </w:pPr>
          <w:fldSimple w:instr=" DOCVARIABLE &quot;FooterJN&quot; \* MERGEFORMAT ">
            <w:r>
              <w:rPr>
                <w:b w:val="0"/>
                <w:w w:val="103"/>
                <w:sz w:val="14"/>
              </w:rPr>
              <w:t>13-43139</w:t>
            </w:r>
          </w:fldSimple>
        </w:p>
      </w:tc>
    </w:tr>
  </w:tbl>
  <w:p w:rsidR="00AC2111" w:rsidRPr="002245FB" w:rsidRDefault="00AC2111" w:rsidP="002245F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C2111" w:rsidTr="002245FB">
      <w:tblPrEx>
        <w:tblCellMar>
          <w:top w:w="0" w:type="dxa"/>
          <w:bottom w:w="0" w:type="dxa"/>
        </w:tblCellMar>
      </w:tblPrEx>
      <w:tc>
        <w:tcPr>
          <w:tcW w:w="5033" w:type="dxa"/>
        </w:tcPr>
        <w:p w:rsidR="00AC2111" w:rsidRDefault="00AC2111" w:rsidP="002245FB">
          <w:pPr>
            <w:pStyle w:val="Footer"/>
            <w:rPr>
              <w:b w:val="0"/>
              <w:sz w:val="20"/>
            </w:rPr>
          </w:pPr>
          <w:r>
            <w:rPr>
              <w:b w:val="0"/>
              <w:sz w:val="20"/>
            </w:rPr>
            <w:t>13-43139 (E)    130913</w:t>
          </w:r>
        </w:p>
        <w:p w:rsidR="00AC2111" w:rsidRPr="002245FB" w:rsidRDefault="00AC2111" w:rsidP="002245F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*1343139*</w:t>
          </w:r>
        </w:p>
      </w:tc>
      <w:tc>
        <w:tcPr>
          <w:tcW w:w="3686" w:type="dxa"/>
        </w:tcPr>
        <w:p w:rsidR="00AC2111" w:rsidRDefault="00AC2111" w:rsidP="002245FB">
          <w:pPr>
            <w:pStyle w:val="Footer"/>
            <w:jc w:val="right"/>
            <w:rPr>
              <w:b w:val="0"/>
              <w:sz w:val="20"/>
            </w:rPr>
          </w:pPr>
          <w:r w:rsidRPr="002245F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C2111" w:rsidRPr="002245FB" w:rsidRDefault="00AC2111" w:rsidP="002245F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151" w:rsidRPr="00363614" w:rsidRDefault="00764151" w:rsidP="00363614">
      <w:pPr>
        <w:pStyle w:val="Footer"/>
        <w:spacing w:after="80"/>
        <w:ind w:left="792"/>
        <w:rPr>
          <w:sz w:val="16"/>
        </w:rPr>
      </w:pPr>
      <w:r w:rsidRPr="00363614">
        <w:rPr>
          <w:sz w:val="16"/>
        </w:rPr>
        <w:t>__________________</w:t>
      </w:r>
    </w:p>
  </w:footnote>
  <w:footnote w:type="continuationSeparator" w:id="0">
    <w:p w:rsidR="00764151" w:rsidRPr="00363614" w:rsidRDefault="00764151" w:rsidP="00363614">
      <w:pPr>
        <w:pStyle w:val="Footer"/>
        <w:spacing w:after="80"/>
        <w:ind w:left="792"/>
        <w:rPr>
          <w:sz w:val="16"/>
        </w:rPr>
      </w:pPr>
      <w:r w:rsidRPr="00363614">
        <w:rPr>
          <w:sz w:val="16"/>
        </w:rPr>
        <w:t>__________________</w:t>
      </w:r>
    </w:p>
  </w:footnote>
  <w:footnote w:id="1">
    <w:p w:rsidR="00AC2111" w:rsidRPr="002B156A" w:rsidRDefault="00AC2111" w:rsidP="0036361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B156A">
        <w:t>Human Rights Committee</w:t>
      </w:r>
      <w:r>
        <w:t>;</w:t>
      </w:r>
      <w:r w:rsidRPr="002B156A">
        <w:t xml:space="preserve"> Committee on Economic, Social and Cultural Rights</w:t>
      </w:r>
      <w:r>
        <w:t>;</w:t>
      </w:r>
      <w:r w:rsidRPr="002B156A">
        <w:t xml:space="preserve"> Committee on the Elimination of Racial Discrimination</w:t>
      </w:r>
      <w:r>
        <w:t>;</w:t>
      </w:r>
      <w:r w:rsidRPr="002B156A">
        <w:t xml:space="preserve"> Committee on the Elimination of Discrimination </w:t>
      </w:r>
      <w:r>
        <w:t>a</w:t>
      </w:r>
      <w:r w:rsidRPr="002B156A">
        <w:t>gainst Women</w:t>
      </w:r>
      <w:r>
        <w:t>;</w:t>
      </w:r>
      <w:r w:rsidRPr="002B156A">
        <w:t xml:space="preserve"> Committee </w:t>
      </w:r>
      <w:r>
        <w:t>a</w:t>
      </w:r>
      <w:r w:rsidRPr="002B156A">
        <w:t>gainst Torture</w:t>
      </w:r>
      <w:r>
        <w:t>;</w:t>
      </w:r>
      <w:r w:rsidRPr="002B156A">
        <w:t xml:space="preserve"> Committee on the Rights of the Child</w:t>
      </w:r>
      <w:r>
        <w:t>;</w:t>
      </w:r>
      <w:r w:rsidRPr="002B156A">
        <w:t xml:space="preserve"> Committee on </w:t>
      </w:r>
      <w:r>
        <w:t>the Protection of the Rights of All Migrant Workers and Members of Their Families;</w:t>
      </w:r>
      <w:r w:rsidRPr="002B156A">
        <w:t xml:space="preserve"> Committee on the Rights of Persons with Disabilities</w:t>
      </w:r>
      <w:r>
        <w:t>;</w:t>
      </w:r>
      <w:r w:rsidRPr="002B156A">
        <w:t xml:space="preserve"> Sub</w:t>
      </w:r>
      <w:r>
        <w:t>c</w:t>
      </w:r>
      <w:r w:rsidRPr="002B156A">
        <w:t>ommittee on Prevention of Torture</w:t>
      </w:r>
      <w:r>
        <w:t>;</w:t>
      </w:r>
      <w:r w:rsidRPr="002B156A">
        <w:t xml:space="preserve"> and Committee on Enforced Disappearance.</w:t>
      </w:r>
    </w:p>
  </w:footnote>
  <w:footnote w:id="2">
    <w:p w:rsidR="00AC2111" w:rsidRPr="00273068" w:rsidRDefault="00AC2111" w:rsidP="0036361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73068">
        <w:t xml:space="preserve">See </w:t>
      </w:r>
      <w:r>
        <w:t>j</w:t>
      </w:r>
      <w:r w:rsidRPr="00273068">
        <w:t xml:space="preserve">oint </w:t>
      </w:r>
      <w:r>
        <w:t>s</w:t>
      </w:r>
      <w:r w:rsidRPr="00273068">
        <w:t xml:space="preserve">tatement of the Chairs of </w:t>
      </w:r>
      <w:r>
        <w:t>the United Nations t</w:t>
      </w:r>
      <w:r w:rsidRPr="00273068">
        <w:t xml:space="preserve">reaty </w:t>
      </w:r>
      <w:r>
        <w:t>b</w:t>
      </w:r>
      <w:r w:rsidRPr="00273068">
        <w:t xml:space="preserve">odies: </w:t>
      </w:r>
      <w:r>
        <w:t>twenty-fifth</w:t>
      </w:r>
      <w:r w:rsidRPr="00273068">
        <w:t xml:space="preserve"> anniversary of the Declaration on the Right to Development, July 2011.</w:t>
      </w:r>
      <w:r>
        <w:t xml:space="preserve"> Available from www2.ohchr.org.</w:t>
      </w:r>
    </w:p>
  </w:footnote>
  <w:footnote w:id="3">
    <w:p w:rsidR="00AC2111" w:rsidRPr="00273068" w:rsidRDefault="00AC2111" w:rsidP="0036361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73068">
        <w:t xml:space="preserve">Statement on the importance and relevance of the </w:t>
      </w:r>
      <w:r>
        <w:t>r</w:t>
      </w:r>
      <w:r w:rsidRPr="00273068">
        <w:t xml:space="preserve">ight to </w:t>
      </w:r>
      <w:r>
        <w:t>d</w:t>
      </w:r>
      <w:r w:rsidRPr="00273068">
        <w:t>evelopment</w:t>
      </w:r>
      <w:r>
        <w:t>, adopted on the occasion</w:t>
      </w:r>
      <w:r w:rsidRPr="00273068">
        <w:t xml:space="preserve"> of the </w:t>
      </w:r>
      <w:r>
        <w:t>twenty-fif</w:t>
      </w:r>
      <w:r w:rsidRPr="00273068">
        <w:t xml:space="preserve">th anniversary of the Declaration on the Right to Development, adopted by </w:t>
      </w:r>
      <w:r>
        <w:t xml:space="preserve">the </w:t>
      </w:r>
      <w:r w:rsidRPr="00273068">
        <w:t>Committee on Economic, Social and Cultural Rights</w:t>
      </w:r>
      <w:r>
        <w:t xml:space="preserve"> at its forty-sixty session</w:t>
      </w:r>
      <w:r w:rsidRPr="00273068">
        <w:t xml:space="preserve">, </w:t>
      </w:r>
      <w:r>
        <w:t>(</w:t>
      </w:r>
      <w:r w:rsidRPr="00273068">
        <w:t>E/C.12/2011/2</w:t>
      </w:r>
      <w:r>
        <w:t>), para. 6</w:t>
      </w:r>
      <w:r w:rsidRPr="0027306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C2111" w:rsidTr="002245FB">
      <w:tblPrEx>
        <w:tblCellMar>
          <w:top w:w="0" w:type="dxa"/>
          <w:bottom w:w="0" w:type="dxa"/>
        </w:tblCellMar>
      </w:tblPrEx>
      <w:trPr>
        <w:trHeight w:hRule="exact" w:val="864"/>
      </w:trPr>
      <w:tc>
        <w:tcPr>
          <w:tcW w:w="4838" w:type="dxa"/>
          <w:shd w:val="clear" w:color="auto" w:fill="auto"/>
          <w:vAlign w:val="bottom"/>
        </w:tcPr>
        <w:p w:rsidR="00AC2111" w:rsidRPr="002245FB" w:rsidRDefault="00AC2111" w:rsidP="002245FB">
          <w:pPr>
            <w:pStyle w:val="Header"/>
            <w:spacing w:after="80"/>
            <w:rPr>
              <w:b/>
            </w:rPr>
          </w:pPr>
          <w:fldSimple w:instr=" DOCVARIABLE &quot;sss1&quot; \* MERGEFORMAT ">
            <w:r>
              <w:rPr>
                <w:b/>
              </w:rPr>
              <w:t>A/68/334</w:t>
            </w:r>
          </w:fldSimple>
        </w:p>
      </w:tc>
      <w:tc>
        <w:tcPr>
          <w:tcW w:w="5033" w:type="dxa"/>
          <w:shd w:val="clear" w:color="auto" w:fill="auto"/>
          <w:vAlign w:val="bottom"/>
        </w:tcPr>
        <w:p w:rsidR="00AC2111" w:rsidRDefault="00AC2111" w:rsidP="002245FB">
          <w:pPr>
            <w:pStyle w:val="Header"/>
          </w:pPr>
        </w:p>
      </w:tc>
    </w:tr>
  </w:tbl>
  <w:p w:rsidR="00AC2111" w:rsidRPr="002245FB" w:rsidRDefault="00AC2111" w:rsidP="002245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C2111" w:rsidTr="002245FB">
      <w:tblPrEx>
        <w:tblCellMar>
          <w:top w:w="0" w:type="dxa"/>
          <w:bottom w:w="0" w:type="dxa"/>
        </w:tblCellMar>
      </w:tblPrEx>
      <w:trPr>
        <w:trHeight w:hRule="exact" w:val="864"/>
      </w:trPr>
      <w:tc>
        <w:tcPr>
          <w:tcW w:w="4838" w:type="dxa"/>
          <w:shd w:val="clear" w:color="auto" w:fill="auto"/>
          <w:vAlign w:val="bottom"/>
        </w:tcPr>
        <w:p w:rsidR="00AC2111" w:rsidRDefault="00AC2111" w:rsidP="002245FB">
          <w:pPr>
            <w:pStyle w:val="Header"/>
          </w:pPr>
        </w:p>
      </w:tc>
      <w:tc>
        <w:tcPr>
          <w:tcW w:w="5033" w:type="dxa"/>
          <w:shd w:val="clear" w:color="auto" w:fill="auto"/>
          <w:vAlign w:val="bottom"/>
        </w:tcPr>
        <w:p w:rsidR="00AC2111" w:rsidRPr="002245FB" w:rsidRDefault="00AC2111" w:rsidP="002245FB">
          <w:pPr>
            <w:pStyle w:val="Header"/>
            <w:spacing w:after="80"/>
            <w:jc w:val="right"/>
            <w:rPr>
              <w:b/>
            </w:rPr>
          </w:pPr>
          <w:fldSimple w:instr=" DOCVARIABLE &quot;sss1&quot; \* MERGEFORMAT ">
            <w:r>
              <w:rPr>
                <w:b/>
              </w:rPr>
              <w:t>A/68/334</w:t>
            </w:r>
          </w:fldSimple>
        </w:p>
      </w:tc>
    </w:tr>
  </w:tbl>
  <w:p w:rsidR="00AC2111" w:rsidRPr="002245FB" w:rsidRDefault="00AC2111" w:rsidP="002245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C2111" w:rsidTr="002245F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C2111" w:rsidRDefault="00AC2111" w:rsidP="002245FB">
          <w:pPr>
            <w:pStyle w:val="Header"/>
            <w:spacing w:after="120"/>
          </w:pPr>
        </w:p>
      </w:tc>
      <w:tc>
        <w:tcPr>
          <w:tcW w:w="1872" w:type="dxa"/>
          <w:tcBorders>
            <w:bottom w:val="single" w:sz="4" w:space="0" w:color="auto"/>
          </w:tcBorders>
          <w:shd w:val="clear" w:color="auto" w:fill="auto"/>
          <w:vAlign w:val="bottom"/>
        </w:tcPr>
        <w:p w:rsidR="00AC2111" w:rsidRPr="002245FB" w:rsidRDefault="00AC2111" w:rsidP="002245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C2111" w:rsidRDefault="00AC2111" w:rsidP="002245FB">
          <w:pPr>
            <w:pStyle w:val="Header"/>
            <w:spacing w:after="120"/>
          </w:pPr>
        </w:p>
      </w:tc>
      <w:tc>
        <w:tcPr>
          <w:tcW w:w="6523" w:type="dxa"/>
          <w:gridSpan w:val="4"/>
          <w:tcBorders>
            <w:bottom w:val="single" w:sz="4" w:space="0" w:color="auto"/>
          </w:tcBorders>
          <w:shd w:val="clear" w:color="auto" w:fill="auto"/>
          <w:vAlign w:val="bottom"/>
        </w:tcPr>
        <w:p w:rsidR="00AC2111" w:rsidRPr="002245FB" w:rsidRDefault="00AC2111" w:rsidP="002245FB">
          <w:pPr>
            <w:spacing w:after="80" w:line="240" w:lineRule="auto"/>
            <w:jc w:val="right"/>
            <w:rPr>
              <w:position w:val="-4"/>
            </w:rPr>
          </w:pPr>
          <w:r>
            <w:rPr>
              <w:position w:val="-4"/>
              <w:sz w:val="40"/>
            </w:rPr>
            <w:t>A</w:t>
          </w:r>
          <w:r>
            <w:rPr>
              <w:position w:val="-4"/>
            </w:rPr>
            <w:t>/68/334</w:t>
          </w:r>
        </w:p>
      </w:tc>
    </w:tr>
    <w:tr w:rsidR="00AC2111" w:rsidRPr="002245FB" w:rsidTr="002245F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C2111" w:rsidRDefault="00AC2111" w:rsidP="002245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2111" w:rsidRPr="002245FB" w:rsidRDefault="00AC2111" w:rsidP="002245FB">
          <w:pPr>
            <w:pStyle w:val="Header"/>
            <w:spacing w:before="109"/>
          </w:pPr>
        </w:p>
      </w:tc>
      <w:tc>
        <w:tcPr>
          <w:tcW w:w="5227" w:type="dxa"/>
          <w:gridSpan w:val="3"/>
          <w:tcBorders>
            <w:top w:val="single" w:sz="4" w:space="0" w:color="auto"/>
            <w:bottom w:val="single" w:sz="12" w:space="0" w:color="auto"/>
          </w:tcBorders>
          <w:shd w:val="clear" w:color="auto" w:fill="auto"/>
        </w:tcPr>
        <w:p w:rsidR="00AC2111" w:rsidRPr="002245FB" w:rsidRDefault="00AC2111" w:rsidP="002245FB">
          <w:pPr>
            <w:pStyle w:val="XLarge"/>
            <w:spacing w:before="109"/>
          </w:pPr>
          <w:r>
            <w:t>General Assembly</w:t>
          </w:r>
        </w:p>
      </w:tc>
      <w:tc>
        <w:tcPr>
          <w:tcW w:w="245" w:type="dxa"/>
          <w:tcBorders>
            <w:top w:val="single" w:sz="4" w:space="0" w:color="auto"/>
            <w:bottom w:val="single" w:sz="12" w:space="0" w:color="auto"/>
          </w:tcBorders>
          <w:shd w:val="clear" w:color="auto" w:fill="auto"/>
        </w:tcPr>
        <w:p w:rsidR="00AC2111" w:rsidRPr="002245FB" w:rsidRDefault="00AC2111" w:rsidP="002245FB">
          <w:pPr>
            <w:pStyle w:val="Header"/>
            <w:spacing w:before="109"/>
          </w:pPr>
        </w:p>
      </w:tc>
      <w:tc>
        <w:tcPr>
          <w:tcW w:w="3140" w:type="dxa"/>
          <w:tcBorders>
            <w:top w:val="single" w:sz="4" w:space="0" w:color="auto"/>
            <w:bottom w:val="single" w:sz="12" w:space="0" w:color="auto"/>
          </w:tcBorders>
          <w:shd w:val="clear" w:color="auto" w:fill="auto"/>
        </w:tcPr>
        <w:p w:rsidR="00AC2111" w:rsidRDefault="00AC2111" w:rsidP="002245FB">
          <w:pPr>
            <w:spacing w:before="240"/>
          </w:pPr>
          <w:r>
            <w:t>Distr.: General</w:t>
          </w:r>
        </w:p>
        <w:p w:rsidR="00AC2111" w:rsidRDefault="00AC2111" w:rsidP="002245FB">
          <w:r>
            <w:t>19 August 2013</w:t>
          </w:r>
        </w:p>
        <w:p w:rsidR="00AC2111" w:rsidRDefault="00AC2111" w:rsidP="002245FB"/>
        <w:p w:rsidR="00AC2111" w:rsidRPr="002245FB" w:rsidRDefault="00AC2111" w:rsidP="002245FB">
          <w:r>
            <w:t>Original: English</w:t>
          </w:r>
        </w:p>
      </w:tc>
    </w:tr>
  </w:tbl>
  <w:p w:rsidR="00AC2111" w:rsidRPr="002245FB" w:rsidRDefault="00AC2111" w:rsidP="002245F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D566B"/>
    <w:multiLevelType w:val="multilevel"/>
    <w:tmpl w:val="4594AE9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3139*"/>
    <w:docVar w:name="CreationDt" w:val="12/09/2013 5:52: PM"/>
    <w:docVar w:name="DocCategory" w:val="Doc"/>
    <w:docVar w:name="DocType" w:val="Final"/>
    <w:docVar w:name="FooterJN" w:val="13-43139"/>
    <w:docVar w:name="jobn" w:val="13-43139 (E)"/>
    <w:docVar w:name="jobnDT" w:val="13-43139 (E)   120913"/>
    <w:docVar w:name="jobnDTDT" w:val="13-43139 (E)   120913   120913"/>
    <w:docVar w:name="JobNo" w:val="1343139E"/>
    <w:docVar w:name="OandT" w:val=" "/>
    <w:docVar w:name="sss1" w:val="A/68/334"/>
    <w:docVar w:name="sss2" w:val="-"/>
    <w:docVar w:name="Symbol1" w:val="A/68/334"/>
    <w:docVar w:name="Symbol2" w:val="-"/>
  </w:docVars>
  <w:rsids>
    <w:rsidRoot w:val="00F416CE"/>
    <w:rsid w:val="000243C1"/>
    <w:rsid w:val="00060FB4"/>
    <w:rsid w:val="00062E0F"/>
    <w:rsid w:val="00073B00"/>
    <w:rsid w:val="00081E0B"/>
    <w:rsid w:val="000930EA"/>
    <w:rsid w:val="000E7174"/>
    <w:rsid w:val="000E7559"/>
    <w:rsid w:val="00107D5F"/>
    <w:rsid w:val="001139A0"/>
    <w:rsid w:val="0011565A"/>
    <w:rsid w:val="001208CF"/>
    <w:rsid w:val="00144CA8"/>
    <w:rsid w:val="001653FB"/>
    <w:rsid w:val="001745C0"/>
    <w:rsid w:val="00182B15"/>
    <w:rsid w:val="00184193"/>
    <w:rsid w:val="001917A6"/>
    <w:rsid w:val="0019245C"/>
    <w:rsid w:val="00192845"/>
    <w:rsid w:val="001C266D"/>
    <w:rsid w:val="001D2424"/>
    <w:rsid w:val="001D7216"/>
    <w:rsid w:val="001E077C"/>
    <w:rsid w:val="001E0CD7"/>
    <w:rsid w:val="001E205C"/>
    <w:rsid w:val="001F5FE7"/>
    <w:rsid w:val="002141E3"/>
    <w:rsid w:val="002245FB"/>
    <w:rsid w:val="00232F19"/>
    <w:rsid w:val="00246CD2"/>
    <w:rsid w:val="002508E9"/>
    <w:rsid w:val="00274B66"/>
    <w:rsid w:val="00275106"/>
    <w:rsid w:val="002D4228"/>
    <w:rsid w:val="00303242"/>
    <w:rsid w:val="00312A62"/>
    <w:rsid w:val="00314F83"/>
    <w:rsid w:val="00326A29"/>
    <w:rsid w:val="003466DC"/>
    <w:rsid w:val="00347DD3"/>
    <w:rsid w:val="00363614"/>
    <w:rsid w:val="003769DF"/>
    <w:rsid w:val="003928D1"/>
    <w:rsid w:val="003B0DE7"/>
    <w:rsid w:val="003E0D98"/>
    <w:rsid w:val="00401E19"/>
    <w:rsid w:val="004065CA"/>
    <w:rsid w:val="0041500E"/>
    <w:rsid w:val="00441580"/>
    <w:rsid w:val="00441EF4"/>
    <w:rsid w:val="004423CC"/>
    <w:rsid w:val="0045397A"/>
    <w:rsid w:val="004774B3"/>
    <w:rsid w:val="00477F9F"/>
    <w:rsid w:val="004831A5"/>
    <w:rsid w:val="00497BF5"/>
    <w:rsid w:val="004A06AE"/>
    <w:rsid w:val="004C7B2E"/>
    <w:rsid w:val="004C7E05"/>
    <w:rsid w:val="004D0839"/>
    <w:rsid w:val="004D786C"/>
    <w:rsid w:val="004D7A08"/>
    <w:rsid w:val="004D7A30"/>
    <w:rsid w:val="004F269C"/>
    <w:rsid w:val="004F4AA8"/>
    <w:rsid w:val="00502499"/>
    <w:rsid w:val="00514854"/>
    <w:rsid w:val="005234C6"/>
    <w:rsid w:val="00532A6D"/>
    <w:rsid w:val="00534D74"/>
    <w:rsid w:val="00542A9C"/>
    <w:rsid w:val="00546F5D"/>
    <w:rsid w:val="0055753C"/>
    <w:rsid w:val="00566432"/>
    <w:rsid w:val="005729BA"/>
    <w:rsid w:val="00573BF2"/>
    <w:rsid w:val="005743F0"/>
    <w:rsid w:val="00583963"/>
    <w:rsid w:val="005871A5"/>
    <w:rsid w:val="00594A53"/>
    <w:rsid w:val="005A3D90"/>
    <w:rsid w:val="005B426E"/>
    <w:rsid w:val="005B500B"/>
    <w:rsid w:val="005C2441"/>
    <w:rsid w:val="005D3D41"/>
    <w:rsid w:val="005F6860"/>
    <w:rsid w:val="00600132"/>
    <w:rsid w:val="00601E37"/>
    <w:rsid w:val="0060256A"/>
    <w:rsid w:val="006035F9"/>
    <w:rsid w:val="0060441D"/>
    <w:rsid w:val="00620466"/>
    <w:rsid w:val="00624765"/>
    <w:rsid w:val="0062527E"/>
    <w:rsid w:val="006371C1"/>
    <w:rsid w:val="00653B25"/>
    <w:rsid w:val="00656459"/>
    <w:rsid w:val="0067014A"/>
    <w:rsid w:val="00673A86"/>
    <w:rsid w:val="00691EFD"/>
    <w:rsid w:val="00696C4F"/>
    <w:rsid w:val="006A012D"/>
    <w:rsid w:val="006A33A3"/>
    <w:rsid w:val="006B6EDE"/>
    <w:rsid w:val="006D766E"/>
    <w:rsid w:val="006F40EA"/>
    <w:rsid w:val="00722588"/>
    <w:rsid w:val="00724074"/>
    <w:rsid w:val="007417DD"/>
    <w:rsid w:val="007519E5"/>
    <w:rsid w:val="007608D8"/>
    <w:rsid w:val="00764151"/>
    <w:rsid w:val="007669B0"/>
    <w:rsid w:val="007752E3"/>
    <w:rsid w:val="00776D10"/>
    <w:rsid w:val="00781416"/>
    <w:rsid w:val="00783756"/>
    <w:rsid w:val="0079386A"/>
    <w:rsid w:val="00795305"/>
    <w:rsid w:val="007A5254"/>
    <w:rsid w:val="007B3AC6"/>
    <w:rsid w:val="007B6885"/>
    <w:rsid w:val="007D586B"/>
    <w:rsid w:val="007E5210"/>
    <w:rsid w:val="007F23CE"/>
    <w:rsid w:val="007F3C8D"/>
    <w:rsid w:val="007F723E"/>
    <w:rsid w:val="008250E8"/>
    <w:rsid w:val="0082736A"/>
    <w:rsid w:val="00837F18"/>
    <w:rsid w:val="008441F3"/>
    <w:rsid w:val="0084786F"/>
    <w:rsid w:val="00852178"/>
    <w:rsid w:val="0085451D"/>
    <w:rsid w:val="008640BE"/>
    <w:rsid w:val="0086531E"/>
    <w:rsid w:val="00885F41"/>
    <w:rsid w:val="008A7B66"/>
    <w:rsid w:val="008B026E"/>
    <w:rsid w:val="008C4CE3"/>
    <w:rsid w:val="008D2798"/>
    <w:rsid w:val="008F35BC"/>
    <w:rsid w:val="00902F4F"/>
    <w:rsid w:val="00941EDA"/>
    <w:rsid w:val="009432EF"/>
    <w:rsid w:val="00956D53"/>
    <w:rsid w:val="00961D71"/>
    <w:rsid w:val="00961E03"/>
    <w:rsid w:val="00967134"/>
    <w:rsid w:val="0098644F"/>
    <w:rsid w:val="00993605"/>
    <w:rsid w:val="00993D85"/>
    <w:rsid w:val="009946BE"/>
    <w:rsid w:val="009C219D"/>
    <w:rsid w:val="009C4614"/>
    <w:rsid w:val="009D2690"/>
    <w:rsid w:val="009E6C4F"/>
    <w:rsid w:val="009F1279"/>
    <w:rsid w:val="009F68B5"/>
    <w:rsid w:val="00A12857"/>
    <w:rsid w:val="00A173D0"/>
    <w:rsid w:val="00A251C7"/>
    <w:rsid w:val="00A26996"/>
    <w:rsid w:val="00A44605"/>
    <w:rsid w:val="00A44A1E"/>
    <w:rsid w:val="00A50ED5"/>
    <w:rsid w:val="00A56356"/>
    <w:rsid w:val="00A602FF"/>
    <w:rsid w:val="00A7696A"/>
    <w:rsid w:val="00A83C88"/>
    <w:rsid w:val="00AA4BEA"/>
    <w:rsid w:val="00AA5215"/>
    <w:rsid w:val="00AB5BE3"/>
    <w:rsid w:val="00AC2111"/>
    <w:rsid w:val="00AD4C00"/>
    <w:rsid w:val="00AE6470"/>
    <w:rsid w:val="00AF0E6C"/>
    <w:rsid w:val="00AF6C82"/>
    <w:rsid w:val="00B046B3"/>
    <w:rsid w:val="00B10B5D"/>
    <w:rsid w:val="00B150ED"/>
    <w:rsid w:val="00B1530D"/>
    <w:rsid w:val="00B27C06"/>
    <w:rsid w:val="00B35A85"/>
    <w:rsid w:val="00B5400C"/>
    <w:rsid w:val="00B57552"/>
    <w:rsid w:val="00B73245"/>
    <w:rsid w:val="00B81452"/>
    <w:rsid w:val="00BA2349"/>
    <w:rsid w:val="00BD0908"/>
    <w:rsid w:val="00BD0DCE"/>
    <w:rsid w:val="00BD2782"/>
    <w:rsid w:val="00BD571C"/>
    <w:rsid w:val="00BF7DFA"/>
    <w:rsid w:val="00C2494E"/>
    <w:rsid w:val="00C307BD"/>
    <w:rsid w:val="00C35C12"/>
    <w:rsid w:val="00C4446E"/>
    <w:rsid w:val="00C532A1"/>
    <w:rsid w:val="00C75E00"/>
    <w:rsid w:val="00CC1C6D"/>
    <w:rsid w:val="00CC5B87"/>
    <w:rsid w:val="00CD362B"/>
    <w:rsid w:val="00CE25EC"/>
    <w:rsid w:val="00D0450E"/>
    <w:rsid w:val="00D1148E"/>
    <w:rsid w:val="00D14530"/>
    <w:rsid w:val="00D151CD"/>
    <w:rsid w:val="00D379B4"/>
    <w:rsid w:val="00D43BD4"/>
    <w:rsid w:val="00DA2FC4"/>
    <w:rsid w:val="00E05A3F"/>
    <w:rsid w:val="00E05FB1"/>
    <w:rsid w:val="00E1680F"/>
    <w:rsid w:val="00E20014"/>
    <w:rsid w:val="00E2700E"/>
    <w:rsid w:val="00E35AF0"/>
    <w:rsid w:val="00E5289B"/>
    <w:rsid w:val="00E64F8A"/>
    <w:rsid w:val="00E67750"/>
    <w:rsid w:val="00E677E7"/>
    <w:rsid w:val="00E763F4"/>
    <w:rsid w:val="00E76523"/>
    <w:rsid w:val="00E836AF"/>
    <w:rsid w:val="00E94566"/>
    <w:rsid w:val="00EA63A7"/>
    <w:rsid w:val="00EF478C"/>
    <w:rsid w:val="00F33D48"/>
    <w:rsid w:val="00F416CE"/>
    <w:rsid w:val="00F42C9F"/>
    <w:rsid w:val="00F700C1"/>
    <w:rsid w:val="00F8507F"/>
    <w:rsid w:val="00F90544"/>
    <w:rsid w:val="00F9421B"/>
    <w:rsid w:val="00F95A0F"/>
    <w:rsid w:val="00FA02D8"/>
    <w:rsid w:val="00FC18A6"/>
    <w:rsid w:val="00FC3370"/>
    <w:rsid w:val="00FC3C0B"/>
    <w:rsid w:val="00FC43F4"/>
    <w:rsid w:val="00FD4657"/>
    <w:rsid w:val="00FE199E"/>
    <w:rsid w:val="00FE4179"/>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ountry-region"/>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2245FB"/>
  </w:style>
  <w:style w:type="paragraph" w:styleId="CommentSubject">
    <w:name w:val="annotation subject"/>
    <w:basedOn w:val="CommentText"/>
    <w:next w:val="CommentText"/>
    <w:semiHidden/>
    <w:rsid w:val="002245FB"/>
    <w:rPr>
      <w:b/>
      <w:bCs/>
    </w:rPr>
  </w:style>
  <w:style w:type="character" w:styleId="Hyperlink">
    <w:name w:val="Hyperlink"/>
    <w:basedOn w:val="DefaultParagraphFont"/>
    <w:rsid w:val="004423CC"/>
    <w:rPr>
      <w:color w:val="0000FF"/>
      <w:u w:val="none"/>
    </w:rPr>
  </w:style>
  <w:style w:type="character" w:styleId="FollowedHyperlink">
    <w:name w:val="FollowedHyperlink"/>
    <w:basedOn w:val="DefaultParagraphFont"/>
    <w:rsid w:val="004423C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A/RES/49/178" TargetMode="External"/><Relationship Id="rId26" Type="http://schemas.openxmlformats.org/officeDocument/2006/relationships/hyperlink" Target="http://undocs.org/A/67/222" TargetMode="External"/><Relationship Id="rId3" Type="http://schemas.openxmlformats.org/officeDocument/2006/relationships/settings" Target="settings.xml"/><Relationship Id="rId21" Type="http://schemas.openxmlformats.org/officeDocument/2006/relationships/hyperlink" Target="http://undocs.org/A/67/22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A/RES/57/202" TargetMode="External"/><Relationship Id="rId25" Type="http://schemas.openxmlformats.org/officeDocument/2006/relationships/hyperlink" Target="HRI/MC/2013/4" TargetMode="External"/><Relationship Id="rId2" Type="http://schemas.openxmlformats.org/officeDocument/2006/relationships/styles" Target="styles.xml"/><Relationship Id="rId16" Type="http://schemas.openxmlformats.org/officeDocument/2006/relationships/hyperlink" Target="http://undocs.org/A/RES/57/202" TargetMode="External"/><Relationship Id="rId20" Type="http://schemas.openxmlformats.org/officeDocument/2006/relationships/hyperlink" Target="http://undocs.org/HRI/MC/2013/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HRI/MC/2013/3" TargetMode="External"/><Relationship Id="rId5" Type="http://schemas.openxmlformats.org/officeDocument/2006/relationships/footnotes" Target="footnotes.xml"/><Relationship Id="rId15" Type="http://schemas.openxmlformats.org/officeDocument/2006/relationships/hyperlink" Target="http://undocs.org/A/68/150" TargetMode="External"/><Relationship Id="rId23" Type="http://schemas.openxmlformats.org/officeDocument/2006/relationships/hyperlink" Target="http://undocs.org/HRI/MC/2013/2"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A/RES/49/17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A/66/860" TargetMode="External"/><Relationship Id="rId27" Type="http://schemas.openxmlformats.org/officeDocument/2006/relationships/hyperlink" Target="http://undocs.org/HRI/MC/2013/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8454</Words>
  <Characters>48189</Characters>
  <Application>Microsoft Office Outlook</Application>
  <DocSecurity>4</DocSecurity>
  <Lines>401</Lines>
  <Paragraphs>113</Paragraphs>
  <ScaleCrop>false</ScaleCrop>
  <HeadingPairs>
    <vt:vector size="2" baseType="variant">
      <vt:variant>
        <vt:lpstr>Title</vt:lpstr>
      </vt:variant>
      <vt:variant>
        <vt:i4>1</vt:i4>
      </vt:variant>
    </vt:vector>
  </HeadingPairs>
  <TitlesOfParts>
    <vt:vector size="1" baseType="lpstr">
      <vt:lpstr>Etpu</vt:lpstr>
    </vt:vector>
  </TitlesOfParts>
  <Company>UNHQ</Company>
  <LinksUpToDate>false</LinksUpToDate>
  <CharactersWithSpaces>56530</CharactersWithSpaces>
  <SharedDoc>false</SharedDoc>
  <HLinks>
    <vt:vector size="78" baseType="variant">
      <vt:variant>
        <vt:i4>3670067</vt:i4>
      </vt:variant>
      <vt:variant>
        <vt:i4>36</vt:i4>
      </vt:variant>
      <vt:variant>
        <vt:i4>0</vt:i4>
      </vt:variant>
      <vt:variant>
        <vt:i4>5</vt:i4>
      </vt:variant>
      <vt:variant>
        <vt:lpwstr>http://undocs.org/HRI/MC/2013/4</vt:lpwstr>
      </vt:variant>
      <vt:variant>
        <vt:lpwstr/>
      </vt:variant>
      <vt:variant>
        <vt:i4>3276857</vt:i4>
      </vt:variant>
      <vt:variant>
        <vt:i4>33</vt:i4>
      </vt:variant>
      <vt:variant>
        <vt:i4>0</vt:i4>
      </vt:variant>
      <vt:variant>
        <vt:i4>5</vt:i4>
      </vt:variant>
      <vt:variant>
        <vt:lpwstr>http://undocs.org/A/67/222</vt:lpwstr>
      </vt:variant>
      <vt:variant>
        <vt:lpwstr/>
      </vt:variant>
      <vt:variant>
        <vt:i4>1179712</vt:i4>
      </vt:variant>
      <vt:variant>
        <vt:i4>30</vt:i4>
      </vt:variant>
      <vt:variant>
        <vt:i4>0</vt:i4>
      </vt:variant>
      <vt:variant>
        <vt:i4>5</vt:i4>
      </vt:variant>
      <vt:variant>
        <vt:lpwstr>HRI/MC/2013/4</vt:lpwstr>
      </vt:variant>
      <vt:variant>
        <vt:lpwstr/>
      </vt:variant>
      <vt:variant>
        <vt:i4>3670067</vt:i4>
      </vt:variant>
      <vt:variant>
        <vt:i4>27</vt:i4>
      </vt:variant>
      <vt:variant>
        <vt:i4>0</vt:i4>
      </vt:variant>
      <vt:variant>
        <vt:i4>5</vt:i4>
      </vt:variant>
      <vt:variant>
        <vt:lpwstr>http://undocs.org/HRI/MC/2013/3</vt:lpwstr>
      </vt:variant>
      <vt:variant>
        <vt:lpwstr/>
      </vt:variant>
      <vt:variant>
        <vt:i4>3670067</vt:i4>
      </vt:variant>
      <vt:variant>
        <vt:i4>24</vt:i4>
      </vt:variant>
      <vt:variant>
        <vt:i4>0</vt:i4>
      </vt:variant>
      <vt:variant>
        <vt:i4>5</vt:i4>
      </vt:variant>
      <vt:variant>
        <vt:lpwstr>http://undocs.org/HRI/MC/2013/2</vt:lpwstr>
      </vt:variant>
      <vt:variant>
        <vt:lpwstr/>
      </vt:variant>
      <vt:variant>
        <vt:i4>3866685</vt:i4>
      </vt:variant>
      <vt:variant>
        <vt:i4>21</vt:i4>
      </vt:variant>
      <vt:variant>
        <vt:i4>0</vt:i4>
      </vt:variant>
      <vt:variant>
        <vt:i4>5</vt:i4>
      </vt:variant>
      <vt:variant>
        <vt:lpwstr>http://undocs.org/A/66/860</vt:lpwstr>
      </vt:variant>
      <vt:variant>
        <vt:lpwstr/>
      </vt:variant>
      <vt:variant>
        <vt:i4>3276857</vt:i4>
      </vt:variant>
      <vt:variant>
        <vt:i4>18</vt:i4>
      </vt:variant>
      <vt:variant>
        <vt:i4>0</vt:i4>
      </vt:variant>
      <vt:variant>
        <vt:i4>5</vt:i4>
      </vt:variant>
      <vt:variant>
        <vt:lpwstr>http://undocs.org/A/67/222</vt:lpwstr>
      </vt:variant>
      <vt:variant>
        <vt:lpwstr/>
      </vt:variant>
      <vt:variant>
        <vt:i4>3670067</vt:i4>
      </vt:variant>
      <vt:variant>
        <vt:i4>15</vt:i4>
      </vt:variant>
      <vt:variant>
        <vt:i4>0</vt:i4>
      </vt:variant>
      <vt:variant>
        <vt:i4>5</vt:i4>
      </vt:variant>
      <vt:variant>
        <vt:lpwstr>http://undocs.org/HRI/MC/2013/1</vt:lpwstr>
      </vt:variant>
      <vt:variant>
        <vt:lpwstr/>
      </vt:variant>
      <vt:variant>
        <vt:i4>8323135</vt:i4>
      </vt:variant>
      <vt:variant>
        <vt:i4>12</vt:i4>
      </vt:variant>
      <vt:variant>
        <vt:i4>0</vt:i4>
      </vt:variant>
      <vt:variant>
        <vt:i4>5</vt:i4>
      </vt:variant>
      <vt:variant>
        <vt:lpwstr>http://undocs.org/A/RES/49/178</vt:lpwstr>
      </vt:variant>
      <vt:variant>
        <vt:lpwstr/>
      </vt:variant>
      <vt:variant>
        <vt:i4>8323135</vt:i4>
      </vt:variant>
      <vt:variant>
        <vt:i4>9</vt:i4>
      </vt:variant>
      <vt:variant>
        <vt:i4>0</vt:i4>
      </vt:variant>
      <vt:variant>
        <vt:i4>5</vt:i4>
      </vt:variant>
      <vt:variant>
        <vt:lpwstr>http://undocs.org/A/RES/49/178</vt:lpwstr>
      </vt:variant>
      <vt:variant>
        <vt:lpwstr/>
      </vt:variant>
      <vt:variant>
        <vt:i4>7864377</vt:i4>
      </vt:variant>
      <vt:variant>
        <vt:i4>6</vt:i4>
      </vt:variant>
      <vt:variant>
        <vt:i4>0</vt:i4>
      </vt:variant>
      <vt:variant>
        <vt:i4>5</vt:i4>
      </vt:variant>
      <vt:variant>
        <vt:lpwstr>http://undocs.org/A/RES/57/202</vt:lpwstr>
      </vt:variant>
      <vt:variant>
        <vt:lpwstr/>
      </vt:variant>
      <vt:variant>
        <vt:i4>7864377</vt:i4>
      </vt:variant>
      <vt:variant>
        <vt:i4>3</vt:i4>
      </vt:variant>
      <vt:variant>
        <vt:i4>0</vt:i4>
      </vt:variant>
      <vt:variant>
        <vt:i4>5</vt:i4>
      </vt:variant>
      <vt:variant>
        <vt:lpwstr>http://undocs.org/A/RES/57/202</vt:lpwstr>
      </vt:variant>
      <vt:variant>
        <vt:lpwstr/>
      </vt:variant>
      <vt:variant>
        <vt:i4>3932222</vt:i4>
      </vt:variant>
      <vt:variant>
        <vt:i4>0</vt:i4>
      </vt:variant>
      <vt:variant>
        <vt:i4>0</vt:i4>
      </vt:variant>
      <vt:variant>
        <vt:i4>5</vt:i4>
      </vt:variant>
      <vt:variant>
        <vt:lpwstr>http://undocs.org/A/68/150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English_Text_Proc</cp:lastModifiedBy>
  <cp:revision>12</cp:revision>
  <cp:lastPrinted>2013-09-13T13:37:00Z</cp:lastPrinted>
  <dcterms:created xsi:type="dcterms:W3CDTF">2013-09-13T13:33:00Z</dcterms:created>
  <dcterms:modified xsi:type="dcterms:W3CDTF">2013-09-13T18:33:00Z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1343139</vt:lpwstr>
  </property>
  <property fmtid="{D5CDD505-2E9C-101B-9397-08002B2CF9AE}" pid="3" name="Symbol1">
    <vt:lpwstr>A/68/334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19 final pp</vt:lpwstr>
  </property>
  <property fmtid="{D5CDD505-2E9C-101B-9397-08002B2CF9AE}" pid="8" name="Operator">
    <vt:lpwstr>ta (f)</vt:lpwstr>
  </property>
</Properties>
</file>