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AF9116A" w14:textId="77777777" w:rsidTr="0054149D">
        <w:trPr>
          <w:trHeight w:hRule="exact" w:val="851"/>
        </w:trPr>
        <w:tc>
          <w:tcPr>
            <w:tcW w:w="1274" w:type="dxa"/>
            <w:tcBorders>
              <w:bottom w:val="single" w:sz="4" w:space="0" w:color="auto"/>
            </w:tcBorders>
          </w:tcPr>
          <w:p w14:paraId="1CFF3C5D" w14:textId="77777777" w:rsidR="006B3E27" w:rsidRPr="008825CB" w:rsidRDefault="006B3E27" w:rsidP="00CB378F">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6BB8D76"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642E9AE4" w14:textId="28505D93" w:rsidR="006B3E27" w:rsidRPr="00C358F7" w:rsidRDefault="00C358F7" w:rsidP="00C358F7">
            <w:pPr>
              <w:bidi w:val="0"/>
              <w:jc w:val="left"/>
            </w:pPr>
            <w:r w:rsidRPr="00F748C4">
              <w:rPr>
                <w:sz w:val="40"/>
              </w:rPr>
              <w:t>CRPD</w:t>
            </w:r>
            <w:r w:rsidRPr="00F748C4">
              <w:t>/C/27/2</w:t>
            </w:r>
          </w:p>
        </w:tc>
      </w:tr>
      <w:tr w:rsidR="006B3E27" w:rsidRPr="003D767A" w14:paraId="004A1DCD" w14:textId="77777777" w:rsidTr="0054149D">
        <w:trPr>
          <w:trHeight w:hRule="exact" w:val="2835"/>
        </w:trPr>
        <w:tc>
          <w:tcPr>
            <w:tcW w:w="1274" w:type="dxa"/>
            <w:tcBorders>
              <w:top w:val="single" w:sz="4" w:space="0" w:color="auto"/>
              <w:bottom w:val="single" w:sz="12" w:space="0" w:color="auto"/>
            </w:tcBorders>
          </w:tcPr>
          <w:p w14:paraId="701E019F" w14:textId="77777777" w:rsidR="006B3E27" w:rsidRPr="003D767A" w:rsidRDefault="0059622A" w:rsidP="0054149D">
            <w:pPr>
              <w:jc w:val="center"/>
              <w:rPr>
                <w:sz w:val="56"/>
                <w:szCs w:val="56"/>
                <w:rtl/>
              </w:rPr>
            </w:pPr>
            <w:r w:rsidRPr="003D767A">
              <w:rPr>
                <w:noProof/>
                <w:sz w:val="56"/>
                <w:szCs w:val="56"/>
              </w:rPr>
              <w:drawing>
                <wp:inline distT="0" distB="0" distL="0" distR="0" wp14:anchorId="7F422DA8" wp14:editId="28DE7CA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A31232D"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C90007D" w14:textId="702CAF8D" w:rsidR="006B3E27" w:rsidRDefault="00C358F7" w:rsidP="00397C83">
            <w:pPr>
              <w:bidi w:val="0"/>
              <w:spacing w:before="240"/>
              <w:jc w:val="left"/>
            </w:pPr>
            <w:r>
              <w:t>Dist</w:t>
            </w:r>
            <w:r w:rsidR="00F748C4" w:rsidRPr="00F748C4">
              <w:t>r.:</w:t>
            </w:r>
            <w:r>
              <w:t xml:space="preserve"> General</w:t>
            </w:r>
          </w:p>
          <w:p w14:paraId="01E313C1" w14:textId="07EB30A7" w:rsidR="00C358F7" w:rsidRDefault="007B5A54" w:rsidP="00C358F7">
            <w:pPr>
              <w:bidi w:val="0"/>
              <w:spacing w:line="240" w:lineRule="exact"/>
              <w:jc w:val="left"/>
            </w:pPr>
            <w:r>
              <w:t>13 October 2022</w:t>
            </w:r>
          </w:p>
          <w:p w14:paraId="7846E2C3" w14:textId="77777777" w:rsidR="00C358F7" w:rsidRDefault="00C358F7" w:rsidP="00C358F7">
            <w:pPr>
              <w:bidi w:val="0"/>
              <w:spacing w:line="240" w:lineRule="exact"/>
              <w:jc w:val="left"/>
            </w:pPr>
            <w:r>
              <w:t>Arabic</w:t>
            </w:r>
          </w:p>
          <w:p w14:paraId="5A1F5D46" w14:textId="39CFEF5D" w:rsidR="00C358F7" w:rsidRPr="00C358F7" w:rsidRDefault="00C358F7" w:rsidP="00C358F7">
            <w:pPr>
              <w:bidi w:val="0"/>
              <w:spacing w:line="240" w:lineRule="exact"/>
              <w:jc w:val="left"/>
            </w:pPr>
            <w:r>
              <w:t>Origina</w:t>
            </w:r>
            <w:r w:rsidR="00F748C4" w:rsidRPr="00F748C4">
              <w:t xml:space="preserve">l: </w:t>
            </w:r>
            <w:r>
              <w:t>English</w:t>
            </w:r>
          </w:p>
        </w:tc>
      </w:tr>
    </w:tbl>
    <w:p w14:paraId="3AA5475D" w14:textId="77777777" w:rsidR="00565A13" w:rsidRPr="00565A13" w:rsidRDefault="00565A13" w:rsidP="00565A13">
      <w:pPr>
        <w:spacing w:before="120" w:line="360" w:lineRule="exact"/>
        <w:textDirection w:val="tbRlV"/>
        <w:rPr>
          <w:b/>
          <w:sz w:val="26"/>
          <w:szCs w:val="26"/>
          <w:lang w:val="ar-SA" w:eastAsia="zh-TW" w:bidi="en-GB"/>
        </w:rPr>
      </w:pPr>
      <w:r w:rsidRPr="00565A13">
        <w:rPr>
          <w:b/>
          <w:bCs/>
          <w:sz w:val="26"/>
          <w:szCs w:val="26"/>
          <w:rtl/>
        </w:rPr>
        <w:t>اللجنة المعنية بحقوق الأشخاص ذوي الإعاقة</w:t>
      </w:r>
    </w:p>
    <w:p w14:paraId="5B3E3C5E" w14:textId="5BAB868C" w:rsidR="00F748C4" w:rsidRPr="00F748C4" w:rsidRDefault="00565A13" w:rsidP="00565A13">
      <w:pPr>
        <w:pStyle w:val="HChGA"/>
      </w:pPr>
      <w:r w:rsidRPr="00565A13">
        <w:rPr>
          <w:rtl/>
        </w:rPr>
        <w:tab/>
      </w:r>
      <w:r w:rsidRPr="00565A13">
        <w:rPr>
          <w:rtl/>
        </w:rPr>
        <w:tab/>
        <w:t>تقرير اللجنة المعنية بحقوق الأشخاص ذوي الإعاقة عن دورتها السابعة والعشرين (15 آب/أغسطس - 9 أيلول/سبتمبر 202</w:t>
      </w:r>
      <w:r w:rsidR="00F748C4" w:rsidRPr="00F748C4">
        <w:rPr>
          <w:rtl/>
        </w:rPr>
        <w:t>2)</w:t>
      </w:r>
    </w:p>
    <w:p w14:paraId="7616C49E" w14:textId="7D9EBA8F" w:rsidR="00565A13" w:rsidRPr="00565A13" w:rsidRDefault="00565A13" w:rsidP="00F748C4">
      <w:pPr>
        <w:pStyle w:val="HChGA"/>
        <w:rPr>
          <w:szCs w:val="20"/>
          <w:lang w:val="en-US" w:eastAsia="zh-TW" w:bidi="en-GB"/>
        </w:rPr>
      </w:pPr>
      <w:r>
        <w:rPr>
          <w:rtl/>
        </w:rPr>
        <w:tab/>
        <w:t>أولا</w:t>
      </w:r>
      <w:r>
        <w:rPr>
          <w:rFonts w:hint="cs"/>
          <w:rtl/>
        </w:rPr>
        <w:t>ً</w:t>
      </w:r>
      <w:r>
        <w:rPr>
          <w:rtl/>
        </w:rPr>
        <w:t>-</w:t>
      </w:r>
      <w:r>
        <w:rPr>
          <w:rtl/>
        </w:rPr>
        <w:tab/>
        <w:t>الدول الأطراف في الاتفاقية والبروتوكول الاختياري الملحق بها</w:t>
      </w:r>
    </w:p>
    <w:p w14:paraId="6281C62D" w14:textId="69F8C89C" w:rsidR="00565A13" w:rsidRPr="001461C4" w:rsidRDefault="003A6715" w:rsidP="003A6715">
      <w:pPr>
        <w:pStyle w:val="SingleTxtGA"/>
        <w:rPr>
          <w:szCs w:val="20"/>
          <w:lang w:val="ar-SA" w:eastAsia="zh-TW" w:bidi="en-GB"/>
        </w:rPr>
      </w:pPr>
      <w:r w:rsidRPr="001461C4">
        <w:rPr>
          <w:lang w:val="en-US" w:eastAsia="zh-TW" w:bidi="en-GB"/>
        </w:rPr>
        <w:t>1</w:t>
      </w:r>
      <w:r w:rsidR="00F72606">
        <w:rPr>
          <w:rtl/>
          <w:lang w:val="en-US" w:eastAsia="zh-TW"/>
        </w:rPr>
        <w:t>-</w:t>
      </w:r>
      <w:r w:rsidR="00F72606">
        <w:rPr>
          <w:rtl/>
          <w:lang w:val="en-US" w:eastAsia="zh-TW"/>
        </w:rPr>
        <w:tab/>
      </w:r>
      <w:r w:rsidR="00565A13">
        <w:rPr>
          <w:rtl/>
        </w:rPr>
        <w:t xml:space="preserve">حتى </w:t>
      </w:r>
      <w:r w:rsidR="00565A13" w:rsidRPr="00565A13">
        <w:rPr>
          <w:rtl/>
        </w:rPr>
        <w:t>9</w:t>
      </w:r>
      <w:r w:rsidR="00565A13">
        <w:rPr>
          <w:rtl/>
        </w:rPr>
        <w:t xml:space="preserve"> أيلول/سبتمبر </w:t>
      </w:r>
      <w:r w:rsidR="00565A13" w:rsidRPr="00565A13">
        <w:rPr>
          <w:rtl/>
        </w:rPr>
        <w:t>2022</w:t>
      </w:r>
      <w:r w:rsidR="00565A13">
        <w:rPr>
          <w:rtl/>
        </w:rPr>
        <w:t xml:space="preserve">، وهو تاريخ اختتام الدورة السابعة والعشرين، بلغ عدد الدول الأطراف في اتفاقية حقوق الأشخاص ذوي الإعاقة </w:t>
      </w:r>
      <w:r w:rsidR="00565A13" w:rsidRPr="00565A13">
        <w:rPr>
          <w:rtl/>
        </w:rPr>
        <w:t>185</w:t>
      </w:r>
      <w:r w:rsidR="00565A13">
        <w:rPr>
          <w:rtl/>
        </w:rPr>
        <w:t xml:space="preserve"> دولة، وعدد الدول في بروتوكولها الاختياري</w:t>
      </w:r>
      <w:r w:rsidR="008B668F">
        <w:rPr>
          <w:rFonts w:hint="cs"/>
          <w:rtl/>
        </w:rPr>
        <w:t> </w:t>
      </w:r>
      <w:r w:rsidR="00565A13" w:rsidRPr="00565A13">
        <w:rPr>
          <w:rtl/>
        </w:rPr>
        <w:t>100</w:t>
      </w:r>
      <w:r w:rsidR="00565A13">
        <w:rPr>
          <w:rtl/>
        </w:rPr>
        <w:t xml:space="preserve"> دولة. ويمكن الاطلاع على قائمتي الدول الأطراف في هذين الصكين في الموقع الشبكي لمكتب الشؤون القانونية في الأمانة.</w:t>
      </w:r>
    </w:p>
    <w:p w14:paraId="279C9207" w14:textId="36C1AA75" w:rsidR="00565A13" w:rsidRPr="001461C4" w:rsidRDefault="003A6715" w:rsidP="003A6715">
      <w:pPr>
        <w:pStyle w:val="HChGA"/>
        <w:rPr>
          <w:szCs w:val="20"/>
          <w:lang w:val="ar-SA" w:eastAsia="zh-TW" w:bidi="en-GB"/>
        </w:rPr>
      </w:pPr>
      <w:r>
        <w:rPr>
          <w:rtl/>
        </w:rPr>
        <w:tab/>
      </w:r>
      <w:r w:rsidR="00565A13">
        <w:rPr>
          <w:rtl/>
        </w:rPr>
        <w:t>ثانيا</w:t>
      </w:r>
      <w:r>
        <w:rPr>
          <w:rFonts w:hint="cs"/>
          <w:rtl/>
        </w:rPr>
        <w:t>ً</w:t>
      </w:r>
      <w:r w:rsidR="00565A13">
        <w:rPr>
          <w:rtl/>
        </w:rPr>
        <w:t>-</w:t>
      </w:r>
      <w:r w:rsidR="00565A13">
        <w:rPr>
          <w:rtl/>
        </w:rPr>
        <w:tab/>
        <w:t>افتتاح الدورة السابعة والعشرين للجنة</w:t>
      </w:r>
    </w:p>
    <w:p w14:paraId="3C9ADCAD" w14:textId="29040614" w:rsidR="00565A13" w:rsidRPr="001461C4" w:rsidRDefault="003A6715" w:rsidP="003A6715">
      <w:pPr>
        <w:pStyle w:val="SingleTxtGA"/>
        <w:rPr>
          <w:rFonts w:eastAsia="Times New Roman"/>
          <w:color w:val="000000"/>
          <w:szCs w:val="20"/>
          <w:u w:color="000000"/>
          <w:bdr w:val="nil"/>
          <w:lang w:val="ar-SA" w:eastAsia="zh-TW" w:bidi="en-GB"/>
        </w:rPr>
      </w:pPr>
      <w:r w:rsidRPr="001461C4">
        <w:rPr>
          <w:rFonts w:eastAsia="Times New Roman"/>
          <w:color w:val="000000"/>
          <w:u w:color="000000"/>
          <w:bdr w:val="nil"/>
          <w:lang w:val="en-US" w:eastAsia="zh-TW" w:bidi="en-GB"/>
        </w:rPr>
        <w:t>2</w:t>
      </w:r>
      <w:r w:rsidR="00F72606">
        <w:rPr>
          <w:rFonts w:eastAsia="Times New Roman"/>
          <w:color w:val="000000"/>
          <w:u w:color="000000"/>
          <w:bdr w:val="nil"/>
          <w:rtl/>
          <w:lang w:val="en-US" w:eastAsia="zh-TW"/>
        </w:rPr>
        <w:t>-</w:t>
      </w:r>
      <w:r w:rsidR="00F72606">
        <w:rPr>
          <w:rFonts w:eastAsia="Times New Roman"/>
          <w:color w:val="000000"/>
          <w:u w:color="000000"/>
          <w:bdr w:val="nil"/>
          <w:rtl/>
          <w:lang w:val="en-US" w:eastAsia="zh-TW"/>
        </w:rPr>
        <w:tab/>
      </w:r>
      <w:r w:rsidR="00565A13">
        <w:rPr>
          <w:rtl/>
        </w:rPr>
        <w:t>افتُتحت الدورة السابعة والعشرون في جلسة عامة بكلمة ترحيب أدلى بها رئيس قسم الالتماسات والإجراءات العاجلة، التابع لشعبة آليات مجلس حقوق الإنسان وآليات المعاهدات بمفوضية الأمم المتحدة السامية لحقوق الإنسان. ويمكن الاطلاع على كلمة الترحيب في موقع اللجنة على الإنترنت.</w:t>
      </w:r>
    </w:p>
    <w:p w14:paraId="1C10B34A" w14:textId="1D462E0A" w:rsidR="00565A13" w:rsidRPr="001461C4" w:rsidRDefault="003A6715" w:rsidP="003A6715">
      <w:pPr>
        <w:pStyle w:val="SingleTxtGA"/>
        <w:rPr>
          <w:rFonts w:eastAsia="Times New Roman"/>
          <w:color w:val="000000"/>
          <w:szCs w:val="20"/>
          <w:u w:color="000000"/>
          <w:bdr w:val="nil"/>
          <w:lang w:val="ar-SA" w:eastAsia="zh-TW" w:bidi="en-GB"/>
        </w:rPr>
      </w:pPr>
      <w:r w:rsidRPr="001461C4">
        <w:rPr>
          <w:rFonts w:eastAsia="Times New Roman"/>
          <w:color w:val="000000"/>
          <w:u w:color="000000"/>
          <w:bdr w:val="nil"/>
          <w:lang w:val="en-US" w:eastAsia="zh-TW" w:bidi="en-GB"/>
        </w:rPr>
        <w:t>3</w:t>
      </w:r>
      <w:r w:rsidR="00F72606">
        <w:rPr>
          <w:rFonts w:eastAsia="Times New Roman"/>
          <w:color w:val="000000"/>
          <w:u w:color="000000"/>
          <w:bdr w:val="nil"/>
          <w:rtl/>
          <w:lang w:val="en-US" w:eastAsia="zh-TW"/>
        </w:rPr>
        <w:t>-</w:t>
      </w:r>
      <w:r w:rsidR="00F72606">
        <w:rPr>
          <w:rFonts w:eastAsia="Times New Roman"/>
          <w:color w:val="000000"/>
          <w:u w:color="000000"/>
          <w:bdr w:val="nil"/>
          <w:rtl/>
          <w:lang w:val="en-US" w:eastAsia="zh-TW"/>
        </w:rPr>
        <w:tab/>
      </w:r>
      <w:r w:rsidR="00565A13">
        <w:rPr>
          <w:rtl/>
        </w:rPr>
        <w:t>وقدم رئيس اللجنة تقرير</w:t>
      </w:r>
      <w:r w:rsidR="00AE5EB3">
        <w:rPr>
          <w:rtl/>
        </w:rPr>
        <w:t xml:space="preserve">اً </w:t>
      </w:r>
      <w:r w:rsidR="00565A13">
        <w:rPr>
          <w:rtl/>
        </w:rPr>
        <w:t>شفوي</w:t>
      </w:r>
      <w:r w:rsidR="00AE5EB3">
        <w:rPr>
          <w:rtl/>
        </w:rPr>
        <w:t xml:space="preserve">اً </w:t>
      </w:r>
      <w:r w:rsidR="00565A13">
        <w:rPr>
          <w:rtl/>
        </w:rPr>
        <w:t>عن أنشطة ما بين الدورات.</w:t>
      </w:r>
    </w:p>
    <w:p w14:paraId="47BADA93" w14:textId="1DBB131B" w:rsidR="00565A13" w:rsidRPr="00F945B3" w:rsidRDefault="003A6715" w:rsidP="003A6715">
      <w:pPr>
        <w:pStyle w:val="SingleTxtGA"/>
        <w:rPr>
          <w:rFonts w:eastAsia="Times New Roman"/>
          <w:color w:val="000000"/>
          <w:spacing w:val="-6"/>
          <w:szCs w:val="20"/>
          <w:u w:color="000000"/>
          <w:bdr w:val="nil"/>
          <w:lang w:val="ar-SA" w:eastAsia="zh-TW" w:bidi="en-GB"/>
        </w:rPr>
      </w:pPr>
      <w:r w:rsidRPr="00F945B3">
        <w:rPr>
          <w:rFonts w:eastAsia="Times New Roman"/>
          <w:color w:val="000000"/>
          <w:spacing w:val="-6"/>
          <w:u w:color="000000"/>
          <w:bdr w:val="nil"/>
          <w:lang w:val="en-US" w:eastAsia="zh-TW" w:bidi="en-GB"/>
        </w:rPr>
        <w:t>4</w:t>
      </w:r>
      <w:r w:rsidR="00F72606" w:rsidRPr="00F945B3">
        <w:rPr>
          <w:rFonts w:eastAsia="Times New Roman"/>
          <w:color w:val="000000"/>
          <w:spacing w:val="-6"/>
          <w:u w:color="000000"/>
          <w:bdr w:val="nil"/>
          <w:rtl/>
          <w:lang w:val="en-US" w:eastAsia="zh-TW"/>
        </w:rPr>
        <w:t>-</w:t>
      </w:r>
      <w:r w:rsidR="00F72606" w:rsidRPr="00F945B3">
        <w:rPr>
          <w:rFonts w:eastAsia="Times New Roman"/>
          <w:color w:val="000000"/>
          <w:spacing w:val="-6"/>
          <w:u w:color="000000"/>
          <w:bdr w:val="nil"/>
          <w:rtl/>
          <w:lang w:val="en-US" w:eastAsia="zh-TW"/>
        </w:rPr>
        <w:tab/>
      </w:r>
      <w:r w:rsidR="00565A13" w:rsidRPr="00F945B3">
        <w:rPr>
          <w:spacing w:val="-6"/>
          <w:rtl/>
        </w:rPr>
        <w:t>واستعرضت اللجنة جدول الأعمال المؤقت للدورة السابعة والعشرين وبرنامج عملها الأوّلي واعتمدتهما</w:t>
      </w:r>
      <w:r w:rsidR="00F748C4">
        <w:rPr>
          <w:rStyle w:val="FootnoteReference"/>
          <w:spacing w:val="-6"/>
          <w:rtl/>
        </w:rPr>
        <w:t>(</w:t>
      </w:r>
      <w:r w:rsidR="00F748C4" w:rsidRPr="00F945B3">
        <w:rPr>
          <w:rStyle w:val="FootnoteReference"/>
          <w:spacing w:val="-6"/>
          <w:rtl/>
        </w:rPr>
        <w:footnoteReference w:id="1"/>
      </w:r>
      <w:r w:rsidR="00F748C4" w:rsidRPr="00F748C4">
        <w:rPr>
          <w:rStyle w:val="FootnoteReference"/>
          <w:spacing w:val="-6"/>
          <w:rtl/>
        </w:rPr>
        <w:t>)</w:t>
      </w:r>
      <w:r w:rsidR="00F748C4" w:rsidRPr="00F748C4">
        <w:rPr>
          <w:spacing w:val="-6"/>
          <w:rtl/>
        </w:rPr>
        <w:t xml:space="preserve">. </w:t>
      </w:r>
    </w:p>
    <w:p w14:paraId="6660182F" w14:textId="43AAF363" w:rsidR="00565A13" w:rsidRPr="001461C4" w:rsidRDefault="003A6715" w:rsidP="003A6715">
      <w:pPr>
        <w:pStyle w:val="HChGA"/>
        <w:rPr>
          <w:szCs w:val="20"/>
          <w:lang w:val="ar-SA" w:eastAsia="zh-TW" w:bidi="en-GB"/>
        </w:rPr>
      </w:pPr>
      <w:r>
        <w:rPr>
          <w:rtl/>
        </w:rPr>
        <w:tab/>
      </w:r>
      <w:r w:rsidR="00565A13">
        <w:rPr>
          <w:rtl/>
        </w:rPr>
        <w:t>ثالثا</w:t>
      </w:r>
      <w:r>
        <w:rPr>
          <w:rFonts w:hint="cs"/>
          <w:rtl/>
        </w:rPr>
        <w:t>ً</w:t>
      </w:r>
      <w:r w:rsidR="00565A13">
        <w:rPr>
          <w:rtl/>
        </w:rPr>
        <w:t>-</w:t>
      </w:r>
      <w:r w:rsidR="00565A13">
        <w:rPr>
          <w:rtl/>
        </w:rPr>
        <w:tab/>
        <w:t>عضوية اللجنة</w:t>
      </w:r>
    </w:p>
    <w:p w14:paraId="0F8CBAAA" w14:textId="02C68124" w:rsidR="00565A13" w:rsidRPr="00700100" w:rsidRDefault="003A6715" w:rsidP="003A6715">
      <w:pPr>
        <w:pStyle w:val="SingleTxtGA"/>
        <w:rPr>
          <w:rFonts w:eastAsia="Times New Roman"/>
          <w:color w:val="000000"/>
          <w:szCs w:val="20"/>
          <w:u w:color="000000"/>
          <w:bdr w:val="nil"/>
          <w:lang w:val="en-US" w:eastAsia="zh-TW" w:bidi="en-GB"/>
        </w:rPr>
      </w:pPr>
      <w:r w:rsidRPr="001461C4">
        <w:rPr>
          <w:rFonts w:eastAsia="Times New Roman"/>
          <w:color w:val="000000"/>
          <w:u w:color="000000"/>
          <w:bdr w:val="nil"/>
          <w:lang w:val="en-US" w:eastAsia="zh-TW" w:bidi="en-GB"/>
        </w:rPr>
        <w:t>5</w:t>
      </w:r>
      <w:r w:rsidR="00F72606">
        <w:rPr>
          <w:rFonts w:eastAsia="Times New Roman"/>
          <w:color w:val="000000"/>
          <w:u w:color="000000"/>
          <w:bdr w:val="nil"/>
          <w:rtl/>
          <w:lang w:val="en-US" w:eastAsia="zh-TW"/>
        </w:rPr>
        <w:t>-</w:t>
      </w:r>
      <w:r w:rsidR="00F72606">
        <w:rPr>
          <w:rFonts w:eastAsia="Times New Roman"/>
          <w:color w:val="000000"/>
          <w:u w:color="000000"/>
          <w:bdr w:val="nil"/>
          <w:rtl/>
          <w:lang w:val="en-US" w:eastAsia="zh-TW"/>
        </w:rPr>
        <w:tab/>
      </w:r>
      <w:r w:rsidR="00565A13">
        <w:rPr>
          <w:rtl/>
        </w:rPr>
        <w:t xml:space="preserve">يمكن الاطلاع على قائمة أعضاء اللجنة بتاريخ </w:t>
      </w:r>
      <w:r w:rsidR="00565A13" w:rsidRPr="00565A13">
        <w:rPr>
          <w:rtl/>
        </w:rPr>
        <w:t>9</w:t>
      </w:r>
      <w:r w:rsidR="00565A13">
        <w:rPr>
          <w:rtl/>
        </w:rPr>
        <w:t xml:space="preserve"> أيلول/سبتمبر </w:t>
      </w:r>
      <w:r w:rsidR="00565A13" w:rsidRPr="00565A13">
        <w:rPr>
          <w:rtl/>
        </w:rPr>
        <w:t>2022</w:t>
      </w:r>
      <w:r w:rsidR="00565A13">
        <w:rPr>
          <w:rtl/>
        </w:rPr>
        <w:t>، ومدة عضويتهم، في الموقع الشبكي للجنة.</w:t>
      </w:r>
    </w:p>
    <w:p w14:paraId="24E1BB57" w14:textId="3213A2AF" w:rsidR="00565A13" w:rsidRPr="001461C4" w:rsidRDefault="003A6715" w:rsidP="003A6715">
      <w:pPr>
        <w:pStyle w:val="HChGA"/>
        <w:rPr>
          <w:szCs w:val="20"/>
          <w:lang w:val="ar-SA" w:eastAsia="zh-TW" w:bidi="en-GB"/>
        </w:rPr>
      </w:pPr>
      <w:r>
        <w:rPr>
          <w:rtl/>
        </w:rPr>
        <w:lastRenderedPageBreak/>
        <w:tab/>
      </w:r>
      <w:r w:rsidR="00565A13">
        <w:rPr>
          <w:rtl/>
        </w:rPr>
        <w:t>رابعا</w:t>
      </w:r>
      <w:r>
        <w:rPr>
          <w:rFonts w:hint="cs"/>
          <w:rtl/>
        </w:rPr>
        <w:t>ً</w:t>
      </w:r>
      <w:r w:rsidR="00565A13">
        <w:rPr>
          <w:rtl/>
        </w:rPr>
        <w:t>-</w:t>
      </w:r>
      <w:r w:rsidR="00565A13">
        <w:rPr>
          <w:rtl/>
        </w:rPr>
        <w:tab/>
        <w:t>أساليب العمل</w:t>
      </w:r>
    </w:p>
    <w:p w14:paraId="02DCB933" w14:textId="1A7CB8D7" w:rsidR="00565A13" w:rsidRPr="001461C4" w:rsidRDefault="003A6715" w:rsidP="003A6715">
      <w:pPr>
        <w:pStyle w:val="SingleTxtGA"/>
        <w:rPr>
          <w:szCs w:val="20"/>
          <w:lang w:val="ar-SA" w:eastAsia="zh-TW" w:bidi="en-GB"/>
        </w:rPr>
      </w:pPr>
      <w:r w:rsidRPr="001461C4">
        <w:rPr>
          <w:lang w:val="en-US" w:eastAsia="zh-TW" w:bidi="en-GB"/>
        </w:rPr>
        <w:t>6</w:t>
      </w:r>
      <w:r w:rsidR="00F72606">
        <w:rPr>
          <w:rtl/>
          <w:lang w:val="en-US" w:eastAsia="zh-TW"/>
        </w:rPr>
        <w:t>-</w:t>
      </w:r>
      <w:r w:rsidR="00F72606">
        <w:rPr>
          <w:rtl/>
          <w:lang w:val="en-US" w:eastAsia="zh-TW"/>
        </w:rPr>
        <w:tab/>
      </w:r>
      <w:r w:rsidR="00565A13">
        <w:rPr>
          <w:rtl/>
        </w:rPr>
        <w:t>ناقشت اللجنة مختلف المسائل المتصلة بأساليب عملها وقررت مواصلة تحديث وتبسيط هذه الأساليب خلال فترة ما بين الدورات.</w:t>
      </w:r>
    </w:p>
    <w:p w14:paraId="68B97CAB" w14:textId="71AF1DFD" w:rsidR="00565A13" w:rsidRPr="001461C4" w:rsidRDefault="003A6715" w:rsidP="003A6715">
      <w:pPr>
        <w:pStyle w:val="HChGA"/>
        <w:rPr>
          <w:szCs w:val="20"/>
          <w:lang w:val="ar-SA" w:eastAsia="zh-TW" w:bidi="en-GB"/>
        </w:rPr>
      </w:pPr>
      <w:r>
        <w:rPr>
          <w:rtl/>
        </w:rPr>
        <w:tab/>
      </w:r>
      <w:r w:rsidR="00565A13">
        <w:rPr>
          <w:rtl/>
        </w:rPr>
        <w:t>خامسا</w:t>
      </w:r>
      <w:r>
        <w:rPr>
          <w:rFonts w:hint="cs"/>
          <w:rtl/>
        </w:rPr>
        <w:t>ً</w:t>
      </w:r>
      <w:r w:rsidR="00565A13">
        <w:rPr>
          <w:rtl/>
        </w:rPr>
        <w:t>-</w:t>
      </w:r>
      <w:r w:rsidR="00565A13">
        <w:rPr>
          <w:rtl/>
        </w:rPr>
        <w:tab/>
        <w:t>الأنشطة المتصلة بالتعليقات العامة</w:t>
      </w:r>
    </w:p>
    <w:p w14:paraId="2EF08D3B" w14:textId="4F325CF2" w:rsidR="00565A13" w:rsidRPr="00F945B3" w:rsidRDefault="003A6715" w:rsidP="003A6715">
      <w:pPr>
        <w:pStyle w:val="SingleTxtGA"/>
        <w:rPr>
          <w:rFonts w:eastAsia="Times New Roman"/>
          <w:color w:val="000000"/>
          <w:spacing w:val="-4"/>
          <w:szCs w:val="20"/>
          <w:u w:color="000000"/>
          <w:bdr w:val="nil"/>
          <w:lang w:val="ar-SA" w:eastAsia="zh-TW" w:bidi="en-GB"/>
        </w:rPr>
      </w:pPr>
      <w:r w:rsidRPr="00F945B3">
        <w:rPr>
          <w:rFonts w:eastAsia="Times New Roman"/>
          <w:color w:val="000000"/>
          <w:spacing w:val="-4"/>
          <w:u w:color="000000"/>
          <w:bdr w:val="nil"/>
          <w:lang w:val="en-US" w:eastAsia="zh-TW" w:bidi="en-GB"/>
        </w:rPr>
        <w:t>7</w:t>
      </w:r>
      <w:r w:rsidR="00F72606" w:rsidRPr="00F945B3">
        <w:rPr>
          <w:rFonts w:eastAsia="Times New Roman"/>
          <w:color w:val="000000"/>
          <w:spacing w:val="-4"/>
          <w:u w:color="000000"/>
          <w:bdr w:val="nil"/>
          <w:rtl/>
          <w:lang w:val="en-US" w:eastAsia="zh-TW"/>
        </w:rPr>
        <w:t>-</w:t>
      </w:r>
      <w:r w:rsidR="00F72606" w:rsidRPr="00F945B3">
        <w:rPr>
          <w:rFonts w:eastAsia="Times New Roman"/>
          <w:color w:val="000000"/>
          <w:spacing w:val="-4"/>
          <w:u w:color="000000"/>
          <w:bdr w:val="nil"/>
          <w:rtl/>
          <w:lang w:val="en-US" w:eastAsia="zh-TW"/>
        </w:rPr>
        <w:tab/>
      </w:r>
      <w:r w:rsidR="00565A13" w:rsidRPr="00F945B3">
        <w:rPr>
          <w:spacing w:val="-4"/>
          <w:rtl/>
        </w:rPr>
        <w:t>اعتمدت اللجنة تعليقها العام رقم 8</w:t>
      </w:r>
      <w:r w:rsidR="00565A13" w:rsidRPr="00F945B3">
        <w:rPr>
          <w:rFonts w:ascii="Traditional Arabic"/>
          <w:spacing w:val="-4"/>
          <w:szCs w:val="20"/>
          <w:rtl/>
        </w:rPr>
        <w:t>(</w:t>
      </w:r>
      <w:r w:rsidR="00565A13" w:rsidRPr="00F945B3">
        <w:rPr>
          <w:spacing w:val="-4"/>
          <w:rtl/>
        </w:rPr>
        <w:t>202</w:t>
      </w:r>
      <w:r w:rsidR="00F748C4" w:rsidRPr="00F748C4">
        <w:rPr>
          <w:spacing w:val="-4"/>
          <w:rtl/>
        </w:rPr>
        <w:t>2</w:t>
      </w:r>
      <w:r w:rsidR="00F748C4" w:rsidRPr="00F748C4">
        <w:rPr>
          <w:rFonts w:ascii="Traditional Arabic"/>
          <w:spacing w:val="-4"/>
          <w:szCs w:val="20"/>
          <w:rtl/>
        </w:rPr>
        <w:t>)</w:t>
      </w:r>
      <w:r w:rsidR="00F748C4" w:rsidRPr="00F748C4">
        <w:rPr>
          <w:spacing w:val="-4"/>
          <w:rtl/>
        </w:rPr>
        <w:t xml:space="preserve"> </w:t>
      </w:r>
      <w:r w:rsidR="00565A13" w:rsidRPr="00F945B3">
        <w:rPr>
          <w:spacing w:val="-4"/>
          <w:rtl/>
        </w:rPr>
        <w:t>بشأن حق الأشخاص ذوي الإعاقة في العمل والعمالة</w:t>
      </w:r>
    </w:p>
    <w:p w14:paraId="5D66EA7F" w14:textId="152651D3" w:rsidR="00565A13" w:rsidRPr="001461C4" w:rsidRDefault="003A6715" w:rsidP="003A6715">
      <w:pPr>
        <w:pStyle w:val="SingleTxtGA"/>
        <w:rPr>
          <w:szCs w:val="20"/>
          <w:u w:color="000000"/>
          <w:bdr w:val="nil"/>
          <w:lang w:val="ar-SA" w:eastAsia="zh-TW" w:bidi="en-GB"/>
        </w:rPr>
      </w:pPr>
      <w:r w:rsidRPr="001461C4">
        <w:rPr>
          <w:u w:color="000000"/>
          <w:bdr w:val="nil"/>
          <w:lang w:val="en-US" w:eastAsia="zh-TW" w:bidi="en-GB"/>
        </w:rPr>
        <w:t>8</w:t>
      </w:r>
      <w:r w:rsidR="00F72606">
        <w:rPr>
          <w:u w:color="000000"/>
          <w:bdr w:val="nil"/>
          <w:rtl/>
          <w:lang w:val="en-US" w:eastAsia="zh-TW"/>
        </w:rPr>
        <w:t>-</w:t>
      </w:r>
      <w:r w:rsidR="00F72606">
        <w:rPr>
          <w:u w:color="000000"/>
          <w:bdr w:val="nil"/>
          <w:rtl/>
          <w:lang w:val="en-US" w:eastAsia="zh-TW"/>
        </w:rPr>
        <w:tab/>
      </w:r>
      <w:r w:rsidR="00565A13">
        <w:rPr>
          <w:rtl/>
        </w:rPr>
        <w:t>واعتمدت اللجنة مبادئها التوجيهية بشأن إنهاء الإيداع في مؤسسات الرعاية، بما في ذلك في حالات الطوارئ</w:t>
      </w:r>
      <w:r w:rsidR="00F748C4">
        <w:rPr>
          <w:rStyle w:val="FootnoteReference"/>
          <w:rtl/>
        </w:rPr>
        <w:t>(</w:t>
      </w:r>
      <w:r w:rsidR="00F748C4" w:rsidRPr="00CB6ECF">
        <w:rPr>
          <w:rStyle w:val="FootnoteReference"/>
          <w:rtl/>
        </w:rPr>
        <w:footnoteReference w:id="2"/>
      </w:r>
      <w:r w:rsidR="00F748C4" w:rsidRPr="00F748C4">
        <w:rPr>
          <w:rStyle w:val="FootnoteReference"/>
          <w:rtl/>
        </w:rPr>
        <w:t>)</w:t>
      </w:r>
      <w:r w:rsidR="00F748C4" w:rsidRPr="00F748C4">
        <w:rPr>
          <w:rFonts w:hint="cs"/>
          <w:rtl/>
        </w:rPr>
        <w:t>.</w:t>
      </w:r>
      <w:r w:rsidR="00F748C4" w:rsidRPr="00F748C4">
        <w:rPr>
          <w:rtl/>
        </w:rPr>
        <w:t xml:space="preserve"> </w:t>
      </w:r>
      <w:r w:rsidR="00565A13">
        <w:rPr>
          <w:rtl/>
        </w:rPr>
        <w:t xml:space="preserve">وتكمل المبادئ التوجيهية تعليق اللجنة العام رقم </w:t>
      </w:r>
      <w:r w:rsidR="00565A13" w:rsidRPr="00565A13">
        <w:rPr>
          <w:rtl/>
        </w:rPr>
        <w:t>5</w:t>
      </w:r>
      <w:r w:rsidR="00565A13">
        <w:rPr>
          <w:rFonts w:ascii="Traditional Arabic"/>
          <w:szCs w:val="20"/>
          <w:rtl/>
        </w:rPr>
        <w:t>(</w:t>
      </w:r>
      <w:r w:rsidR="00565A13" w:rsidRPr="00565A13">
        <w:rPr>
          <w:rtl/>
        </w:rPr>
        <w:t>201</w:t>
      </w:r>
      <w:r w:rsidR="00F748C4" w:rsidRPr="00F748C4">
        <w:rPr>
          <w:rtl/>
        </w:rPr>
        <w:t>7</w:t>
      </w:r>
      <w:r w:rsidR="00F748C4" w:rsidRPr="00F748C4">
        <w:rPr>
          <w:rFonts w:ascii="Traditional Arabic"/>
          <w:szCs w:val="20"/>
          <w:rtl/>
        </w:rPr>
        <w:t>)</w:t>
      </w:r>
      <w:r w:rsidR="00F748C4" w:rsidRPr="00F748C4">
        <w:rPr>
          <w:rtl/>
        </w:rPr>
        <w:t xml:space="preserve"> </w:t>
      </w:r>
      <w:r w:rsidR="00565A13">
        <w:rPr>
          <w:rtl/>
        </w:rPr>
        <w:t xml:space="preserve">وينبغي قراءتها بالاقتران معه ومع المبادئ التوجيهية للجنة بشأن حق الأشخاص ذوي الإعاقة في الحرية والأمن. </w:t>
      </w:r>
    </w:p>
    <w:p w14:paraId="503EF0B6" w14:textId="38EDF463" w:rsidR="00565A13" w:rsidRPr="001461C4" w:rsidRDefault="003A6715" w:rsidP="003A6715">
      <w:pPr>
        <w:pStyle w:val="HChGA"/>
        <w:rPr>
          <w:szCs w:val="20"/>
          <w:lang w:val="ar-SA" w:eastAsia="zh-TW" w:bidi="en-GB"/>
        </w:rPr>
      </w:pPr>
      <w:r>
        <w:rPr>
          <w:rtl/>
        </w:rPr>
        <w:tab/>
      </w:r>
      <w:r w:rsidR="00565A13">
        <w:rPr>
          <w:rtl/>
        </w:rPr>
        <w:t>سادسا</w:t>
      </w:r>
      <w:r>
        <w:rPr>
          <w:rFonts w:hint="cs"/>
          <w:rtl/>
        </w:rPr>
        <w:t>ً</w:t>
      </w:r>
      <w:r w:rsidR="00565A13">
        <w:rPr>
          <w:rtl/>
        </w:rPr>
        <w:t>-</w:t>
      </w:r>
      <w:r w:rsidR="00565A13">
        <w:rPr>
          <w:rtl/>
        </w:rPr>
        <w:tab/>
        <w:t>الأنشطة المتصلة بالبروتوكول الاختياري</w:t>
      </w:r>
    </w:p>
    <w:p w14:paraId="19A56982" w14:textId="63B933D0" w:rsidR="00565A13" w:rsidRPr="001461C4" w:rsidRDefault="003A6715" w:rsidP="003A6715">
      <w:pPr>
        <w:pStyle w:val="SingleTxtGA"/>
        <w:rPr>
          <w:szCs w:val="20"/>
          <w:lang w:val="ar-SA" w:eastAsia="zh-TW" w:bidi="en-GB"/>
        </w:rPr>
      </w:pPr>
      <w:r w:rsidRPr="001461C4">
        <w:rPr>
          <w:lang w:val="en-US" w:eastAsia="zh-TW" w:bidi="en-GB"/>
        </w:rPr>
        <w:t>9</w:t>
      </w:r>
      <w:r w:rsidR="00F72606">
        <w:rPr>
          <w:rtl/>
          <w:lang w:val="en-US" w:eastAsia="zh-TW"/>
        </w:rPr>
        <w:t>-</w:t>
      </w:r>
      <w:r w:rsidR="00F72606">
        <w:rPr>
          <w:rtl/>
          <w:lang w:val="en-US" w:eastAsia="zh-TW"/>
        </w:rPr>
        <w:tab/>
      </w:r>
      <w:r w:rsidR="00565A13">
        <w:rPr>
          <w:rtl/>
        </w:rPr>
        <w:t>نظرت اللجنة في أربعة بلاغات. وخلصت إلى حدوث انتهاكات للاتفاقية في اثنين منها</w:t>
      </w:r>
      <w:r w:rsidR="00565A13">
        <w:rPr>
          <w:rFonts w:ascii="Traditional Arabic"/>
          <w:szCs w:val="20"/>
        </w:rPr>
        <w:t xml:space="preserve">: </w:t>
      </w:r>
      <w:proofErr w:type="spellStart"/>
      <w:r w:rsidR="00565A13">
        <w:rPr>
          <w:i/>
          <w:iCs/>
          <w:rtl/>
        </w:rPr>
        <w:t>بيليني</w:t>
      </w:r>
      <w:proofErr w:type="spellEnd"/>
      <w:r w:rsidR="00565A13">
        <w:rPr>
          <w:i/>
          <w:iCs/>
          <w:rtl/>
        </w:rPr>
        <w:t xml:space="preserve"> وآخرون ضد إيطاليا</w:t>
      </w:r>
      <w:r w:rsidR="00F748C4">
        <w:rPr>
          <w:rStyle w:val="FootnoteReference"/>
          <w:rtl/>
        </w:rPr>
        <w:t>(</w:t>
      </w:r>
      <w:r w:rsidR="00F748C4" w:rsidRPr="00CB6ECF">
        <w:rPr>
          <w:rStyle w:val="FootnoteReference"/>
          <w:rtl/>
        </w:rPr>
        <w:footnoteReference w:id="3"/>
      </w:r>
      <w:r w:rsidR="00F748C4" w:rsidRPr="00F748C4">
        <w:rPr>
          <w:rStyle w:val="FootnoteReference"/>
          <w:rtl/>
        </w:rPr>
        <w:t>)</w:t>
      </w:r>
      <w:r w:rsidR="00F748C4" w:rsidRPr="00F748C4">
        <w:rPr>
          <w:rFonts w:hint="cs"/>
          <w:rtl/>
        </w:rPr>
        <w:t>،</w:t>
      </w:r>
      <w:r w:rsidR="00F748C4" w:rsidRPr="00F748C4">
        <w:rPr>
          <w:rtl/>
        </w:rPr>
        <w:t> </w:t>
      </w:r>
      <w:r w:rsidR="00565A13">
        <w:rPr>
          <w:rtl/>
        </w:rPr>
        <w:t xml:space="preserve">فيما يتعلق بعدم الاعتراف بمقدمي الرعاية الأسرية للأشخاص ذوي الإعاقة وعدم تقديم الدعم الاجتماعي لهم، وقضية </w:t>
      </w:r>
      <w:proofErr w:type="spellStart"/>
      <w:r w:rsidR="00565A13">
        <w:rPr>
          <w:i/>
          <w:iCs/>
          <w:rtl/>
        </w:rPr>
        <w:t>هينلي</w:t>
      </w:r>
      <w:proofErr w:type="spellEnd"/>
      <w:r w:rsidR="00565A13">
        <w:rPr>
          <w:i/>
          <w:iCs/>
          <w:rtl/>
        </w:rPr>
        <w:t xml:space="preserve"> ضد أستراليا</w:t>
      </w:r>
      <w:r w:rsidR="00F748C4">
        <w:rPr>
          <w:rStyle w:val="FootnoteReference"/>
          <w:rtl/>
        </w:rPr>
        <w:t>(</w:t>
      </w:r>
      <w:r w:rsidR="00F748C4" w:rsidRPr="00CB6ECF">
        <w:rPr>
          <w:rStyle w:val="FootnoteReference"/>
          <w:rtl/>
        </w:rPr>
        <w:footnoteReference w:id="4"/>
      </w:r>
      <w:r w:rsidR="00F748C4" w:rsidRPr="00F748C4">
        <w:rPr>
          <w:rStyle w:val="FootnoteReference"/>
          <w:rtl/>
        </w:rPr>
        <w:t>)</w:t>
      </w:r>
      <w:r w:rsidR="00F748C4" w:rsidRPr="00F748C4">
        <w:rPr>
          <w:rFonts w:hint="cs"/>
          <w:rtl/>
        </w:rPr>
        <w:t>،</w:t>
      </w:r>
      <w:r w:rsidR="00F748C4" w:rsidRPr="00F748C4">
        <w:rPr>
          <w:rtl/>
        </w:rPr>
        <w:t> </w:t>
      </w:r>
      <w:r w:rsidR="00565A13">
        <w:rPr>
          <w:rtl/>
        </w:rPr>
        <w:t xml:space="preserve">فيما يتعلق بعدم تقديم وصف صوتي على القنوات التلفزيونية المجانية. وفي قضية </w:t>
      </w:r>
      <w:r w:rsidR="00565A13">
        <w:rPr>
          <w:i/>
          <w:iCs/>
          <w:rtl/>
        </w:rPr>
        <w:t>ج.</w:t>
      </w:r>
      <w:r w:rsidR="00AE5EB3">
        <w:rPr>
          <w:rFonts w:hint="cs"/>
          <w:i/>
          <w:iCs/>
          <w:rtl/>
        </w:rPr>
        <w:t xml:space="preserve"> </w:t>
      </w:r>
      <w:r w:rsidR="00565A13">
        <w:rPr>
          <w:i/>
          <w:iCs/>
          <w:rtl/>
        </w:rPr>
        <w:t>س. ضد المملكة المتحدة لبريطانيا العظمى وأيرلندا الشمالية</w:t>
      </w:r>
      <w:r w:rsidR="00F748C4">
        <w:rPr>
          <w:rStyle w:val="FootnoteReference"/>
          <w:rtl/>
        </w:rPr>
        <w:t>(</w:t>
      </w:r>
      <w:r w:rsidR="00F748C4" w:rsidRPr="00CB6ECF">
        <w:rPr>
          <w:rStyle w:val="FootnoteReference"/>
          <w:rtl/>
        </w:rPr>
        <w:footnoteReference w:id="5"/>
      </w:r>
      <w:r w:rsidR="00F748C4" w:rsidRPr="00F748C4">
        <w:rPr>
          <w:rStyle w:val="FootnoteReference"/>
          <w:rtl/>
        </w:rPr>
        <w:t>)</w:t>
      </w:r>
      <w:r w:rsidR="00F748C4" w:rsidRPr="00F748C4">
        <w:rPr>
          <w:rFonts w:hint="cs"/>
          <w:rtl/>
        </w:rPr>
        <w:t>،</w:t>
      </w:r>
      <w:r w:rsidR="00F748C4" w:rsidRPr="00F748C4">
        <w:rPr>
          <w:rtl/>
        </w:rPr>
        <w:t> </w:t>
      </w:r>
      <w:r w:rsidR="00565A13">
        <w:rPr>
          <w:rtl/>
        </w:rPr>
        <w:t xml:space="preserve">فيما يتعلق بفصل شخص ذي إعاقة عن أجهزة دعم الحياة، أعلنت اللجنة أن البلاغ غير مقبول لأنها خلصت إلى أن المسألة نفسها قد نظرت فيها المحكمة الأوروبية لحقوق الإنسان. وقررت </w:t>
      </w:r>
      <w:r w:rsidR="00565A13" w:rsidRPr="002C515D">
        <w:rPr>
          <w:spacing w:val="-4"/>
          <w:rtl/>
        </w:rPr>
        <w:t xml:space="preserve">اللجنة وقف النظر في قضية </w:t>
      </w:r>
      <w:r w:rsidR="00565A13" w:rsidRPr="00285D01">
        <w:rPr>
          <w:i/>
          <w:iCs/>
          <w:spacing w:val="-4"/>
          <w:rtl/>
        </w:rPr>
        <w:t>ك.</w:t>
      </w:r>
      <w:r w:rsidR="00AE5EB3" w:rsidRPr="00285D01">
        <w:rPr>
          <w:rFonts w:hint="cs"/>
          <w:i/>
          <w:iCs/>
          <w:spacing w:val="-4"/>
          <w:rtl/>
        </w:rPr>
        <w:t xml:space="preserve"> </w:t>
      </w:r>
      <w:r w:rsidR="00565A13" w:rsidRPr="00285D01">
        <w:rPr>
          <w:i/>
          <w:iCs/>
          <w:spacing w:val="-4"/>
          <w:rtl/>
        </w:rPr>
        <w:t>س. ضد السويد</w:t>
      </w:r>
      <w:r w:rsidR="00F748C4">
        <w:rPr>
          <w:rStyle w:val="FootnoteReference"/>
          <w:spacing w:val="-4"/>
          <w:rtl/>
        </w:rPr>
        <w:t>(</w:t>
      </w:r>
      <w:r w:rsidR="00F748C4" w:rsidRPr="002C515D">
        <w:rPr>
          <w:rStyle w:val="FootnoteReference"/>
          <w:spacing w:val="-4"/>
          <w:rtl/>
        </w:rPr>
        <w:footnoteReference w:id="6"/>
      </w:r>
      <w:r w:rsidR="00F748C4" w:rsidRPr="00F748C4">
        <w:rPr>
          <w:rStyle w:val="FootnoteReference"/>
          <w:spacing w:val="-4"/>
          <w:rtl/>
        </w:rPr>
        <w:t>)</w:t>
      </w:r>
      <w:r w:rsidR="00F748C4" w:rsidRPr="00F748C4">
        <w:rPr>
          <w:rFonts w:hint="cs"/>
          <w:spacing w:val="-4"/>
          <w:rtl/>
        </w:rPr>
        <w:t>،</w:t>
      </w:r>
      <w:r w:rsidR="00F748C4" w:rsidRPr="00F748C4">
        <w:rPr>
          <w:spacing w:val="-4"/>
          <w:rtl/>
        </w:rPr>
        <w:t> </w:t>
      </w:r>
      <w:r w:rsidR="00565A13" w:rsidRPr="002C515D">
        <w:rPr>
          <w:spacing w:val="-4"/>
          <w:rtl/>
        </w:rPr>
        <w:t>فيما يتعلق بالترحيل إلى أفغانستان، حيث كان من المقرر إعادة النظر في القضية على الصعيد الوطني ولم يعد صاحب البلاغ معرض</w:t>
      </w:r>
      <w:r w:rsidR="00AE5EB3" w:rsidRPr="002C515D">
        <w:rPr>
          <w:spacing w:val="-4"/>
          <w:rtl/>
        </w:rPr>
        <w:t xml:space="preserve">اً </w:t>
      </w:r>
      <w:r w:rsidR="00565A13" w:rsidRPr="002C515D">
        <w:rPr>
          <w:spacing w:val="-4"/>
          <w:rtl/>
        </w:rPr>
        <w:t>لخطر إعادته إلى</w:t>
      </w:r>
      <w:r w:rsidR="00565A13">
        <w:rPr>
          <w:rtl/>
        </w:rPr>
        <w:t xml:space="preserve"> أفغانستان.</w:t>
      </w:r>
    </w:p>
    <w:p w14:paraId="79CD6F93" w14:textId="713EB3A2" w:rsidR="00565A13" w:rsidRPr="001461C4" w:rsidRDefault="003A6715" w:rsidP="003A6715">
      <w:pPr>
        <w:pStyle w:val="SingleTxtGA"/>
        <w:rPr>
          <w:szCs w:val="20"/>
          <w:lang w:val="ar-SA" w:eastAsia="zh-TW" w:bidi="en-GB"/>
        </w:rPr>
      </w:pPr>
      <w:bookmarkStart w:id="0" w:name="_Hlk116475822"/>
      <w:r w:rsidRPr="001461C4">
        <w:rPr>
          <w:lang w:val="en-US" w:eastAsia="zh-TW" w:bidi="en-GB"/>
        </w:rPr>
        <w:t>10</w:t>
      </w:r>
      <w:r w:rsidR="00F72606">
        <w:rPr>
          <w:rtl/>
          <w:lang w:val="en-US" w:eastAsia="zh-TW"/>
        </w:rPr>
        <w:t>-</w:t>
      </w:r>
      <w:r w:rsidR="00F72606">
        <w:rPr>
          <w:rtl/>
          <w:lang w:val="en-US" w:eastAsia="zh-TW"/>
        </w:rPr>
        <w:tab/>
      </w:r>
      <w:r w:rsidR="00565A13">
        <w:rPr>
          <w:rtl/>
        </w:rPr>
        <w:t>وستتاح الآراء والمقررات التي اعتمدتها اللجنة بشأن البلاغات في الموقع الشبكي للجنة. ويمكن الاطلاع على موجز لآراء اللجنة والقرارات التي اعتمدتها في هذه الدورة في المرفق الثالث من هذا التقرير.</w:t>
      </w:r>
      <w:bookmarkStart w:id="1" w:name="_Hlk116476029"/>
      <w:bookmarkEnd w:id="1"/>
    </w:p>
    <w:bookmarkEnd w:id="0"/>
    <w:p w14:paraId="593E41F4" w14:textId="3D7A6F64" w:rsidR="00565A13" w:rsidRPr="002C515D" w:rsidRDefault="003A6715" w:rsidP="003A6715">
      <w:pPr>
        <w:pStyle w:val="SingleTxtGA"/>
        <w:rPr>
          <w:spacing w:val="-6"/>
          <w:szCs w:val="20"/>
          <w:lang w:val="ar-SA" w:eastAsia="zh-TW" w:bidi="en-GB"/>
        </w:rPr>
      </w:pPr>
      <w:r w:rsidRPr="002C515D">
        <w:rPr>
          <w:spacing w:val="-6"/>
          <w:lang w:val="en-US" w:eastAsia="zh-TW" w:bidi="en-GB"/>
        </w:rPr>
        <w:t>11</w:t>
      </w:r>
      <w:r w:rsidR="00F72606" w:rsidRPr="002C515D">
        <w:rPr>
          <w:spacing w:val="-6"/>
          <w:rtl/>
          <w:lang w:val="en-US" w:eastAsia="zh-TW"/>
        </w:rPr>
        <w:t>-</w:t>
      </w:r>
      <w:r w:rsidR="00F72606" w:rsidRPr="002C515D">
        <w:rPr>
          <w:spacing w:val="-6"/>
          <w:rtl/>
          <w:lang w:val="en-US" w:eastAsia="zh-TW"/>
        </w:rPr>
        <w:tab/>
      </w:r>
      <w:r w:rsidR="00565A13" w:rsidRPr="002C515D">
        <w:rPr>
          <w:spacing w:val="-6"/>
          <w:rtl/>
        </w:rPr>
        <w:t xml:space="preserve">ونظرت اللجنة في المسائل المتعلِّقة بإجراءات التحقيق عملاً بالمادتين 6 </w:t>
      </w:r>
      <w:proofErr w:type="spellStart"/>
      <w:r w:rsidR="00565A13" w:rsidRPr="002C515D">
        <w:rPr>
          <w:spacing w:val="-6"/>
          <w:rtl/>
        </w:rPr>
        <w:t>و7</w:t>
      </w:r>
      <w:proofErr w:type="spellEnd"/>
      <w:r w:rsidR="00565A13" w:rsidRPr="002C515D">
        <w:rPr>
          <w:spacing w:val="-6"/>
          <w:rtl/>
        </w:rPr>
        <w:t xml:space="preserve"> من البروتوكول الاختياري.</w:t>
      </w:r>
    </w:p>
    <w:p w14:paraId="447508AE" w14:textId="7ABA0830" w:rsidR="00565A13" w:rsidRPr="001461C4" w:rsidRDefault="003A6715" w:rsidP="003A6715">
      <w:pPr>
        <w:pStyle w:val="HChGA"/>
        <w:rPr>
          <w:szCs w:val="20"/>
          <w:lang w:val="ar-SA" w:eastAsia="zh-TW" w:bidi="en-GB"/>
        </w:rPr>
      </w:pPr>
      <w:r>
        <w:rPr>
          <w:rtl/>
        </w:rPr>
        <w:tab/>
      </w:r>
      <w:r w:rsidR="00565A13">
        <w:rPr>
          <w:rtl/>
        </w:rPr>
        <w:t>سابعا</w:t>
      </w:r>
      <w:r>
        <w:rPr>
          <w:rFonts w:hint="cs"/>
          <w:rtl/>
        </w:rPr>
        <w:t>ً</w:t>
      </w:r>
      <w:r w:rsidR="00565A13">
        <w:rPr>
          <w:rtl/>
        </w:rPr>
        <w:t>-</w:t>
      </w:r>
      <w:r w:rsidR="00565A13">
        <w:rPr>
          <w:rtl/>
        </w:rPr>
        <w:tab/>
        <w:t>الدورات المقبلة</w:t>
      </w:r>
    </w:p>
    <w:p w14:paraId="58DAC949" w14:textId="39E2E434" w:rsidR="00565A13" w:rsidRPr="001461C4" w:rsidRDefault="003A6715" w:rsidP="003A6715">
      <w:pPr>
        <w:pStyle w:val="SingleTxtGA"/>
        <w:rPr>
          <w:szCs w:val="20"/>
          <w:lang w:val="ar-SA" w:eastAsia="zh-TW" w:bidi="en-GB"/>
        </w:rPr>
      </w:pPr>
      <w:bookmarkStart w:id="2" w:name="_Hlk113219885"/>
      <w:r w:rsidRPr="001461C4">
        <w:rPr>
          <w:lang w:val="en-US" w:eastAsia="zh-TW" w:bidi="en-GB"/>
        </w:rPr>
        <w:t>12</w:t>
      </w:r>
      <w:r w:rsidR="00F72606">
        <w:rPr>
          <w:rtl/>
          <w:lang w:val="en-US" w:eastAsia="zh-TW"/>
        </w:rPr>
        <w:t>-</w:t>
      </w:r>
      <w:r w:rsidR="00F72606">
        <w:rPr>
          <w:rtl/>
          <w:lang w:val="en-US" w:eastAsia="zh-TW"/>
        </w:rPr>
        <w:tab/>
      </w:r>
      <w:r w:rsidR="00565A13">
        <w:rPr>
          <w:rtl/>
        </w:rPr>
        <w:t>من المقرر عقد الدورة الثامنة والعشرين للجنة مؤقت</w:t>
      </w:r>
      <w:r w:rsidR="00AE5EB3">
        <w:rPr>
          <w:rtl/>
        </w:rPr>
        <w:t xml:space="preserve">اً </w:t>
      </w:r>
      <w:r w:rsidR="00565A13">
        <w:rPr>
          <w:rtl/>
        </w:rPr>
        <w:t xml:space="preserve">في جنيف في الفترة من </w:t>
      </w:r>
      <w:r w:rsidR="00565A13" w:rsidRPr="00565A13">
        <w:rPr>
          <w:rtl/>
        </w:rPr>
        <w:t>6</w:t>
      </w:r>
      <w:r w:rsidR="00565A13">
        <w:rPr>
          <w:rtl/>
        </w:rPr>
        <w:t xml:space="preserve"> إلى </w:t>
      </w:r>
      <w:r w:rsidR="00565A13" w:rsidRPr="00565A13">
        <w:rPr>
          <w:rtl/>
        </w:rPr>
        <w:t>24</w:t>
      </w:r>
      <w:r w:rsidR="00565A13">
        <w:rPr>
          <w:rtl/>
        </w:rPr>
        <w:t xml:space="preserve"> </w:t>
      </w:r>
      <w:r w:rsidR="00565A13" w:rsidRPr="005E6131">
        <w:rPr>
          <w:spacing w:val="-2"/>
          <w:rtl/>
        </w:rPr>
        <w:t>آذار/مارس 2023، وسيليها الاجتماع السابع عشر للفريق العامل لما قبل الدورة، في الفترة الممتدة من 27</w:t>
      </w:r>
      <w:r w:rsidR="00565A13">
        <w:rPr>
          <w:rtl/>
        </w:rPr>
        <w:t xml:space="preserve"> إلى </w:t>
      </w:r>
      <w:r w:rsidR="00565A13" w:rsidRPr="00565A13">
        <w:rPr>
          <w:rtl/>
        </w:rPr>
        <w:t>31</w:t>
      </w:r>
      <w:r w:rsidR="00565A13">
        <w:rPr>
          <w:rtl/>
        </w:rPr>
        <w:t xml:space="preserve"> آذار/مارس </w:t>
      </w:r>
      <w:r w:rsidR="00565A13" w:rsidRPr="00565A13">
        <w:rPr>
          <w:rtl/>
        </w:rPr>
        <w:t>202</w:t>
      </w:r>
      <w:r w:rsidR="00F748C4" w:rsidRPr="00F748C4">
        <w:rPr>
          <w:rtl/>
        </w:rPr>
        <w:t>3</w:t>
      </w:r>
      <w:r w:rsidR="00F748C4" w:rsidRPr="00F748C4">
        <w:rPr>
          <w:rFonts w:ascii="Traditional Arabic"/>
          <w:szCs w:val="20"/>
          <w:rtl/>
        </w:rPr>
        <w:t>.</w:t>
      </w:r>
      <w:r w:rsidR="00F748C4" w:rsidRPr="00F748C4">
        <w:rPr>
          <w:rtl/>
        </w:rPr>
        <w:t xml:space="preserve"> </w:t>
      </w:r>
      <w:r w:rsidR="00565A13">
        <w:rPr>
          <w:rtl/>
        </w:rPr>
        <w:t>وفي سياق جائحة مرض فيروس كورونا (كوفيد-</w:t>
      </w:r>
      <w:r w:rsidR="00565A13" w:rsidRPr="00565A13">
        <w:rPr>
          <w:rtl/>
        </w:rPr>
        <w:t>19</w:t>
      </w:r>
      <w:r w:rsidR="00F748C4" w:rsidRPr="00F748C4">
        <w:rPr>
          <w:rFonts w:ascii="Traditional Arabic"/>
          <w:szCs w:val="20"/>
          <w:rtl/>
        </w:rPr>
        <w:t>)</w:t>
      </w:r>
      <w:r w:rsidR="00F748C4" w:rsidRPr="00F748C4">
        <w:rPr>
          <w:rtl/>
        </w:rPr>
        <w:t xml:space="preserve">، </w:t>
      </w:r>
      <w:r w:rsidR="00565A13">
        <w:rPr>
          <w:rtl/>
        </w:rPr>
        <w:t>ستواصل المفوضية تقييم مدى إمكانية عقد دورات هيئات المعاهدات شخصيا</w:t>
      </w:r>
      <w:r w:rsidR="00634A37">
        <w:rPr>
          <w:rFonts w:hint="cs"/>
          <w:rtl/>
        </w:rPr>
        <w:t>ً</w:t>
      </w:r>
      <w:r w:rsidR="00565A13">
        <w:rPr>
          <w:rtl/>
        </w:rPr>
        <w:t>. فإن تعذر عقد الدورة شخصيا</w:t>
      </w:r>
      <w:r w:rsidR="005521AB">
        <w:rPr>
          <w:rFonts w:hint="cs"/>
          <w:rtl/>
        </w:rPr>
        <w:t>ً</w:t>
      </w:r>
      <w:r w:rsidR="00565A13">
        <w:rPr>
          <w:rtl/>
        </w:rPr>
        <w:t>، ستقرر الرئاسة، بدعم من الأمين، مسار العمل المناسب.</w:t>
      </w:r>
      <w:bookmarkEnd w:id="2"/>
    </w:p>
    <w:p w14:paraId="5C68D9B2" w14:textId="1BD66478" w:rsidR="00565A13" w:rsidRPr="001461C4" w:rsidRDefault="003A6715" w:rsidP="003A6715">
      <w:pPr>
        <w:pStyle w:val="HChGA"/>
        <w:rPr>
          <w:szCs w:val="20"/>
          <w:lang w:val="ar-SA" w:eastAsia="zh-TW" w:bidi="en-GB"/>
        </w:rPr>
      </w:pPr>
      <w:r>
        <w:rPr>
          <w:rtl/>
        </w:rPr>
        <w:lastRenderedPageBreak/>
        <w:tab/>
      </w:r>
      <w:r w:rsidR="00565A13">
        <w:rPr>
          <w:rtl/>
        </w:rPr>
        <w:t>ثامنا</w:t>
      </w:r>
      <w:r>
        <w:rPr>
          <w:rFonts w:hint="cs"/>
          <w:rtl/>
        </w:rPr>
        <w:t>ً</w:t>
      </w:r>
      <w:r w:rsidR="00565A13">
        <w:rPr>
          <w:rFonts w:ascii="Traditional Arabic"/>
          <w:szCs w:val="20"/>
        </w:rPr>
        <w:t>-</w:t>
      </w:r>
      <w:r w:rsidR="00565A13">
        <w:rPr>
          <w:rtl/>
        </w:rPr>
        <w:tab/>
        <w:t>تيسير المشاركة في جلسات اللجنة</w:t>
      </w:r>
    </w:p>
    <w:p w14:paraId="3D747C3F" w14:textId="126428F1" w:rsidR="00565A13" w:rsidRPr="001461C4" w:rsidRDefault="003A6715" w:rsidP="003A6715">
      <w:pPr>
        <w:pStyle w:val="SingleTxtGA"/>
        <w:rPr>
          <w:rFonts w:eastAsia="Times New Roman"/>
          <w:color w:val="000000"/>
          <w:szCs w:val="20"/>
          <w:u w:color="000000"/>
          <w:bdr w:val="nil"/>
          <w:lang w:val="ar-SA" w:eastAsia="zh-TW" w:bidi="en-GB"/>
        </w:rPr>
      </w:pPr>
      <w:r w:rsidRPr="001461C4">
        <w:rPr>
          <w:rFonts w:eastAsia="Times New Roman"/>
          <w:color w:val="000000"/>
          <w:u w:color="000000"/>
          <w:bdr w:val="nil"/>
          <w:lang w:val="en-US" w:eastAsia="zh-TW" w:bidi="en-GB"/>
        </w:rPr>
        <w:t>13</w:t>
      </w:r>
      <w:r w:rsidR="00F72606">
        <w:rPr>
          <w:rFonts w:eastAsia="Times New Roman"/>
          <w:color w:val="000000"/>
          <w:u w:color="000000"/>
          <w:bdr w:val="nil"/>
          <w:rtl/>
          <w:lang w:val="en-US" w:eastAsia="zh-TW"/>
        </w:rPr>
        <w:t>-</w:t>
      </w:r>
      <w:r w:rsidR="00F72606">
        <w:rPr>
          <w:rFonts w:eastAsia="Times New Roman"/>
          <w:color w:val="000000"/>
          <w:u w:color="000000"/>
          <w:bdr w:val="nil"/>
          <w:rtl/>
          <w:lang w:val="en-US" w:eastAsia="zh-TW"/>
        </w:rPr>
        <w:tab/>
      </w:r>
      <w:r w:rsidR="00565A13">
        <w:rPr>
          <w:rtl/>
        </w:rPr>
        <w:t>عُقدت الدورة السابعة والعشرون للجنة في شكل مختلط، إذ شارك أعضاء اللجنة ووفود الدول الأطراف شخصياً في جنيف وعن بعد عبر الإنترنت. وشارك أصحاب المصلحة، بمن فيهم منظمات الأشخاص ذوي الإعاقة، ومنظمات المجتمع المدني، والمؤسسات الوطنية لحقوق الإنسان، والوكالات المتخصصة، وغيرها من هيئات الأمم المتحدة، شخصيا</w:t>
      </w:r>
      <w:r w:rsidR="00AE5EB3">
        <w:rPr>
          <w:rFonts w:hint="cs"/>
          <w:rtl/>
        </w:rPr>
        <w:t>ً</w:t>
      </w:r>
      <w:r w:rsidR="00565A13">
        <w:rPr>
          <w:rtl/>
        </w:rPr>
        <w:t xml:space="preserve"> وافتراضيا</w:t>
      </w:r>
      <w:r w:rsidR="00AE5EB3">
        <w:rPr>
          <w:rFonts w:hint="cs"/>
          <w:rtl/>
        </w:rPr>
        <w:t>ً</w:t>
      </w:r>
      <w:r w:rsidR="00565A13">
        <w:rPr>
          <w:rtl/>
        </w:rPr>
        <w:t>. وأتيحت الترجمة الفورية بلغة الإشارة الدولية، والترجمة الفورية بلغة الإشارة الوطنية، كما أتيحت نسخ للوثائق بطريقة براي، وعروض نصية عن بعد. وبُثت الاجتماعات العامة على شبكة الإنترنت. ولم تتَح أثناء الدورة أي نسخ من الوثائق باللغة المبسطة أو الصيغة السهلة القراءة. ولم تكن هناك غرف اجتماعات متاحة بالكامل للأشخاص ذوي الإعاقة في قصر الأمم. ولم تكن البرمجية المستخدمة لتسجيل المشاركين في الاجتماع متاحة للمشاركين المكفوفين أو ضعاف البصر. ولا تزال البروتوكولات الحالية المتعلقة بالمركبات التي تدخل قصر الأمم تشكل عقبات أمام المشاركين ذوي الإعاقة الذين يحتاجون إلى وسائل نقل مراعية لمعايير إمكانية الوصول. ولا يزال تطوير الترتيبات التيسيرية المعقولة، بما في ذلك في تنظيم سفر أعضاء اللجنة ذوي الإعاقة، قاصرا</w:t>
      </w:r>
      <w:r w:rsidR="007B5A54">
        <w:rPr>
          <w:rFonts w:hint="cs"/>
          <w:rtl/>
        </w:rPr>
        <w:t>ً</w:t>
      </w:r>
      <w:r w:rsidR="00565A13">
        <w:rPr>
          <w:rtl/>
        </w:rPr>
        <w:t xml:space="preserve">. </w:t>
      </w:r>
    </w:p>
    <w:p w14:paraId="38CF5D05" w14:textId="45121BC9" w:rsidR="00565A13" w:rsidRPr="001461C4" w:rsidRDefault="003A6715" w:rsidP="003A6715">
      <w:pPr>
        <w:pStyle w:val="HChGA"/>
        <w:rPr>
          <w:szCs w:val="20"/>
          <w:lang w:val="ar-SA" w:eastAsia="zh-TW" w:bidi="en-GB"/>
        </w:rPr>
      </w:pPr>
      <w:r>
        <w:rPr>
          <w:rtl/>
        </w:rPr>
        <w:tab/>
      </w:r>
      <w:r w:rsidR="00565A13">
        <w:rPr>
          <w:rtl/>
        </w:rPr>
        <w:t>تاسعا</w:t>
      </w:r>
      <w:r>
        <w:rPr>
          <w:rFonts w:hint="cs"/>
          <w:rtl/>
        </w:rPr>
        <w:t>ً</w:t>
      </w:r>
      <w:r w:rsidR="00565A13">
        <w:rPr>
          <w:rtl/>
        </w:rPr>
        <w:t>-</w:t>
      </w:r>
      <w:r w:rsidR="00565A13">
        <w:rPr>
          <w:rtl/>
        </w:rPr>
        <w:tab/>
        <w:t>التعاون مع الهيئات الأخرى</w:t>
      </w:r>
    </w:p>
    <w:p w14:paraId="06306462" w14:textId="62C0C370" w:rsidR="00565A13" w:rsidRPr="001461C4" w:rsidRDefault="003A6715" w:rsidP="003A6715">
      <w:pPr>
        <w:pStyle w:val="H1GA"/>
        <w:rPr>
          <w:szCs w:val="20"/>
          <w:lang w:val="ar-SA" w:eastAsia="zh-TW" w:bidi="en-GB"/>
        </w:rPr>
      </w:pPr>
      <w:r>
        <w:rPr>
          <w:rtl/>
        </w:rPr>
        <w:tab/>
      </w:r>
      <w:r w:rsidR="00565A13">
        <w:rPr>
          <w:rtl/>
        </w:rPr>
        <w:t>ألف-</w:t>
      </w:r>
      <w:r w:rsidR="00565A13">
        <w:rPr>
          <w:rtl/>
        </w:rPr>
        <w:tab/>
        <w:t>التعاون مع أجهزة الأمم المتحدة ووكالاتها المتخصِّصة</w:t>
      </w:r>
    </w:p>
    <w:p w14:paraId="0987B5BB" w14:textId="216C7A8B" w:rsidR="00565A13" w:rsidRPr="001461C4" w:rsidRDefault="003A6715" w:rsidP="003A6715">
      <w:pPr>
        <w:pStyle w:val="SingleTxtGA"/>
        <w:rPr>
          <w:szCs w:val="20"/>
          <w:lang w:val="ar-SA" w:eastAsia="zh-TW" w:bidi="en-GB"/>
        </w:rPr>
      </w:pPr>
      <w:r w:rsidRPr="001461C4">
        <w:rPr>
          <w:lang w:val="en-US" w:eastAsia="zh-TW" w:bidi="en-GB"/>
        </w:rPr>
        <w:t>14</w:t>
      </w:r>
      <w:r w:rsidR="00F72606">
        <w:rPr>
          <w:rtl/>
          <w:lang w:val="en-US" w:eastAsia="zh-TW"/>
        </w:rPr>
        <w:t>-</w:t>
      </w:r>
      <w:r w:rsidR="00F72606">
        <w:rPr>
          <w:rtl/>
          <w:lang w:val="en-US" w:eastAsia="zh-TW"/>
        </w:rPr>
        <w:tab/>
      </w:r>
      <w:r w:rsidR="00565A13">
        <w:rPr>
          <w:rtl/>
        </w:rPr>
        <w:t>في الجلسة الافتتاحية للدورة، أدلى ببيانات ممثلو وكالات الأمم المتحدة وإداراتها وبرامجها التالية: اللجنة الدائمة المعنية بمساعدة الضحايا والإدماج الاجتماعي - الاقتصادي بموجب اتفاقية حظر استعمال وتخزين وإنتاج ونقل الألغام المضادة للأفراد وتدمير تلك الألغام، ومنظمة العمل الدولية، والمنظمة العالمية للملكية الفكرية، ومنظمة الصحة العالمية، والمنظمة الدولية للهجرة.</w:t>
      </w:r>
    </w:p>
    <w:p w14:paraId="36538E44" w14:textId="18167C3A" w:rsidR="00565A13" w:rsidRPr="001461C4" w:rsidRDefault="003A6715" w:rsidP="003A6715">
      <w:pPr>
        <w:pStyle w:val="H1GA"/>
        <w:rPr>
          <w:szCs w:val="20"/>
          <w:lang w:val="ar-SA" w:eastAsia="zh-TW" w:bidi="en-GB"/>
        </w:rPr>
      </w:pPr>
      <w:r>
        <w:rPr>
          <w:rtl/>
        </w:rPr>
        <w:tab/>
      </w:r>
      <w:r w:rsidR="00565A13">
        <w:rPr>
          <w:rtl/>
        </w:rPr>
        <w:t>باء-</w:t>
      </w:r>
      <w:r w:rsidR="00565A13">
        <w:rPr>
          <w:rtl/>
        </w:rPr>
        <w:tab/>
        <w:t>التعاون مع المنظمات غير الحكومية ومع الهيئات الأخرى</w:t>
      </w:r>
    </w:p>
    <w:p w14:paraId="5F5B5569" w14:textId="4282B4C3" w:rsidR="00F748C4" w:rsidRPr="00F748C4" w:rsidRDefault="003A6715" w:rsidP="003A6715">
      <w:pPr>
        <w:pStyle w:val="SingleTxtGA"/>
        <w:rPr>
          <w:szCs w:val="20"/>
          <w:lang w:val="en-US" w:eastAsia="zh-TW" w:bidi="en-GB"/>
        </w:rPr>
      </w:pPr>
      <w:bookmarkStart w:id="3" w:name="_Hlk116468294"/>
      <w:r w:rsidRPr="001461C4">
        <w:rPr>
          <w:lang w:val="en-US" w:eastAsia="zh-TW" w:bidi="en-GB"/>
        </w:rPr>
        <w:t>15</w:t>
      </w:r>
      <w:r w:rsidR="00F72606">
        <w:rPr>
          <w:rtl/>
          <w:lang w:val="en-US" w:eastAsia="zh-TW"/>
        </w:rPr>
        <w:t>-</w:t>
      </w:r>
      <w:r w:rsidR="00F72606">
        <w:rPr>
          <w:rtl/>
          <w:lang w:val="en-US" w:eastAsia="zh-TW"/>
        </w:rPr>
        <w:tab/>
      </w:r>
      <w:r w:rsidR="00565A13">
        <w:rPr>
          <w:rtl/>
        </w:rPr>
        <w:t xml:space="preserve">في الجلسة الافتتاحية للدورة، خاطب اللجنة ممثلون عن التحالف الدولي المعني بقضايا الإعاقة، والتحالف الدولي المعني بحقوق الاتصال، ومؤسسة </w:t>
      </w:r>
      <w:proofErr w:type="spellStart"/>
      <w:r w:rsidR="00565A13">
        <w:rPr>
          <w:rtl/>
        </w:rPr>
        <w:t>ساراكي</w:t>
      </w:r>
      <w:proofErr w:type="spellEnd"/>
      <w:r w:rsidR="00565A13">
        <w:rPr>
          <w:rtl/>
        </w:rPr>
        <w:t>، والجهاز القضائي لمدينة بوينس آيرس، ورابطة الدفاع عن المصابين بمتلازمة داون في جمهورية الأرجنتين، ومشروع الشراكة في مجال الإعاقة والبيانات في جامعة يورك (كندا</w:t>
      </w:r>
      <w:bookmarkEnd w:id="3"/>
      <w:r w:rsidR="00F748C4" w:rsidRPr="00F748C4">
        <w:rPr>
          <w:rtl/>
        </w:rPr>
        <w:t>).</w:t>
      </w:r>
    </w:p>
    <w:p w14:paraId="26F9CB58" w14:textId="4DE87722" w:rsidR="00565A13" w:rsidRPr="007B5A54" w:rsidRDefault="003A6715" w:rsidP="003A6715">
      <w:pPr>
        <w:pStyle w:val="SingleTxtGA"/>
        <w:rPr>
          <w:szCs w:val="20"/>
          <w:lang w:val="en-US" w:eastAsia="zh-TW" w:bidi="en-GB"/>
        </w:rPr>
      </w:pPr>
      <w:r w:rsidRPr="001461C4">
        <w:rPr>
          <w:lang w:val="en-US" w:eastAsia="zh-TW" w:bidi="en-GB"/>
        </w:rPr>
        <w:t>16</w:t>
      </w:r>
      <w:r w:rsidR="00F72606">
        <w:rPr>
          <w:rtl/>
          <w:lang w:val="en-US" w:eastAsia="zh-TW"/>
        </w:rPr>
        <w:t>-</w:t>
      </w:r>
      <w:r w:rsidR="00F72606">
        <w:rPr>
          <w:rtl/>
          <w:lang w:val="en-US" w:eastAsia="zh-TW"/>
        </w:rPr>
        <w:tab/>
      </w:r>
      <w:r w:rsidR="00565A13">
        <w:rPr>
          <w:rtl/>
        </w:rPr>
        <w:t xml:space="preserve">وشارك ممثلو آلية الرصد المستقلة لنيوزيلندا والمؤسسات الوطنية لحقوق الإنسان في إندونيسيا وجمهورية كوريا في الاستعراض العلني الذي أجرته اللجنة للتقرير الأولي لكل من نيوزيلندا وإندونيسيا وجمهورية كوريا على التوالي. وخلال الاجتماعات الخاصة عن الحالات القطرية، أتيح للجنة فرصة جمع المعلومات والتفاعل مع منظمات عدة للأشخاص ذوي الإعاقة، ومنظمات المجتمع المدني، وأطر الرصد المستقلة، بما في ذلك المؤسسات الوطنية لحقوق الإنسان. </w:t>
      </w:r>
    </w:p>
    <w:p w14:paraId="57FAAD62" w14:textId="3940CD2D" w:rsidR="00565A13" w:rsidRPr="002438A9" w:rsidRDefault="003A6715" w:rsidP="00F72606">
      <w:pPr>
        <w:pStyle w:val="SingleTxtGA"/>
        <w:rPr>
          <w:szCs w:val="20"/>
          <w:lang w:val="en-US" w:eastAsia="zh-TW" w:bidi="en-GB"/>
        </w:rPr>
      </w:pPr>
      <w:r>
        <w:rPr>
          <w:lang w:val="en-US" w:eastAsia="zh-TW" w:bidi="en-GB"/>
        </w:rPr>
        <w:t>17</w:t>
      </w:r>
      <w:r w:rsidR="00F72606">
        <w:rPr>
          <w:rtl/>
          <w:lang w:val="en-US" w:eastAsia="zh-TW"/>
        </w:rPr>
        <w:t>-</w:t>
      </w:r>
      <w:r w:rsidR="00F72606">
        <w:rPr>
          <w:rtl/>
          <w:lang w:val="en-US" w:eastAsia="zh-TW"/>
        </w:rPr>
        <w:tab/>
      </w:r>
      <w:r w:rsidR="00565A13">
        <w:rPr>
          <w:rtl/>
        </w:rPr>
        <w:t>وفي الجلسة الختامية للدورة، خاطبت المنظمات والهيئات التالية اللجنة: التحالف الدولي المعني بقضايا الإعاقة، والتحالف من أجل تحويل المجتمعات المحلية لإدماج الأشخاص ذوي الإعاقة، ومركز حقوق الإنسان لمستخدمي الطب النفسي والناجين منه.</w:t>
      </w:r>
    </w:p>
    <w:p w14:paraId="46DA6E34" w14:textId="359B71B8" w:rsidR="00565A13" w:rsidRPr="001461C4" w:rsidRDefault="00B378FC" w:rsidP="00F72606">
      <w:pPr>
        <w:pStyle w:val="HChGA"/>
        <w:rPr>
          <w:szCs w:val="20"/>
          <w:lang w:val="ar-SA" w:eastAsia="zh-TW" w:bidi="en-GB"/>
        </w:rPr>
      </w:pPr>
      <w:r>
        <w:rPr>
          <w:rtl/>
        </w:rPr>
        <w:lastRenderedPageBreak/>
        <w:tab/>
      </w:r>
      <w:r w:rsidR="00565A13">
        <w:rPr>
          <w:rtl/>
        </w:rPr>
        <w:t>عاشرا</w:t>
      </w:r>
      <w:r>
        <w:rPr>
          <w:rFonts w:hint="cs"/>
          <w:rtl/>
        </w:rPr>
        <w:t>ً</w:t>
      </w:r>
      <w:r w:rsidR="00565A13">
        <w:rPr>
          <w:rtl/>
        </w:rPr>
        <w:t>-</w:t>
      </w:r>
      <w:r w:rsidR="00565A13">
        <w:rPr>
          <w:rtl/>
        </w:rPr>
        <w:tab/>
        <w:t>النظر في التقارير المقدمة وفق</w:t>
      </w:r>
      <w:r w:rsidR="00AE5EB3">
        <w:rPr>
          <w:rtl/>
        </w:rPr>
        <w:t xml:space="preserve">اً </w:t>
      </w:r>
      <w:r w:rsidR="00565A13">
        <w:rPr>
          <w:rtl/>
        </w:rPr>
        <w:t xml:space="preserve">للمادة </w:t>
      </w:r>
      <w:r w:rsidR="00565A13" w:rsidRPr="00565A13">
        <w:rPr>
          <w:rtl/>
        </w:rPr>
        <w:t>35</w:t>
      </w:r>
      <w:r w:rsidR="00565A13">
        <w:rPr>
          <w:rtl/>
        </w:rPr>
        <w:t xml:space="preserve"> من الاتفاقية</w:t>
      </w:r>
    </w:p>
    <w:p w14:paraId="44C2A66B" w14:textId="0D18EA1E" w:rsidR="00565A13" w:rsidRPr="000A7A2A" w:rsidRDefault="003A6715" w:rsidP="00F72606">
      <w:pPr>
        <w:pStyle w:val="SingleTxtGA"/>
        <w:rPr>
          <w:szCs w:val="20"/>
          <w:lang w:val="ar-SA" w:eastAsia="zh-TW" w:bidi="en-GB"/>
        </w:rPr>
      </w:pPr>
      <w:r w:rsidRPr="000A7A2A">
        <w:rPr>
          <w:lang w:val="en-US" w:eastAsia="zh-TW" w:bidi="en-GB"/>
        </w:rPr>
        <w:t>18</w:t>
      </w:r>
      <w:r w:rsidR="00F72606">
        <w:rPr>
          <w:rtl/>
          <w:lang w:val="en-US" w:eastAsia="zh-TW"/>
        </w:rPr>
        <w:t>-</w:t>
      </w:r>
      <w:r w:rsidR="00F72606">
        <w:rPr>
          <w:rtl/>
          <w:lang w:val="en-US" w:eastAsia="zh-TW"/>
        </w:rPr>
        <w:tab/>
      </w:r>
      <w:r w:rsidR="00565A13">
        <w:rPr>
          <w:rtl/>
        </w:rPr>
        <w:t>عقدت اللجنة ثمانية حوارات بناءة، كان الحضور في سبعة منها شخصي</w:t>
      </w:r>
      <w:r w:rsidR="00AE5EB3">
        <w:rPr>
          <w:rtl/>
        </w:rPr>
        <w:t xml:space="preserve">اً </w:t>
      </w:r>
      <w:r w:rsidR="00565A13">
        <w:rPr>
          <w:rtl/>
        </w:rPr>
        <w:t>بينما كان في شكل مختلط في حوار واحد. ونظرت اللجنة في التقارير الأولية لكل من إندونيسيا، وبنغلاديش، وجمهورية لاو الديمقراطية الشعبية، وسنغافورة، واليابان</w:t>
      </w:r>
      <w:r w:rsidR="00F748C4">
        <w:rPr>
          <w:rStyle w:val="FootnoteReference"/>
          <w:rtl/>
        </w:rPr>
        <w:t>(</w:t>
      </w:r>
      <w:r w:rsidR="00F748C4" w:rsidRPr="000A7A2A">
        <w:rPr>
          <w:rStyle w:val="FootnoteReference"/>
          <w:rtl/>
        </w:rPr>
        <w:footnoteReference w:id="7"/>
      </w:r>
      <w:r w:rsidR="00F748C4" w:rsidRPr="00F748C4">
        <w:rPr>
          <w:rStyle w:val="FootnoteReference"/>
          <w:rtl/>
        </w:rPr>
        <w:t>)</w:t>
      </w:r>
      <w:r w:rsidR="00F748C4" w:rsidRPr="00F748C4">
        <w:rPr>
          <w:rFonts w:hint="cs"/>
          <w:rtl/>
        </w:rPr>
        <w:t>.</w:t>
      </w:r>
      <w:r w:rsidR="00F748C4" w:rsidRPr="00F748C4">
        <w:rPr>
          <w:rtl/>
        </w:rPr>
        <w:t xml:space="preserve"> </w:t>
      </w:r>
      <w:r w:rsidR="00565A13">
        <w:rPr>
          <w:rtl/>
        </w:rPr>
        <w:t>ونظرت اللجنة في التقريرين الدوريين الثاني والثالث المجمعين لكل من: الصين، بما في ذلك هونغ كونغ، الصين، وماكاو، الصين؛ ونيوزيلندا؛ وجمهورية كوريا</w:t>
      </w:r>
      <w:r w:rsidR="00F748C4">
        <w:rPr>
          <w:rStyle w:val="FootnoteReference"/>
          <w:rtl/>
        </w:rPr>
        <w:t>(</w:t>
      </w:r>
      <w:r w:rsidR="00F748C4" w:rsidRPr="000A7A2A">
        <w:rPr>
          <w:rStyle w:val="FootnoteReference"/>
          <w:rtl/>
        </w:rPr>
        <w:footnoteReference w:id="8"/>
      </w:r>
      <w:r w:rsidR="00F748C4" w:rsidRPr="00F748C4">
        <w:rPr>
          <w:rStyle w:val="FootnoteReference"/>
          <w:rtl/>
        </w:rPr>
        <w:t>)</w:t>
      </w:r>
      <w:r w:rsidR="00F748C4" w:rsidRPr="00F748C4">
        <w:rPr>
          <w:rFonts w:hint="cs"/>
          <w:rtl/>
        </w:rPr>
        <w:t>.</w:t>
      </w:r>
      <w:r w:rsidR="00F748C4" w:rsidRPr="00F748C4">
        <w:rPr>
          <w:rtl/>
        </w:rPr>
        <w:t xml:space="preserve"> </w:t>
      </w:r>
      <w:r w:rsidR="00565A13">
        <w:rPr>
          <w:rtl/>
        </w:rPr>
        <w:t>واعتمدت اللجنة الملاحظات الختامية المتعلقة بهذه التقارير</w:t>
      </w:r>
      <w:r w:rsidR="00F748C4">
        <w:rPr>
          <w:rStyle w:val="FootnoteReference"/>
          <w:rtl/>
        </w:rPr>
        <w:t>(</w:t>
      </w:r>
      <w:r w:rsidR="00F748C4" w:rsidRPr="000A7A2A">
        <w:rPr>
          <w:rStyle w:val="FootnoteReference"/>
          <w:rtl/>
        </w:rPr>
        <w:footnoteReference w:id="9"/>
      </w:r>
      <w:r w:rsidR="00F748C4" w:rsidRPr="00F748C4">
        <w:rPr>
          <w:rStyle w:val="FootnoteReference"/>
          <w:rtl/>
        </w:rPr>
        <w:t>)</w:t>
      </w:r>
      <w:r w:rsidR="00F748C4" w:rsidRPr="00F748C4">
        <w:rPr>
          <w:rFonts w:hint="cs"/>
          <w:rtl/>
        </w:rPr>
        <w:t>.</w:t>
      </w:r>
      <w:r w:rsidR="00F748C4" w:rsidRPr="00F748C4">
        <w:rPr>
          <w:rtl/>
        </w:rPr>
        <w:t xml:space="preserve"> </w:t>
      </w:r>
      <w:r w:rsidR="00565A13">
        <w:rPr>
          <w:rtl/>
        </w:rPr>
        <w:t>ويمكن الاطلاع في المرفق الثاني لهذا التقرير على قائمة بالدول الأطراف التي تأخرت في تقديم تقاريرها الأولية لأكثر من خمس سنوات.</w:t>
      </w:r>
      <w:bookmarkStart w:id="4" w:name="_Hlk116475971"/>
      <w:bookmarkStart w:id="5" w:name="_Hlk116475963"/>
      <w:bookmarkEnd w:id="4"/>
      <w:bookmarkEnd w:id="5"/>
    </w:p>
    <w:p w14:paraId="7A77356D" w14:textId="783147E3" w:rsidR="00565A13" w:rsidRPr="00BB5B2C" w:rsidRDefault="00F72606" w:rsidP="00F72606">
      <w:pPr>
        <w:pStyle w:val="HChGA"/>
        <w:rPr>
          <w:rFonts w:ascii="Times New Roman Bold" w:hAnsi="Times New Roman Bold" w:hint="eastAsia"/>
          <w:spacing w:val="-6"/>
          <w:szCs w:val="20"/>
          <w:lang w:val="ar-SA" w:eastAsia="zh-TW" w:bidi="en-GB"/>
        </w:rPr>
      </w:pPr>
      <w:r>
        <w:rPr>
          <w:rtl/>
        </w:rPr>
        <w:tab/>
      </w:r>
      <w:r w:rsidR="00565A13" w:rsidRPr="000D2B6B">
        <w:rPr>
          <w:sz w:val="28"/>
          <w:szCs w:val="28"/>
          <w:rtl/>
        </w:rPr>
        <w:t>حادي عشر-</w:t>
      </w:r>
      <w:r w:rsidR="00565A13">
        <w:rPr>
          <w:rtl/>
        </w:rPr>
        <w:tab/>
        <w:t xml:space="preserve">حالة الأشخاص ذوي الإعاقة في أوكرانيا وفي البلدان التي فروا إليها منذ </w:t>
      </w:r>
      <w:r w:rsidR="00565A13" w:rsidRPr="00BB5B2C">
        <w:rPr>
          <w:rFonts w:ascii="Times New Roman Bold" w:hAnsi="Times New Roman Bold"/>
          <w:spacing w:val="-6"/>
          <w:rtl/>
        </w:rPr>
        <w:t>24 شباط/فبراير 2022، نتيجة للعدوان الذي شنه الاتحاد الروسي على أوكرانيا</w:t>
      </w:r>
    </w:p>
    <w:p w14:paraId="768788AD" w14:textId="4C8FB10D" w:rsidR="00F748C4" w:rsidRPr="00F748C4" w:rsidRDefault="003A6715" w:rsidP="00F72606">
      <w:pPr>
        <w:pStyle w:val="SingleTxtGA"/>
        <w:rPr>
          <w:rStyle w:val="FootnoteReference"/>
          <w:lang w:val="ar-SA" w:eastAsia="zh-TW" w:bidi="en-GB"/>
        </w:rPr>
      </w:pPr>
      <w:r w:rsidRPr="00CB6ECF">
        <w:rPr>
          <w:rStyle w:val="FootnoteReference"/>
          <w:szCs w:val="20"/>
          <w:vertAlign w:val="baseline"/>
          <w:lang w:val="en-US" w:eastAsia="zh-TW" w:bidi="en-GB"/>
        </w:rPr>
        <w:t>19</w:t>
      </w:r>
      <w:r w:rsidR="00F72606">
        <w:rPr>
          <w:rStyle w:val="FootnoteReference"/>
          <w:szCs w:val="20"/>
          <w:vertAlign w:val="baseline"/>
          <w:rtl/>
          <w:lang w:val="en-US" w:eastAsia="zh-TW"/>
        </w:rPr>
        <w:t>-</w:t>
      </w:r>
      <w:r w:rsidR="00F72606">
        <w:rPr>
          <w:rStyle w:val="FootnoteReference"/>
          <w:szCs w:val="20"/>
          <w:vertAlign w:val="baseline"/>
          <w:rtl/>
          <w:lang w:val="en-US" w:eastAsia="zh-TW"/>
        </w:rPr>
        <w:tab/>
      </w:r>
      <w:r w:rsidR="00565A13">
        <w:rPr>
          <w:rtl/>
        </w:rPr>
        <w:t xml:space="preserve">منذ </w:t>
      </w:r>
      <w:r w:rsidR="00565A13" w:rsidRPr="00565A13">
        <w:rPr>
          <w:rtl/>
        </w:rPr>
        <w:t>24</w:t>
      </w:r>
      <w:r w:rsidR="00565A13">
        <w:rPr>
          <w:rtl/>
        </w:rPr>
        <w:t xml:space="preserve"> شباط/فبراير </w:t>
      </w:r>
      <w:r w:rsidR="00565A13" w:rsidRPr="00565A13">
        <w:rPr>
          <w:rtl/>
        </w:rPr>
        <w:t>2022</w:t>
      </w:r>
      <w:r w:rsidR="00565A13">
        <w:rPr>
          <w:rtl/>
        </w:rPr>
        <w:t>، تلقت اللجنة معلومات تزعم حدوث انتهاكات خطيرة لحقوق الإنسان للأشخاص ذوي الإعاقة في سياق العدوان الذي شنه الاتحاد الروسي على أوكرانيا</w:t>
      </w:r>
      <w:r w:rsidR="00F748C4">
        <w:rPr>
          <w:rStyle w:val="FootnoteReference"/>
          <w:rtl/>
        </w:rPr>
        <w:t>(</w:t>
      </w:r>
      <w:r w:rsidR="00F748C4" w:rsidRPr="00CB6ECF">
        <w:rPr>
          <w:rStyle w:val="FootnoteReference"/>
          <w:rtl/>
        </w:rPr>
        <w:footnoteReference w:id="10"/>
      </w:r>
      <w:r w:rsidR="00F748C4" w:rsidRPr="00F748C4">
        <w:rPr>
          <w:rStyle w:val="FootnoteReference"/>
          <w:rtl/>
        </w:rPr>
        <w:t>)</w:t>
      </w:r>
      <w:r w:rsidR="00F748C4" w:rsidRPr="00F748C4">
        <w:rPr>
          <w:rtl/>
        </w:rPr>
        <w:t>.</w:t>
      </w:r>
    </w:p>
    <w:p w14:paraId="057E38F6" w14:textId="1C6AF74A" w:rsidR="00565A13" w:rsidRPr="001461C4" w:rsidRDefault="003A6715" w:rsidP="00F72606">
      <w:pPr>
        <w:pStyle w:val="SingleTxtGA"/>
        <w:rPr>
          <w:szCs w:val="20"/>
          <w:lang w:val="ar-SA" w:eastAsia="zh-TW" w:bidi="en-GB"/>
        </w:rPr>
      </w:pPr>
      <w:r w:rsidRPr="001461C4">
        <w:rPr>
          <w:lang w:val="en-US" w:eastAsia="zh-TW" w:bidi="en-GB"/>
        </w:rPr>
        <w:t>20</w:t>
      </w:r>
      <w:r w:rsidR="00F72606">
        <w:rPr>
          <w:rtl/>
          <w:lang w:val="en-US" w:eastAsia="zh-TW"/>
        </w:rPr>
        <w:t>-</w:t>
      </w:r>
      <w:r w:rsidR="00F72606">
        <w:rPr>
          <w:rtl/>
          <w:lang w:val="en-US" w:eastAsia="zh-TW"/>
        </w:rPr>
        <w:tab/>
      </w:r>
      <w:r w:rsidR="00565A13">
        <w:rPr>
          <w:rtl/>
        </w:rPr>
        <w:t xml:space="preserve">وبموجب المادة </w:t>
      </w:r>
      <w:r w:rsidR="00565A13" w:rsidRPr="00565A13">
        <w:rPr>
          <w:rtl/>
        </w:rPr>
        <w:t>36</w:t>
      </w:r>
      <w:r w:rsidR="00565A13">
        <w:rPr>
          <w:rFonts w:ascii="Traditional Arabic"/>
          <w:szCs w:val="20"/>
          <w:rtl/>
        </w:rPr>
        <w:t>(</w:t>
      </w:r>
      <w:r w:rsidR="00F748C4" w:rsidRPr="00F748C4">
        <w:rPr>
          <w:rtl/>
        </w:rPr>
        <w:t>1</w:t>
      </w:r>
      <w:r w:rsidR="00F748C4" w:rsidRPr="00F748C4">
        <w:rPr>
          <w:rFonts w:ascii="Traditional Arabic"/>
          <w:szCs w:val="20"/>
          <w:rtl/>
        </w:rPr>
        <w:t>)</w:t>
      </w:r>
      <w:r w:rsidR="00F748C4" w:rsidRPr="00F748C4">
        <w:rPr>
          <w:rtl/>
        </w:rPr>
        <w:t xml:space="preserve"> </w:t>
      </w:r>
      <w:r w:rsidR="00565A13">
        <w:rPr>
          <w:rtl/>
        </w:rPr>
        <w:t>من الاتفاقية، يجوز للجنة أن تطلب إلى الدول الأطراف ذات الصلة بالاتفاقية، في أي وقت، معلومات إضافية ذات صلة بتنفيذ الاتفاقية.</w:t>
      </w:r>
    </w:p>
    <w:p w14:paraId="565BFBCC" w14:textId="509C943A" w:rsidR="00565A13" w:rsidRPr="001461C4" w:rsidRDefault="003A6715" w:rsidP="000839BA">
      <w:pPr>
        <w:pStyle w:val="SingleTxtGA"/>
        <w:rPr>
          <w:szCs w:val="20"/>
          <w:lang w:val="ar-SA" w:eastAsia="zh-TW" w:bidi="en-GB"/>
        </w:rPr>
      </w:pPr>
      <w:r w:rsidRPr="001461C4">
        <w:rPr>
          <w:lang w:val="en-US" w:eastAsia="zh-TW" w:bidi="en-GB"/>
        </w:rPr>
        <w:t>21</w:t>
      </w:r>
      <w:r w:rsidR="00F72606">
        <w:rPr>
          <w:rtl/>
          <w:lang w:val="en-US" w:eastAsia="zh-TW"/>
        </w:rPr>
        <w:t>-</w:t>
      </w:r>
      <w:r w:rsidR="00F72606">
        <w:rPr>
          <w:rtl/>
          <w:lang w:val="en-US" w:eastAsia="zh-TW"/>
        </w:rPr>
        <w:tab/>
      </w:r>
      <w:r w:rsidR="00565A13">
        <w:rPr>
          <w:rtl/>
        </w:rPr>
        <w:t>وطلبت اللجنة معلومات خطية من الدول الأطراف المعنية التالية، بما فيها الدول التي استقبلت، وفق</w:t>
      </w:r>
      <w:r w:rsidR="00AF1323">
        <w:rPr>
          <w:rtl/>
        </w:rPr>
        <w:t xml:space="preserve">اً </w:t>
      </w:r>
      <w:r w:rsidR="00565A13">
        <w:rPr>
          <w:rtl/>
        </w:rPr>
        <w:t>لمفوض الأمم المتحدة السامي لشؤون اللاجئين، أعداد</w:t>
      </w:r>
      <w:r w:rsidR="00AF1323">
        <w:rPr>
          <w:rtl/>
        </w:rPr>
        <w:t xml:space="preserve">اً </w:t>
      </w:r>
      <w:r w:rsidR="00565A13">
        <w:rPr>
          <w:rtl/>
        </w:rPr>
        <w:t>كبيرة من ملتمسي اللجوء الأوكرانيين: الاتحاد الأوروبي، والاتحاد الروسي، وإستونيا، وألمانيا، وأوكرانيا، وإيطاليا، وبلغاريا، وبولندا، وبيلاروس، وتركيا، وتشيكيا، وجمهورية مولدوفا، ورومانيا، وسلوفاكيا، والسويد، وفنلندا، ولاتفيا، وليتوانيا، وهنغاريا. وقدمت الدول الأطراف التالية ملاحظات خطية: أوكرانيا، وإيطاليا، وبلغاريا، وبيلاروس، وجمهورية مولدوفا، وفنلندا، ولاتفيا، وليتوانيا، وهنغاريا.</w:t>
      </w:r>
    </w:p>
    <w:p w14:paraId="21D7B76C" w14:textId="392B6645" w:rsidR="00565A13" w:rsidRPr="001461C4" w:rsidRDefault="003A6715" w:rsidP="000839BA">
      <w:pPr>
        <w:pStyle w:val="SingleTxtGA"/>
        <w:rPr>
          <w:szCs w:val="20"/>
          <w:lang w:val="ar-SA" w:eastAsia="zh-TW" w:bidi="en-GB"/>
        </w:rPr>
      </w:pPr>
      <w:r w:rsidRPr="001461C4">
        <w:rPr>
          <w:lang w:val="en-US" w:eastAsia="zh-TW" w:bidi="en-GB"/>
        </w:rPr>
        <w:t>22</w:t>
      </w:r>
      <w:r w:rsidR="00F72606">
        <w:rPr>
          <w:rtl/>
          <w:lang w:val="en-US" w:eastAsia="zh-TW"/>
        </w:rPr>
        <w:t>-</w:t>
      </w:r>
      <w:r w:rsidR="00F72606">
        <w:rPr>
          <w:rtl/>
          <w:lang w:val="en-US" w:eastAsia="zh-TW"/>
        </w:rPr>
        <w:tab/>
      </w:r>
      <w:r w:rsidR="00565A13">
        <w:rPr>
          <w:rtl/>
        </w:rPr>
        <w:t xml:space="preserve">وعقدت اللجنة اجتماعين مغلقين مع المنظمات الأوكرانية للأشخاص ذوي الإعاقة ومنظمات </w:t>
      </w:r>
      <w:r w:rsidR="00565A13" w:rsidRPr="002438A9">
        <w:rPr>
          <w:spacing w:val="-4"/>
          <w:rtl/>
        </w:rPr>
        <w:t xml:space="preserve">المجتمع المدني وكيانات الأمم المتحدة، يومي 15 </w:t>
      </w:r>
      <w:proofErr w:type="spellStart"/>
      <w:r w:rsidR="00565A13" w:rsidRPr="002438A9">
        <w:rPr>
          <w:spacing w:val="-4"/>
          <w:rtl/>
        </w:rPr>
        <w:t>و16</w:t>
      </w:r>
      <w:proofErr w:type="spellEnd"/>
      <w:r w:rsidR="00565A13" w:rsidRPr="002438A9">
        <w:rPr>
          <w:spacing w:val="-4"/>
          <w:rtl/>
        </w:rPr>
        <w:t xml:space="preserve"> آب/أغسطس 202</w:t>
      </w:r>
      <w:r w:rsidR="00F748C4" w:rsidRPr="002438A9">
        <w:rPr>
          <w:spacing w:val="-4"/>
          <w:rtl/>
        </w:rPr>
        <w:t>2</w:t>
      </w:r>
      <w:r w:rsidR="00F748C4" w:rsidRPr="002438A9">
        <w:rPr>
          <w:rFonts w:ascii="Traditional Arabic"/>
          <w:spacing w:val="-4"/>
          <w:szCs w:val="20"/>
          <w:rtl/>
        </w:rPr>
        <w:t>.</w:t>
      </w:r>
      <w:r w:rsidR="00F748C4" w:rsidRPr="002438A9">
        <w:rPr>
          <w:spacing w:val="-4"/>
          <w:rtl/>
        </w:rPr>
        <w:t xml:space="preserve"> </w:t>
      </w:r>
      <w:r w:rsidR="00565A13" w:rsidRPr="002438A9">
        <w:rPr>
          <w:spacing w:val="-4"/>
          <w:rtl/>
        </w:rPr>
        <w:t>وفي 17 آب/أغسطس 2022،</w:t>
      </w:r>
      <w:r w:rsidR="00565A13">
        <w:rPr>
          <w:rtl/>
        </w:rPr>
        <w:t xml:space="preserve"> أجرت اللجنة حوار</w:t>
      </w:r>
      <w:r w:rsidR="00AF1323">
        <w:rPr>
          <w:rtl/>
        </w:rPr>
        <w:t xml:space="preserve">اً </w:t>
      </w:r>
      <w:r w:rsidR="00565A13">
        <w:rPr>
          <w:rtl/>
        </w:rPr>
        <w:t>عام</w:t>
      </w:r>
      <w:r w:rsidR="00AF1323">
        <w:rPr>
          <w:rtl/>
        </w:rPr>
        <w:t xml:space="preserve">اً </w:t>
      </w:r>
      <w:r w:rsidR="00565A13">
        <w:rPr>
          <w:rtl/>
        </w:rPr>
        <w:t xml:space="preserve">مع الدول الأطراف التالية، التي أعربت عن اهتمامها بتقديم معلومات مستكملة عن حالة الأشخاص ذوي الإعاقة المتأثرين بالنزاع المسلح: الاتحاد الأوروبي، أوكرانيا، وتركيا، وجمهورية مولدوفا، ولاتفيا، وليتوانيا. </w:t>
      </w:r>
      <w:bookmarkStart w:id="6" w:name="_Hlk112921409"/>
      <w:bookmarkEnd w:id="6"/>
    </w:p>
    <w:p w14:paraId="6BA47CCE" w14:textId="5E13408F" w:rsidR="00565A13" w:rsidRPr="001461C4" w:rsidRDefault="003A6715" w:rsidP="000839BA">
      <w:pPr>
        <w:pStyle w:val="SingleTxtGA"/>
        <w:rPr>
          <w:szCs w:val="20"/>
          <w:lang w:val="ar-SA" w:eastAsia="zh-TW" w:bidi="en-GB"/>
        </w:rPr>
      </w:pPr>
      <w:r w:rsidRPr="001461C4">
        <w:rPr>
          <w:lang w:val="en-US" w:eastAsia="zh-TW" w:bidi="en-GB"/>
        </w:rPr>
        <w:t>23</w:t>
      </w:r>
      <w:r w:rsidR="00F72606">
        <w:rPr>
          <w:rtl/>
          <w:lang w:val="en-US" w:eastAsia="zh-TW"/>
        </w:rPr>
        <w:t>-</w:t>
      </w:r>
      <w:r w:rsidR="00F72606">
        <w:rPr>
          <w:rtl/>
          <w:lang w:val="en-US" w:eastAsia="zh-TW"/>
        </w:rPr>
        <w:tab/>
      </w:r>
      <w:r w:rsidR="00565A13">
        <w:rPr>
          <w:rtl/>
        </w:rPr>
        <w:t xml:space="preserve">وبموجب المادة </w:t>
      </w:r>
      <w:r w:rsidR="00565A13" w:rsidRPr="00565A13">
        <w:rPr>
          <w:rtl/>
        </w:rPr>
        <w:t>11</w:t>
      </w:r>
      <w:r w:rsidR="00565A13">
        <w:rPr>
          <w:rtl/>
        </w:rPr>
        <w:t xml:space="preserve"> من الاتفاقية، "تتعهد الدول الأطراف وفق</w:t>
      </w:r>
      <w:r w:rsidR="00AF1323">
        <w:rPr>
          <w:rtl/>
        </w:rPr>
        <w:t xml:space="preserve">اً </w:t>
      </w:r>
      <w:r w:rsidR="00565A13">
        <w:rPr>
          <w:rtl/>
        </w:rPr>
        <w:t xml:space="preserve">لمسؤولياتها الواردة في القانون الدولي، بما فيها القانون الإنساني الدولي وكذلك القانون الدولي لحقوق الإنسان، باتخاذ كافة التدابير الممكنة لضمان حماية وسلامة الأشخاص ذوي الإعاقة الذين يوجدون في حالات تتسم بالخطورة، بما في ذلك حالات النـزاع المسلح والطوارئ الإنسانية والكوارث الطبيعية". </w:t>
      </w:r>
    </w:p>
    <w:p w14:paraId="2054CB1F" w14:textId="2F4D48BB" w:rsidR="00565A13" w:rsidRPr="001461C4" w:rsidRDefault="003A6715" w:rsidP="000839BA">
      <w:pPr>
        <w:pStyle w:val="SingleTxtGA"/>
        <w:rPr>
          <w:szCs w:val="20"/>
          <w:lang w:val="ar-SA" w:eastAsia="zh-TW" w:bidi="en-GB"/>
        </w:rPr>
      </w:pPr>
      <w:r w:rsidRPr="001461C4">
        <w:rPr>
          <w:lang w:val="en-US" w:eastAsia="zh-TW" w:bidi="en-GB"/>
        </w:rPr>
        <w:lastRenderedPageBreak/>
        <w:t>24</w:t>
      </w:r>
      <w:r w:rsidR="00F72606">
        <w:rPr>
          <w:rtl/>
          <w:lang w:val="en-US" w:eastAsia="zh-TW"/>
        </w:rPr>
        <w:t>-</w:t>
      </w:r>
      <w:r w:rsidR="00F72606">
        <w:rPr>
          <w:rtl/>
          <w:lang w:val="en-US" w:eastAsia="zh-TW"/>
        </w:rPr>
        <w:tab/>
      </w:r>
      <w:r w:rsidR="00565A13">
        <w:rPr>
          <w:rtl/>
        </w:rPr>
        <w:t xml:space="preserve">وبموجب اتفاقية جنيف بشأن حماية الأشخاص المدنيين في وقت الحرب (اتفاقية جنيف </w:t>
      </w:r>
      <w:proofErr w:type="gramStart"/>
      <w:r w:rsidR="00565A13">
        <w:rPr>
          <w:rtl/>
        </w:rPr>
        <w:t>الرابعة</w:t>
      </w:r>
      <w:r w:rsidR="00F748C4" w:rsidRPr="00F748C4">
        <w:rPr>
          <w:rtl/>
        </w:rPr>
        <w:t>)،</w:t>
      </w:r>
      <w:proofErr w:type="gramEnd"/>
      <w:r w:rsidR="00F748C4" w:rsidRPr="00F748C4">
        <w:rPr>
          <w:rtl/>
        </w:rPr>
        <w:t xml:space="preserve"> </w:t>
      </w:r>
      <w:r w:rsidR="00565A13">
        <w:rPr>
          <w:rtl/>
        </w:rPr>
        <w:t xml:space="preserve">يتعين على الدول ضمان حماية وسلامة "الأشخاص المحميين"، بمن فيهم الأشخاص ذوو الإعاقة، دون أي تمييز ضار. ويُحظر التمييز في معاملة المدنيين والأشخاص العاجزين عن القتال لأي سبب آخر غير الأسباب الطبية. وبموجب المادة </w:t>
      </w:r>
      <w:r w:rsidR="00565A13" w:rsidRPr="00565A13">
        <w:rPr>
          <w:rtl/>
        </w:rPr>
        <w:t>27</w:t>
      </w:r>
      <w:r w:rsidR="00565A13">
        <w:rPr>
          <w:rtl/>
        </w:rPr>
        <w:t xml:space="preserve"> من اتفاقية جنيف الرابعة، يجب أن يعامل الأشخاص المحميون معاملة إنسانية في جميع الأوقات، ويجب حمايتهم بصفة خاصة من جميع أعمال العنف أو التهديد بها، ولهم، في جميع الاحوال، حق الاحترام لأشخاصهم وشرفهم وحقوقهم العائلية وعقائدهم الدينية وممارساتهم عاداتهم وتقاليدهم. وبموجب المواد من </w:t>
      </w:r>
      <w:r w:rsidR="00565A13" w:rsidRPr="00565A13">
        <w:rPr>
          <w:rtl/>
        </w:rPr>
        <w:t>31</w:t>
      </w:r>
      <w:r w:rsidR="00565A13">
        <w:rPr>
          <w:rtl/>
        </w:rPr>
        <w:t xml:space="preserve"> إلى </w:t>
      </w:r>
      <w:r w:rsidR="00565A13" w:rsidRPr="00565A13">
        <w:rPr>
          <w:rtl/>
        </w:rPr>
        <w:t>34</w:t>
      </w:r>
      <w:r w:rsidR="00565A13">
        <w:rPr>
          <w:rtl/>
        </w:rPr>
        <w:t>، يجب ألا يتعرض الأشخاص المحميون للإكراه أو التعذيب أو العقاب الجماعي ويجب ألا يُؤخذوا رهائن.</w:t>
      </w:r>
    </w:p>
    <w:p w14:paraId="70012778" w14:textId="77777777" w:rsidR="00565A13" w:rsidRPr="00F67B21" w:rsidRDefault="00565A13" w:rsidP="00F67B21">
      <w:pPr>
        <w:pStyle w:val="H23GA"/>
        <w:rPr>
          <w:szCs w:val="20"/>
          <w:lang w:val="en-US" w:eastAsia="zh-TW" w:bidi="en-GB"/>
        </w:rPr>
      </w:pPr>
      <w:r>
        <w:rPr>
          <w:rtl/>
        </w:rPr>
        <w:tab/>
      </w:r>
      <w:r>
        <w:rPr>
          <w:rtl/>
        </w:rPr>
        <w:tab/>
        <w:t>التدابير الإيجابية</w:t>
      </w:r>
    </w:p>
    <w:p w14:paraId="7754242C" w14:textId="1EC62089" w:rsidR="00565A13" w:rsidRPr="001461C4" w:rsidRDefault="003A6715" w:rsidP="000839BA">
      <w:pPr>
        <w:pStyle w:val="SingleTxtGA"/>
        <w:rPr>
          <w:szCs w:val="20"/>
          <w:lang w:val="ar-SA" w:eastAsia="zh-TW" w:bidi="en-GB"/>
        </w:rPr>
      </w:pPr>
      <w:r w:rsidRPr="001461C4">
        <w:rPr>
          <w:lang w:val="en-US" w:eastAsia="zh-TW" w:bidi="en-GB"/>
        </w:rPr>
        <w:t>25</w:t>
      </w:r>
      <w:r w:rsidR="00F72606">
        <w:rPr>
          <w:rtl/>
          <w:lang w:val="en-US" w:eastAsia="zh-TW"/>
        </w:rPr>
        <w:t>-</w:t>
      </w:r>
      <w:r w:rsidR="00F72606">
        <w:rPr>
          <w:rtl/>
          <w:lang w:val="en-US" w:eastAsia="zh-TW"/>
        </w:rPr>
        <w:tab/>
      </w:r>
      <w:r w:rsidR="00565A13">
        <w:rPr>
          <w:rtl/>
        </w:rPr>
        <w:t>ترحب اللجنة بعدة تدابير اتخذتها الدول الأطراف المعنية لحماية حقوق الأشخاص ذوي الإعاقة في سياق النزاع المسلح:</w:t>
      </w:r>
    </w:p>
    <w:p w14:paraId="71FC964E" w14:textId="60C55F35" w:rsidR="00565A13" w:rsidRPr="00BC072A" w:rsidRDefault="000839BA" w:rsidP="000839BA">
      <w:pPr>
        <w:pStyle w:val="SingleTxtGA"/>
        <w:rPr>
          <w:szCs w:val="20"/>
          <w:lang w:val="ar-SA" w:eastAsia="zh-TW" w:bidi="en-GB"/>
        </w:rPr>
      </w:pPr>
      <w:r>
        <w:rPr>
          <w:rtl/>
        </w:rPr>
        <w:tab/>
      </w:r>
      <w:r w:rsidR="00565A13">
        <w:rPr>
          <w:rtl/>
        </w:rPr>
        <w:t>(أ)</w:t>
      </w:r>
      <w:r w:rsidR="00565A13">
        <w:rPr>
          <w:rtl/>
        </w:rPr>
        <w:tab/>
        <w:t>أفادت أوكرانيا بأنها اتخذت تدابير لإدراج الأشخاص ذوي الإعاقة، ولا سيما الأطفال ذوي الإعاقة المقيمين في مؤسسات، في خطط الإجلاء؛ وتدابير لتسجيل المشردين داخلي</w:t>
      </w:r>
      <w:r w:rsidR="00AF1323">
        <w:rPr>
          <w:rtl/>
        </w:rPr>
        <w:t xml:space="preserve">اً </w:t>
      </w:r>
      <w:r w:rsidR="00565A13">
        <w:rPr>
          <w:rtl/>
        </w:rPr>
        <w:t>ذوي الإعاقة بصورة منهجية وضمان مستوى معيشي لائق لهم، بما في ذلك عن طريق ضمان وصولهم إلى خطط الحماية الاجتماعية، طوال فترة النزاع؛</w:t>
      </w:r>
    </w:p>
    <w:p w14:paraId="021F24F4" w14:textId="203224C6" w:rsidR="00565A13" w:rsidRPr="00BC072A" w:rsidRDefault="000839BA" w:rsidP="000839BA">
      <w:pPr>
        <w:pStyle w:val="SingleTxtGA"/>
        <w:rPr>
          <w:szCs w:val="20"/>
          <w:lang w:val="ar-SA" w:eastAsia="zh-TW" w:bidi="en-GB"/>
        </w:rPr>
      </w:pPr>
      <w:r>
        <w:rPr>
          <w:rtl/>
        </w:rPr>
        <w:tab/>
      </w:r>
      <w:r w:rsidR="00565A13">
        <w:rPr>
          <w:rtl/>
        </w:rPr>
        <w:t>(ب)</w:t>
      </w:r>
      <w:r w:rsidR="00565A13">
        <w:rPr>
          <w:rtl/>
        </w:rPr>
        <w:tab/>
        <w:t>أحاطت المديرية العامة لعمليات الحماية المدنية والمعونة الإنسانية الأوروبية، التابعة للاتحاد الأوروبي، اللجنة علم</w:t>
      </w:r>
      <w:r w:rsidR="00AF1323">
        <w:rPr>
          <w:rtl/>
        </w:rPr>
        <w:t xml:space="preserve">اً </w:t>
      </w:r>
      <w:r w:rsidR="00565A13">
        <w:rPr>
          <w:rtl/>
        </w:rPr>
        <w:t>بالتدابير المتخذة لإدماج الإعاقة في صلب استراتيجيات وبرامج الإغاثة الإنسانية التي يمولها الاتحاد الأوروبي في أوكرانيا وفي الدول الأعضاء في الاتحاد الأوروبي؛ وتسهيل الإجلاء الطبي للمواطنين الأوكرانيين المصابين بأمراض خطيرة أو الجرحى إلى الدول الأعضاء في الاتحاد الأوروبي من خلال آلية الحماية المدنية التابعة للاتحاد؛ وتيسير وصول الأشخاص ذوي الإعاقة إلى الأجهزة والمعدات المساعِدة؛</w:t>
      </w:r>
    </w:p>
    <w:p w14:paraId="7FD9466E" w14:textId="6BD63891" w:rsidR="00565A13" w:rsidRPr="004D291C" w:rsidRDefault="000839BA" w:rsidP="000839BA">
      <w:pPr>
        <w:pStyle w:val="SingleTxtGA"/>
        <w:rPr>
          <w:lang w:val="ar-SA" w:eastAsia="zh-TW" w:bidi="en-GB"/>
        </w:rPr>
      </w:pPr>
      <w:r w:rsidRPr="004D291C">
        <w:rPr>
          <w:rtl/>
        </w:rPr>
        <w:tab/>
      </w:r>
      <w:r w:rsidR="00565A13" w:rsidRPr="004D291C">
        <w:rPr>
          <w:rtl/>
        </w:rPr>
        <w:t>(ج)</w:t>
      </w:r>
      <w:r w:rsidR="00565A13" w:rsidRPr="004D291C">
        <w:rPr>
          <w:rtl/>
        </w:rPr>
        <w:tab/>
        <w:t xml:space="preserve">تبادلت المديرية العامة للهجرة والشؤون الداخلية، التابعة للاتحاد الأوروبي، المعلومات عن التدابير المتخذة لتعميم مراعاة الإعاقة في نظام اللجوء الأوروبي المشترك، ولا سيما في توجيه مجلس أوروبا </w:t>
      </w:r>
      <w:r w:rsidR="00565A13" w:rsidRPr="004D291C">
        <w:t>2001</w:t>
      </w:r>
      <w:r w:rsidR="00565A13" w:rsidRPr="004D291C">
        <w:rPr>
          <w:rFonts w:cs="Times New Roman"/>
        </w:rPr>
        <w:t>/</w:t>
      </w:r>
      <w:r w:rsidR="00565A13" w:rsidRPr="004D291C">
        <w:t>55</w:t>
      </w:r>
      <w:r w:rsidR="00565A13" w:rsidRPr="004D291C">
        <w:rPr>
          <w:rFonts w:cs="Times New Roman"/>
        </w:rPr>
        <w:t>/EC</w:t>
      </w:r>
      <w:r w:rsidR="00565A13" w:rsidRPr="004D291C">
        <w:rPr>
          <w:rtl/>
        </w:rPr>
        <w:t xml:space="preserve"> المؤرخ 20 تموز/يوليه 2001</w:t>
      </w:r>
      <w:r w:rsidR="00565A13" w:rsidRPr="004D291C">
        <w:rPr>
          <w:rFonts w:ascii="Traditional Arabic"/>
          <w:rtl/>
        </w:rPr>
        <w:t xml:space="preserve"> (</w:t>
      </w:r>
      <w:r w:rsidR="00565A13" w:rsidRPr="004D291C">
        <w:rPr>
          <w:rtl/>
        </w:rPr>
        <w:t>توجيه الحماية المؤقتة</w:t>
      </w:r>
      <w:r w:rsidR="00F748C4" w:rsidRPr="004D291C">
        <w:rPr>
          <w:rFonts w:ascii="Traditional Arabic"/>
          <w:rtl/>
        </w:rPr>
        <w:t>)</w:t>
      </w:r>
      <w:r w:rsidR="00F748C4" w:rsidRPr="004D291C">
        <w:rPr>
          <w:rtl/>
        </w:rPr>
        <w:t xml:space="preserve">، </w:t>
      </w:r>
      <w:r w:rsidR="00565A13" w:rsidRPr="004D291C">
        <w:rPr>
          <w:rtl/>
        </w:rPr>
        <w:t xml:space="preserve">والتوجيه </w:t>
      </w:r>
      <w:r w:rsidR="00565A13" w:rsidRPr="004D291C">
        <w:t>2013</w:t>
      </w:r>
      <w:r w:rsidR="00565A13" w:rsidRPr="004D291C">
        <w:rPr>
          <w:rFonts w:cs="Times New Roman"/>
        </w:rPr>
        <w:t>/</w:t>
      </w:r>
      <w:r w:rsidR="00565A13" w:rsidRPr="004D291C">
        <w:t>32</w:t>
      </w:r>
      <w:r w:rsidR="00565A13" w:rsidRPr="004D291C">
        <w:rPr>
          <w:rFonts w:cs="Times New Roman"/>
        </w:rPr>
        <w:t>/EU</w:t>
      </w:r>
      <w:r w:rsidR="00565A13" w:rsidRPr="004D291C">
        <w:rPr>
          <w:rtl/>
        </w:rPr>
        <w:t xml:space="preserve"> الصادر عن البرلمان الأوروبي ومجلس أوروبا المؤرخ 26 حزيران/يونيه 2013</w:t>
      </w:r>
      <w:r w:rsidR="00565A13" w:rsidRPr="004D291C">
        <w:rPr>
          <w:rFonts w:ascii="Traditional Arabic"/>
          <w:rtl/>
        </w:rPr>
        <w:t xml:space="preserve"> (</w:t>
      </w:r>
      <w:r w:rsidR="00565A13" w:rsidRPr="004D291C">
        <w:rPr>
          <w:rtl/>
        </w:rPr>
        <w:t>توجيه إجراءات اللجوء</w:t>
      </w:r>
      <w:r w:rsidR="00F748C4" w:rsidRPr="004D291C">
        <w:rPr>
          <w:rFonts w:ascii="Traditional Arabic"/>
          <w:rtl/>
        </w:rPr>
        <w:t>)</w:t>
      </w:r>
      <w:r w:rsidR="00F748C4" w:rsidRPr="004D291C">
        <w:rPr>
          <w:rtl/>
        </w:rPr>
        <w:t xml:space="preserve">، </w:t>
      </w:r>
      <w:r w:rsidR="00565A13" w:rsidRPr="004D291C">
        <w:rPr>
          <w:rtl/>
        </w:rPr>
        <w:t xml:space="preserve">والتوجيه </w:t>
      </w:r>
      <w:r w:rsidR="00565A13" w:rsidRPr="004D291C">
        <w:t>2013</w:t>
      </w:r>
      <w:r w:rsidR="00565A13" w:rsidRPr="004D291C">
        <w:rPr>
          <w:rFonts w:cs="Times New Roman"/>
        </w:rPr>
        <w:t>/</w:t>
      </w:r>
      <w:r w:rsidR="00565A13" w:rsidRPr="004D291C">
        <w:t>33</w:t>
      </w:r>
      <w:r w:rsidR="00565A13" w:rsidRPr="004D291C">
        <w:rPr>
          <w:rFonts w:cs="Times New Roman"/>
        </w:rPr>
        <w:t>/EU</w:t>
      </w:r>
      <w:r w:rsidR="00565A13" w:rsidRPr="004D291C">
        <w:rPr>
          <w:rtl/>
        </w:rPr>
        <w:t xml:space="preserve"> الصادر عن البرلمان الأوروبي ومجلس أوروبا بتاريخ 26 حزيران/يونيه 2013</w:t>
      </w:r>
      <w:r w:rsidR="00565A13" w:rsidRPr="004D291C">
        <w:rPr>
          <w:rFonts w:ascii="Traditional Arabic"/>
          <w:rtl/>
        </w:rPr>
        <w:t xml:space="preserve"> (</w:t>
      </w:r>
      <w:r w:rsidR="00565A13" w:rsidRPr="004D291C">
        <w:rPr>
          <w:rtl/>
        </w:rPr>
        <w:t>توجيه شروط الاستقبال</w:t>
      </w:r>
      <w:r w:rsidR="00565A13" w:rsidRPr="004D291C">
        <w:rPr>
          <w:rFonts w:ascii="Traditional Arabic"/>
          <w:rtl/>
        </w:rPr>
        <w:t>)</w:t>
      </w:r>
      <w:r w:rsidR="00565A13" w:rsidRPr="004D291C">
        <w:rPr>
          <w:rtl/>
        </w:rPr>
        <w:t xml:space="preserve"> والتوجيه </w:t>
      </w:r>
      <w:r w:rsidR="00565A13" w:rsidRPr="004D291C">
        <w:t>2011</w:t>
      </w:r>
      <w:r w:rsidR="00565A13" w:rsidRPr="004D291C">
        <w:rPr>
          <w:rFonts w:cs="Times New Roman"/>
        </w:rPr>
        <w:t>/</w:t>
      </w:r>
      <w:r w:rsidR="00565A13" w:rsidRPr="004D291C">
        <w:t>95</w:t>
      </w:r>
      <w:r w:rsidR="00565A13" w:rsidRPr="004D291C">
        <w:rPr>
          <w:rFonts w:cs="Times New Roman"/>
        </w:rPr>
        <w:t>/EU</w:t>
      </w:r>
      <w:r w:rsidR="00565A13" w:rsidRPr="004D291C">
        <w:rPr>
          <w:rtl/>
        </w:rPr>
        <w:t xml:space="preserve"> الصادر عن البرلمان الأوروبي ومجلس أوروبا بتاريخ</w:t>
      </w:r>
      <w:r w:rsidR="00C95609">
        <w:rPr>
          <w:rFonts w:hint="cs"/>
          <w:rtl/>
        </w:rPr>
        <w:t> </w:t>
      </w:r>
      <w:r w:rsidR="00565A13" w:rsidRPr="004D291C">
        <w:rPr>
          <w:rtl/>
        </w:rPr>
        <w:t>13 كانون الأول/ديسمبر 2011</w:t>
      </w:r>
      <w:r w:rsidR="00565A13" w:rsidRPr="004D291C">
        <w:rPr>
          <w:rFonts w:ascii="Traditional Arabic"/>
          <w:rtl/>
        </w:rPr>
        <w:t xml:space="preserve"> (</w:t>
      </w:r>
      <w:r w:rsidR="00565A13" w:rsidRPr="004D291C">
        <w:rPr>
          <w:rtl/>
        </w:rPr>
        <w:t>التوجيه المتعلق بالأهلية</w:t>
      </w:r>
      <w:r w:rsidR="00F748C4" w:rsidRPr="004D291C">
        <w:rPr>
          <w:rFonts w:ascii="Traditional Arabic"/>
          <w:rtl/>
        </w:rPr>
        <w:t>)</w:t>
      </w:r>
      <w:r w:rsidR="00F748C4" w:rsidRPr="004D291C">
        <w:rPr>
          <w:rtl/>
        </w:rPr>
        <w:t xml:space="preserve">؛ </w:t>
      </w:r>
    </w:p>
    <w:p w14:paraId="4D6FE718" w14:textId="3F39C871" w:rsidR="00565A13" w:rsidRPr="00277D28" w:rsidRDefault="000839BA" w:rsidP="000839BA">
      <w:pPr>
        <w:pStyle w:val="SingleTxtGA"/>
        <w:rPr>
          <w:spacing w:val="-4"/>
          <w:szCs w:val="20"/>
          <w:lang w:val="en-US" w:eastAsia="zh-TW" w:bidi="en-GB"/>
        </w:rPr>
      </w:pPr>
      <w:r>
        <w:rPr>
          <w:rtl/>
        </w:rPr>
        <w:tab/>
      </w:r>
      <w:r w:rsidR="00565A13">
        <w:rPr>
          <w:rtl/>
        </w:rPr>
        <w:t>(د)</w:t>
      </w:r>
      <w:r w:rsidR="00565A13">
        <w:rPr>
          <w:rtl/>
        </w:rPr>
        <w:tab/>
        <w:t>أبلغت دول أطراف أخرى معنية عن التدابير المتخذة لضمان حماية وسلامة الأشخاص الأوكرانيين ذوي الإعاقة الذين التمسوا الحماية الدولية على أراضيها، بما في ذلك التدابير الرامية إلى ضمان السكن ومستوى معيشي لائق على قدم المساواة مع مواطني البلد المضيف</w:t>
      </w:r>
      <w:r w:rsidR="00F748C4">
        <w:rPr>
          <w:rStyle w:val="FootnoteReference"/>
          <w:rtl/>
        </w:rPr>
        <w:t>(</w:t>
      </w:r>
      <w:r w:rsidR="00F748C4" w:rsidRPr="00CB6ECF">
        <w:rPr>
          <w:rStyle w:val="FootnoteReference"/>
          <w:rtl/>
        </w:rPr>
        <w:footnoteReference w:id="11"/>
      </w:r>
      <w:r w:rsidR="00A57E5C">
        <w:rPr>
          <w:rStyle w:val="FootnoteReference"/>
          <w:rtl/>
        </w:rPr>
        <w:t>)</w:t>
      </w:r>
      <w:r w:rsidR="00866279">
        <w:rPr>
          <w:rFonts w:hint="cs"/>
          <w:rtl/>
        </w:rPr>
        <w:t>؛</w:t>
      </w:r>
      <w:r w:rsidR="00565A13">
        <w:rPr>
          <w:rtl/>
        </w:rPr>
        <w:t xml:space="preserve"> والتدابير الرامية إلى ضمان الحصول على خدمات صحية وتأهيلية يمكن الوصول إليها وملائمة ثقافيا</w:t>
      </w:r>
      <w:r w:rsidR="00AF1323">
        <w:rPr>
          <w:rFonts w:hint="cs"/>
          <w:rtl/>
        </w:rPr>
        <w:t>ً</w:t>
      </w:r>
      <w:r w:rsidR="00565A13">
        <w:rPr>
          <w:rtl/>
        </w:rPr>
        <w:t>، بما في ذلك خدمات العلاج النفسي</w:t>
      </w:r>
      <w:r w:rsidR="00F748C4">
        <w:rPr>
          <w:rStyle w:val="FootnoteReference"/>
          <w:rtl/>
        </w:rPr>
        <w:t>(</w:t>
      </w:r>
      <w:r w:rsidR="00F748C4" w:rsidRPr="00CB6ECF">
        <w:rPr>
          <w:rStyle w:val="FootnoteReference"/>
          <w:rtl/>
        </w:rPr>
        <w:footnoteReference w:id="12"/>
      </w:r>
      <w:r w:rsidR="00A57E5C">
        <w:rPr>
          <w:rStyle w:val="FootnoteReference"/>
          <w:rtl/>
        </w:rPr>
        <w:t>)</w:t>
      </w:r>
      <w:r w:rsidR="00866279">
        <w:rPr>
          <w:rFonts w:hint="cs"/>
          <w:rtl/>
        </w:rPr>
        <w:t>؛</w:t>
      </w:r>
      <w:r w:rsidR="00565A13">
        <w:rPr>
          <w:rtl/>
        </w:rPr>
        <w:t xml:space="preserve"> والتدابير الرامية إلى ضمان توفير أو صيانة وإصلاح الأجهزة والمعدات </w:t>
      </w:r>
      <w:r w:rsidR="00565A13">
        <w:rPr>
          <w:rtl/>
        </w:rPr>
        <w:lastRenderedPageBreak/>
        <w:t>المساعِدة</w:t>
      </w:r>
      <w:r w:rsidR="00F748C4">
        <w:rPr>
          <w:rStyle w:val="FootnoteReference"/>
          <w:rtl/>
        </w:rPr>
        <w:t>(</w:t>
      </w:r>
      <w:r w:rsidR="00F748C4" w:rsidRPr="00CB6ECF">
        <w:rPr>
          <w:rStyle w:val="FootnoteReference"/>
          <w:rtl/>
        </w:rPr>
        <w:footnoteReference w:id="13"/>
      </w:r>
      <w:r w:rsidR="00F748C4" w:rsidRPr="00F748C4">
        <w:rPr>
          <w:rStyle w:val="FootnoteReference"/>
          <w:rtl/>
        </w:rPr>
        <w:t>)</w:t>
      </w:r>
      <w:r w:rsidR="00F748C4" w:rsidRPr="00F748C4">
        <w:rPr>
          <w:rFonts w:hint="cs"/>
          <w:rtl/>
        </w:rPr>
        <w:t>؛</w:t>
      </w:r>
      <w:r w:rsidR="00F748C4" w:rsidRPr="00F748C4">
        <w:rPr>
          <w:rtl/>
        </w:rPr>
        <w:t xml:space="preserve"> </w:t>
      </w:r>
      <w:r w:rsidR="00565A13">
        <w:rPr>
          <w:rtl/>
        </w:rPr>
        <w:t>التدابير الرامية إلى ضمان قدرة الأشخاص ذوي الإعاقة على العيش بشكل مستقل والمشاركة الكاملة في جميع جوانب الحياة في البلد المضيف، بما في ذلك التعليم والعمل</w:t>
      </w:r>
      <w:r w:rsidR="00F748C4">
        <w:rPr>
          <w:rStyle w:val="FootnoteReference"/>
          <w:rtl/>
        </w:rPr>
        <w:t>(</w:t>
      </w:r>
      <w:r w:rsidR="00F748C4" w:rsidRPr="00CB6ECF">
        <w:rPr>
          <w:rStyle w:val="FootnoteReference"/>
          <w:rtl/>
        </w:rPr>
        <w:footnoteReference w:id="14"/>
      </w:r>
      <w:r w:rsidR="00F748C4" w:rsidRPr="00F748C4">
        <w:rPr>
          <w:rStyle w:val="FootnoteReference"/>
          <w:rtl/>
        </w:rPr>
        <w:t>)</w:t>
      </w:r>
      <w:r w:rsidR="00F748C4" w:rsidRPr="00F748C4">
        <w:rPr>
          <w:rFonts w:hint="cs"/>
          <w:rtl/>
        </w:rPr>
        <w:t>؛</w:t>
      </w:r>
      <w:r w:rsidR="00F748C4" w:rsidRPr="00F748C4">
        <w:rPr>
          <w:rtl/>
        </w:rPr>
        <w:t xml:space="preserve"> </w:t>
      </w:r>
      <w:r w:rsidR="00565A13">
        <w:rPr>
          <w:rtl/>
        </w:rPr>
        <w:t xml:space="preserve">والتدابير الرامية إلى </w:t>
      </w:r>
      <w:r w:rsidR="00565A13" w:rsidRPr="00277D28">
        <w:rPr>
          <w:spacing w:val="-4"/>
          <w:rtl/>
        </w:rPr>
        <w:t>التخفيف من خطر استغلال المشردين ذوي الإعاقة، ولا سيما الأطفال ذوي الإعاقة غير المصحوبين بذويهم</w:t>
      </w:r>
      <w:r w:rsidR="00F748C4" w:rsidRPr="00277D28">
        <w:rPr>
          <w:rStyle w:val="FootnoteReference"/>
          <w:spacing w:val="-4"/>
          <w:rtl/>
        </w:rPr>
        <w:t>(</w:t>
      </w:r>
      <w:r w:rsidR="00F748C4" w:rsidRPr="00277D28">
        <w:rPr>
          <w:rStyle w:val="FootnoteReference"/>
          <w:spacing w:val="-4"/>
          <w:rtl/>
        </w:rPr>
        <w:footnoteReference w:id="15"/>
      </w:r>
      <w:r w:rsidR="00F748C4" w:rsidRPr="00277D28">
        <w:rPr>
          <w:rStyle w:val="FootnoteReference"/>
          <w:spacing w:val="-4"/>
          <w:rtl/>
        </w:rPr>
        <w:t>)</w:t>
      </w:r>
      <w:r w:rsidR="00F748C4" w:rsidRPr="00277D28">
        <w:rPr>
          <w:rFonts w:hint="cs"/>
          <w:spacing w:val="-4"/>
          <w:rtl/>
        </w:rPr>
        <w:t>.</w:t>
      </w:r>
      <w:r w:rsidR="00F748C4" w:rsidRPr="00277D28">
        <w:rPr>
          <w:spacing w:val="-4"/>
          <w:rtl/>
        </w:rPr>
        <w:t xml:space="preserve"> </w:t>
      </w:r>
    </w:p>
    <w:p w14:paraId="59015B4F" w14:textId="77777777" w:rsidR="00565A13" w:rsidRPr="001461C4" w:rsidRDefault="00565A13" w:rsidP="000839BA">
      <w:pPr>
        <w:pStyle w:val="H23GA"/>
        <w:rPr>
          <w:szCs w:val="20"/>
          <w:lang w:val="ar-SA" w:eastAsia="zh-TW" w:bidi="en-GB"/>
        </w:rPr>
      </w:pPr>
      <w:r>
        <w:rPr>
          <w:rtl/>
        </w:rPr>
        <w:tab/>
      </w:r>
      <w:r>
        <w:rPr>
          <w:rtl/>
        </w:rPr>
        <w:tab/>
        <w:t>عدم التعاون مع اللجنة</w:t>
      </w:r>
    </w:p>
    <w:p w14:paraId="2418CC81" w14:textId="37F984F1" w:rsidR="00565A13" w:rsidRPr="001461C4" w:rsidRDefault="003A6715" w:rsidP="000839BA">
      <w:pPr>
        <w:pStyle w:val="SingleTxtGA"/>
        <w:rPr>
          <w:szCs w:val="20"/>
          <w:lang w:val="ar-SA" w:eastAsia="zh-TW" w:bidi="en-GB"/>
        </w:rPr>
      </w:pPr>
      <w:r w:rsidRPr="001461C4">
        <w:rPr>
          <w:lang w:val="en-US" w:eastAsia="zh-TW" w:bidi="en-GB"/>
        </w:rPr>
        <w:t>26</w:t>
      </w:r>
      <w:r w:rsidR="00F72606">
        <w:rPr>
          <w:rtl/>
          <w:lang w:val="en-US" w:eastAsia="zh-TW"/>
        </w:rPr>
        <w:t>-</w:t>
      </w:r>
      <w:r w:rsidR="00F72606">
        <w:rPr>
          <w:rtl/>
          <w:lang w:val="en-US" w:eastAsia="zh-TW"/>
        </w:rPr>
        <w:tab/>
      </w:r>
      <w:r w:rsidR="00565A13">
        <w:rPr>
          <w:rtl/>
        </w:rPr>
        <w:t>لم يقدم الاتحاد الروسي معلومات عن حالة الأشخاص ذوي الإعاقة في أراضي أوكرانيا الخاضعة لسيطرته، واعترض على اختصاص اللجنة في معالجة هذه الحالة.</w:t>
      </w:r>
    </w:p>
    <w:p w14:paraId="666A2C6E" w14:textId="77777777" w:rsidR="00565A13" w:rsidRPr="001461C4" w:rsidRDefault="00565A13" w:rsidP="000839BA">
      <w:pPr>
        <w:pStyle w:val="H23GA"/>
        <w:rPr>
          <w:szCs w:val="20"/>
          <w:lang w:val="ar-SA" w:eastAsia="zh-TW" w:bidi="en-GB"/>
        </w:rPr>
      </w:pPr>
      <w:r>
        <w:rPr>
          <w:rtl/>
        </w:rPr>
        <w:tab/>
      </w:r>
      <w:r>
        <w:rPr>
          <w:rtl/>
        </w:rPr>
        <w:tab/>
        <w:t xml:space="preserve">السوابق القضائية للجنة بشأن المادة </w:t>
      </w:r>
      <w:r w:rsidRPr="00565A13">
        <w:rPr>
          <w:rtl/>
        </w:rPr>
        <w:t>11</w:t>
      </w:r>
      <w:r>
        <w:rPr>
          <w:rtl/>
        </w:rPr>
        <w:t xml:space="preserve"> من الاتفاقية</w:t>
      </w:r>
    </w:p>
    <w:p w14:paraId="12376150" w14:textId="3587F968" w:rsidR="00565A13" w:rsidRPr="001461C4" w:rsidRDefault="003A6715" w:rsidP="000839BA">
      <w:pPr>
        <w:pStyle w:val="SingleTxtGA"/>
        <w:rPr>
          <w:szCs w:val="20"/>
          <w:lang w:val="ar-SA" w:eastAsia="zh-TW" w:bidi="en-GB"/>
        </w:rPr>
      </w:pPr>
      <w:r w:rsidRPr="001461C4">
        <w:rPr>
          <w:lang w:val="en-US" w:eastAsia="zh-TW" w:bidi="en-GB"/>
        </w:rPr>
        <w:t>27</w:t>
      </w:r>
      <w:r w:rsidR="00F72606">
        <w:rPr>
          <w:rtl/>
          <w:lang w:val="en-US" w:eastAsia="zh-TW"/>
        </w:rPr>
        <w:t>-</w:t>
      </w:r>
      <w:r w:rsidR="00F72606">
        <w:rPr>
          <w:rtl/>
          <w:lang w:val="en-US" w:eastAsia="zh-TW"/>
        </w:rPr>
        <w:tab/>
      </w:r>
      <w:r w:rsidR="00565A13">
        <w:rPr>
          <w:rtl/>
        </w:rPr>
        <w:t>تمشي</w:t>
      </w:r>
      <w:r w:rsidR="00F153E4">
        <w:rPr>
          <w:rtl/>
        </w:rPr>
        <w:t xml:space="preserve">اً </w:t>
      </w:r>
      <w:r w:rsidR="00565A13">
        <w:rPr>
          <w:rtl/>
        </w:rPr>
        <w:t>مع السوابق القضائية للجنة، يتعين على الدول الأطراف القيام بجملة أمور، بينها ما يلي</w:t>
      </w:r>
      <w:r w:rsidR="00565A13">
        <w:rPr>
          <w:rFonts w:ascii="Traditional Arabic"/>
          <w:szCs w:val="20"/>
        </w:rPr>
        <w:t>:</w:t>
      </w:r>
      <w:r w:rsidR="00565A13">
        <w:rPr>
          <w:rtl/>
        </w:rPr>
        <w:t xml:space="preserve"> </w:t>
      </w:r>
    </w:p>
    <w:p w14:paraId="719CFC5F" w14:textId="51B5F8FB" w:rsidR="00565A13" w:rsidRPr="00BC072A" w:rsidRDefault="000839BA" w:rsidP="000839BA">
      <w:pPr>
        <w:pStyle w:val="SingleTxtGA"/>
        <w:rPr>
          <w:szCs w:val="20"/>
          <w:lang w:val="ar-SA" w:eastAsia="zh-TW" w:bidi="en-GB"/>
        </w:rPr>
      </w:pPr>
      <w:r>
        <w:rPr>
          <w:rtl/>
        </w:rPr>
        <w:tab/>
      </w:r>
      <w:r w:rsidR="00565A13">
        <w:rPr>
          <w:rtl/>
        </w:rPr>
        <w:t>(أ)</w:t>
      </w:r>
      <w:r w:rsidR="00565A13">
        <w:rPr>
          <w:rtl/>
        </w:rPr>
        <w:tab/>
        <w:t>اعتماد أو إصلاح الاستراتيجيات الوطنية للاستجابة لحالات الطوارئ، بما في ذلك خطط الإجلاء، لجعلها شاملة لجميع الأشخاص ذوي الإعاقة ومتاحة لهم في تصميمها وتنفيذها</w:t>
      </w:r>
      <w:r w:rsidR="00F748C4">
        <w:rPr>
          <w:rStyle w:val="FootnoteReference"/>
          <w:rtl/>
        </w:rPr>
        <w:t>(</w:t>
      </w:r>
      <w:r w:rsidR="00F748C4" w:rsidRPr="00CB6ECF">
        <w:rPr>
          <w:rStyle w:val="FootnoteReference"/>
          <w:rtl/>
        </w:rPr>
        <w:footnoteReference w:id="16"/>
      </w:r>
      <w:r w:rsidR="00F748C4" w:rsidRPr="00F748C4">
        <w:rPr>
          <w:rStyle w:val="FootnoteReference"/>
          <w:rtl/>
        </w:rPr>
        <w:t>)</w:t>
      </w:r>
      <w:r w:rsidR="00F748C4" w:rsidRPr="00F748C4">
        <w:rPr>
          <w:rtl/>
        </w:rPr>
        <w:t xml:space="preserve">؛ </w:t>
      </w:r>
    </w:p>
    <w:p w14:paraId="2E8ABF33" w14:textId="32EE8634" w:rsidR="00565A13" w:rsidRPr="00BC072A" w:rsidRDefault="000839BA" w:rsidP="000839BA">
      <w:pPr>
        <w:pStyle w:val="SingleTxtGA"/>
        <w:rPr>
          <w:szCs w:val="20"/>
          <w:lang w:val="ar-SA" w:eastAsia="zh-TW" w:bidi="en-GB"/>
        </w:rPr>
      </w:pPr>
      <w:r>
        <w:rPr>
          <w:rtl/>
        </w:rPr>
        <w:tab/>
      </w:r>
      <w:r w:rsidR="00565A13">
        <w:rPr>
          <w:rtl/>
        </w:rPr>
        <w:t>(ب)</w:t>
      </w:r>
      <w:r w:rsidR="00565A13">
        <w:rPr>
          <w:rtl/>
        </w:rPr>
        <w:tab/>
        <w:t>ضمان إتاحة جميع المعلومات المتعلقة بحالات الطوارئ في أشكال متاحة لجميع الأشخاص ذوي الإعاقة، بغض النظر عن نوع الإعاقة، بمن فيهم الصم من خلال لغة الإشارة</w:t>
      </w:r>
      <w:r w:rsidR="00F748C4">
        <w:rPr>
          <w:rStyle w:val="FootnoteReference"/>
          <w:rtl/>
        </w:rPr>
        <w:t>(</w:t>
      </w:r>
      <w:r w:rsidR="00F748C4" w:rsidRPr="00CB6ECF">
        <w:rPr>
          <w:rStyle w:val="FootnoteReference"/>
          <w:rtl/>
        </w:rPr>
        <w:footnoteReference w:id="17"/>
      </w:r>
      <w:r w:rsidR="00A57E5C">
        <w:rPr>
          <w:rStyle w:val="FootnoteReference"/>
          <w:rtl/>
        </w:rPr>
        <w:t>)</w:t>
      </w:r>
      <w:r w:rsidR="00C36152">
        <w:rPr>
          <w:rFonts w:hint="cs"/>
          <w:rtl/>
        </w:rPr>
        <w:t>،</w:t>
      </w:r>
      <w:r w:rsidR="00565A13">
        <w:rPr>
          <w:rtl/>
        </w:rPr>
        <w:t> وللأشخاص ذوي الإعاقات الذهنية والأشخاص ذوي الإعاقات النفسية</w:t>
      </w:r>
      <w:r w:rsidR="00C36152">
        <w:rPr>
          <w:rFonts w:hint="cs"/>
          <w:rtl/>
        </w:rPr>
        <w:t xml:space="preserve"> </w:t>
      </w:r>
      <w:r w:rsidR="00565A13">
        <w:rPr>
          <w:rtl/>
        </w:rPr>
        <w:t>-</w:t>
      </w:r>
      <w:r w:rsidR="00601390">
        <w:rPr>
          <w:rFonts w:hint="cs"/>
          <w:rtl/>
        </w:rPr>
        <w:t xml:space="preserve"> </w:t>
      </w:r>
      <w:r w:rsidR="00565A13">
        <w:rPr>
          <w:rtl/>
        </w:rPr>
        <w:t>الاجتماعية من خلال صيغة سهلة القراءة وبلغة مبسطة؛</w:t>
      </w:r>
    </w:p>
    <w:p w14:paraId="13074E39" w14:textId="1D582627" w:rsidR="00F748C4" w:rsidRPr="00F748C4" w:rsidRDefault="000839BA" w:rsidP="000839BA">
      <w:pPr>
        <w:pStyle w:val="SingleTxtGA"/>
        <w:rPr>
          <w:rStyle w:val="FootnoteReference"/>
          <w:lang w:val="ar-SA" w:eastAsia="zh-TW" w:bidi="en-GB"/>
        </w:rPr>
      </w:pPr>
      <w:r>
        <w:rPr>
          <w:rtl/>
        </w:rPr>
        <w:tab/>
      </w:r>
      <w:r w:rsidR="00565A13">
        <w:rPr>
          <w:rtl/>
        </w:rPr>
        <w:t>(ج)</w:t>
      </w:r>
      <w:r w:rsidR="00565A13">
        <w:rPr>
          <w:rtl/>
        </w:rPr>
        <w:tab/>
        <w:t>ضمان احترام مبدأ عدم التمييز في جميع حالات الخطر والطوارئ الإنسانية، ولا سيما فيما يتعلق بالمساواة في الحصول على الضروريات الأساسية، مثل المياه والصرف الصحي والرعاية الصحية والغذاء والمأوى</w:t>
      </w:r>
      <w:r w:rsidR="00F748C4">
        <w:rPr>
          <w:rStyle w:val="FootnoteReference"/>
          <w:rtl/>
        </w:rPr>
        <w:t>(</w:t>
      </w:r>
      <w:r w:rsidR="00F748C4" w:rsidRPr="00CB6ECF">
        <w:rPr>
          <w:rStyle w:val="FootnoteReference"/>
          <w:rtl/>
        </w:rPr>
        <w:footnoteReference w:id="18"/>
      </w:r>
      <w:r w:rsidR="00F748C4" w:rsidRPr="00F748C4">
        <w:rPr>
          <w:rStyle w:val="FootnoteReference"/>
          <w:rtl/>
        </w:rPr>
        <w:t>)</w:t>
      </w:r>
      <w:r w:rsidR="00F748C4" w:rsidRPr="00F748C4">
        <w:rPr>
          <w:rtl/>
        </w:rPr>
        <w:t>.</w:t>
      </w:r>
    </w:p>
    <w:p w14:paraId="7A747A41" w14:textId="7AB91F34" w:rsidR="00F748C4" w:rsidRPr="00A015B0" w:rsidRDefault="000839BA" w:rsidP="000839BA">
      <w:pPr>
        <w:pStyle w:val="SingleTxtGA"/>
        <w:rPr>
          <w:rStyle w:val="FootnoteReference"/>
          <w:lang w:val="en-US" w:eastAsia="zh-TW" w:bidi="en-GB"/>
        </w:rPr>
      </w:pPr>
      <w:r>
        <w:rPr>
          <w:rtl/>
        </w:rPr>
        <w:tab/>
      </w:r>
      <w:r w:rsidR="00565A13">
        <w:rPr>
          <w:rtl/>
        </w:rPr>
        <w:t>(د)</w:t>
      </w:r>
      <w:r w:rsidR="00565A13">
        <w:rPr>
          <w:rtl/>
        </w:rPr>
        <w:tab/>
        <w:t>ضمان مشاركة منظمات الأشخاص ذوي الإعاقة في استراتيجيات الاستجابة لحالات الطوارئ وإيلاء الاعتبار الواجب لمدخلاتها وتوصياتها، بما في ذلك في تحديد أولويات الإجلاء وتوزيع المعونة</w:t>
      </w:r>
      <w:r w:rsidR="00F748C4">
        <w:rPr>
          <w:rStyle w:val="FootnoteReference"/>
          <w:rtl/>
        </w:rPr>
        <w:t>(</w:t>
      </w:r>
      <w:r w:rsidR="00F748C4" w:rsidRPr="00CB6ECF">
        <w:rPr>
          <w:rStyle w:val="FootnoteReference"/>
          <w:rtl/>
        </w:rPr>
        <w:footnoteReference w:id="19"/>
      </w:r>
      <w:r w:rsidR="00F748C4" w:rsidRPr="00F748C4">
        <w:rPr>
          <w:rStyle w:val="FootnoteReference"/>
          <w:rtl/>
        </w:rPr>
        <w:t>)</w:t>
      </w:r>
      <w:r w:rsidR="00F748C4" w:rsidRPr="00F748C4">
        <w:rPr>
          <w:rtl/>
        </w:rPr>
        <w:t>؛</w:t>
      </w:r>
    </w:p>
    <w:p w14:paraId="12CDDB7F" w14:textId="20609E30" w:rsidR="00F748C4" w:rsidRPr="00F748C4" w:rsidRDefault="000839BA" w:rsidP="000839BA">
      <w:pPr>
        <w:pStyle w:val="SingleTxtGA"/>
        <w:rPr>
          <w:rStyle w:val="FootnoteReference"/>
          <w:lang w:val="ar-SA" w:eastAsia="zh-TW" w:bidi="en-GB"/>
        </w:rPr>
      </w:pPr>
      <w:r>
        <w:rPr>
          <w:rtl/>
        </w:rPr>
        <w:tab/>
      </w:r>
      <w:r w:rsidR="00565A13">
        <w:rPr>
          <w:rtl/>
        </w:rPr>
        <w:t>(هـ)</w:t>
      </w:r>
      <w:r w:rsidR="00565A13">
        <w:rPr>
          <w:rtl/>
        </w:rPr>
        <w:tab/>
        <w:t>تعميم مراعاة الإعاقة في سياسات الهجرة واللاجئين وفي جميع قنوات المعونة الإنسانية وتوفير التدريب على التوعية بالإعاقة لجميع موظفي الدفاع المدني وموظفي الإنقاذ والطوارئ وجميع الجهات الفاعلة المحتملة مشاركتها في حالات الطوارئ الإنسانية</w:t>
      </w:r>
      <w:r w:rsidR="00F748C4">
        <w:rPr>
          <w:rStyle w:val="FootnoteReference"/>
          <w:rtl/>
        </w:rPr>
        <w:t>(</w:t>
      </w:r>
      <w:r w:rsidR="00F748C4" w:rsidRPr="00CB6ECF">
        <w:rPr>
          <w:rStyle w:val="FootnoteReference"/>
          <w:rtl/>
        </w:rPr>
        <w:footnoteReference w:id="20"/>
      </w:r>
      <w:r w:rsidR="00F748C4" w:rsidRPr="00F748C4">
        <w:rPr>
          <w:rStyle w:val="FootnoteReference"/>
          <w:rtl/>
        </w:rPr>
        <w:t>)</w:t>
      </w:r>
      <w:r w:rsidR="00F748C4" w:rsidRPr="00F748C4">
        <w:rPr>
          <w:rtl/>
        </w:rPr>
        <w:t>؛</w:t>
      </w:r>
    </w:p>
    <w:p w14:paraId="7E8482B8" w14:textId="59560525" w:rsidR="00F748C4" w:rsidRPr="00F748C4" w:rsidRDefault="000839BA" w:rsidP="000839BA">
      <w:pPr>
        <w:pStyle w:val="SingleTxtGA"/>
        <w:rPr>
          <w:rStyle w:val="FootnoteReference"/>
          <w:lang w:val="ar-SA" w:eastAsia="zh-TW" w:bidi="en-GB"/>
        </w:rPr>
      </w:pPr>
      <w:r>
        <w:rPr>
          <w:rtl/>
        </w:rPr>
        <w:tab/>
      </w:r>
      <w:r w:rsidR="00565A13">
        <w:rPr>
          <w:rtl/>
        </w:rPr>
        <w:t>(و)</w:t>
      </w:r>
      <w:r w:rsidR="00565A13">
        <w:rPr>
          <w:rtl/>
        </w:rPr>
        <w:tab/>
        <w:t>ضمان سلامة جميع الأطفال ذوي الإعاقة في المناطق المتأثرة بالنزاع وإيلاؤها الأولوية، ولا سيما سلامة الأطفال الذين ما زالوا مودعين في مؤسسات الرعاية السكنية</w:t>
      </w:r>
      <w:r w:rsidR="00F748C4">
        <w:rPr>
          <w:rStyle w:val="FootnoteReference"/>
          <w:rtl/>
        </w:rPr>
        <w:t>(</w:t>
      </w:r>
      <w:r w:rsidR="00F748C4" w:rsidRPr="00CB6ECF">
        <w:rPr>
          <w:rStyle w:val="FootnoteReference"/>
          <w:rtl/>
        </w:rPr>
        <w:footnoteReference w:id="21"/>
      </w:r>
      <w:r w:rsidR="00F748C4" w:rsidRPr="00F748C4">
        <w:rPr>
          <w:rStyle w:val="FootnoteReference"/>
          <w:rtl/>
        </w:rPr>
        <w:t>)</w:t>
      </w:r>
      <w:r w:rsidR="00F748C4" w:rsidRPr="00F748C4">
        <w:rPr>
          <w:rtl/>
        </w:rPr>
        <w:t>؛</w:t>
      </w:r>
    </w:p>
    <w:p w14:paraId="55A8A249" w14:textId="086E1A12" w:rsidR="00F748C4" w:rsidRPr="00F748C4" w:rsidRDefault="000839BA" w:rsidP="000839BA">
      <w:pPr>
        <w:pStyle w:val="SingleTxtGA"/>
        <w:rPr>
          <w:rStyle w:val="FootnoteReference"/>
          <w:lang w:val="ar-SA" w:eastAsia="zh-TW" w:bidi="en-GB"/>
        </w:rPr>
      </w:pPr>
      <w:r>
        <w:rPr>
          <w:rtl/>
        </w:rPr>
        <w:lastRenderedPageBreak/>
        <w:tab/>
      </w:r>
      <w:r w:rsidR="00565A13">
        <w:rPr>
          <w:rtl/>
        </w:rPr>
        <w:t>(ز)</w:t>
      </w:r>
      <w:r w:rsidR="00565A13">
        <w:rPr>
          <w:rtl/>
        </w:rPr>
        <w:tab/>
        <w:t>التسجيل المنهجي للمشردين داخلي</w:t>
      </w:r>
      <w:r w:rsidR="00F153E4">
        <w:rPr>
          <w:rtl/>
        </w:rPr>
        <w:t xml:space="preserve">اً </w:t>
      </w:r>
      <w:r w:rsidR="00565A13">
        <w:rPr>
          <w:rtl/>
        </w:rPr>
        <w:t>ذوي الإعاقة ورصد حالتهم لضمان حصولهم على مستوى معيشي لائق</w:t>
      </w:r>
      <w:r w:rsidR="00F748C4">
        <w:rPr>
          <w:rStyle w:val="FootnoteReference"/>
          <w:rtl/>
        </w:rPr>
        <w:t>(</w:t>
      </w:r>
      <w:r w:rsidR="00F748C4" w:rsidRPr="00CB6ECF">
        <w:rPr>
          <w:rStyle w:val="FootnoteReference"/>
          <w:rtl/>
        </w:rPr>
        <w:footnoteReference w:id="22"/>
      </w:r>
      <w:r w:rsidR="00F748C4" w:rsidRPr="00F748C4">
        <w:rPr>
          <w:rStyle w:val="FootnoteReference"/>
          <w:rtl/>
        </w:rPr>
        <w:t>)</w:t>
      </w:r>
      <w:r w:rsidR="00F748C4" w:rsidRPr="00F748C4">
        <w:rPr>
          <w:rtl/>
        </w:rPr>
        <w:t>.</w:t>
      </w:r>
    </w:p>
    <w:p w14:paraId="74836863" w14:textId="4166ABB4" w:rsidR="00565A13" w:rsidRPr="001461C4" w:rsidRDefault="00565A13" w:rsidP="000839BA">
      <w:pPr>
        <w:pStyle w:val="H23GA"/>
        <w:rPr>
          <w:szCs w:val="20"/>
          <w:lang w:val="ar-SA" w:eastAsia="zh-TW" w:bidi="en-GB"/>
        </w:rPr>
      </w:pPr>
      <w:r>
        <w:rPr>
          <w:rtl/>
        </w:rPr>
        <w:tab/>
      </w:r>
      <w:r>
        <w:rPr>
          <w:rtl/>
        </w:rPr>
        <w:tab/>
        <w:t>دواعي القلق والتوصيات</w:t>
      </w:r>
    </w:p>
    <w:p w14:paraId="7048A462" w14:textId="53A03CEC" w:rsidR="00565A13" w:rsidRPr="00700100" w:rsidRDefault="003A6715" w:rsidP="000839BA">
      <w:pPr>
        <w:pStyle w:val="SingleTxtGA"/>
        <w:rPr>
          <w:szCs w:val="20"/>
          <w:lang w:val="en-US" w:eastAsia="zh-TW" w:bidi="en-GB"/>
        </w:rPr>
      </w:pPr>
      <w:r>
        <w:rPr>
          <w:lang w:val="en-US" w:eastAsia="zh-TW" w:bidi="en-GB"/>
        </w:rPr>
        <w:t>28</w:t>
      </w:r>
      <w:r w:rsidR="00F72606">
        <w:rPr>
          <w:rtl/>
          <w:lang w:val="en-US" w:eastAsia="zh-TW"/>
        </w:rPr>
        <w:t>-</w:t>
      </w:r>
      <w:r w:rsidR="00F72606">
        <w:rPr>
          <w:rtl/>
          <w:lang w:val="en-US" w:eastAsia="zh-TW"/>
        </w:rPr>
        <w:tab/>
      </w:r>
      <w:r w:rsidR="00565A13">
        <w:rPr>
          <w:rtl/>
        </w:rPr>
        <w:t>بعد التشاور مع الدول الأطراف وأصحاب المصلحة الآخرين، بما في ذلك منظمات الأشخاص ذوي الإعاقة ومنظمات المجتمع المدني وكيانات الأمم المتحدة، تسرد اللجنة الشواغل وتصدر توصيات أولية تتصل بما يلي:</w:t>
      </w:r>
    </w:p>
    <w:p w14:paraId="2DD73EB6" w14:textId="7B448851" w:rsidR="00565A13" w:rsidRPr="002D7F05" w:rsidRDefault="000839BA" w:rsidP="000839BA">
      <w:pPr>
        <w:pStyle w:val="SingleTxtGA"/>
        <w:rPr>
          <w:szCs w:val="20"/>
          <w:lang w:val="ar-SA" w:eastAsia="zh-TW" w:bidi="en-GB"/>
        </w:rPr>
      </w:pPr>
      <w:r>
        <w:rPr>
          <w:rtl/>
        </w:rPr>
        <w:tab/>
      </w:r>
      <w:r w:rsidR="00565A13">
        <w:rPr>
          <w:rtl/>
        </w:rPr>
        <w:t>(أ)</w:t>
      </w:r>
      <w:r w:rsidR="00565A13">
        <w:rPr>
          <w:rtl/>
        </w:rPr>
        <w:tab/>
        <w:t xml:space="preserve">الأشخاص ذوو الإعاقة الذين يعيشون في أراضي أوكرانيا وتحت ولايتها القضائية؛ </w:t>
      </w:r>
    </w:p>
    <w:p w14:paraId="358D9061" w14:textId="63317439" w:rsidR="00565A13" w:rsidRPr="008F3C36" w:rsidRDefault="000839BA" w:rsidP="000839BA">
      <w:pPr>
        <w:pStyle w:val="SingleTxtGA"/>
        <w:rPr>
          <w:spacing w:val="-2"/>
          <w:szCs w:val="20"/>
          <w:lang w:val="ar-SA" w:eastAsia="zh-TW" w:bidi="en-GB"/>
        </w:rPr>
      </w:pPr>
      <w:r w:rsidRPr="008F3C36">
        <w:rPr>
          <w:spacing w:val="-2"/>
          <w:rtl/>
        </w:rPr>
        <w:tab/>
      </w:r>
      <w:r w:rsidR="00565A13" w:rsidRPr="008F3C36">
        <w:rPr>
          <w:spacing w:val="-2"/>
          <w:rtl/>
        </w:rPr>
        <w:t>(ب)</w:t>
      </w:r>
      <w:r w:rsidR="00565A13" w:rsidRPr="008F3C36">
        <w:rPr>
          <w:spacing w:val="-2"/>
          <w:rtl/>
        </w:rPr>
        <w:tab/>
        <w:t>الأشخاص ذوو الإعاقة الذين يعيشون في أراضي أوكرانيا التي يحتلها الاتحاد الروسي؛</w:t>
      </w:r>
    </w:p>
    <w:p w14:paraId="12E89EED" w14:textId="7F5AB2B8" w:rsidR="00565A13" w:rsidRPr="002D7F05" w:rsidRDefault="000839BA" w:rsidP="000839BA">
      <w:pPr>
        <w:pStyle w:val="SingleTxtGA"/>
        <w:rPr>
          <w:szCs w:val="20"/>
          <w:lang w:val="ar-SA" w:eastAsia="zh-TW" w:bidi="en-GB"/>
        </w:rPr>
      </w:pPr>
      <w:r>
        <w:rPr>
          <w:rtl/>
        </w:rPr>
        <w:tab/>
      </w:r>
      <w:r w:rsidR="00565A13">
        <w:rPr>
          <w:rtl/>
        </w:rPr>
        <w:t>(ج)</w:t>
      </w:r>
      <w:r w:rsidR="00565A13">
        <w:rPr>
          <w:rtl/>
        </w:rPr>
        <w:tab/>
        <w:t>الأشخاص ذوو الإعاقة الذين نُقلوا قسر</w:t>
      </w:r>
      <w:r w:rsidR="00F153E4">
        <w:rPr>
          <w:rtl/>
        </w:rPr>
        <w:t xml:space="preserve">اً </w:t>
      </w:r>
      <w:r w:rsidR="00565A13">
        <w:rPr>
          <w:rtl/>
        </w:rPr>
        <w:t xml:space="preserve">إلى الاتحاد الروسي؛ </w:t>
      </w:r>
    </w:p>
    <w:p w14:paraId="01259ABB" w14:textId="4182986B" w:rsidR="00565A13" w:rsidRPr="002D7F05" w:rsidRDefault="000839BA" w:rsidP="000839BA">
      <w:pPr>
        <w:pStyle w:val="SingleTxtGA"/>
        <w:rPr>
          <w:szCs w:val="20"/>
          <w:lang w:val="ar-SA" w:eastAsia="zh-TW" w:bidi="en-GB"/>
        </w:rPr>
      </w:pPr>
      <w:r>
        <w:rPr>
          <w:rtl/>
        </w:rPr>
        <w:tab/>
      </w:r>
      <w:r w:rsidR="00565A13">
        <w:rPr>
          <w:rtl/>
        </w:rPr>
        <w:t>(د)</w:t>
      </w:r>
      <w:r w:rsidR="00565A13">
        <w:rPr>
          <w:rtl/>
        </w:rPr>
        <w:tab/>
        <w:t>الأشخاص ذوو الإعاقة الموجودون في بلدان فروا إليها طلب</w:t>
      </w:r>
      <w:r w:rsidR="00F153E4">
        <w:rPr>
          <w:rtl/>
        </w:rPr>
        <w:t xml:space="preserve">اً </w:t>
      </w:r>
      <w:r w:rsidR="00565A13">
        <w:rPr>
          <w:rtl/>
        </w:rPr>
        <w:t>للحماية الدولية.</w:t>
      </w:r>
    </w:p>
    <w:p w14:paraId="1AADA6FE" w14:textId="7F1633BE" w:rsidR="00565A13" w:rsidRPr="001461C4" w:rsidRDefault="003A6715" w:rsidP="000839BA">
      <w:pPr>
        <w:pStyle w:val="SingleTxtGA"/>
        <w:rPr>
          <w:szCs w:val="20"/>
          <w:lang w:val="ar-SA" w:eastAsia="zh-TW" w:bidi="en-GB"/>
        </w:rPr>
      </w:pPr>
      <w:r w:rsidRPr="001461C4">
        <w:rPr>
          <w:lang w:val="en-US" w:eastAsia="zh-TW" w:bidi="en-GB"/>
        </w:rPr>
        <w:t>29</w:t>
      </w:r>
      <w:r w:rsidR="00F72606">
        <w:rPr>
          <w:rtl/>
          <w:lang w:val="en-US" w:eastAsia="zh-TW"/>
        </w:rPr>
        <w:t>-</w:t>
      </w:r>
      <w:r w:rsidR="00F72606">
        <w:rPr>
          <w:rtl/>
          <w:lang w:val="en-US" w:eastAsia="zh-TW"/>
        </w:rPr>
        <w:tab/>
      </w:r>
      <w:r w:rsidR="00565A13">
        <w:rPr>
          <w:rtl/>
        </w:rPr>
        <w:t>وهذه التوصيات موجهة إلى جميع الدول الأطراف المعنية، وهي: أوكرانيا؛ والاتحاد الروسي، فيما يتعلق بالأشخاص ذوي الإعاقة الذين يعيشون في الأراضي الأوكرانية الواقعة تحت احتلاله؛ والدول الأطراف المذكورة أعلاه التي فر إليها الأشخاص ذوو الإعاقة طلب</w:t>
      </w:r>
      <w:r w:rsidR="00F153E4">
        <w:rPr>
          <w:rtl/>
        </w:rPr>
        <w:t xml:space="preserve">اً </w:t>
      </w:r>
      <w:r w:rsidR="00565A13">
        <w:rPr>
          <w:rtl/>
        </w:rPr>
        <w:t>للحماية الدولية. وتشير بعض التوصيات إلى أوكرانيا فقط، أو إلى الاتحاد الروسي فقط فيما يتعلق بالأشخاص ذوي الإعاقة الذين يعيشون في الأراضي الأوكرانية الواقعة تحت احتلاله.</w:t>
      </w:r>
    </w:p>
    <w:p w14:paraId="12EC1473" w14:textId="75BA9D5C" w:rsidR="00565A13" w:rsidRPr="001461C4" w:rsidRDefault="003A6715" w:rsidP="000839BA">
      <w:pPr>
        <w:pStyle w:val="SingleTxtGA"/>
        <w:rPr>
          <w:szCs w:val="20"/>
          <w:lang w:val="ar-SA" w:eastAsia="zh-TW" w:bidi="en-GB"/>
        </w:rPr>
      </w:pPr>
      <w:r w:rsidRPr="001461C4">
        <w:rPr>
          <w:lang w:val="en-US" w:eastAsia="zh-TW" w:bidi="en-GB"/>
        </w:rPr>
        <w:t>30</w:t>
      </w:r>
      <w:r w:rsidR="00F72606">
        <w:rPr>
          <w:rtl/>
          <w:lang w:val="en-US" w:eastAsia="zh-TW"/>
        </w:rPr>
        <w:t>-</w:t>
      </w:r>
      <w:r w:rsidR="00F72606">
        <w:rPr>
          <w:rtl/>
          <w:lang w:val="en-US" w:eastAsia="zh-TW"/>
        </w:rPr>
        <w:tab/>
      </w:r>
      <w:r w:rsidR="00565A13">
        <w:rPr>
          <w:rtl/>
        </w:rPr>
        <w:t>ويساور اللجنة بالغ القلق إزاء الخطر غير المتناسب المتمثل في مقتل أو إصابة أشخاص ذوي إعاقة نتيجة هجمات عشوائية ضد السكان المدنيين، لأن بروتوكولات التأهب والاستجابة لحالات الطوارئ لا تشمل هؤلاء الأشخاص ويتعذر الوصول إليها.</w:t>
      </w:r>
    </w:p>
    <w:p w14:paraId="05D94B45" w14:textId="4224C3E9" w:rsidR="00565A13" w:rsidRPr="00700100" w:rsidRDefault="003A6715" w:rsidP="000839BA">
      <w:pPr>
        <w:pStyle w:val="SingleTxtGA"/>
        <w:rPr>
          <w:b/>
          <w:bCs/>
          <w:szCs w:val="20"/>
          <w:lang w:val="en-US" w:eastAsia="zh-TW" w:bidi="en-GB"/>
        </w:rPr>
      </w:pPr>
      <w:r w:rsidRPr="001461C4">
        <w:rPr>
          <w:lang w:val="en-US" w:eastAsia="zh-TW" w:bidi="en-GB"/>
        </w:rPr>
        <w:t>31</w:t>
      </w:r>
      <w:r w:rsidR="00F72606">
        <w:rPr>
          <w:rtl/>
          <w:lang w:val="en-US" w:eastAsia="zh-TW"/>
        </w:rPr>
        <w:t>-</w:t>
      </w:r>
      <w:r w:rsidR="00F72606">
        <w:rPr>
          <w:rtl/>
          <w:lang w:val="en-US" w:eastAsia="zh-TW"/>
        </w:rPr>
        <w:tab/>
      </w:r>
      <w:r w:rsidR="00565A13" w:rsidRPr="00FC1DAF">
        <w:rPr>
          <w:b/>
          <w:bCs/>
          <w:rtl/>
        </w:rPr>
        <w:t>تحث اللجنة الدول الأطراف المعنية على إصلاح خطط وبروتوكولات الاستجابة لحالات الطوارئ، بالتشاور مع منظمات الأشخاص ذوي الإعاقة، لجعلها شاملة للأشخاص ذوي الإعاقة ومتاحة لهم في تصميمها وتنفيذها.</w:t>
      </w:r>
    </w:p>
    <w:p w14:paraId="7C295CD5" w14:textId="24C43A6F" w:rsidR="00565A13" w:rsidRPr="008F3C36" w:rsidRDefault="003A6715" w:rsidP="000839BA">
      <w:pPr>
        <w:pStyle w:val="SingleTxtGA"/>
        <w:rPr>
          <w:spacing w:val="-2"/>
          <w:szCs w:val="20"/>
          <w:lang w:val="ar-SA" w:eastAsia="zh-TW" w:bidi="en-GB"/>
        </w:rPr>
      </w:pPr>
      <w:r w:rsidRPr="001461C4">
        <w:rPr>
          <w:lang w:val="en-US" w:eastAsia="zh-TW" w:bidi="en-GB"/>
        </w:rPr>
        <w:t>32</w:t>
      </w:r>
      <w:r w:rsidR="00F72606">
        <w:rPr>
          <w:rtl/>
          <w:lang w:val="en-US" w:eastAsia="zh-TW"/>
        </w:rPr>
        <w:t>-</w:t>
      </w:r>
      <w:r w:rsidR="00F72606">
        <w:rPr>
          <w:rtl/>
          <w:lang w:val="en-US" w:eastAsia="zh-TW"/>
        </w:rPr>
        <w:tab/>
      </w:r>
      <w:r w:rsidR="00565A13">
        <w:rPr>
          <w:rtl/>
        </w:rPr>
        <w:t xml:space="preserve">وتلاحظ اللجنة مع القلق عدم إشراك الأشخاص ذوي الإعاقة وعدم مشاركتهم الفعالة في التأهب </w:t>
      </w:r>
      <w:r w:rsidR="00565A13" w:rsidRPr="008F3C36">
        <w:rPr>
          <w:spacing w:val="-2"/>
          <w:rtl/>
        </w:rPr>
        <w:t xml:space="preserve">لحالات الطوارئ وخطط الاستجابة لها، بما في ذلك في تحديد أولويات استراتيجيات الإجلاء وتوزيع المعونة. </w:t>
      </w:r>
    </w:p>
    <w:p w14:paraId="59DB59DE" w14:textId="542F3FCE" w:rsidR="00565A13" w:rsidRPr="0082668D" w:rsidRDefault="003A6715" w:rsidP="000839BA">
      <w:pPr>
        <w:pStyle w:val="SingleTxtGA"/>
        <w:rPr>
          <w:b/>
          <w:bCs/>
          <w:szCs w:val="20"/>
          <w:lang w:val="ar-SA" w:eastAsia="zh-TW" w:bidi="en-GB"/>
        </w:rPr>
      </w:pPr>
      <w:r w:rsidRPr="001461C4">
        <w:rPr>
          <w:lang w:val="en-US" w:eastAsia="zh-TW" w:bidi="en-GB"/>
        </w:rPr>
        <w:t>33</w:t>
      </w:r>
      <w:r w:rsidR="00F72606">
        <w:rPr>
          <w:rtl/>
          <w:lang w:val="en-US" w:eastAsia="zh-TW"/>
        </w:rPr>
        <w:t>-</w:t>
      </w:r>
      <w:r w:rsidR="00F72606">
        <w:rPr>
          <w:rtl/>
          <w:lang w:val="en-US" w:eastAsia="zh-TW"/>
        </w:rPr>
        <w:tab/>
      </w:r>
      <w:r w:rsidR="00565A13" w:rsidRPr="0082668D">
        <w:rPr>
          <w:b/>
          <w:bCs/>
          <w:rtl/>
        </w:rPr>
        <w:t xml:space="preserve">توصي اللجنة بأن تكفل جميع الدول الأطراف المعنية والجهات الفاعلة في المجال الإنساني المشاركة النشطة للأشخاص ذوي الإعاقة والتنسيق معهم والتشاور معهم على نحو هادف، من خلال المنظمات التي تمثلهم، بما في ذلك منظمات النساء والأطفال ذوي الإعاقة، في التأهب لحالات الطوارئ وخطط الاستجابة لها. </w:t>
      </w:r>
    </w:p>
    <w:p w14:paraId="4F136CE5" w14:textId="74781C0F" w:rsidR="00565A13" w:rsidRPr="001461C4" w:rsidRDefault="003A6715" w:rsidP="000839BA">
      <w:pPr>
        <w:pStyle w:val="SingleTxtGA"/>
        <w:rPr>
          <w:szCs w:val="20"/>
          <w:lang w:val="ar-SA" w:eastAsia="zh-TW" w:bidi="en-GB"/>
        </w:rPr>
      </w:pPr>
      <w:r w:rsidRPr="001461C4">
        <w:rPr>
          <w:lang w:val="en-US" w:eastAsia="zh-TW" w:bidi="en-GB"/>
        </w:rPr>
        <w:t>34</w:t>
      </w:r>
      <w:r w:rsidR="00F72606">
        <w:rPr>
          <w:rtl/>
          <w:lang w:val="en-US" w:eastAsia="zh-TW"/>
        </w:rPr>
        <w:t>-</w:t>
      </w:r>
      <w:r w:rsidR="00F72606">
        <w:rPr>
          <w:rtl/>
          <w:lang w:val="en-US" w:eastAsia="zh-TW"/>
        </w:rPr>
        <w:tab/>
      </w:r>
      <w:r w:rsidR="00565A13">
        <w:rPr>
          <w:rtl/>
        </w:rPr>
        <w:t>ويساور اللجنة القلق إزاء عدم إمكانية الوصول إلى المعلومات وآليات الإنذار في إجراءات الإجلاء، ولا سيما فيما يتعلق بـالفئات التالية:</w:t>
      </w:r>
    </w:p>
    <w:p w14:paraId="37455F77" w14:textId="71A25889" w:rsidR="00565A13" w:rsidRPr="00241644" w:rsidRDefault="000839BA" w:rsidP="000839BA">
      <w:pPr>
        <w:pStyle w:val="SingleTxtGA"/>
        <w:rPr>
          <w:szCs w:val="20"/>
          <w:lang w:val="ar-SA" w:eastAsia="zh-TW" w:bidi="en-GB"/>
        </w:rPr>
      </w:pPr>
      <w:r>
        <w:rPr>
          <w:rtl/>
        </w:rPr>
        <w:tab/>
      </w:r>
      <w:r w:rsidR="00565A13">
        <w:rPr>
          <w:rtl/>
        </w:rPr>
        <w:t>(أ)</w:t>
      </w:r>
      <w:r w:rsidR="00565A13">
        <w:rPr>
          <w:rtl/>
        </w:rPr>
        <w:tab/>
        <w:t xml:space="preserve">الأشخاص ذوو الإعاقات الذهنية والأشخاص ذوو الإعاقات النفسية-الاجتماعية المقيمون في مؤسسات؛ </w:t>
      </w:r>
    </w:p>
    <w:p w14:paraId="7B6C1CA3" w14:textId="48D0142A" w:rsidR="00565A13" w:rsidRPr="00241644" w:rsidRDefault="000839BA" w:rsidP="000839BA">
      <w:pPr>
        <w:pStyle w:val="SingleTxtGA"/>
        <w:rPr>
          <w:szCs w:val="20"/>
          <w:lang w:val="ar-SA" w:eastAsia="zh-TW" w:bidi="en-GB"/>
        </w:rPr>
      </w:pPr>
      <w:r>
        <w:rPr>
          <w:rtl/>
        </w:rPr>
        <w:tab/>
      </w:r>
      <w:r w:rsidR="00565A13">
        <w:rPr>
          <w:rtl/>
        </w:rPr>
        <w:t>(ب)</w:t>
      </w:r>
      <w:r w:rsidR="00565A13">
        <w:rPr>
          <w:rtl/>
        </w:rPr>
        <w:tab/>
        <w:t>الأشخاص ذوو الإعاقات السمعية والبصرية؛</w:t>
      </w:r>
    </w:p>
    <w:p w14:paraId="7D939332" w14:textId="1ECA0FE2" w:rsidR="00565A13" w:rsidRPr="00241644" w:rsidRDefault="000839BA" w:rsidP="000839BA">
      <w:pPr>
        <w:pStyle w:val="SingleTxtGA"/>
        <w:rPr>
          <w:szCs w:val="20"/>
          <w:lang w:val="ar-SA" w:eastAsia="zh-TW" w:bidi="en-GB"/>
        </w:rPr>
      </w:pPr>
      <w:r>
        <w:rPr>
          <w:rtl/>
        </w:rPr>
        <w:lastRenderedPageBreak/>
        <w:tab/>
      </w:r>
      <w:r w:rsidR="00565A13">
        <w:rPr>
          <w:rtl/>
        </w:rPr>
        <w:t>(ج)</w:t>
      </w:r>
      <w:r w:rsidR="00565A13">
        <w:rPr>
          <w:rtl/>
        </w:rPr>
        <w:tab/>
        <w:t>الأشخاص ذوو القدرة المحدودة على الحركة، بمن فيهم القادرون على السفر في وضعية الاستلقاء فقط؛</w:t>
      </w:r>
    </w:p>
    <w:p w14:paraId="2182DA47" w14:textId="6D20CFA0" w:rsidR="00565A13" w:rsidRPr="001461C4" w:rsidRDefault="000839BA" w:rsidP="000839BA">
      <w:pPr>
        <w:pStyle w:val="SingleTxtGA"/>
        <w:rPr>
          <w:szCs w:val="20"/>
          <w:lang w:val="ar-SA" w:eastAsia="zh-TW" w:bidi="en-GB"/>
        </w:rPr>
      </w:pPr>
      <w:r>
        <w:rPr>
          <w:rtl/>
        </w:rPr>
        <w:tab/>
      </w:r>
      <w:r w:rsidR="00565A13">
        <w:rPr>
          <w:rtl/>
        </w:rPr>
        <w:t>(د)</w:t>
      </w:r>
      <w:r w:rsidR="00565A13">
        <w:rPr>
          <w:rtl/>
        </w:rPr>
        <w:tab/>
        <w:t>الرجال ذوو الإعاقة ومقدمو الرعاية الذكور للأقارب المقربين ذوي الإعاقة الذين يرغبون في مغادرة أوكرانيا ويطلبون الحماية الدولية في بلد آخر.</w:t>
      </w:r>
    </w:p>
    <w:p w14:paraId="4621645E" w14:textId="684796CA" w:rsidR="00F748C4" w:rsidRPr="00F748C4" w:rsidRDefault="003A6715" w:rsidP="000839BA">
      <w:pPr>
        <w:pStyle w:val="SingleTxtGA"/>
        <w:rPr>
          <w:szCs w:val="20"/>
          <w:lang w:val="ar-SA" w:eastAsia="zh-TW" w:bidi="en-GB"/>
        </w:rPr>
      </w:pPr>
      <w:r w:rsidRPr="001461C4">
        <w:rPr>
          <w:lang w:val="en-US" w:eastAsia="zh-TW" w:bidi="en-GB"/>
        </w:rPr>
        <w:t>35</w:t>
      </w:r>
      <w:r w:rsidR="00F72606">
        <w:rPr>
          <w:rtl/>
          <w:lang w:val="en-US" w:eastAsia="zh-TW"/>
        </w:rPr>
        <w:t>-</w:t>
      </w:r>
      <w:r w:rsidR="00F72606">
        <w:rPr>
          <w:rtl/>
          <w:lang w:val="en-US" w:eastAsia="zh-TW"/>
        </w:rPr>
        <w:tab/>
      </w:r>
      <w:r w:rsidR="00565A13" w:rsidRPr="0082668D">
        <w:rPr>
          <w:b/>
          <w:bCs/>
          <w:rtl/>
        </w:rPr>
        <w:t>تحث اللجنة جميع الدول الأطراف المعنية على ضمان إتاحة جميع المعلومات المتعلقة بحالات الطوارئ في أشكال يسهل على جميع الأشخاص ذوي الإعاقة الوصول إليها، بغض النظر عن نوع الإعاقة، وفقا</w:t>
      </w:r>
      <w:r w:rsidR="00F153E4" w:rsidRPr="0082668D">
        <w:rPr>
          <w:rFonts w:hint="cs"/>
          <w:b/>
          <w:bCs/>
          <w:rtl/>
        </w:rPr>
        <w:t>ً</w:t>
      </w:r>
      <w:r w:rsidR="00565A13" w:rsidRPr="0082668D">
        <w:rPr>
          <w:b/>
          <w:bCs/>
          <w:rtl/>
        </w:rPr>
        <w:t xml:space="preserve"> لتعليق اللجنة العام رقم 2</w:t>
      </w:r>
      <w:r w:rsidR="00565A13" w:rsidRPr="0082668D">
        <w:rPr>
          <w:rFonts w:ascii="Traditional Arabic"/>
          <w:b/>
          <w:bCs/>
          <w:szCs w:val="20"/>
          <w:rtl/>
        </w:rPr>
        <w:t>(</w:t>
      </w:r>
      <w:r w:rsidR="00565A13" w:rsidRPr="0082668D">
        <w:rPr>
          <w:b/>
          <w:bCs/>
          <w:rtl/>
        </w:rPr>
        <w:t>201</w:t>
      </w:r>
      <w:r w:rsidR="00F748C4" w:rsidRPr="0082668D">
        <w:rPr>
          <w:b/>
          <w:bCs/>
          <w:rtl/>
        </w:rPr>
        <w:t>4</w:t>
      </w:r>
      <w:r w:rsidR="00F748C4" w:rsidRPr="0082668D">
        <w:rPr>
          <w:rFonts w:ascii="Traditional Arabic"/>
          <w:b/>
          <w:bCs/>
          <w:szCs w:val="20"/>
          <w:rtl/>
        </w:rPr>
        <w:t>)</w:t>
      </w:r>
      <w:r w:rsidR="00F748C4" w:rsidRPr="0082668D">
        <w:rPr>
          <w:b/>
          <w:bCs/>
          <w:rtl/>
        </w:rPr>
        <w:t>.</w:t>
      </w:r>
    </w:p>
    <w:p w14:paraId="7F60B1BA" w14:textId="45DC801D" w:rsidR="00565A13" w:rsidRPr="001461C4" w:rsidRDefault="003A6715" w:rsidP="000839BA">
      <w:pPr>
        <w:pStyle w:val="SingleTxtGA"/>
        <w:rPr>
          <w:szCs w:val="20"/>
          <w:lang w:val="ar-SA" w:eastAsia="zh-TW" w:bidi="en-GB"/>
        </w:rPr>
      </w:pPr>
      <w:r w:rsidRPr="001461C4">
        <w:rPr>
          <w:lang w:val="en-US" w:eastAsia="zh-TW" w:bidi="en-GB"/>
        </w:rPr>
        <w:t>36</w:t>
      </w:r>
      <w:r w:rsidR="00F72606">
        <w:rPr>
          <w:rtl/>
          <w:lang w:val="en-US" w:eastAsia="zh-TW"/>
        </w:rPr>
        <w:t>-</w:t>
      </w:r>
      <w:r w:rsidR="00F72606">
        <w:rPr>
          <w:rtl/>
          <w:lang w:val="en-US" w:eastAsia="zh-TW"/>
        </w:rPr>
        <w:tab/>
      </w:r>
      <w:r w:rsidR="00565A13">
        <w:rPr>
          <w:rtl/>
        </w:rPr>
        <w:t>وتأسف اللجنة لأن أوكرانيا لم تنفذ التوصيات السابقة للجنة</w:t>
      </w:r>
      <w:r w:rsidR="00F748C4">
        <w:rPr>
          <w:rStyle w:val="FootnoteReference"/>
          <w:rtl/>
        </w:rPr>
        <w:t>(</w:t>
      </w:r>
      <w:r w:rsidR="00F748C4" w:rsidRPr="00CB6ECF">
        <w:rPr>
          <w:rStyle w:val="FootnoteReference"/>
          <w:rtl/>
        </w:rPr>
        <w:footnoteReference w:id="23"/>
      </w:r>
      <w:r w:rsidR="00A57E5C">
        <w:rPr>
          <w:rStyle w:val="FootnoteReference"/>
          <w:rtl/>
        </w:rPr>
        <w:t>)</w:t>
      </w:r>
      <w:r w:rsidR="00565A13">
        <w:rPr>
          <w:rtl/>
        </w:rPr>
        <w:t> تنفيذا</w:t>
      </w:r>
      <w:r w:rsidR="00F153E4">
        <w:rPr>
          <w:rFonts w:hint="cs"/>
          <w:rtl/>
        </w:rPr>
        <w:t>ً</w:t>
      </w:r>
      <w:r w:rsidR="00565A13">
        <w:rPr>
          <w:rtl/>
        </w:rPr>
        <w:t xml:space="preserve"> كافيا</w:t>
      </w:r>
      <w:r w:rsidR="00F153E4">
        <w:rPr>
          <w:rFonts w:hint="cs"/>
          <w:rtl/>
        </w:rPr>
        <w:t>ً</w:t>
      </w:r>
      <w:r w:rsidR="00565A13">
        <w:rPr>
          <w:rtl/>
        </w:rPr>
        <w:t>، ويساورها بالغ القلق إزاء ما يلي:</w:t>
      </w:r>
    </w:p>
    <w:p w14:paraId="3B8F3251" w14:textId="69CF5C73" w:rsidR="00565A13" w:rsidRPr="007915BD" w:rsidRDefault="000839BA" w:rsidP="000839BA">
      <w:pPr>
        <w:pStyle w:val="SingleTxtGA"/>
        <w:rPr>
          <w:szCs w:val="20"/>
          <w:lang w:val="ar-SA" w:eastAsia="zh-TW" w:bidi="en-GB"/>
        </w:rPr>
      </w:pPr>
      <w:r>
        <w:rPr>
          <w:rtl/>
        </w:rPr>
        <w:tab/>
      </w:r>
      <w:r w:rsidR="00565A13">
        <w:rPr>
          <w:rtl/>
        </w:rPr>
        <w:t>(أ)</w:t>
      </w:r>
      <w:r w:rsidR="00565A13">
        <w:rPr>
          <w:rtl/>
        </w:rPr>
        <w:tab/>
        <w:t>إيداع الأشخاص ذوي الإعاقة بشكل واسع النطاق في مؤسسات الرعاية في أوكرانيا، ولا سيما الأشخاص ذوي الإعاقات الذهنية والأشخاص ذوي الإعاقات النفسية-الاجتماعية</w:t>
      </w:r>
      <w:r w:rsidR="00F748C4" w:rsidRPr="00F748C4">
        <w:rPr>
          <w:rtl/>
        </w:rPr>
        <w:t>؛</w:t>
      </w:r>
    </w:p>
    <w:p w14:paraId="7F8A301A" w14:textId="72A1F54C" w:rsidR="00565A13" w:rsidRPr="007915BD" w:rsidRDefault="000839BA" w:rsidP="000839BA">
      <w:pPr>
        <w:pStyle w:val="SingleTxtGA"/>
        <w:rPr>
          <w:szCs w:val="20"/>
          <w:lang w:val="ar-SA" w:eastAsia="zh-TW" w:bidi="en-GB"/>
        </w:rPr>
      </w:pPr>
      <w:r>
        <w:rPr>
          <w:rtl/>
        </w:rPr>
        <w:tab/>
      </w:r>
      <w:r w:rsidR="00565A13">
        <w:rPr>
          <w:rtl/>
        </w:rPr>
        <w:t>(ب)</w:t>
      </w:r>
      <w:r w:rsidR="00565A13">
        <w:rPr>
          <w:rtl/>
        </w:rPr>
        <w:tab/>
        <w:t>لوائح الدولة التي تمنع توفير الرعاية البديلة داخل المجتمع المحلي في بيئة أسرية للأطفال ذوي الإعاقة الذين يتم إجلاؤهم من مؤسسات الرعاية الموجودة في مناطق الأعمال القتالية، مما يؤدي إلى إعادة إيداع الأطفال ذوي الإعاقة في المؤسسات في أوكرانيا وفي البلدان المضيفة للاجئين؛</w:t>
      </w:r>
    </w:p>
    <w:p w14:paraId="73645E1D" w14:textId="2079904F" w:rsidR="00565A13" w:rsidRPr="008F3C36" w:rsidRDefault="000839BA" w:rsidP="000839BA">
      <w:pPr>
        <w:pStyle w:val="SingleTxtGA"/>
        <w:rPr>
          <w:spacing w:val="-6"/>
          <w:szCs w:val="20"/>
          <w:lang w:val="en-US" w:eastAsia="zh-TW" w:bidi="en-GB"/>
        </w:rPr>
      </w:pPr>
      <w:r w:rsidRPr="008F3C36">
        <w:rPr>
          <w:spacing w:val="-6"/>
          <w:rtl/>
        </w:rPr>
        <w:tab/>
      </w:r>
      <w:r w:rsidR="00565A13" w:rsidRPr="008F3C36">
        <w:rPr>
          <w:spacing w:val="-6"/>
          <w:rtl/>
        </w:rPr>
        <w:t>(ج)</w:t>
      </w:r>
      <w:r w:rsidR="00565A13" w:rsidRPr="008F3C36">
        <w:rPr>
          <w:spacing w:val="-6"/>
          <w:rtl/>
        </w:rPr>
        <w:tab/>
        <w:t>فشل طرفي النزاع في إعطاء الأولوية بكفاءة لإخلاء المؤسسات الموجودة في مناطق الصراع.</w:t>
      </w:r>
    </w:p>
    <w:p w14:paraId="6C7B645C" w14:textId="69296616" w:rsidR="00565A13" w:rsidRPr="00B65B05" w:rsidRDefault="003A6715" w:rsidP="000839BA">
      <w:pPr>
        <w:pStyle w:val="SingleTxtGA"/>
        <w:rPr>
          <w:b/>
          <w:bCs/>
          <w:szCs w:val="20"/>
          <w:lang w:val="ar-SA" w:eastAsia="zh-TW" w:bidi="en-GB"/>
        </w:rPr>
      </w:pPr>
      <w:r w:rsidRPr="001461C4">
        <w:rPr>
          <w:lang w:val="en-US" w:eastAsia="zh-TW" w:bidi="en-GB"/>
        </w:rPr>
        <w:t>37</w:t>
      </w:r>
      <w:r w:rsidR="00F72606">
        <w:rPr>
          <w:rtl/>
          <w:lang w:val="en-US" w:eastAsia="zh-TW"/>
        </w:rPr>
        <w:t>-</w:t>
      </w:r>
      <w:r w:rsidR="00F72606">
        <w:rPr>
          <w:rtl/>
          <w:lang w:val="en-US" w:eastAsia="zh-TW"/>
        </w:rPr>
        <w:tab/>
      </w:r>
      <w:r w:rsidR="00565A13" w:rsidRPr="00B65B05">
        <w:rPr>
          <w:b/>
          <w:bCs/>
          <w:rtl/>
        </w:rPr>
        <w:t>تدعو اللجنة أوكرانيا، والاتحاد الروسي فيما يتعلق بالأراضي الأوكرانية الواقعة تحت احتلاله، إلى القيام بما يلي:</w:t>
      </w:r>
    </w:p>
    <w:p w14:paraId="54C617EE" w14:textId="3050A292" w:rsidR="00565A13" w:rsidRPr="00B65B05" w:rsidRDefault="000839BA" w:rsidP="000839BA">
      <w:pPr>
        <w:pStyle w:val="SingleTxtGA"/>
        <w:rPr>
          <w:b/>
          <w:bCs/>
          <w:szCs w:val="20"/>
          <w:lang w:val="ar-SA" w:eastAsia="zh-TW" w:bidi="en-GB"/>
        </w:rPr>
      </w:pPr>
      <w:r w:rsidRPr="00700100">
        <w:rPr>
          <w:rtl/>
        </w:rPr>
        <w:tab/>
      </w:r>
      <w:r w:rsidR="00565A13" w:rsidRPr="00700100">
        <w:rPr>
          <w:rtl/>
        </w:rPr>
        <w:t>(أ)</w:t>
      </w:r>
      <w:r w:rsidR="00565A13" w:rsidRPr="00B65B05">
        <w:rPr>
          <w:b/>
          <w:bCs/>
          <w:rtl/>
        </w:rPr>
        <w:tab/>
        <w:t>التعجيل بإنهاء الإيداع في مؤسسات فيما يتعلق بجميع من تبقى في هذه المؤسسات من الأشخاص ذوي الإعاقة في الأراضي الأوكرانية، وضمان الرصد المستقل لهذه العملية، بمشاركة وثيقة من منظمات الأشخاص ذوي الإعاقة؛</w:t>
      </w:r>
    </w:p>
    <w:p w14:paraId="4E90DEB3" w14:textId="0360B6C7" w:rsidR="00565A13" w:rsidRPr="00700100" w:rsidRDefault="000839BA" w:rsidP="000839BA">
      <w:pPr>
        <w:pStyle w:val="SingleTxtGA"/>
        <w:rPr>
          <w:b/>
          <w:bCs/>
          <w:szCs w:val="20"/>
          <w:lang w:val="en-US" w:eastAsia="zh-TW" w:bidi="en-GB"/>
        </w:rPr>
      </w:pPr>
      <w:r w:rsidRPr="00700100">
        <w:rPr>
          <w:rtl/>
        </w:rPr>
        <w:tab/>
      </w:r>
      <w:r w:rsidR="00565A13" w:rsidRPr="00700100">
        <w:rPr>
          <w:rtl/>
        </w:rPr>
        <w:t>(ب)</w:t>
      </w:r>
      <w:r w:rsidR="00565A13" w:rsidRPr="00B65B05">
        <w:rPr>
          <w:b/>
          <w:bCs/>
          <w:rtl/>
        </w:rPr>
        <w:tab/>
        <w:t>إلغاء لوائح الدولة التي تحول دون توفير الدعم المجتمعي للأطفال ذوي الإعاقة الذين يُجلون من مؤسسات الرعاية السكنية، وتوفير الرعاية البديلة لهم داخل المجتمع المحلي في إطار أسري، وذلك بهدف ضمان تمتعهم بحقوقهم في الحياة الأسرية؛ واتخاذ تدابير دعم للنساء المقدمات لرعاية الأطفال وغيرهم من أفراد الأسرة ذوي الإعاقة للحد من أعمال الرعاية غير المدفوعة الأجر وتوفير الفرص لتحقيقهن لذواتهن المهنية والشخصية؛ والاستثمار في مجموعة واسعة من الخدمات، بما في ذلك الخدمات المنزلية، والمساعدة الشخصية، والتدخل المبكر وإعادة التأهيل، في أوكرانيا وفي البلدان المضيفة للاجئين؛</w:t>
      </w:r>
    </w:p>
    <w:p w14:paraId="26BC5FAE" w14:textId="2F484A8C" w:rsidR="00565A13" w:rsidRPr="00B65B05" w:rsidRDefault="000839BA" w:rsidP="000839BA">
      <w:pPr>
        <w:pStyle w:val="SingleTxtGA"/>
        <w:rPr>
          <w:b/>
          <w:bCs/>
          <w:szCs w:val="20"/>
          <w:lang w:val="ar-SA" w:eastAsia="zh-TW" w:bidi="en-GB"/>
        </w:rPr>
      </w:pPr>
      <w:r w:rsidRPr="00700100">
        <w:rPr>
          <w:rtl/>
        </w:rPr>
        <w:tab/>
      </w:r>
      <w:r w:rsidR="00565A13" w:rsidRPr="00700100">
        <w:rPr>
          <w:rtl/>
        </w:rPr>
        <w:t>(ج)</w:t>
      </w:r>
      <w:r w:rsidR="00565A13" w:rsidRPr="00B65B05">
        <w:rPr>
          <w:b/>
          <w:bCs/>
          <w:rtl/>
        </w:rPr>
        <w:tab/>
        <w:t>ضمان إحصاء جميع الأشخاص ذوي الإعاقة الذين يعيشون في مؤسسات الرعاية السكنية وإعطاء الأولوية لإجلائهم من المؤسسات الموجودة في أماكن الأعمال القتالية؛</w:t>
      </w:r>
    </w:p>
    <w:p w14:paraId="23AF6A35" w14:textId="0749A4EA" w:rsidR="00565A13" w:rsidRPr="00B65B05" w:rsidRDefault="000839BA" w:rsidP="000839BA">
      <w:pPr>
        <w:pStyle w:val="SingleTxtGA"/>
        <w:rPr>
          <w:b/>
          <w:bCs/>
          <w:szCs w:val="20"/>
          <w:lang w:val="ar-SA" w:eastAsia="zh-TW" w:bidi="en-GB"/>
        </w:rPr>
      </w:pPr>
      <w:r w:rsidRPr="00700100">
        <w:rPr>
          <w:rtl/>
        </w:rPr>
        <w:tab/>
      </w:r>
      <w:r w:rsidR="00565A13" w:rsidRPr="00700100">
        <w:rPr>
          <w:rtl/>
        </w:rPr>
        <w:t>(د)</w:t>
      </w:r>
      <w:r w:rsidR="00565A13" w:rsidRPr="00B65B05">
        <w:rPr>
          <w:b/>
          <w:bCs/>
          <w:rtl/>
        </w:rPr>
        <w:tab/>
        <w:t>فتح حوار مع الحكومات الأخرى لترتيب المساعدة المتكاملة للأشخاص ذوي الإعاقة الذين يمكن نقلهم إلى خارج أوكرانيا، بما في ذلك معالجة مخاطر الاتجار بالبشر وطرق مكافحته؛</w:t>
      </w:r>
    </w:p>
    <w:p w14:paraId="1B8A3E7C" w14:textId="4EB16A59" w:rsidR="00565A13" w:rsidRPr="00700100" w:rsidRDefault="000839BA" w:rsidP="000839BA">
      <w:pPr>
        <w:pStyle w:val="SingleTxtGA"/>
        <w:rPr>
          <w:b/>
          <w:bCs/>
          <w:szCs w:val="20"/>
          <w:lang w:val="en-US" w:eastAsia="zh-TW" w:bidi="en-GB"/>
        </w:rPr>
      </w:pPr>
      <w:r w:rsidRPr="00700100">
        <w:rPr>
          <w:rtl/>
        </w:rPr>
        <w:lastRenderedPageBreak/>
        <w:tab/>
      </w:r>
      <w:r w:rsidR="00565A13" w:rsidRPr="00700100">
        <w:rPr>
          <w:rtl/>
        </w:rPr>
        <w:t>(هـ)</w:t>
      </w:r>
      <w:r w:rsidR="00565A13" w:rsidRPr="00700100">
        <w:rPr>
          <w:rtl/>
        </w:rPr>
        <w:tab/>
      </w:r>
      <w:r w:rsidR="00565A13" w:rsidRPr="00B65B05">
        <w:rPr>
          <w:b/>
          <w:bCs/>
          <w:rtl/>
        </w:rPr>
        <w:t>التذكير بالتزاماتهما بموجب القانون الدولي الإنساني، والامتناع عن اتخاذ مواقع عسكرية في المناطق السكنية أو بالقرب من الأعيان المدنية، وعن إشراك الأشخاص ذوي الإعاقة في العمليات العسكرية.</w:t>
      </w:r>
    </w:p>
    <w:p w14:paraId="218BDC9C" w14:textId="12B03489" w:rsidR="00565A13" w:rsidRPr="001461C4" w:rsidRDefault="003A6715" w:rsidP="000839BA">
      <w:pPr>
        <w:pStyle w:val="SingleTxtGA"/>
        <w:rPr>
          <w:szCs w:val="20"/>
          <w:lang w:val="ar-SA" w:eastAsia="zh-TW" w:bidi="en-GB"/>
        </w:rPr>
      </w:pPr>
      <w:r w:rsidRPr="001461C4">
        <w:rPr>
          <w:lang w:val="en-US" w:eastAsia="zh-TW" w:bidi="en-GB"/>
        </w:rPr>
        <w:t>38</w:t>
      </w:r>
      <w:r w:rsidR="00F72606">
        <w:rPr>
          <w:rtl/>
          <w:lang w:val="en-US" w:eastAsia="zh-TW"/>
        </w:rPr>
        <w:t>-</w:t>
      </w:r>
      <w:r w:rsidR="00F72606">
        <w:rPr>
          <w:rtl/>
          <w:lang w:val="en-US" w:eastAsia="zh-TW"/>
        </w:rPr>
        <w:tab/>
      </w:r>
      <w:r w:rsidR="00565A13">
        <w:rPr>
          <w:rtl/>
        </w:rPr>
        <w:t>وتلاحظ اللجنة بقلق أن أوكرانيا لم تعط الأولوية لإجلاء الأشخاص ذوي الإعاقة من مناطق الأعمال القتالية إلى مناطق آمنة في البلد أو خارجه.</w:t>
      </w:r>
    </w:p>
    <w:p w14:paraId="0D9B240B" w14:textId="23DB1FF4" w:rsidR="00565A13" w:rsidRPr="002868A4" w:rsidRDefault="003A6715" w:rsidP="000839BA">
      <w:pPr>
        <w:pStyle w:val="SingleTxtGA"/>
        <w:rPr>
          <w:b/>
          <w:bCs/>
          <w:szCs w:val="20"/>
          <w:lang w:val="ar-SA" w:eastAsia="zh-TW" w:bidi="en-GB"/>
        </w:rPr>
      </w:pPr>
      <w:r w:rsidRPr="001461C4">
        <w:rPr>
          <w:lang w:val="en-US" w:eastAsia="zh-TW" w:bidi="en-GB"/>
        </w:rPr>
        <w:t>39</w:t>
      </w:r>
      <w:r w:rsidR="00F72606">
        <w:rPr>
          <w:rtl/>
          <w:lang w:val="en-US" w:eastAsia="zh-TW"/>
        </w:rPr>
        <w:t>-</w:t>
      </w:r>
      <w:r w:rsidR="00F72606">
        <w:rPr>
          <w:rtl/>
          <w:lang w:val="en-US" w:eastAsia="zh-TW"/>
        </w:rPr>
        <w:tab/>
      </w:r>
      <w:r w:rsidR="00565A13" w:rsidRPr="002868A4">
        <w:rPr>
          <w:b/>
          <w:bCs/>
          <w:rtl/>
        </w:rPr>
        <w:t>توصي اللجنة الدولة الطرف بتعديل بروتوكولات الإجلاء لضمان توفير الدعم الكافي لجميع الأشخاص ذوي الإعاقة وضمان استفادتهم منه، على قدم المساواة مع الآخرين. وينبغي أن تشمل بروتوكولات الإجلاء إعطاء الأولوية للأشخاص ذوي الإعاقة أثناء الإجلاء في حالات الطوارئ، وضمانات لكفالة تمكن الأشخاص ذوي الإعاقة من أخذ الأجهزة والمعدات المساعدة معهم أثناء الإجلاء، أو الحصول على بديل لها، إن لم يكن ذلك ممكنا</w:t>
      </w:r>
      <w:r w:rsidR="008F3C36" w:rsidRPr="002868A4">
        <w:rPr>
          <w:rFonts w:hint="cs"/>
          <w:b/>
          <w:bCs/>
          <w:rtl/>
        </w:rPr>
        <w:t>ً</w:t>
      </w:r>
      <w:r w:rsidR="00565A13" w:rsidRPr="002868A4">
        <w:rPr>
          <w:b/>
          <w:bCs/>
          <w:rtl/>
        </w:rPr>
        <w:t>.</w:t>
      </w:r>
    </w:p>
    <w:p w14:paraId="13C26588" w14:textId="2DCA37B4" w:rsidR="00565A13" w:rsidRPr="001461C4" w:rsidRDefault="003A6715" w:rsidP="000839BA">
      <w:pPr>
        <w:pStyle w:val="SingleTxtGA"/>
        <w:rPr>
          <w:szCs w:val="20"/>
          <w:lang w:val="ar-SA" w:eastAsia="zh-TW" w:bidi="en-GB"/>
        </w:rPr>
      </w:pPr>
      <w:r w:rsidRPr="001461C4">
        <w:rPr>
          <w:lang w:val="en-US" w:eastAsia="zh-TW" w:bidi="en-GB"/>
        </w:rPr>
        <w:t>40</w:t>
      </w:r>
      <w:r w:rsidR="00F72606">
        <w:rPr>
          <w:rtl/>
          <w:lang w:val="en-US" w:eastAsia="zh-TW"/>
        </w:rPr>
        <w:t>-</w:t>
      </w:r>
      <w:r w:rsidR="00F72606">
        <w:rPr>
          <w:rtl/>
          <w:lang w:val="en-US" w:eastAsia="zh-TW"/>
        </w:rPr>
        <w:tab/>
      </w:r>
      <w:r w:rsidR="00565A13">
        <w:rPr>
          <w:rtl/>
        </w:rPr>
        <w:t>وتلاحظ اللجنة مع القلق استمرار افتقار الأشخاص ذوي الإعاقة ولا سيما الأشخاص ذوي الإعاقة الذهنية والأشخاص ذوي الإعاقات النفسية - الاجتماعية والأشخاص المصابين بالتوحد الذين يعيشون في أوكرانيا إلى الخدمات المجتمعية وخدمات الإسكان الاجتماعي، وهو أمر تفاقم نتيجة عدوان الاتحاد الروسي على أوكرانيا، وأثر سلبا</w:t>
      </w:r>
      <w:r w:rsidR="00F153E4">
        <w:rPr>
          <w:rFonts w:hint="cs"/>
          <w:rtl/>
        </w:rPr>
        <w:t>ً</w:t>
      </w:r>
      <w:r w:rsidR="00565A13">
        <w:rPr>
          <w:rtl/>
        </w:rPr>
        <w:t xml:space="preserve"> على حق الأشخاص ذوي الإعاقة في العيش المستقل والاندماج في المجتمع.</w:t>
      </w:r>
    </w:p>
    <w:p w14:paraId="23BDDA57" w14:textId="4AF5275B" w:rsidR="00565A13" w:rsidRPr="003B341E" w:rsidRDefault="003A6715" w:rsidP="000839BA">
      <w:pPr>
        <w:pStyle w:val="SingleTxtGA"/>
        <w:rPr>
          <w:b/>
          <w:bCs/>
          <w:szCs w:val="20"/>
          <w:lang w:val="ar-SA" w:eastAsia="zh-TW" w:bidi="en-GB"/>
        </w:rPr>
      </w:pPr>
      <w:r w:rsidRPr="001461C4">
        <w:rPr>
          <w:lang w:val="en-US" w:eastAsia="zh-TW" w:bidi="en-GB"/>
        </w:rPr>
        <w:t>41</w:t>
      </w:r>
      <w:r w:rsidR="00F72606">
        <w:rPr>
          <w:rtl/>
          <w:lang w:val="en-US" w:eastAsia="zh-TW"/>
        </w:rPr>
        <w:t>-</w:t>
      </w:r>
      <w:r w:rsidR="00F72606">
        <w:rPr>
          <w:rtl/>
          <w:lang w:val="en-US" w:eastAsia="zh-TW"/>
        </w:rPr>
        <w:tab/>
      </w:r>
      <w:r w:rsidR="00565A13" w:rsidRPr="003B341E">
        <w:rPr>
          <w:b/>
          <w:bCs/>
          <w:rtl/>
        </w:rPr>
        <w:t>تحث اللجنة الدول الأطراف المعنية على ضمان حصول جميع الأشخاص ذوي الإعاقة على الحماية وخدمات الدعم المجتمعية المراعية للمنظور الجنساني، بما في ذلك خدمات الدعم في المنازل ومؤسسات الرعاية السكنية وغيرها من خدمات الدعم.</w:t>
      </w:r>
    </w:p>
    <w:p w14:paraId="456DFD78" w14:textId="25EF9C43" w:rsidR="00565A13" w:rsidRPr="001461C4" w:rsidRDefault="003A6715" w:rsidP="000839BA">
      <w:pPr>
        <w:pStyle w:val="SingleTxtGA"/>
        <w:rPr>
          <w:szCs w:val="20"/>
          <w:lang w:val="ar-SA" w:eastAsia="zh-TW" w:bidi="en-GB"/>
        </w:rPr>
      </w:pPr>
      <w:r w:rsidRPr="001461C4">
        <w:rPr>
          <w:lang w:val="en-US" w:eastAsia="zh-TW" w:bidi="en-GB"/>
        </w:rPr>
        <w:t>42</w:t>
      </w:r>
      <w:r w:rsidR="00F72606">
        <w:rPr>
          <w:rtl/>
          <w:lang w:val="en-US" w:eastAsia="zh-TW"/>
        </w:rPr>
        <w:t>-</w:t>
      </w:r>
      <w:r w:rsidR="00F72606">
        <w:rPr>
          <w:rtl/>
          <w:lang w:val="en-US" w:eastAsia="zh-TW"/>
        </w:rPr>
        <w:tab/>
      </w:r>
      <w:r w:rsidR="00565A13">
        <w:rPr>
          <w:rtl/>
        </w:rPr>
        <w:t>ويساور اللجنة القلق إزاء الافتقار إلى الخدمات المجتمعية التي يمكن الوصول إليها، بما في ذلك المساعدة البرنامجية والمأوى الملائم والاتصالات ووسائل النقل، مما يؤثر تأثيرا</w:t>
      </w:r>
      <w:r w:rsidR="00F153E4">
        <w:rPr>
          <w:rFonts w:hint="cs"/>
          <w:rtl/>
        </w:rPr>
        <w:t>ً</w:t>
      </w:r>
      <w:r w:rsidR="00565A13">
        <w:rPr>
          <w:rtl/>
        </w:rPr>
        <w:t xml:space="preserve"> غير متناسب على المشردين داخليا</w:t>
      </w:r>
      <w:r w:rsidR="00F153E4">
        <w:rPr>
          <w:rFonts w:hint="cs"/>
          <w:rtl/>
        </w:rPr>
        <w:t>ً</w:t>
      </w:r>
      <w:r w:rsidR="00565A13">
        <w:rPr>
          <w:rtl/>
        </w:rPr>
        <w:t xml:space="preserve"> ذوي الإعاقة، ويزيد من تعريضهم للفقر والاستبعاد الاجتماعي وإيداعهم في مؤسسات. </w:t>
      </w:r>
    </w:p>
    <w:p w14:paraId="27A1B179" w14:textId="750A779E" w:rsidR="00565A13" w:rsidRPr="003B341E" w:rsidRDefault="003A6715" w:rsidP="000839BA">
      <w:pPr>
        <w:pStyle w:val="SingleTxtGA"/>
        <w:rPr>
          <w:b/>
          <w:bCs/>
          <w:szCs w:val="20"/>
          <w:lang w:val="ar-SA" w:eastAsia="zh-TW" w:bidi="en-GB"/>
        </w:rPr>
      </w:pPr>
      <w:r w:rsidRPr="001461C4">
        <w:rPr>
          <w:lang w:val="en-US" w:eastAsia="zh-TW" w:bidi="en-GB"/>
        </w:rPr>
        <w:t>43</w:t>
      </w:r>
      <w:r w:rsidR="00F72606">
        <w:rPr>
          <w:rtl/>
          <w:lang w:val="en-US" w:eastAsia="zh-TW"/>
        </w:rPr>
        <w:t>-</w:t>
      </w:r>
      <w:r w:rsidR="00F72606">
        <w:rPr>
          <w:rtl/>
          <w:lang w:val="en-US" w:eastAsia="zh-TW"/>
        </w:rPr>
        <w:tab/>
      </w:r>
      <w:r w:rsidR="00565A13" w:rsidRPr="003B341E">
        <w:rPr>
          <w:b/>
          <w:bCs/>
          <w:rtl/>
        </w:rPr>
        <w:t>تشير اللجنة إلى المبادئ التوجيهية بشأن التشرد الداخلي</w:t>
      </w:r>
      <w:r w:rsidR="00F748C4" w:rsidRPr="003B341E">
        <w:rPr>
          <w:rStyle w:val="FootnoteReference"/>
          <w:b/>
          <w:bCs/>
          <w:rtl/>
        </w:rPr>
        <w:t>(</w:t>
      </w:r>
      <w:r w:rsidR="00F748C4" w:rsidRPr="003B341E">
        <w:rPr>
          <w:rStyle w:val="FootnoteReference"/>
          <w:b/>
          <w:bCs/>
          <w:rtl/>
        </w:rPr>
        <w:footnoteReference w:id="24"/>
      </w:r>
      <w:r w:rsidR="00A57E5C" w:rsidRPr="003B341E">
        <w:rPr>
          <w:rStyle w:val="FootnoteReference"/>
          <w:b/>
          <w:bCs/>
          <w:rtl/>
        </w:rPr>
        <w:t>)</w:t>
      </w:r>
      <w:r w:rsidR="003B341E">
        <w:rPr>
          <w:rFonts w:hint="cs"/>
          <w:b/>
          <w:bCs/>
          <w:rtl/>
        </w:rPr>
        <w:t>،</w:t>
      </w:r>
      <w:r w:rsidR="00565A13" w:rsidRPr="003B341E">
        <w:rPr>
          <w:b/>
          <w:bCs/>
          <w:rtl/>
        </w:rPr>
        <w:t> وتدعو الدول الأطراف المعنية إلى ضمان تزويد المشردين داخليا</w:t>
      </w:r>
      <w:r w:rsidR="00F153E4" w:rsidRPr="003B341E">
        <w:rPr>
          <w:rFonts w:hint="cs"/>
          <w:b/>
          <w:bCs/>
          <w:rtl/>
        </w:rPr>
        <w:t>ً</w:t>
      </w:r>
      <w:r w:rsidR="00565A13" w:rsidRPr="003B341E">
        <w:rPr>
          <w:b/>
          <w:bCs/>
          <w:rtl/>
        </w:rPr>
        <w:t xml:space="preserve"> ذوي الإعاقة بخدمات مجتمعية ومأوى يمكن الوصول إليهما. </w:t>
      </w:r>
    </w:p>
    <w:p w14:paraId="01223060" w14:textId="50E08244" w:rsidR="00565A13" w:rsidRPr="001461C4" w:rsidRDefault="003A6715" w:rsidP="000839BA">
      <w:pPr>
        <w:pStyle w:val="SingleTxtGA"/>
        <w:rPr>
          <w:szCs w:val="20"/>
          <w:lang w:val="ar-SA" w:eastAsia="zh-TW" w:bidi="en-GB"/>
        </w:rPr>
      </w:pPr>
      <w:r w:rsidRPr="001461C4">
        <w:rPr>
          <w:lang w:val="en-US" w:eastAsia="zh-TW" w:bidi="en-GB"/>
        </w:rPr>
        <w:t>44</w:t>
      </w:r>
      <w:r w:rsidR="00F72606">
        <w:rPr>
          <w:rtl/>
          <w:lang w:val="en-US" w:eastAsia="zh-TW"/>
        </w:rPr>
        <w:t>-</w:t>
      </w:r>
      <w:r w:rsidR="00F72606">
        <w:rPr>
          <w:rtl/>
          <w:lang w:val="en-US" w:eastAsia="zh-TW"/>
        </w:rPr>
        <w:tab/>
      </w:r>
      <w:r w:rsidR="00565A13">
        <w:rPr>
          <w:rtl/>
        </w:rPr>
        <w:t>تعرب اللجنة عن قلقها البالغ إزاء ما يلي</w:t>
      </w:r>
      <w:r w:rsidR="00565A13">
        <w:rPr>
          <w:rFonts w:ascii="Traditional Arabic"/>
          <w:szCs w:val="20"/>
          <w:rtl/>
        </w:rPr>
        <w:t xml:space="preserve">: </w:t>
      </w:r>
    </w:p>
    <w:p w14:paraId="39903246" w14:textId="7932A022" w:rsidR="00F748C4" w:rsidRPr="00277D28" w:rsidRDefault="000839BA" w:rsidP="000839BA">
      <w:pPr>
        <w:pStyle w:val="SingleTxtGA"/>
        <w:rPr>
          <w:rStyle w:val="FootnoteReference"/>
          <w:spacing w:val="-6"/>
          <w:lang w:val="ar-SA" w:eastAsia="zh-TW" w:bidi="en-GB"/>
        </w:rPr>
      </w:pPr>
      <w:r>
        <w:rPr>
          <w:rtl/>
        </w:rPr>
        <w:tab/>
      </w:r>
      <w:r w:rsidR="00565A13">
        <w:rPr>
          <w:rtl/>
        </w:rPr>
        <w:t>(أ)</w:t>
      </w:r>
      <w:r w:rsidR="00565A13">
        <w:rPr>
          <w:rtl/>
        </w:rPr>
        <w:tab/>
        <w:t>تقارير تفيد بأن الأشخاص ذوي الإعاقة الذين يعيشون في مؤسسات الرعاية الخاصة</w:t>
      </w:r>
      <w:r w:rsidR="00277D28">
        <w:rPr>
          <w:rFonts w:hint="cs"/>
          <w:rtl/>
        </w:rPr>
        <w:t xml:space="preserve"> </w:t>
      </w:r>
      <w:r w:rsidR="00565A13">
        <w:rPr>
          <w:rtl/>
        </w:rPr>
        <w:t xml:space="preserve">بالأشخاص ذوي الإعاقة في الأراضي الخاضعة لسيطرة الاتحاد الروسي حُرموا من الإجلاء والحصول </w:t>
      </w:r>
      <w:r w:rsidR="00565A13" w:rsidRPr="00277D28">
        <w:rPr>
          <w:spacing w:val="-6"/>
          <w:rtl/>
        </w:rPr>
        <w:t>على الخدمات الأساسية، مما أدى إلى وفاة ما لا يقل عن 12 شخصا</w:t>
      </w:r>
      <w:r w:rsidR="00500784" w:rsidRPr="00277D28">
        <w:rPr>
          <w:rFonts w:hint="cs"/>
          <w:spacing w:val="-6"/>
          <w:rtl/>
        </w:rPr>
        <w:t>ً</w:t>
      </w:r>
      <w:r w:rsidR="00565A13" w:rsidRPr="00277D28">
        <w:rPr>
          <w:spacing w:val="-6"/>
          <w:rtl/>
        </w:rPr>
        <w:t xml:space="preserve"> من ذوي الإعاقة، وفقا</w:t>
      </w:r>
      <w:r w:rsidR="00500784" w:rsidRPr="00277D28">
        <w:rPr>
          <w:rFonts w:hint="cs"/>
          <w:spacing w:val="-6"/>
          <w:rtl/>
        </w:rPr>
        <w:t>ً</w:t>
      </w:r>
      <w:r w:rsidR="00565A13" w:rsidRPr="00277D28">
        <w:rPr>
          <w:spacing w:val="-6"/>
          <w:rtl/>
        </w:rPr>
        <w:t xml:space="preserve"> للتقارير الأولية</w:t>
      </w:r>
      <w:r w:rsidR="00F748C4" w:rsidRPr="00277D28">
        <w:rPr>
          <w:rStyle w:val="FootnoteReference"/>
          <w:spacing w:val="-6"/>
          <w:rtl/>
        </w:rPr>
        <w:t>(</w:t>
      </w:r>
      <w:r w:rsidR="00F748C4" w:rsidRPr="00277D28">
        <w:rPr>
          <w:rStyle w:val="FootnoteReference"/>
          <w:spacing w:val="-6"/>
          <w:rtl/>
        </w:rPr>
        <w:footnoteReference w:id="25"/>
      </w:r>
      <w:r w:rsidR="00F748C4" w:rsidRPr="00277D28">
        <w:rPr>
          <w:rStyle w:val="FootnoteReference"/>
          <w:spacing w:val="-6"/>
          <w:rtl/>
        </w:rPr>
        <w:t>)</w:t>
      </w:r>
      <w:r w:rsidR="00F748C4" w:rsidRPr="00277D28">
        <w:rPr>
          <w:spacing w:val="-6"/>
          <w:rtl/>
        </w:rPr>
        <w:t>؛</w:t>
      </w:r>
    </w:p>
    <w:p w14:paraId="680778B0" w14:textId="7155539A" w:rsidR="00565A13" w:rsidRPr="00D5111E" w:rsidRDefault="000839BA" w:rsidP="000839BA">
      <w:pPr>
        <w:pStyle w:val="SingleTxtGA"/>
      </w:pPr>
      <w:r>
        <w:rPr>
          <w:rtl/>
        </w:rPr>
        <w:tab/>
      </w:r>
      <w:r w:rsidR="00565A13">
        <w:rPr>
          <w:rtl/>
        </w:rPr>
        <w:t>(ب)</w:t>
      </w:r>
      <w:r w:rsidR="00565A13">
        <w:rPr>
          <w:rtl/>
        </w:rPr>
        <w:tab/>
        <w:t>تقارير عن أشخاص ذوي إعاقة احتجزهم الاتحاد الروسي في ظروف غير إنسانية، أثناء الأعمال القتالية</w:t>
      </w:r>
      <w:r w:rsidR="00F748C4">
        <w:rPr>
          <w:rStyle w:val="FootnoteReference"/>
          <w:rtl/>
        </w:rPr>
        <w:t>(</w:t>
      </w:r>
      <w:r w:rsidR="00F748C4" w:rsidRPr="00CB6ECF">
        <w:rPr>
          <w:rStyle w:val="FootnoteReference"/>
          <w:rtl/>
        </w:rPr>
        <w:footnoteReference w:id="26"/>
      </w:r>
      <w:r w:rsidR="00A57E5C">
        <w:rPr>
          <w:rStyle w:val="FootnoteReference"/>
          <w:rtl/>
        </w:rPr>
        <w:t>)</w:t>
      </w:r>
      <w:r w:rsidR="00D5111E">
        <w:rPr>
          <w:rFonts w:hint="cs"/>
          <w:rtl/>
        </w:rPr>
        <w:t>؛</w:t>
      </w:r>
    </w:p>
    <w:p w14:paraId="01ADF0FD" w14:textId="4FDA20FB" w:rsidR="00565A13" w:rsidRPr="007112F3" w:rsidRDefault="000839BA" w:rsidP="000839BA">
      <w:pPr>
        <w:pStyle w:val="SingleTxtGA"/>
        <w:rPr>
          <w:szCs w:val="20"/>
          <w:lang w:val="ar-SA" w:eastAsia="zh-TW" w:bidi="en-GB"/>
        </w:rPr>
      </w:pPr>
      <w:r>
        <w:rPr>
          <w:rtl/>
        </w:rPr>
        <w:tab/>
      </w:r>
      <w:r w:rsidR="00565A13">
        <w:rPr>
          <w:rtl/>
        </w:rPr>
        <w:t>(ج)</w:t>
      </w:r>
      <w:r w:rsidR="00565A13">
        <w:rPr>
          <w:rtl/>
        </w:rPr>
        <w:tab/>
        <w:t>تقارير عن أشخاص ذوي إعاقة يحتجزون بمعزل عن العالم الخارجي أو ينقلون قسرا</w:t>
      </w:r>
      <w:r w:rsidR="00500784">
        <w:rPr>
          <w:rFonts w:hint="cs"/>
          <w:rtl/>
        </w:rPr>
        <w:t>ً</w:t>
      </w:r>
      <w:r w:rsidR="00565A13">
        <w:rPr>
          <w:rtl/>
        </w:rPr>
        <w:t xml:space="preserve"> إلى الاتحاد الروسي أو إلى الأراضي الأوكرانية الخاضعة لسيطرة الاتحاد الروسي.</w:t>
      </w:r>
    </w:p>
    <w:p w14:paraId="0902CB11" w14:textId="346ECF79" w:rsidR="00565A13" w:rsidRPr="000636F8" w:rsidRDefault="003A6715" w:rsidP="000839BA">
      <w:pPr>
        <w:pStyle w:val="SingleTxtGA"/>
        <w:rPr>
          <w:b/>
          <w:bCs/>
          <w:szCs w:val="20"/>
          <w:lang w:val="ar-SA" w:eastAsia="zh-TW" w:bidi="en-GB"/>
        </w:rPr>
      </w:pPr>
      <w:r w:rsidRPr="001461C4">
        <w:rPr>
          <w:lang w:val="en-US" w:eastAsia="zh-TW" w:bidi="en-GB"/>
        </w:rPr>
        <w:lastRenderedPageBreak/>
        <w:t>45</w:t>
      </w:r>
      <w:r w:rsidR="00F72606">
        <w:rPr>
          <w:rtl/>
          <w:lang w:val="en-US" w:eastAsia="zh-TW"/>
        </w:rPr>
        <w:t>-</w:t>
      </w:r>
      <w:r w:rsidR="00F72606">
        <w:rPr>
          <w:rtl/>
          <w:lang w:val="en-US" w:eastAsia="zh-TW"/>
        </w:rPr>
        <w:tab/>
      </w:r>
      <w:r w:rsidR="00565A13" w:rsidRPr="000636F8">
        <w:rPr>
          <w:b/>
          <w:bCs/>
          <w:rtl/>
        </w:rPr>
        <w:t>تشير اللجنة إلى التزامات الدول الأطراف بموجب القانون الدولي الإنساني وتحث الاتحاد الروسي على ما يلي:</w:t>
      </w:r>
    </w:p>
    <w:p w14:paraId="4B3504A6" w14:textId="3287DE0B" w:rsidR="00565A13" w:rsidRPr="000636F8" w:rsidRDefault="000839BA" w:rsidP="000839BA">
      <w:pPr>
        <w:pStyle w:val="SingleTxtGA"/>
        <w:rPr>
          <w:b/>
          <w:bCs/>
          <w:szCs w:val="20"/>
          <w:lang w:val="ar-SA" w:eastAsia="zh-TW" w:bidi="en-GB"/>
        </w:rPr>
      </w:pPr>
      <w:r w:rsidRPr="00700100">
        <w:rPr>
          <w:rtl/>
        </w:rPr>
        <w:tab/>
      </w:r>
      <w:r w:rsidR="00565A13" w:rsidRPr="00700100">
        <w:rPr>
          <w:rtl/>
        </w:rPr>
        <w:t>(أ)</w:t>
      </w:r>
      <w:r w:rsidR="00565A13" w:rsidRPr="000636F8">
        <w:rPr>
          <w:b/>
          <w:bCs/>
          <w:rtl/>
        </w:rPr>
        <w:tab/>
        <w:t>ضمان الإجلاء الآمن والطوعي لجميع الأشخاص ذوي الإعاقة الذين يعيشون في أراض يحتلها الاتحاد الروسي إلى المنطقة التي يختارونها، وحمايتهم من العنف والإيذاء وسوء المعاملة، وضمان حصولهم على جميع الخدمات الأساسية، بما في ذلك خدمات المياه والصرف الصحي، والدعم الاجتماعي، والتعليم، والرعاية الصحية، والنقل، والمعلومات؛</w:t>
      </w:r>
    </w:p>
    <w:p w14:paraId="4C002AFD" w14:textId="4BE01B32" w:rsidR="00565A13" w:rsidRPr="000636F8" w:rsidRDefault="000839BA" w:rsidP="000839BA">
      <w:pPr>
        <w:pStyle w:val="SingleTxtGA"/>
        <w:rPr>
          <w:b/>
          <w:bCs/>
          <w:szCs w:val="20"/>
          <w:lang w:val="en-US" w:eastAsia="zh-TW" w:bidi="en-GB"/>
        </w:rPr>
      </w:pPr>
      <w:r w:rsidRPr="00700100">
        <w:rPr>
          <w:rtl/>
        </w:rPr>
        <w:tab/>
      </w:r>
      <w:r w:rsidR="00565A13" w:rsidRPr="00700100">
        <w:rPr>
          <w:rtl/>
        </w:rPr>
        <w:t>(ب)</w:t>
      </w:r>
      <w:r w:rsidR="00565A13" w:rsidRPr="000636F8">
        <w:rPr>
          <w:b/>
          <w:bCs/>
          <w:rtl/>
        </w:rPr>
        <w:tab/>
        <w:t xml:space="preserve">ضمان أن يتاح لممثلي وموظفي المؤسسات الدولية لحقوق الإنسان والمؤسسات الإنسانية الدولية، بما فيها وكالات الأمم المتحدة المتخصصة، إمكانية الوصول في الوقت المناسب وبصورة فورية وغير مقيدة وآمنة إلى الأشخاص ذوي الإعاقة المحتجزين على أراضي الاتحاد الروسي أو الأراضي التي يحتلها الاتحاد الروسي، وأن </w:t>
      </w:r>
      <w:proofErr w:type="spellStart"/>
      <w:r w:rsidR="00700100">
        <w:rPr>
          <w:rFonts w:hint="cs"/>
          <w:b/>
          <w:bCs/>
          <w:rtl/>
        </w:rPr>
        <w:t>يتقاسموا</w:t>
      </w:r>
      <w:proofErr w:type="spellEnd"/>
      <w:r w:rsidR="00565A13" w:rsidRPr="000636F8">
        <w:rPr>
          <w:b/>
          <w:bCs/>
          <w:rtl/>
        </w:rPr>
        <w:t xml:space="preserve"> مع أصحاب المصلحة ذوي الصلة قائمة كاملة بهؤلاء الأشخاص المنقولين وأماكن وجودهم</w:t>
      </w:r>
      <w:r w:rsidR="000636F8">
        <w:rPr>
          <w:rFonts w:hint="cs"/>
          <w:b/>
          <w:bCs/>
          <w:rtl/>
        </w:rPr>
        <w:t>.</w:t>
      </w:r>
    </w:p>
    <w:p w14:paraId="0269F031" w14:textId="15160917" w:rsidR="00F748C4" w:rsidRPr="00F748C4" w:rsidRDefault="003A6715" w:rsidP="000839BA">
      <w:pPr>
        <w:pStyle w:val="SingleTxtGA"/>
        <w:rPr>
          <w:rStyle w:val="FootnoteReference"/>
          <w:lang w:val="ar-SA" w:eastAsia="zh-TW" w:bidi="en-GB"/>
        </w:rPr>
      </w:pPr>
      <w:r w:rsidRPr="00CB6ECF">
        <w:rPr>
          <w:rStyle w:val="FootnoteReference"/>
          <w:szCs w:val="20"/>
          <w:vertAlign w:val="baseline"/>
          <w:lang w:val="en-US" w:eastAsia="zh-TW" w:bidi="en-GB"/>
        </w:rPr>
        <w:t>46</w:t>
      </w:r>
      <w:r w:rsidR="00F72606">
        <w:rPr>
          <w:rStyle w:val="FootnoteReference"/>
          <w:szCs w:val="20"/>
          <w:vertAlign w:val="baseline"/>
          <w:rtl/>
          <w:lang w:val="en-US" w:eastAsia="zh-TW"/>
        </w:rPr>
        <w:t>-</w:t>
      </w:r>
      <w:r w:rsidR="00F72606">
        <w:rPr>
          <w:rStyle w:val="FootnoteReference"/>
          <w:szCs w:val="20"/>
          <w:vertAlign w:val="baseline"/>
          <w:rtl/>
          <w:lang w:val="en-US" w:eastAsia="zh-TW"/>
        </w:rPr>
        <w:tab/>
      </w:r>
      <w:r w:rsidR="00565A13">
        <w:rPr>
          <w:rtl/>
        </w:rPr>
        <w:t>ويساور اللجنة القلق لأن النزاع المسلح زاد من تعريض النساء والأطفال ذوي الإعاقة للإهمال والعنف المنزلي والعنف الجنسي المتصل بالنزاع والاتجار والاستغلال الجنسي، وأضعف إنفاذ القانون وأدى إلى تصدع آليات الدعم والسلامة</w:t>
      </w:r>
      <w:r w:rsidR="00F748C4">
        <w:rPr>
          <w:rStyle w:val="FootnoteReference"/>
          <w:rtl/>
        </w:rPr>
        <w:t>(</w:t>
      </w:r>
      <w:r w:rsidR="00F748C4" w:rsidRPr="00CB6ECF">
        <w:rPr>
          <w:rStyle w:val="FootnoteReference"/>
          <w:rtl/>
        </w:rPr>
        <w:footnoteReference w:id="27"/>
      </w:r>
      <w:r w:rsidR="00F748C4" w:rsidRPr="00F748C4">
        <w:rPr>
          <w:rStyle w:val="FootnoteReference"/>
          <w:rtl/>
        </w:rPr>
        <w:t>)</w:t>
      </w:r>
      <w:r w:rsidR="00F748C4" w:rsidRPr="00F748C4">
        <w:rPr>
          <w:rtl/>
        </w:rPr>
        <w:t xml:space="preserve">. </w:t>
      </w:r>
      <w:r w:rsidR="00565A13">
        <w:rPr>
          <w:rtl/>
        </w:rPr>
        <w:t>وعلاوة على ذلك، تلاحظ اللجنة مع القلق أنه على الرغم من أن النساء والأطفال ذوي الإعاقة يحتاجون الآن إلى الحماية أكثر من السابق، فإنهم يواجهون صعوبات إضافية في الحصول على الدعم الإنساني</w:t>
      </w:r>
      <w:r w:rsidR="00F748C4">
        <w:rPr>
          <w:rStyle w:val="FootnoteReference"/>
          <w:rtl/>
        </w:rPr>
        <w:t>(</w:t>
      </w:r>
      <w:r w:rsidR="00F748C4" w:rsidRPr="00CB6ECF">
        <w:rPr>
          <w:rStyle w:val="FootnoteReference"/>
          <w:rtl/>
        </w:rPr>
        <w:footnoteReference w:id="28"/>
      </w:r>
      <w:r w:rsidR="00F748C4" w:rsidRPr="00F748C4">
        <w:rPr>
          <w:rStyle w:val="FootnoteReference"/>
          <w:rtl/>
        </w:rPr>
        <w:t>)</w:t>
      </w:r>
      <w:r w:rsidR="00F748C4" w:rsidRPr="00F748C4">
        <w:rPr>
          <w:rtl/>
        </w:rPr>
        <w:t>.</w:t>
      </w:r>
    </w:p>
    <w:p w14:paraId="254DD855" w14:textId="3530301D" w:rsidR="00565A13" w:rsidRPr="00DE63CF" w:rsidRDefault="003A6715" w:rsidP="000839BA">
      <w:pPr>
        <w:pStyle w:val="SingleTxtGA"/>
        <w:rPr>
          <w:b/>
          <w:bCs/>
          <w:szCs w:val="20"/>
          <w:lang w:val="ar-SA" w:eastAsia="zh-TW" w:bidi="en-GB"/>
        </w:rPr>
      </w:pPr>
      <w:r w:rsidRPr="001461C4">
        <w:rPr>
          <w:lang w:val="en-US" w:eastAsia="zh-TW" w:bidi="en-GB"/>
        </w:rPr>
        <w:t>47</w:t>
      </w:r>
      <w:r w:rsidR="00F72606">
        <w:rPr>
          <w:rtl/>
          <w:lang w:val="en-US" w:eastAsia="zh-TW"/>
        </w:rPr>
        <w:t>-</w:t>
      </w:r>
      <w:r w:rsidR="00F72606">
        <w:rPr>
          <w:rtl/>
          <w:lang w:val="en-US" w:eastAsia="zh-TW"/>
        </w:rPr>
        <w:tab/>
      </w:r>
      <w:r w:rsidR="00565A13" w:rsidRPr="00DE63CF">
        <w:rPr>
          <w:b/>
          <w:bCs/>
          <w:rtl/>
        </w:rPr>
        <w:t>تحث اللجنة جميع الدول الأطراف المعنية على ما يلي</w:t>
      </w:r>
      <w:r w:rsidR="00565A13" w:rsidRPr="00DE63CF">
        <w:rPr>
          <w:rFonts w:ascii="Traditional Arabic"/>
          <w:b/>
          <w:bCs/>
          <w:szCs w:val="20"/>
        </w:rPr>
        <w:t>:</w:t>
      </w:r>
      <w:r w:rsidR="00565A13" w:rsidRPr="00DE63CF">
        <w:rPr>
          <w:b/>
          <w:bCs/>
          <w:rtl/>
        </w:rPr>
        <w:t xml:space="preserve"> </w:t>
      </w:r>
    </w:p>
    <w:p w14:paraId="3670F013" w14:textId="50598026" w:rsidR="00565A13" w:rsidRPr="00DE63CF" w:rsidRDefault="000839BA" w:rsidP="000839BA">
      <w:pPr>
        <w:pStyle w:val="SingleTxtGA"/>
        <w:rPr>
          <w:b/>
          <w:bCs/>
          <w:szCs w:val="20"/>
          <w:lang w:val="ar-SA" w:eastAsia="zh-TW" w:bidi="en-GB"/>
        </w:rPr>
      </w:pPr>
      <w:r w:rsidRPr="00700100">
        <w:rPr>
          <w:rtl/>
        </w:rPr>
        <w:tab/>
      </w:r>
      <w:r w:rsidR="00565A13" w:rsidRPr="00700100">
        <w:rPr>
          <w:rtl/>
        </w:rPr>
        <w:t>(أ)</w:t>
      </w:r>
      <w:r w:rsidR="00565A13" w:rsidRPr="00DE63CF">
        <w:rPr>
          <w:b/>
          <w:bCs/>
          <w:rtl/>
        </w:rPr>
        <w:tab/>
        <w:t>وضع استراتيجيات شاملة لتحديد وتخفيف مخاطر الاستغلال والعنف والإيذاء ضد الأشخاص ذوي الإعاقة، ولا سيما ضد النساء والأطفال ذوي الإعاقة المشردين قسرا</w:t>
      </w:r>
      <w:r w:rsidR="005521AB">
        <w:rPr>
          <w:rFonts w:hint="cs"/>
          <w:b/>
          <w:bCs/>
          <w:rtl/>
        </w:rPr>
        <w:t>ً</w:t>
      </w:r>
      <w:r w:rsidR="00565A13" w:rsidRPr="00DE63CF">
        <w:rPr>
          <w:b/>
          <w:bCs/>
          <w:rtl/>
        </w:rPr>
        <w:t xml:space="preserve">؛ </w:t>
      </w:r>
    </w:p>
    <w:p w14:paraId="25B6CF69" w14:textId="59F659DF" w:rsidR="00565A13" w:rsidRPr="00DE63CF" w:rsidRDefault="000839BA" w:rsidP="000839BA">
      <w:pPr>
        <w:pStyle w:val="SingleTxtGA"/>
        <w:rPr>
          <w:b/>
          <w:bCs/>
          <w:szCs w:val="20"/>
          <w:lang w:val="ar-SA" w:eastAsia="zh-TW" w:bidi="en-GB"/>
        </w:rPr>
      </w:pPr>
      <w:r w:rsidRPr="00700100">
        <w:rPr>
          <w:rtl/>
        </w:rPr>
        <w:tab/>
      </w:r>
      <w:r w:rsidR="00565A13" w:rsidRPr="00700100">
        <w:rPr>
          <w:rtl/>
        </w:rPr>
        <w:t>(ب)</w:t>
      </w:r>
      <w:r w:rsidR="00565A13" w:rsidRPr="00DE63CF">
        <w:rPr>
          <w:b/>
          <w:bCs/>
          <w:rtl/>
        </w:rPr>
        <w:tab/>
        <w:t>ضمان الحماية الكافية للنساء والأطفال ذوي الإعاقة وتيسير الوصول في الوقت المناسب إلى الخدمات الرئيسية والمتخصصة، بما في ذلك الخدمات الطبية والقانونية والنفسية</w:t>
      </w:r>
      <w:r w:rsidR="005521AB">
        <w:rPr>
          <w:rFonts w:hint="cs"/>
          <w:b/>
          <w:bCs/>
          <w:rtl/>
        </w:rPr>
        <w:t xml:space="preserve"> </w:t>
      </w:r>
      <w:r w:rsidR="00565A13" w:rsidRPr="00DE63CF">
        <w:rPr>
          <w:b/>
          <w:bCs/>
          <w:rtl/>
        </w:rPr>
        <w:t>-</w:t>
      </w:r>
      <w:r w:rsidR="005521AB">
        <w:rPr>
          <w:rFonts w:hint="cs"/>
          <w:b/>
          <w:bCs/>
          <w:rtl/>
        </w:rPr>
        <w:t xml:space="preserve"> </w:t>
      </w:r>
      <w:r w:rsidR="00565A13" w:rsidRPr="00DE63CF">
        <w:rPr>
          <w:b/>
          <w:bCs/>
          <w:rtl/>
        </w:rPr>
        <w:t>الاجتماعية والتعليمية المناسبة للعمر ونوع الجنس.</w:t>
      </w:r>
    </w:p>
    <w:p w14:paraId="713FC60F" w14:textId="51D6378C" w:rsidR="00565A13" w:rsidRPr="001461C4" w:rsidRDefault="003A6715" w:rsidP="000839BA">
      <w:pPr>
        <w:pStyle w:val="SingleTxtGA"/>
        <w:rPr>
          <w:szCs w:val="20"/>
          <w:lang w:val="ar-SA" w:eastAsia="zh-TW" w:bidi="en-GB"/>
        </w:rPr>
      </w:pPr>
      <w:r w:rsidRPr="001461C4">
        <w:rPr>
          <w:lang w:val="en-US" w:eastAsia="zh-TW" w:bidi="en-GB"/>
        </w:rPr>
        <w:t>48</w:t>
      </w:r>
      <w:r w:rsidR="00F72606">
        <w:rPr>
          <w:rtl/>
          <w:lang w:val="en-US" w:eastAsia="zh-TW"/>
        </w:rPr>
        <w:t>-</w:t>
      </w:r>
      <w:r w:rsidR="00F72606">
        <w:rPr>
          <w:rtl/>
          <w:lang w:val="en-US" w:eastAsia="zh-TW"/>
        </w:rPr>
        <w:tab/>
      </w:r>
      <w:r w:rsidR="00565A13">
        <w:rPr>
          <w:rtl/>
        </w:rPr>
        <w:t>وتلاحظ اللجنة بقلق أنه في حين أن عدد الأشخاص الذين تعرضوا لصدمات وإصابات تتصل بالنزاع يتزايد نتيجة الأعمال القتالية، فإن النظام الصحي في أوكرانيا يعاني من اضطراب شديد عقب استمرار الهجمات على المستشفيات وغيرها من المرافق الطبية</w:t>
      </w:r>
      <w:r w:rsidR="00F748C4">
        <w:rPr>
          <w:rStyle w:val="FootnoteReference"/>
          <w:rtl/>
        </w:rPr>
        <w:t>(</w:t>
      </w:r>
      <w:r w:rsidR="00F748C4" w:rsidRPr="00CB6ECF">
        <w:rPr>
          <w:rStyle w:val="FootnoteReference"/>
          <w:rtl/>
        </w:rPr>
        <w:footnoteReference w:id="29"/>
      </w:r>
      <w:r w:rsidR="00F748C4" w:rsidRPr="00F748C4">
        <w:rPr>
          <w:rStyle w:val="FootnoteReference"/>
          <w:rtl/>
        </w:rPr>
        <w:t>)</w:t>
      </w:r>
      <w:r w:rsidR="00F748C4" w:rsidRPr="00F748C4">
        <w:rPr>
          <w:rFonts w:hint="cs"/>
          <w:rtl/>
        </w:rPr>
        <w:t>،</w:t>
      </w:r>
      <w:r w:rsidR="00F748C4" w:rsidRPr="00F748C4">
        <w:rPr>
          <w:rtl/>
        </w:rPr>
        <w:t> </w:t>
      </w:r>
      <w:r w:rsidR="00565A13">
        <w:rPr>
          <w:rtl/>
        </w:rPr>
        <w:t xml:space="preserve">كما أن فرص الحصول على الخدمات الصحية وخدمات إعادة التأهيل محدودة أو منعدمة، بما في ذلك خدمات الصحة العقلية والدعم النفسي. </w:t>
      </w:r>
    </w:p>
    <w:p w14:paraId="369E2243" w14:textId="0CD511CD" w:rsidR="00565A13" w:rsidRPr="00806120" w:rsidRDefault="003A6715" w:rsidP="000839BA">
      <w:pPr>
        <w:pStyle w:val="SingleTxtGA"/>
        <w:rPr>
          <w:b/>
          <w:bCs/>
          <w:szCs w:val="20"/>
          <w:lang w:val="ar-SA" w:eastAsia="zh-TW" w:bidi="en-GB"/>
        </w:rPr>
      </w:pPr>
      <w:r w:rsidRPr="001461C4">
        <w:rPr>
          <w:lang w:val="en-US" w:eastAsia="zh-TW" w:bidi="en-GB"/>
        </w:rPr>
        <w:t>49</w:t>
      </w:r>
      <w:r w:rsidR="00F72606">
        <w:rPr>
          <w:rtl/>
          <w:lang w:val="en-US" w:eastAsia="zh-TW"/>
        </w:rPr>
        <w:t>-</w:t>
      </w:r>
      <w:r w:rsidR="00F72606">
        <w:rPr>
          <w:rtl/>
          <w:lang w:val="en-US" w:eastAsia="zh-TW"/>
        </w:rPr>
        <w:tab/>
      </w:r>
      <w:r w:rsidR="00565A13" w:rsidRPr="00806120">
        <w:rPr>
          <w:b/>
          <w:bCs/>
          <w:rtl/>
        </w:rPr>
        <w:t>تشير اللجنة إلى المبادئ الأساسية لحماية السكان المدنيين في الصراعات المسلحة</w:t>
      </w:r>
      <w:r w:rsidR="00F748C4" w:rsidRPr="00806120">
        <w:rPr>
          <w:rStyle w:val="FootnoteReference"/>
          <w:b/>
          <w:bCs/>
          <w:rtl/>
        </w:rPr>
        <w:t>(</w:t>
      </w:r>
      <w:r w:rsidR="00F748C4" w:rsidRPr="00806120">
        <w:rPr>
          <w:rStyle w:val="FootnoteReference"/>
          <w:b/>
          <w:bCs/>
          <w:rtl/>
        </w:rPr>
        <w:footnoteReference w:id="30"/>
      </w:r>
      <w:r w:rsidR="00A57E5C" w:rsidRPr="00806120">
        <w:rPr>
          <w:rStyle w:val="FootnoteReference"/>
          <w:b/>
          <w:bCs/>
          <w:rtl/>
        </w:rPr>
        <w:t>)</w:t>
      </w:r>
      <w:r w:rsidR="00E14605">
        <w:rPr>
          <w:rFonts w:hint="cs"/>
          <w:b/>
          <w:bCs/>
          <w:rtl/>
        </w:rPr>
        <w:t>،</w:t>
      </w:r>
      <w:r w:rsidR="00565A13" w:rsidRPr="00806120">
        <w:rPr>
          <w:b/>
          <w:bCs/>
          <w:rtl/>
        </w:rPr>
        <w:t> وإلى التزامات الدول الأطراف بموجب القانون الدولي الإنساني، وتحث الاتحاد الروسي على المبادرة فورا</w:t>
      </w:r>
      <w:r w:rsidR="00500784" w:rsidRPr="00806120">
        <w:rPr>
          <w:rFonts w:hint="cs"/>
          <w:b/>
          <w:bCs/>
          <w:rtl/>
        </w:rPr>
        <w:t>ً</w:t>
      </w:r>
      <w:r w:rsidR="00565A13" w:rsidRPr="00806120">
        <w:rPr>
          <w:b/>
          <w:bCs/>
          <w:rtl/>
        </w:rPr>
        <w:t xml:space="preserve"> إلى وقف هجماته على المدنيين والهياكل الأساسية المدنية، بما في ذلك المستشفيات والعيادات ومراكز إعادة التأهيل وأقسام التوليد وسيارات الإسعاف والعاملين في مجال الرعاية الصحية. وعلاوة على ذلك، توصي اللجنة بأن تكفل جميع الدول الأطراف المعنية إمكانية حصول المشردين قسرا</w:t>
      </w:r>
      <w:r w:rsidR="00500784" w:rsidRPr="00806120">
        <w:rPr>
          <w:rFonts w:hint="cs"/>
          <w:b/>
          <w:bCs/>
          <w:rtl/>
        </w:rPr>
        <w:t>ً</w:t>
      </w:r>
      <w:r w:rsidR="00565A13" w:rsidRPr="00806120">
        <w:rPr>
          <w:b/>
          <w:bCs/>
          <w:rtl/>
        </w:rPr>
        <w:t xml:space="preserve"> على الخدمات </w:t>
      </w:r>
      <w:r w:rsidR="00565A13" w:rsidRPr="00806120">
        <w:rPr>
          <w:b/>
          <w:bCs/>
          <w:rtl/>
        </w:rPr>
        <w:lastRenderedPageBreak/>
        <w:t>الصحية وخدمات إعادة التأهيل الملائمة ثقافيا</w:t>
      </w:r>
      <w:r w:rsidR="00806120">
        <w:rPr>
          <w:rFonts w:hint="cs"/>
          <w:b/>
          <w:bCs/>
          <w:rtl/>
        </w:rPr>
        <w:t>ً</w:t>
      </w:r>
      <w:r w:rsidR="00565A13" w:rsidRPr="00806120">
        <w:rPr>
          <w:b/>
          <w:bCs/>
          <w:rtl/>
        </w:rPr>
        <w:t>، ومنحهم إمكانية الحصول على الخدمات الصحية وخدمات إعادة التأهيل على قدم المساواة مع الآخرين.</w:t>
      </w:r>
    </w:p>
    <w:p w14:paraId="6B954512" w14:textId="3D3FDF01" w:rsidR="00565A13" w:rsidRPr="001461C4" w:rsidRDefault="003A6715" w:rsidP="000839BA">
      <w:pPr>
        <w:pStyle w:val="SingleTxtGA"/>
        <w:rPr>
          <w:szCs w:val="20"/>
          <w:lang w:val="ar-SA" w:eastAsia="zh-TW" w:bidi="en-GB"/>
        </w:rPr>
      </w:pPr>
      <w:r w:rsidRPr="001461C4">
        <w:rPr>
          <w:lang w:val="en-US" w:eastAsia="zh-TW" w:bidi="en-GB"/>
        </w:rPr>
        <w:t>50</w:t>
      </w:r>
      <w:r w:rsidR="00F72606">
        <w:rPr>
          <w:rtl/>
          <w:lang w:val="en-US" w:eastAsia="zh-TW"/>
        </w:rPr>
        <w:t>-</w:t>
      </w:r>
      <w:r w:rsidR="00F72606">
        <w:rPr>
          <w:rtl/>
          <w:lang w:val="en-US" w:eastAsia="zh-TW"/>
        </w:rPr>
        <w:tab/>
      </w:r>
      <w:r w:rsidR="00565A13">
        <w:rPr>
          <w:rtl/>
        </w:rPr>
        <w:t>وتلاحظ اللجنة بقلق أنه على الرغم من أن البيانات التفصيلية عن الأشخاص ذوي الإعاقة ضرورية لوضع سياسات شاملة بشأن الاستجابة الإنسانية، فإن الدول الأطراف والجهات الفاعلة في المجال الإنساني لا تقوم بتحديد الأشخاص ذوي الإعاقة والإبلاغ عنهم بصورة منهجية ووفقا</w:t>
      </w:r>
      <w:r w:rsidR="00500784">
        <w:rPr>
          <w:rFonts w:hint="cs"/>
          <w:rtl/>
        </w:rPr>
        <w:t>ً</w:t>
      </w:r>
      <w:r w:rsidR="00565A13">
        <w:rPr>
          <w:rtl/>
        </w:rPr>
        <w:t xml:space="preserve"> لمؤشرات خاصة بالإعاقة. وتلاحظ أيضا</w:t>
      </w:r>
      <w:r w:rsidR="00500784">
        <w:rPr>
          <w:rFonts w:hint="cs"/>
          <w:rtl/>
        </w:rPr>
        <w:t>ً</w:t>
      </w:r>
      <w:r w:rsidR="00565A13">
        <w:rPr>
          <w:rtl/>
        </w:rPr>
        <w:t xml:space="preserve"> نقص حادا</w:t>
      </w:r>
      <w:r w:rsidR="00500784">
        <w:rPr>
          <w:rFonts w:hint="cs"/>
          <w:rtl/>
        </w:rPr>
        <w:t>ً</w:t>
      </w:r>
      <w:r w:rsidR="00565A13">
        <w:rPr>
          <w:rtl/>
        </w:rPr>
        <w:t xml:space="preserve"> بشكل خاص في البيانات المتعلقة بالأراضي الأوكرانية الواقعة تحت احتلال الاتحاد الروسي.</w:t>
      </w:r>
    </w:p>
    <w:p w14:paraId="5887B07C" w14:textId="2B810EC5" w:rsidR="00565A13" w:rsidRPr="00806120" w:rsidRDefault="003A6715" w:rsidP="000839BA">
      <w:pPr>
        <w:pStyle w:val="SingleTxtGA"/>
        <w:rPr>
          <w:b/>
          <w:bCs/>
          <w:szCs w:val="20"/>
          <w:lang w:val="ar-SA" w:eastAsia="zh-TW" w:bidi="en-GB"/>
        </w:rPr>
      </w:pPr>
      <w:r w:rsidRPr="001461C4">
        <w:rPr>
          <w:lang w:val="en-US" w:eastAsia="zh-TW" w:bidi="en-GB"/>
        </w:rPr>
        <w:t>51</w:t>
      </w:r>
      <w:r w:rsidR="00F72606">
        <w:rPr>
          <w:rtl/>
          <w:lang w:val="en-US" w:eastAsia="zh-TW"/>
        </w:rPr>
        <w:t>-</w:t>
      </w:r>
      <w:r w:rsidR="00F72606">
        <w:rPr>
          <w:rtl/>
          <w:lang w:val="en-US" w:eastAsia="zh-TW"/>
        </w:rPr>
        <w:tab/>
      </w:r>
      <w:r w:rsidR="00565A13" w:rsidRPr="00806120">
        <w:rPr>
          <w:b/>
          <w:bCs/>
          <w:rtl/>
        </w:rPr>
        <w:t>توصي اللجنة جميع الدول الأطراف المعنية بما يلي:</w:t>
      </w:r>
    </w:p>
    <w:p w14:paraId="688A6314" w14:textId="2C2AFEDE" w:rsidR="00565A13" w:rsidRPr="00806120" w:rsidRDefault="000839BA" w:rsidP="000839BA">
      <w:pPr>
        <w:pStyle w:val="SingleTxtGA"/>
        <w:rPr>
          <w:b/>
          <w:bCs/>
          <w:szCs w:val="20"/>
          <w:lang w:val="ar-SA" w:eastAsia="zh-TW" w:bidi="en-GB"/>
        </w:rPr>
      </w:pPr>
      <w:r w:rsidRPr="00700100">
        <w:rPr>
          <w:rtl/>
        </w:rPr>
        <w:tab/>
      </w:r>
      <w:r w:rsidR="00565A13" w:rsidRPr="00700100">
        <w:rPr>
          <w:rtl/>
        </w:rPr>
        <w:t>(أ)</w:t>
      </w:r>
      <w:r w:rsidR="00565A13" w:rsidRPr="00806120">
        <w:rPr>
          <w:b/>
          <w:bCs/>
          <w:rtl/>
        </w:rPr>
        <w:tab/>
        <w:t>ضمان إحصاء جميع الأشخاص ذوي الإعاقة، وجمع وتبادل بيانات مصنفة حسب الجنس والعمر والإعاقة، وإعطاء الأولوية للشفافية وتبادل البيانات غير التعريفية التي يتم جمعها مع الجهات المعنية؛</w:t>
      </w:r>
    </w:p>
    <w:p w14:paraId="2007F4E6" w14:textId="6245D5E1" w:rsidR="00565A13" w:rsidRPr="00806120" w:rsidRDefault="000839BA" w:rsidP="000839BA">
      <w:pPr>
        <w:pStyle w:val="SingleTxtGA"/>
        <w:rPr>
          <w:b/>
          <w:bCs/>
          <w:szCs w:val="20"/>
          <w:lang w:val="ar-SA" w:eastAsia="zh-TW" w:bidi="en-GB"/>
        </w:rPr>
      </w:pPr>
      <w:r w:rsidRPr="00700100">
        <w:rPr>
          <w:rtl/>
        </w:rPr>
        <w:tab/>
      </w:r>
      <w:r w:rsidR="00565A13" w:rsidRPr="00700100">
        <w:rPr>
          <w:rtl/>
        </w:rPr>
        <w:t>(ب)</w:t>
      </w:r>
      <w:r w:rsidR="00565A13" w:rsidRPr="00806120">
        <w:rPr>
          <w:b/>
          <w:bCs/>
          <w:rtl/>
        </w:rPr>
        <w:tab/>
        <w:t>ضمان قيام جميع القطاعات بدمج جمع البيانات المصنفة حسب الجنس والعمر والإعاقة في تدخلاتها، والتماس مدخلات من جميع الفئات السكانية المتأثرة بالنزاع، بما في ذلك النساء والأطفال ذوو الإعاقة؛</w:t>
      </w:r>
    </w:p>
    <w:p w14:paraId="6C4ACDFB" w14:textId="1DA1C66C" w:rsidR="00565A13" w:rsidRPr="00806120" w:rsidRDefault="000839BA" w:rsidP="000839BA">
      <w:pPr>
        <w:pStyle w:val="SingleTxtGA"/>
        <w:rPr>
          <w:b/>
          <w:bCs/>
          <w:szCs w:val="20"/>
          <w:lang w:val="ar-SA" w:eastAsia="zh-TW" w:bidi="en-GB"/>
        </w:rPr>
      </w:pPr>
      <w:r w:rsidRPr="00700100">
        <w:rPr>
          <w:rtl/>
        </w:rPr>
        <w:tab/>
      </w:r>
      <w:r w:rsidR="00565A13" w:rsidRPr="00700100">
        <w:rPr>
          <w:rtl/>
        </w:rPr>
        <w:t>(ج)</w:t>
      </w:r>
      <w:r w:rsidR="00565A13" w:rsidRPr="00806120">
        <w:rPr>
          <w:b/>
          <w:bCs/>
          <w:rtl/>
        </w:rPr>
        <w:tab/>
        <w:t>اشتراط استخدام العلامات الجنسانية وعلامات الإعاقة في تخصيص الأموال اللازمة للتدخلات الإنسانية.</w:t>
      </w:r>
    </w:p>
    <w:p w14:paraId="0CCCF964" w14:textId="23CF3944" w:rsidR="00565A13" w:rsidRPr="001461C4" w:rsidRDefault="003A6715" w:rsidP="000839BA">
      <w:pPr>
        <w:pStyle w:val="SingleTxtGA"/>
        <w:rPr>
          <w:szCs w:val="20"/>
          <w:lang w:val="ar-SA" w:eastAsia="zh-TW" w:bidi="en-GB"/>
        </w:rPr>
      </w:pPr>
      <w:r w:rsidRPr="001461C4">
        <w:rPr>
          <w:lang w:val="en-US" w:eastAsia="zh-TW" w:bidi="en-GB"/>
        </w:rPr>
        <w:t>52</w:t>
      </w:r>
      <w:r w:rsidR="00F72606">
        <w:rPr>
          <w:rtl/>
          <w:lang w:val="en-US" w:eastAsia="zh-TW"/>
        </w:rPr>
        <w:t>-</w:t>
      </w:r>
      <w:r w:rsidR="00F72606">
        <w:rPr>
          <w:rtl/>
          <w:lang w:val="en-US" w:eastAsia="zh-TW"/>
        </w:rPr>
        <w:tab/>
      </w:r>
      <w:r w:rsidR="00565A13">
        <w:rPr>
          <w:rtl/>
        </w:rPr>
        <w:t>ويساور اللجنة القلق إزاء عدم كفاية مواءمة برامج المعونة الإنسانية الدولية، بما فيها برامج الاتحاد الأوروبي، مع غرض الاتفاقية وأحكامها، وإزاء عدم مشاركة المنظمات الأوكرانية للأشخاص ذوي الإعاقة في المشاورات بشأن وضع وتنفيذ برامج التعاون الدولي، بما في ذلك البرامج الرامية إلى تقديم المعونة الإنسانية. ويساور اللجنة القلق كذلك إزاء التقارير التي تفيد بأن مؤسسات الرعاية السكنية تكافح من أجل تغطية تكاليف المعيشة والرعاية الطبية للمقيمين وتعتمد على دعم المانحين لضمان الحصول على الاحتياجات الأساسية، بما في ذلك التدفئة في أشهر الشتاء المقبلة.</w:t>
      </w:r>
    </w:p>
    <w:p w14:paraId="2E8837B0" w14:textId="429EC923" w:rsidR="00565A13" w:rsidRPr="00806120" w:rsidRDefault="003A6715" w:rsidP="000839BA">
      <w:pPr>
        <w:pStyle w:val="SingleTxtGA"/>
        <w:rPr>
          <w:b/>
          <w:bCs/>
          <w:szCs w:val="20"/>
          <w:lang w:val="ar-SA" w:eastAsia="zh-TW" w:bidi="en-GB"/>
        </w:rPr>
      </w:pPr>
      <w:r w:rsidRPr="001461C4">
        <w:rPr>
          <w:lang w:val="en-US" w:eastAsia="zh-TW" w:bidi="en-GB"/>
        </w:rPr>
        <w:t>53</w:t>
      </w:r>
      <w:r w:rsidR="00F72606">
        <w:rPr>
          <w:rtl/>
          <w:lang w:val="en-US" w:eastAsia="zh-TW"/>
        </w:rPr>
        <w:t>-</w:t>
      </w:r>
      <w:r w:rsidR="00F72606">
        <w:rPr>
          <w:rtl/>
          <w:lang w:val="en-US" w:eastAsia="zh-TW"/>
        </w:rPr>
        <w:tab/>
      </w:r>
      <w:r w:rsidR="00565A13" w:rsidRPr="00806120">
        <w:rPr>
          <w:b/>
          <w:bCs/>
          <w:rtl/>
        </w:rPr>
        <w:t>تشجع اللجنة جميع الدول الأطراف المعنية على كفالة أن يكون التعاون الدولي شاملا</w:t>
      </w:r>
      <w:r w:rsidR="00500784" w:rsidRPr="00806120">
        <w:rPr>
          <w:rFonts w:hint="cs"/>
          <w:b/>
          <w:bCs/>
          <w:rtl/>
        </w:rPr>
        <w:t>ً</w:t>
      </w:r>
      <w:r w:rsidR="00565A13" w:rsidRPr="00806120">
        <w:rPr>
          <w:b/>
          <w:bCs/>
          <w:rtl/>
        </w:rPr>
        <w:t xml:space="preserve"> لجميع الأشخاص ذوي الإعاقة ومتاحا</w:t>
      </w:r>
      <w:r w:rsidR="00500784" w:rsidRPr="00806120">
        <w:rPr>
          <w:rFonts w:hint="cs"/>
          <w:b/>
          <w:bCs/>
          <w:rtl/>
        </w:rPr>
        <w:t>ً</w:t>
      </w:r>
      <w:r w:rsidR="00565A13" w:rsidRPr="00806120">
        <w:rPr>
          <w:b/>
          <w:bCs/>
          <w:rtl/>
        </w:rPr>
        <w:t xml:space="preserve"> لهم، وأن يحترم، في جميع الحالات، المعايير المنصوص عليها في الاتفاقية. وتذكِّر جميع الدول الأطراف المعنية بالالتزام، عند استخدام أموال التعاون الدولي، بما فيها أموال الاتحاد الأوروبي، بضمان مشاركة الأشخاص ذوي الإعاقة والمنظمات التي تمثلهم في عمليات صنع القرار. وأخيرا</w:t>
      </w:r>
      <w:r w:rsidR="005521AB">
        <w:rPr>
          <w:rFonts w:hint="cs"/>
          <w:b/>
          <w:bCs/>
          <w:rtl/>
        </w:rPr>
        <w:t>ً</w:t>
      </w:r>
      <w:r w:rsidR="00565A13" w:rsidRPr="00806120">
        <w:rPr>
          <w:b/>
          <w:bCs/>
          <w:rtl/>
        </w:rPr>
        <w:t>، تحث اللجنة جميع الدول الأطراف المعنية على كفالة عدم استثمار الأموال الدولية في إعادة بناء مؤسسات رعاية الأشخاص ذوي الإعاقة أو توسيعها أو تجديدها، وتوجيهها بدلا</w:t>
      </w:r>
      <w:r w:rsidR="00500784" w:rsidRPr="00806120">
        <w:rPr>
          <w:rFonts w:hint="cs"/>
          <w:b/>
          <w:bCs/>
          <w:rtl/>
        </w:rPr>
        <w:t>ً</w:t>
      </w:r>
      <w:r w:rsidR="00565A13" w:rsidRPr="00806120">
        <w:rPr>
          <w:b/>
          <w:bCs/>
          <w:rtl/>
        </w:rPr>
        <w:t xml:space="preserve"> من ذلك نحو توفير سبل العيش المستقل ونحو تجديد وإنشاء خدمات ومرافق دعم مجتمعي يسهل الوصول إليها، وخدمات منزلية ودعم يراعي احتياجات كل شخص،</w:t>
      </w:r>
      <w:r w:rsidR="00844A23" w:rsidRPr="00806120">
        <w:rPr>
          <w:b/>
          <w:bCs/>
          <w:rtl/>
        </w:rPr>
        <w:t xml:space="preserve"> </w:t>
      </w:r>
      <w:r w:rsidR="00565A13" w:rsidRPr="00806120">
        <w:rPr>
          <w:b/>
          <w:bCs/>
          <w:rtl/>
        </w:rPr>
        <w:t>بما في ذلك توفير مساكن ميسورة التكلفة داخل المجتمع المحلي، على قدم المساواة مع الآخرين.</w:t>
      </w:r>
    </w:p>
    <w:p w14:paraId="3ACD23EB" w14:textId="41BA8F05" w:rsidR="00565A13" w:rsidRPr="001461C4" w:rsidRDefault="003A6715" w:rsidP="000839BA">
      <w:pPr>
        <w:pStyle w:val="SingleTxtGA"/>
        <w:rPr>
          <w:color w:val="000000"/>
          <w:szCs w:val="20"/>
          <w:lang w:val="ar-SA" w:eastAsia="zh-TW" w:bidi="en-GB"/>
        </w:rPr>
      </w:pPr>
      <w:r w:rsidRPr="001461C4">
        <w:rPr>
          <w:color w:val="000000"/>
          <w:lang w:val="en-US" w:eastAsia="zh-TW" w:bidi="en-GB"/>
        </w:rPr>
        <w:t>54</w:t>
      </w:r>
      <w:r w:rsidR="00F72606">
        <w:rPr>
          <w:color w:val="000000"/>
          <w:rtl/>
          <w:lang w:val="en-US" w:eastAsia="zh-TW"/>
        </w:rPr>
        <w:t>-</w:t>
      </w:r>
      <w:r w:rsidR="00F72606">
        <w:rPr>
          <w:color w:val="000000"/>
          <w:rtl/>
          <w:lang w:val="en-US" w:eastAsia="zh-TW"/>
        </w:rPr>
        <w:tab/>
      </w:r>
      <w:r w:rsidR="00565A13">
        <w:rPr>
          <w:rtl/>
        </w:rPr>
        <w:t xml:space="preserve">وتلاحظ اللجنة بقلق عدم وجود بيئات مبنية يسهل الوصول إليها في أوكرانيا، بما في ذلك ملاجئ الطوارئ والخدمات العامة ووسائل النقل العام، ولا سيما في المناطق الريفية والبلدات الصغيرة، وأن هذا الوضع قد تفاقم منذ </w:t>
      </w:r>
      <w:r w:rsidR="00565A13" w:rsidRPr="00565A13">
        <w:rPr>
          <w:rtl/>
        </w:rPr>
        <w:t>24</w:t>
      </w:r>
      <w:r w:rsidR="00565A13">
        <w:rPr>
          <w:rtl/>
        </w:rPr>
        <w:t xml:space="preserve"> شباط/فبراير </w:t>
      </w:r>
      <w:r w:rsidR="00565A13" w:rsidRPr="00565A13">
        <w:rPr>
          <w:rtl/>
        </w:rPr>
        <w:t>202</w:t>
      </w:r>
      <w:r w:rsidR="00F748C4" w:rsidRPr="00F748C4">
        <w:rPr>
          <w:rtl/>
        </w:rPr>
        <w:t>2</w:t>
      </w:r>
      <w:r w:rsidR="00F748C4" w:rsidRPr="00F748C4">
        <w:rPr>
          <w:rFonts w:ascii="Traditional Arabic"/>
          <w:szCs w:val="20"/>
          <w:rtl/>
        </w:rPr>
        <w:t>.</w:t>
      </w:r>
      <w:r w:rsidR="00F748C4" w:rsidRPr="00F748C4">
        <w:rPr>
          <w:rtl/>
        </w:rPr>
        <w:t xml:space="preserve"> </w:t>
      </w:r>
    </w:p>
    <w:p w14:paraId="6AE7C510" w14:textId="722860C4" w:rsidR="00565A13" w:rsidRPr="00806120" w:rsidRDefault="003A6715" w:rsidP="000839BA">
      <w:pPr>
        <w:pStyle w:val="SingleTxtGA"/>
        <w:rPr>
          <w:b/>
          <w:bCs/>
          <w:color w:val="000000"/>
          <w:szCs w:val="20"/>
          <w:lang w:val="ar-SA" w:eastAsia="zh-TW" w:bidi="en-GB"/>
        </w:rPr>
      </w:pPr>
      <w:r w:rsidRPr="001461C4">
        <w:rPr>
          <w:color w:val="000000"/>
          <w:lang w:val="en-US" w:eastAsia="zh-TW" w:bidi="en-GB"/>
        </w:rPr>
        <w:lastRenderedPageBreak/>
        <w:t>55</w:t>
      </w:r>
      <w:r w:rsidR="00F72606">
        <w:rPr>
          <w:color w:val="000000"/>
          <w:rtl/>
          <w:lang w:val="en-US" w:eastAsia="zh-TW"/>
        </w:rPr>
        <w:t>-</w:t>
      </w:r>
      <w:r w:rsidR="00F72606">
        <w:rPr>
          <w:color w:val="000000"/>
          <w:rtl/>
          <w:lang w:val="en-US" w:eastAsia="zh-TW"/>
        </w:rPr>
        <w:tab/>
      </w:r>
      <w:r w:rsidR="00565A13" w:rsidRPr="00806120">
        <w:rPr>
          <w:b/>
          <w:bCs/>
          <w:rtl/>
        </w:rPr>
        <w:t>توصي اللجنة أوكرانيا بأن تكفل إمكانية الوصول للأشخاص ذوي الإعاقة عن طريق تصميمات تراعي الجميع في كل خطط واستراتيجيات التعمير وإعادة البناء بعد الحرب، ولا سيما أثناء تخطيط وتعمير الهياكل الأساسية والمرافق العامة.</w:t>
      </w:r>
    </w:p>
    <w:p w14:paraId="587FD6B8" w14:textId="54BB241D" w:rsidR="00565A13" w:rsidRPr="001461C4" w:rsidRDefault="003A6715" w:rsidP="000839BA">
      <w:pPr>
        <w:pStyle w:val="SingleTxtGA"/>
        <w:rPr>
          <w:color w:val="000000"/>
          <w:szCs w:val="20"/>
          <w:lang w:val="ar-SA" w:eastAsia="zh-TW" w:bidi="en-GB"/>
        </w:rPr>
      </w:pPr>
      <w:r w:rsidRPr="001461C4">
        <w:rPr>
          <w:color w:val="000000"/>
          <w:lang w:val="en-US" w:eastAsia="zh-TW" w:bidi="en-GB"/>
        </w:rPr>
        <w:t>56</w:t>
      </w:r>
      <w:r w:rsidR="00F72606">
        <w:rPr>
          <w:color w:val="000000"/>
          <w:rtl/>
          <w:lang w:val="en-US" w:eastAsia="zh-TW"/>
        </w:rPr>
        <w:t>-</w:t>
      </w:r>
      <w:r w:rsidR="00F72606">
        <w:rPr>
          <w:color w:val="000000"/>
          <w:rtl/>
          <w:lang w:val="en-US" w:eastAsia="zh-TW"/>
        </w:rPr>
        <w:tab/>
      </w:r>
      <w:r w:rsidR="00565A13">
        <w:rPr>
          <w:rtl/>
        </w:rPr>
        <w:t>وستُبقي اللجنة المسألة قيد نظرها.</w:t>
      </w:r>
    </w:p>
    <w:p w14:paraId="3B5D3DDD" w14:textId="3DC61F0B" w:rsidR="00565A13" w:rsidRPr="00152D37" w:rsidRDefault="003A6715" w:rsidP="000839BA">
      <w:pPr>
        <w:pStyle w:val="SingleTxtGA"/>
        <w:rPr>
          <w:color w:val="000000"/>
          <w:spacing w:val="-4"/>
          <w:szCs w:val="20"/>
          <w:lang w:val="en-US" w:eastAsia="zh-TW" w:bidi="en-GB"/>
        </w:rPr>
      </w:pPr>
      <w:r w:rsidRPr="001461C4">
        <w:rPr>
          <w:color w:val="000000"/>
          <w:lang w:val="en-US" w:eastAsia="zh-TW" w:bidi="en-GB"/>
        </w:rPr>
        <w:t>57</w:t>
      </w:r>
      <w:r w:rsidR="00F72606">
        <w:rPr>
          <w:color w:val="000000"/>
          <w:rtl/>
          <w:lang w:val="en-US" w:eastAsia="zh-TW"/>
        </w:rPr>
        <w:t>-</w:t>
      </w:r>
      <w:r w:rsidR="00F72606">
        <w:rPr>
          <w:color w:val="000000"/>
          <w:rtl/>
          <w:lang w:val="en-US" w:eastAsia="zh-TW"/>
        </w:rPr>
        <w:tab/>
      </w:r>
      <w:r w:rsidR="00565A13">
        <w:rPr>
          <w:rtl/>
        </w:rPr>
        <w:t xml:space="preserve">وتكرر اللجنة دعوتها إلى الاتحاد الروسي، في بيانها المؤرخ </w:t>
      </w:r>
      <w:r w:rsidR="00565A13" w:rsidRPr="00565A13">
        <w:rPr>
          <w:rtl/>
        </w:rPr>
        <w:t>14</w:t>
      </w:r>
      <w:r w:rsidR="00565A13">
        <w:rPr>
          <w:rtl/>
        </w:rPr>
        <w:t xml:space="preserve"> نيسان/أبريل </w:t>
      </w:r>
      <w:r w:rsidR="00565A13" w:rsidRPr="00565A13">
        <w:rPr>
          <w:rtl/>
        </w:rPr>
        <w:t>2022</w:t>
      </w:r>
      <w:r w:rsidR="00F748C4">
        <w:rPr>
          <w:rStyle w:val="FootnoteReference"/>
          <w:rtl/>
        </w:rPr>
        <w:t>(</w:t>
      </w:r>
      <w:r w:rsidR="00F748C4" w:rsidRPr="00CB6ECF">
        <w:rPr>
          <w:rStyle w:val="FootnoteReference"/>
          <w:rtl/>
        </w:rPr>
        <w:footnoteReference w:id="31"/>
      </w:r>
      <w:r w:rsidR="00A57E5C">
        <w:rPr>
          <w:rStyle w:val="FootnoteReference"/>
          <w:rtl/>
        </w:rPr>
        <w:t>)</w:t>
      </w:r>
      <w:r w:rsidR="00E14605">
        <w:rPr>
          <w:rFonts w:hint="cs"/>
          <w:rtl/>
        </w:rPr>
        <w:t>،</w:t>
      </w:r>
      <w:r w:rsidR="00565A13">
        <w:rPr>
          <w:rtl/>
        </w:rPr>
        <w:t xml:space="preserve"> إلى </w:t>
      </w:r>
      <w:r w:rsidR="00565A13" w:rsidRPr="00634A37">
        <w:rPr>
          <w:spacing w:val="-4"/>
          <w:rtl/>
        </w:rPr>
        <w:t>الإنهاء الفوري للأعمال العدائية ومراعاة واحترام مبادئ القانون الدولي لحقوق الإنسان والقانون الدولي الإنساني.</w:t>
      </w:r>
      <w:r w:rsidR="003D3909">
        <w:rPr>
          <w:rFonts w:hint="cs"/>
          <w:color w:val="000000"/>
          <w:spacing w:val="-4"/>
          <w:szCs w:val="20"/>
          <w:lang w:eastAsia="zh-TW" w:bidi="en-GB"/>
        </w:rPr>
        <w:t xml:space="preserve"> </w:t>
      </w:r>
    </w:p>
    <w:p w14:paraId="031B2C25" w14:textId="65FFB3CE" w:rsidR="00565A13" w:rsidRPr="001461C4" w:rsidRDefault="000839BA" w:rsidP="000839BA">
      <w:pPr>
        <w:pStyle w:val="HChGA"/>
        <w:rPr>
          <w:szCs w:val="20"/>
          <w:lang w:val="ar-SA" w:eastAsia="zh-TW" w:bidi="en-GB"/>
        </w:rPr>
      </w:pPr>
      <w:r>
        <w:rPr>
          <w:rtl/>
        </w:rPr>
        <w:tab/>
      </w:r>
      <w:r w:rsidR="00565A13">
        <w:rPr>
          <w:rtl/>
        </w:rPr>
        <w:t>ثاني عشر-</w:t>
      </w:r>
      <w:r w:rsidR="00565A13">
        <w:rPr>
          <w:rtl/>
        </w:rPr>
        <w:tab/>
        <w:t>قرارات أخرى</w:t>
      </w:r>
    </w:p>
    <w:p w14:paraId="44792749" w14:textId="614D27EE" w:rsidR="00565A13" w:rsidRPr="008B322C" w:rsidRDefault="003A6715" w:rsidP="000839BA">
      <w:pPr>
        <w:pStyle w:val="SingleTxtGA"/>
        <w:rPr>
          <w:rFonts w:eastAsia="Times New Roman"/>
          <w:color w:val="000000"/>
          <w:szCs w:val="20"/>
          <w:u w:color="000000"/>
          <w:bdr w:val="nil"/>
          <w:rtl/>
          <w:lang w:val="en-US" w:eastAsia="zh-TW"/>
        </w:rPr>
      </w:pPr>
      <w:r w:rsidRPr="001461C4">
        <w:rPr>
          <w:rFonts w:eastAsia="Times New Roman"/>
          <w:color w:val="000000"/>
          <w:u w:color="000000"/>
          <w:bdr w:val="nil"/>
          <w:lang w:val="en-US" w:eastAsia="zh-TW" w:bidi="en-GB"/>
        </w:rPr>
        <w:t>58</w:t>
      </w:r>
      <w:r w:rsidR="00F72606">
        <w:rPr>
          <w:rFonts w:eastAsia="Times New Roman"/>
          <w:color w:val="000000"/>
          <w:u w:color="000000"/>
          <w:bdr w:val="nil"/>
          <w:rtl/>
          <w:lang w:val="en-US" w:eastAsia="zh-TW"/>
        </w:rPr>
        <w:t>-</w:t>
      </w:r>
      <w:r w:rsidR="00F72606">
        <w:rPr>
          <w:rFonts w:eastAsia="Times New Roman"/>
          <w:color w:val="000000"/>
          <w:u w:color="000000"/>
          <w:bdr w:val="nil"/>
          <w:rtl/>
          <w:lang w:val="en-US" w:eastAsia="zh-TW"/>
        </w:rPr>
        <w:tab/>
      </w:r>
      <w:r w:rsidR="00565A13">
        <w:rPr>
          <w:rtl/>
        </w:rPr>
        <w:t>اعتمدت اللجنة هذا التقرير عن دورتها السابعة والعشرين.</w:t>
      </w:r>
    </w:p>
    <w:p w14:paraId="76E4FCED" w14:textId="1E3F922C" w:rsidR="00565A13" w:rsidRPr="001461C4" w:rsidRDefault="003A6715" w:rsidP="000839BA">
      <w:pPr>
        <w:pStyle w:val="SingleTxtGA"/>
        <w:rPr>
          <w:rFonts w:eastAsia="Times New Roman"/>
          <w:color w:val="000000"/>
          <w:szCs w:val="20"/>
          <w:u w:color="000000"/>
          <w:bdr w:val="nil"/>
          <w:lang w:val="ar-SA" w:eastAsia="zh-TW" w:bidi="en-GB"/>
        </w:rPr>
      </w:pPr>
      <w:r w:rsidRPr="001461C4">
        <w:rPr>
          <w:rFonts w:eastAsia="Times New Roman"/>
          <w:color w:val="000000"/>
          <w:u w:color="000000"/>
          <w:bdr w:val="nil"/>
          <w:lang w:val="en-US" w:eastAsia="zh-TW" w:bidi="en-GB"/>
        </w:rPr>
        <w:t>59</w:t>
      </w:r>
      <w:r w:rsidR="00F72606">
        <w:rPr>
          <w:rFonts w:eastAsia="Times New Roman"/>
          <w:color w:val="000000"/>
          <w:u w:color="000000"/>
          <w:bdr w:val="nil"/>
          <w:rtl/>
          <w:lang w:val="en-US" w:eastAsia="zh-TW"/>
        </w:rPr>
        <w:t>-</w:t>
      </w:r>
      <w:r w:rsidR="00F72606">
        <w:rPr>
          <w:rFonts w:eastAsia="Times New Roman"/>
          <w:color w:val="000000"/>
          <w:u w:color="000000"/>
          <w:bdr w:val="nil"/>
          <w:rtl/>
          <w:lang w:val="en-US" w:eastAsia="zh-TW"/>
        </w:rPr>
        <w:tab/>
      </w:r>
      <w:r w:rsidR="00565A13">
        <w:rPr>
          <w:rtl/>
        </w:rPr>
        <w:t>ويمكن الاطلاع على قائمة كاملة بالقرارات التي اعتمدتها اللجنة في المرفق الأول لهذا التقرير.</w:t>
      </w:r>
    </w:p>
    <w:p w14:paraId="49C80609" w14:textId="77777777" w:rsidR="00565A13" w:rsidRPr="001461C4" w:rsidRDefault="00565A13" w:rsidP="00565A13">
      <w:pPr>
        <w:spacing w:after="200" w:line="276" w:lineRule="auto"/>
        <w:rPr>
          <w:color w:val="000000"/>
        </w:rPr>
      </w:pPr>
      <w:r w:rsidRPr="001461C4">
        <w:rPr>
          <w:color w:val="000000"/>
        </w:rPr>
        <w:br w:type="page"/>
      </w:r>
    </w:p>
    <w:p w14:paraId="199C5D84" w14:textId="5D461E27" w:rsidR="00565A13" w:rsidRPr="000839BA" w:rsidRDefault="00565A13" w:rsidP="00635BAA">
      <w:pPr>
        <w:pStyle w:val="HChGA"/>
        <w:spacing w:before="0"/>
        <w:rPr>
          <w:szCs w:val="20"/>
          <w:lang w:val="en-US" w:eastAsia="zh-TW" w:bidi="en-GB"/>
        </w:rPr>
      </w:pPr>
      <w:r>
        <w:rPr>
          <w:rtl/>
        </w:rPr>
        <w:lastRenderedPageBreak/>
        <w:t>المرفق الأول</w:t>
      </w:r>
    </w:p>
    <w:p w14:paraId="1EBC470E" w14:textId="77777777" w:rsidR="00565A13" w:rsidRPr="001461C4" w:rsidRDefault="00565A13" w:rsidP="000839BA">
      <w:pPr>
        <w:pStyle w:val="HChGA"/>
        <w:rPr>
          <w:szCs w:val="20"/>
          <w:lang w:val="ar-SA" w:eastAsia="zh-TW" w:bidi="en-GB"/>
        </w:rPr>
      </w:pPr>
      <w:r>
        <w:rPr>
          <w:rtl/>
        </w:rPr>
        <w:tab/>
      </w:r>
      <w:r>
        <w:rPr>
          <w:rtl/>
        </w:rPr>
        <w:tab/>
        <w:t xml:space="preserve">القرارات التي اعتمدتها اللجنة في دورتها السابعة والعشرين </w:t>
      </w:r>
    </w:p>
    <w:p w14:paraId="37FE9D1B" w14:textId="21EFDC32" w:rsidR="00565A13" w:rsidRPr="001461C4" w:rsidRDefault="00565A13" w:rsidP="00635BAA">
      <w:pPr>
        <w:pStyle w:val="SingleTxtGA"/>
        <w:spacing w:line="340" w:lineRule="exact"/>
        <w:rPr>
          <w:szCs w:val="20"/>
          <w:lang w:val="ar-SA" w:eastAsia="zh-TW" w:bidi="en-GB"/>
        </w:rPr>
      </w:pPr>
      <w:r w:rsidRPr="00565A13">
        <w:rPr>
          <w:rtl/>
        </w:rPr>
        <w:t>1</w:t>
      </w:r>
      <w:r>
        <w:rPr>
          <w:rFonts w:ascii="Traditional Arabic"/>
          <w:szCs w:val="20"/>
          <w:rtl/>
        </w:rPr>
        <w:t>-</w:t>
      </w:r>
      <w:r>
        <w:rPr>
          <w:rtl/>
        </w:rPr>
        <w:tab/>
        <w:t>اعتمدت اللجنة الملاحظات الختامية فيما يتعلق بالتقارير الأولية لإندونيسيا، وبنغلاديش، وجمهورية لاو الديمقراطية الشعبية، وسنغافورة، واليابان. واعتمدت اللجنة أيضاً الملاحظات الختامية المتعلقة بالتقرير الجامع للتقريرين الدوريين الثاني والثالث لكل من هنغاريا والمكسيك للصين (بما في ذلك هونغ كونغ، الصين، وماكاو، الصين</w:t>
      </w:r>
      <w:r w:rsidR="00F748C4" w:rsidRPr="00F748C4">
        <w:rPr>
          <w:rtl/>
        </w:rPr>
        <w:t xml:space="preserve">)؛ </w:t>
      </w:r>
      <w:r>
        <w:rPr>
          <w:rtl/>
        </w:rPr>
        <w:t xml:space="preserve">ونيوزيلندا؛ وجمهورية كوريا. </w:t>
      </w:r>
    </w:p>
    <w:p w14:paraId="3DDDF76A" w14:textId="77777777" w:rsidR="00565A13" w:rsidRPr="001461C4" w:rsidRDefault="00565A13" w:rsidP="00635BAA">
      <w:pPr>
        <w:pStyle w:val="SingleTxtGA"/>
        <w:spacing w:line="340" w:lineRule="exact"/>
        <w:rPr>
          <w:szCs w:val="20"/>
          <w:lang w:val="ar-SA" w:eastAsia="zh-TW" w:bidi="en-GB"/>
        </w:rPr>
      </w:pPr>
      <w:r w:rsidRPr="00565A13">
        <w:rPr>
          <w:rtl/>
        </w:rPr>
        <w:t>2</w:t>
      </w:r>
      <w:r>
        <w:rPr>
          <w:rFonts w:ascii="Traditional Arabic"/>
          <w:szCs w:val="20"/>
          <w:rtl/>
        </w:rPr>
        <w:t>-</w:t>
      </w:r>
      <w:r>
        <w:rPr>
          <w:rtl/>
        </w:rPr>
        <w:tab/>
        <w:t xml:space="preserve">ونظرت اللجنة في </w:t>
      </w:r>
      <w:r w:rsidRPr="00565A13">
        <w:rPr>
          <w:rtl/>
        </w:rPr>
        <w:t>4</w:t>
      </w:r>
      <w:r>
        <w:rPr>
          <w:rtl/>
        </w:rPr>
        <w:t xml:space="preserve"> بلاغات فردية قدمت إليها للنظر فيها بمقتضى البروتوكول الاختياري الملحق بالاتفاقية. وخلصت إلى وقوع انتهاكات للاتفاقية في اثنين منها وأعلنت عدم قبول بلاغ واحد وقررت وقف النظر في بلاغ آخر. ويمكن الاطلاع على موجز لآراء اللجنة وقراراتها في المرفق الثالث لهذاً التقرير. وستُحال الآراء والقرارات إلى الأطراف في أقرب وقت ممكن وستُعمَّم فيما بعد.</w:t>
      </w:r>
    </w:p>
    <w:p w14:paraId="076978D9" w14:textId="77777777" w:rsidR="00565A13" w:rsidRPr="001461C4" w:rsidRDefault="00565A13" w:rsidP="00635BAA">
      <w:pPr>
        <w:pStyle w:val="SingleTxtGA"/>
        <w:spacing w:line="340" w:lineRule="exact"/>
        <w:rPr>
          <w:szCs w:val="20"/>
          <w:lang w:val="ar-SA" w:eastAsia="zh-TW" w:bidi="en-GB"/>
        </w:rPr>
      </w:pPr>
      <w:r w:rsidRPr="00565A13">
        <w:rPr>
          <w:rtl/>
        </w:rPr>
        <w:t>3</w:t>
      </w:r>
      <w:r>
        <w:rPr>
          <w:rFonts w:ascii="Traditional Arabic"/>
          <w:szCs w:val="20"/>
          <w:rtl/>
        </w:rPr>
        <w:t>-</w:t>
      </w:r>
      <w:r>
        <w:rPr>
          <w:rtl/>
        </w:rPr>
        <w:tab/>
        <w:t>ونظرت اللجنة في مسائل تتعلّق باستفسارات عملاً بالبروتوكول الاختياري.</w:t>
      </w:r>
      <w:bookmarkStart w:id="7" w:name="_Hlk70604741"/>
      <w:bookmarkEnd w:id="7"/>
    </w:p>
    <w:p w14:paraId="744DE06A" w14:textId="4BDD84E4" w:rsidR="00565A13" w:rsidRPr="00844A23" w:rsidRDefault="00565A13" w:rsidP="00635BAA">
      <w:pPr>
        <w:pStyle w:val="SingleTxtGA"/>
        <w:spacing w:line="340" w:lineRule="exact"/>
        <w:rPr>
          <w:spacing w:val="-2"/>
          <w:szCs w:val="20"/>
          <w:lang w:val="ar-SA" w:eastAsia="zh-TW" w:bidi="en-GB"/>
        </w:rPr>
      </w:pPr>
      <w:r w:rsidRPr="00844A23">
        <w:rPr>
          <w:spacing w:val="-2"/>
          <w:rtl/>
        </w:rPr>
        <w:t>4</w:t>
      </w:r>
      <w:r w:rsidRPr="00844A23">
        <w:rPr>
          <w:rFonts w:ascii="Traditional Arabic"/>
          <w:spacing w:val="-2"/>
          <w:szCs w:val="20"/>
          <w:rtl/>
        </w:rPr>
        <w:t>-</w:t>
      </w:r>
      <w:r w:rsidRPr="00844A23">
        <w:rPr>
          <w:spacing w:val="-2"/>
          <w:rtl/>
        </w:rPr>
        <w:tab/>
        <w:t>واعتمدت اللجنة تعليقها العام رقم 8</w:t>
      </w:r>
      <w:r w:rsidRPr="00844A23">
        <w:rPr>
          <w:rFonts w:ascii="Traditional Arabic"/>
          <w:spacing w:val="-2"/>
          <w:szCs w:val="20"/>
          <w:rtl/>
        </w:rPr>
        <w:t>(</w:t>
      </w:r>
      <w:r w:rsidRPr="00844A23">
        <w:rPr>
          <w:spacing w:val="-2"/>
          <w:rtl/>
        </w:rPr>
        <w:t>202</w:t>
      </w:r>
      <w:r w:rsidR="00F748C4" w:rsidRPr="00844A23">
        <w:rPr>
          <w:spacing w:val="-2"/>
          <w:rtl/>
        </w:rPr>
        <w:t>2</w:t>
      </w:r>
      <w:r w:rsidR="00F748C4" w:rsidRPr="00844A23">
        <w:rPr>
          <w:rFonts w:ascii="Traditional Arabic"/>
          <w:spacing w:val="-2"/>
          <w:szCs w:val="20"/>
          <w:rtl/>
        </w:rPr>
        <w:t>)</w:t>
      </w:r>
      <w:r w:rsidR="00F748C4" w:rsidRPr="00844A23">
        <w:rPr>
          <w:spacing w:val="-2"/>
          <w:rtl/>
        </w:rPr>
        <w:t xml:space="preserve"> </w:t>
      </w:r>
      <w:r w:rsidRPr="00844A23">
        <w:rPr>
          <w:spacing w:val="-2"/>
          <w:rtl/>
        </w:rPr>
        <w:t>بشأن حق الأشخاص ذوي الإعاقة في العمل والعمالة.</w:t>
      </w:r>
    </w:p>
    <w:p w14:paraId="6AA73C90" w14:textId="17C177DD" w:rsidR="00565A13" w:rsidRPr="001461C4" w:rsidRDefault="00565A13" w:rsidP="00635BAA">
      <w:pPr>
        <w:pStyle w:val="SingleTxtGA"/>
        <w:spacing w:line="340" w:lineRule="exact"/>
        <w:rPr>
          <w:szCs w:val="20"/>
          <w:lang w:val="ar-SA" w:eastAsia="zh-TW" w:bidi="en-GB"/>
        </w:rPr>
      </w:pPr>
      <w:r w:rsidRPr="00565A13">
        <w:rPr>
          <w:rtl/>
        </w:rPr>
        <w:t>5</w:t>
      </w:r>
      <w:r>
        <w:rPr>
          <w:rFonts w:ascii="Traditional Arabic"/>
          <w:szCs w:val="20"/>
          <w:rtl/>
        </w:rPr>
        <w:t>-</w:t>
      </w:r>
      <w:r>
        <w:rPr>
          <w:rtl/>
        </w:rPr>
        <w:tab/>
        <w:t xml:space="preserve">واعتمدت اللجنة مبادئها التوجيهية بشأن إنهاء الإيداع في مؤسسات الرعاية، بما في ذلك في حالات الطوارئ. وتكمل المبادئ التوجيهية تعليق اللجنة العام رقم </w:t>
      </w:r>
      <w:r w:rsidRPr="00565A13">
        <w:rPr>
          <w:rtl/>
        </w:rPr>
        <w:t>5</w:t>
      </w:r>
      <w:r>
        <w:rPr>
          <w:rFonts w:ascii="Traditional Arabic"/>
          <w:szCs w:val="20"/>
          <w:rtl/>
        </w:rPr>
        <w:t>(</w:t>
      </w:r>
      <w:r w:rsidRPr="00565A13">
        <w:rPr>
          <w:rtl/>
        </w:rPr>
        <w:t>201</w:t>
      </w:r>
      <w:r w:rsidR="00F748C4" w:rsidRPr="00F748C4">
        <w:rPr>
          <w:rtl/>
        </w:rPr>
        <w:t>7</w:t>
      </w:r>
      <w:r w:rsidR="00F748C4" w:rsidRPr="00F748C4">
        <w:rPr>
          <w:rFonts w:ascii="Traditional Arabic"/>
          <w:szCs w:val="20"/>
          <w:rtl/>
        </w:rPr>
        <w:t>)</w:t>
      </w:r>
      <w:r w:rsidR="00F748C4" w:rsidRPr="00F748C4">
        <w:rPr>
          <w:rtl/>
        </w:rPr>
        <w:t xml:space="preserve"> </w:t>
      </w:r>
      <w:r>
        <w:rPr>
          <w:rtl/>
        </w:rPr>
        <w:t>وينبغي قراءتها بالاقتران معه ومع المبادئ التوجيهية للجنة بشأن حق الأشخاص ذوي الإعاقة في الحرية والأمن.</w:t>
      </w:r>
    </w:p>
    <w:p w14:paraId="2CCB5C78" w14:textId="21DFC467" w:rsidR="00565A13" w:rsidRPr="001461C4" w:rsidRDefault="00565A13" w:rsidP="006A2888">
      <w:pPr>
        <w:pStyle w:val="SingleTxtGA"/>
        <w:rPr>
          <w:szCs w:val="20"/>
          <w:lang w:val="ar-SA" w:eastAsia="zh-TW" w:bidi="en-GB"/>
        </w:rPr>
      </w:pPr>
      <w:r w:rsidRPr="00565A13">
        <w:rPr>
          <w:rtl/>
        </w:rPr>
        <w:t>6</w:t>
      </w:r>
      <w:r>
        <w:rPr>
          <w:rFonts w:ascii="Traditional Arabic"/>
          <w:szCs w:val="20"/>
          <w:rtl/>
        </w:rPr>
        <w:t>-</w:t>
      </w:r>
      <w:r>
        <w:rPr>
          <w:rtl/>
        </w:rPr>
        <w:tab/>
        <w:t>واعتمدت اللجنة بيانا</w:t>
      </w:r>
      <w:r w:rsidR="00DC485E">
        <w:rPr>
          <w:rFonts w:hint="cs"/>
          <w:rtl/>
        </w:rPr>
        <w:t>ً</w:t>
      </w:r>
      <w:r>
        <w:rPr>
          <w:rtl/>
        </w:rPr>
        <w:t xml:space="preserve"> مشتركا</w:t>
      </w:r>
      <w:r w:rsidR="00DC485E">
        <w:rPr>
          <w:rFonts w:hint="cs"/>
          <w:rtl/>
        </w:rPr>
        <w:t>ً</w:t>
      </w:r>
      <w:r>
        <w:rPr>
          <w:rtl/>
        </w:rPr>
        <w:t>، مع مكتب الأمم المتحدة للحد من مخاطر الكوارث، بشأن حالة الأشخاص ذوي الإعاقة المتضررين من الفيضانات في باكستان.</w:t>
      </w:r>
    </w:p>
    <w:p w14:paraId="31FB8AD0" w14:textId="5757FF33" w:rsidR="00F748C4" w:rsidRPr="00F748C4" w:rsidRDefault="00565A13" w:rsidP="006A2888">
      <w:pPr>
        <w:pStyle w:val="SingleTxtGA"/>
        <w:rPr>
          <w:szCs w:val="20"/>
          <w:lang w:val="ar-SA" w:eastAsia="zh-TW" w:bidi="en-GB"/>
        </w:rPr>
      </w:pPr>
      <w:r w:rsidRPr="00565A13">
        <w:rPr>
          <w:rtl/>
        </w:rPr>
        <w:t>7</w:t>
      </w:r>
      <w:r>
        <w:rPr>
          <w:rFonts w:ascii="Traditional Arabic"/>
          <w:szCs w:val="20"/>
          <w:rtl/>
        </w:rPr>
        <w:t>-</w:t>
      </w:r>
      <w:r>
        <w:rPr>
          <w:rtl/>
        </w:rPr>
        <w:tab/>
        <w:t xml:space="preserve">وقررت اللجنة أن تنظم، بدعم من فريقها العامل المعني بالنساء والفتيات ذوات الإعاقة، حلقة نقاش على الإنترنت بشأن العنف الجنساني ضد النساء والفتيات ذوات الإعاقة، تعقد خلال حملة الستة عشر يوماً من النشاط لمناهضة العنف الجنساني عام </w:t>
      </w:r>
      <w:r w:rsidRPr="00565A13">
        <w:rPr>
          <w:rtl/>
        </w:rPr>
        <w:t>202</w:t>
      </w:r>
      <w:r w:rsidR="00F748C4" w:rsidRPr="00F748C4">
        <w:rPr>
          <w:rtl/>
        </w:rPr>
        <w:t>2.</w:t>
      </w:r>
    </w:p>
    <w:p w14:paraId="7B66726A" w14:textId="1A091D5D" w:rsidR="00565A13" w:rsidRPr="001461C4" w:rsidRDefault="00565A13" w:rsidP="006A2888">
      <w:pPr>
        <w:pStyle w:val="SingleTxtGA"/>
        <w:rPr>
          <w:szCs w:val="20"/>
          <w:lang w:val="ar-SA" w:eastAsia="zh-TW" w:bidi="en-GB"/>
        </w:rPr>
      </w:pPr>
      <w:r w:rsidRPr="00565A13">
        <w:rPr>
          <w:rtl/>
        </w:rPr>
        <w:t>8</w:t>
      </w:r>
      <w:r>
        <w:rPr>
          <w:rFonts w:ascii="Traditional Arabic"/>
          <w:szCs w:val="20"/>
          <w:rtl/>
        </w:rPr>
        <w:t>-</w:t>
      </w:r>
      <w:r>
        <w:rPr>
          <w:rtl/>
        </w:rPr>
        <w:tab/>
        <w:t xml:space="preserve">وقررت اللجنة إنشاء فريق عامل لإعداد مشروع تعليق عام على المادة </w:t>
      </w:r>
      <w:r w:rsidRPr="00565A13">
        <w:rPr>
          <w:rtl/>
        </w:rPr>
        <w:t>11</w:t>
      </w:r>
      <w:r>
        <w:rPr>
          <w:rtl/>
        </w:rPr>
        <w:t xml:space="preserve"> من الاتفاقية. </w:t>
      </w:r>
    </w:p>
    <w:p w14:paraId="2440533B" w14:textId="74C3182F" w:rsidR="00565A13" w:rsidRPr="001461C4" w:rsidRDefault="00565A13" w:rsidP="006A2888">
      <w:pPr>
        <w:pStyle w:val="SingleTxtGA"/>
        <w:rPr>
          <w:szCs w:val="20"/>
          <w:lang w:val="ar-SA" w:eastAsia="zh-TW" w:bidi="en-GB"/>
        </w:rPr>
      </w:pPr>
      <w:r w:rsidRPr="00565A13">
        <w:rPr>
          <w:rtl/>
        </w:rPr>
        <w:t>9</w:t>
      </w:r>
      <w:r>
        <w:rPr>
          <w:rFonts w:ascii="Traditional Arabic"/>
          <w:szCs w:val="20"/>
          <w:rtl/>
        </w:rPr>
        <w:t>-</w:t>
      </w:r>
      <w:r>
        <w:rPr>
          <w:rtl/>
        </w:rPr>
        <w:tab/>
        <w:t xml:space="preserve">وقررت اللجنة أن تعقد دورتها الثامنة والعشرين في جنيف في الفترة من </w:t>
      </w:r>
      <w:r w:rsidRPr="00565A13">
        <w:rPr>
          <w:rtl/>
        </w:rPr>
        <w:t>6</w:t>
      </w:r>
      <w:r>
        <w:rPr>
          <w:rtl/>
        </w:rPr>
        <w:t xml:space="preserve"> إلى </w:t>
      </w:r>
      <w:r w:rsidRPr="00565A13">
        <w:rPr>
          <w:rtl/>
        </w:rPr>
        <w:t>24</w:t>
      </w:r>
      <w:r>
        <w:rPr>
          <w:rtl/>
        </w:rPr>
        <w:t xml:space="preserve"> آذار/</w:t>
      </w:r>
      <w:r w:rsidR="00DC485E">
        <w:rPr>
          <w:rFonts w:hint="cs"/>
          <w:rtl/>
        </w:rPr>
        <w:t xml:space="preserve"> </w:t>
      </w:r>
      <w:r>
        <w:rPr>
          <w:rtl/>
        </w:rPr>
        <w:t>مارس</w:t>
      </w:r>
      <w:r w:rsidR="00DC485E">
        <w:rPr>
          <w:rFonts w:hint="cs"/>
          <w:rtl/>
        </w:rPr>
        <w:t> </w:t>
      </w:r>
      <w:r w:rsidRPr="00565A13">
        <w:rPr>
          <w:rtl/>
        </w:rPr>
        <w:t>2023</w:t>
      </w:r>
      <w:r>
        <w:rPr>
          <w:rtl/>
        </w:rPr>
        <w:t>، رهنا</w:t>
      </w:r>
      <w:r w:rsidR="00DC485E">
        <w:rPr>
          <w:rFonts w:hint="cs"/>
          <w:rtl/>
        </w:rPr>
        <w:t>ً</w:t>
      </w:r>
      <w:r>
        <w:rPr>
          <w:rtl/>
        </w:rPr>
        <w:t xml:space="preserve"> بتأكيد الأمانة لجدوى عقد دورة يكون فيها الحضور شخصيا</w:t>
      </w:r>
      <w:r w:rsidR="00DC485E">
        <w:rPr>
          <w:rFonts w:hint="cs"/>
          <w:rtl/>
        </w:rPr>
        <w:t>ً</w:t>
      </w:r>
      <w:r>
        <w:rPr>
          <w:rtl/>
        </w:rPr>
        <w:t xml:space="preserve">، وأن يعقبها الاجتماع السابع عشر للفريق العامل لما قبل الدورة، في الفترة من </w:t>
      </w:r>
      <w:r w:rsidRPr="00565A13">
        <w:rPr>
          <w:rtl/>
        </w:rPr>
        <w:t>27</w:t>
      </w:r>
      <w:r>
        <w:rPr>
          <w:rtl/>
        </w:rPr>
        <w:t xml:space="preserve"> إلى </w:t>
      </w:r>
      <w:r w:rsidRPr="00565A13">
        <w:rPr>
          <w:rtl/>
        </w:rPr>
        <w:t>31</w:t>
      </w:r>
      <w:r>
        <w:rPr>
          <w:rtl/>
        </w:rPr>
        <w:t xml:space="preserve"> آذار/مارس </w:t>
      </w:r>
      <w:r w:rsidRPr="00565A13">
        <w:rPr>
          <w:rtl/>
        </w:rPr>
        <w:t>202</w:t>
      </w:r>
      <w:r w:rsidR="00F748C4" w:rsidRPr="00F748C4">
        <w:rPr>
          <w:rtl/>
        </w:rPr>
        <w:t>3</w:t>
      </w:r>
      <w:r w:rsidR="00F748C4" w:rsidRPr="00F748C4">
        <w:rPr>
          <w:rFonts w:ascii="Traditional Arabic"/>
          <w:szCs w:val="20"/>
          <w:rtl/>
        </w:rPr>
        <w:t>.</w:t>
      </w:r>
      <w:r w:rsidR="00F748C4" w:rsidRPr="00F748C4">
        <w:rPr>
          <w:rtl/>
        </w:rPr>
        <w:t xml:space="preserve"> </w:t>
      </w:r>
      <w:r>
        <w:rPr>
          <w:rtl/>
        </w:rPr>
        <w:t>واعتمدت اللجنة برنامج العمل المؤقت لدورتها الثامنة والعشرين.</w:t>
      </w:r>
    </w:p>
    <w:p w14:paraId="52C5C8B0" w14:textId="77777777" w:rsidR="00565A13" w:rsidRPr="001461C4" w:rsidRDefault="00565A13" w:rsidP="006A2888">
      <w:pPr>
        <w:pStyle w:val="SingleTxtGA"/>
        <w:rPr>
          <w:szCs w:val="20"/>
          <w:lang w:val="ar-SA" w:eastAsia="zh-TW" w:bidi="en-GB"/>
        </w:rPr>
      </w:pPr>
      <w:r w:rsidRPr="00565A13">
        <w:rPr>
          <w:rtl/>
        </w:rPr>
        <w:t>10</w:t>
      </w:r>
      <w:r>
        <w:rPr>
          <w:rFonts w:ascii="Traditional Arabic"/>
          <w:szCs w:val="20"/>
          <w:rtl/>
        </w:rPr>
        <w:t>-</w:t>
      </w:r>
      <w:r>
        <w:rPr>
          <w:rtl/>
        </w:rPr>
        <w:tab/>
        <w:t xml:space="preserve">وقررت اللجنة مواصلة عملها بشأن تحديث وتبسيط أساليب عملها. وأعربت عن قلقها إزاء نقص الموارد البشرية في الأمانة العامة، وأكدت من جديد وجود حاجة إلى موارد إضافية لتمكين اللجنة من الوفاء بولايتها الأساسية والوفاء بعبء عملها المتزايد. </w:t>
      </w:r>
    </w:p>
    <w:p w14:paraId="08B0E201" w14:textId="77777777" w:rsidR="00565A13" w:rsidRPr="001461C4" w:rsidRDefault="00565A13" w:rsidP="006A2888">
      <w:pPr>
        <w:pStyle w:val="SingleTxtGA"/>
        <w:rPr>
          <w:szCs w:val="20"/>
          <w:lang w:val="ar-SA" w:eastAsia="zh-TW" w:bidi="en-GB"/>
        </w:rPr>
      </w:pPr>
      <w:r w:rsidRPr="00565A13">
        <w:rPr>
          <w:rtl/>
        </w:rPr>
        <w:t>11</w:t>
      </w:r>
      <w:r>
        <w:rPr>
          <w:rFonts w:ascii="Traditional Arabic"/>
          <w:szCs w:val="20"/>
          <w:rtl/>
        </w:rPr>
        <w:t>-</w:t>
      </w:r>
      <w:r>
        <w:rPr>
          <w:rtl/>
        </w:rPr>
        <w:tab/>
        <w:t xml:space="preserve">وقررت اللجنة مواصلة التفاعل مع مكتب الأمم المتحدة في جنيف ومفوضية الأمم المتحدة لحقوق الإنسان، بغية تحسين توفير خدمات المؤتمرات التي يسهل الوصول إليها والترتيبات التيسيرية المعقولة لأعضاء اللجنة والمشاركين ذوي الإعاقة في اجتماعاتها. </w:t>
      </w:r>
    </w:p>
    <w:p w14:paraId="04DB0095" w14:textId="1D29FBB8" w:rsidR="00565A13" w:rsidRPr="001461C4" w:rsidRDefault="00565A13" w:rsidP="006A2888">
      <w:pPr>
        <w:pStyle w:val="SingleTxtGA"/>
        <w:rPr>
          <w:szCs w:val="20"/>
          <w:lang w:val="ar-SA" w:eastAsia="zh-TW" w:bidi="en-GB"/>
        </w:rPr>
      </w:pPr>
      <w:r w:rsidRPr="00565A13">
        <w:rPr>
          <w:rtl/>
        </w:rPr>
        <w:t>12</w:t>
      </w:r>
      <w:r>
        <w:rPr>
          <w:rFonts w:ascii="Traditional Arabic"/>
          <w:szCs w:val="20"/>
          <w:rtl/>
        </w:rPr>
        <w:t>-</w:t>
      </w:r>
      <w:r>
        <w:rPr>
          <w:rtl/>
        </w:rPr>
        <w:tab/>
        <w:t>وقررت اللجنة أن تنفذ، على أساس تجريبي، مشروعا</w:t>
      </w:r>
      <w:r w:rsidR="00DC485E">
        <w:rPr>
          <w:rFonts w:hint="cs"/>
          <w:rtl/>
        </w:rPr>
        <w:t>ً</w:t>
      </w:r>
      <w:r>
        <w:rPr>
          <w:rtl/>
        </w:rPr>
        <w:t xml:space="preserve"> لقاعدة بيانات تقدمه مؤسسة </w:t>
      </w:r>
      <w:proofErr w:type="spellStart"/>
      <w:r>
        <w:rPr>
          <w:rtl/>
        </w:rPr>
        <w:t>ساراكي</w:t>
      </w:r>
      <w:proofErr w:type="spellEnd"/>
      <w:r>
        <w:rPr>
          <w:rtl/>
        </w:rPr>
        <w:t xml:space="preserve">. </w:t>
      </w:r>
    </w:p>
    <w:p w14:paraId="60B1FACA" w14:textId="6EAA7A0A" w:rsidR="00565A13" w:rsidRPr="006A2888" w:rsidRDefault="00565A13" w:rsidP="006A2888">
      <w:pPr>
        <w:pStyle w:val="SingleTxtGA"/>
        <w:rPr>
          <w:szCs w:val="20"/>
          <w:lang w:val="en-US" w:eastAsia="zh-TW" w:bidi="en-GB"/>
        </w:rPr>
      </w:pPr>
      <w:r w:rsidRPr="00565A13">
        <w:rPr>
          <w:rtl/>
        </w:rPr>
        <w:t>13</w:t>
      </w:r>
      <w:r>
        <w:rPr>
          <w:rFonts w:ascii="Traditional Arabic"/>
          <w:szCs w:val="20"/>
          <w:rtl/>
        </w:rPr>
        <w:t>-</w:t>
      </w:r>
      <w:r>
        <w:rPr>
          <w:rtl/>
        </w:rPr>
        <w:tab/>
        <w:t>واعتمدت اللجنة التقرير المتعلق بدورتها السابعة والعشرين، الذي تضمن فرعا</w:t>
      </w:r>
      <w:r w:rsidR="00DC485E">
        <w:rPr>
          <w:rFonts w:hint="cs"/>
          <w:rtl/>
        </w:rPr>
        <w:t>ً</w:t>
      </w:r>
      <w:r>
        <w:rPr>
          <w:rtl/>
        </w:rPr>
        <w:t xml:space="preserve"> عن حالة الأشخاص ذوي الإعاقة في أوكرانيا. </w:t>
      </w:r>
    </w:p>
    <w:p w14:paraId="3BD63945" w14:textId="77777777" w:rsidR="00565A13" w:rsidRPr="00247812" w:rsidRDefault="00565A13" w:rsidP="00247812">
      <w:pPr>
        <w:pStyle w:val="HChGA"/>
        <w:spacing w:before="0"/>
        <w:rPr>
          <w:szCs w:val="20"/>
          <w:u w:val="single"/>
          <w:lang w:val="en-US" w:eastAsia="zh-TW" w:bidi="en-GB"/>
        </w:rPr>
      </w:pPr>
      <w:r>
        <w:rPr>
          <w:rtl/>
        </w:rPr>
        <w:lastRenderedPageBreak/>
        <w:tab/>
        <w:t>المرفق الثاني</w:t>
      </w:r>
    </w:p>
    <w:p w14:paraId="245FE6F5" w14:textId="77777777" w:rsidR="00565A13" w:rsidRPr="001461C4" w:rsidRDefault="00565A13" w:rsidP="00C935A6">
      <w:pPr>
        <w:pStyle w:val="HChGA"/>
        <w:rPr>
          <w:szCs w:val="20"/>
          <w:lang w:val="ar-SA" w:eastAsia="zh-TW" w:bidi="en-GB"/>
        </w:rPr>
      </w:pPr>
      <w:r>
        <w:rPr>
          <w:rtl/>
        </w:rPr>
        <w:tab/>
      </w:r>
      <w:r>
        <w:rPr>
          <w:rtl/>
        </w:rPr>
        <w:tab/>
        <w:t>الدول الأطراف التي تأخرت تقاريرها الأولية أكثر من خمس سنوات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0"/>
        <w:gridCol w:w="2410"/>
      </w:tblGrid>
      <w:tr w:rsidR="00565A13" w:rsidRPr="006A2888" w14:paraId="040E5BF9" w14:textId="77777777" w:rsidTr="00700100">
        <w:trPr>
          <w:tblHeader/>
        </w:trPr>
        <w:tc>
          <w:tcPr>
            <w:tcW w:w="4960" w:type="dxa"/>
            <w:tcBorders>
              <w:top w:val="single" w:sz="4" w:space="0" w:color="auto"/>
              <w:bottom w:val="single" w:sz="12" w:space="0" w:color="auto"/>
            </w:tcBorders>
            <w:shd w:val="clear" w:color="auto" w:fill="auto"/>
            <w:vAlign w:val="bottom"/>
          </w:tcPr>
          <w:p w14:paraId="0E2C0525" w14:textId="77777777" w:rsidR="00565A13" w:rsidRPr="006A2888" w:rsidRDefault="00565A13" w:rsidP="006A2888">
            <w:pPr>
              <w:spacing w:before="20" w:after="40" w:line="300" w:lineRule="exact"/>
              <w:ind w:left="57" w:right="57"/>
              <w:textDirection w:val="tbRlV"/>
              <w:rPr>
                <w:i/>
                <w:szCs w:val="20"/>
                <w:lang w:val="ar-SA" w:eastAsia="zh-TW" w:bidi="en-GB"/>
              </w:rPr>
            </w:pPr>
            <w:r w:rsidRPr="006A2888">
              <w:rPr>
                <w:i/>
                <w:iCs/>
                <w:szCs w:val="20"/>
                <w:rtl/>
              </w:rPr>
              <w:t>الدولة الطرف</w:t>
            </w:r>
          </w:p>
        </w:tc>
        <w:tc>
          <w:tcPr>
            <w:tcW w:w="2410" w:type="dxa"/>
            <w:tcBorders>
              <w:top w:val="single" w:sz="4" w:space="0" w:color="auto"/>
              <w:bottom w:val="single" w:sz="12" w:space="0" w:color="auto"/>
            </w:tcBorders>
            <w:shd w:val="clear" w:color="auto" w:fill="auto"/>
            <w:vAlign w:val="bottom"/>
          </w:tcPr>
          <w:p w14:paraId="49CE2280" w14:textId="77777777" w:rsidR="00565A13" w:rsidRPr="006A2888" w:rsidRDefault="00565A13" w:rsidP="006A2888">
            <w:pPr>
              <w:spacing w:before="20" w:after="40" w:line="300" w:lineRule="exact"/>
              <w:ind w:left="57" w:right="57"/>
              <w:textDirection w:val="tbRlV"/>
              <w:rPr>
                <w:i/>
                <w:szCs w:val="20"/>
                <w:lang w:val="ar-SA" w:eastAsia="zh-TW" w:bidi="en-GB"/>
              </w:rPr>
            </w:pPr>
            <w:r w:rsidRPr="006A2888">
              <w:rPr>
                <w:i/>
                <w:iCs/>
                <w:szCs w:val="20"/>
                <w:rtl/>
              </w:rPr>
              <w:t>الموعد المحدد</w:t>
            </w:r>
          </w:p>
        </w:tc>
      </w:tr>
      <w:tr w:rsidR="00565A13" w:rsidRPr="006A2888" w14:paraId="30A77E11" w14:textId="77777777" w:rsidTr="00700100">
        <w:tc>
          <w:tcPr>
            <w:tcW w:w="4960" w:type="dxa"/>
            <w:tcBorders>
              <w:top w:val="single" w:sz="12" w:space="0" w:color="auto"/>
            </w:tcBorders>
            <w:shd w:val="clear" w:color="auto" w:fill="auto"/>
          </w:tcPr>
          <w:p w14:paraId="35EB2045" w14:textId="77777777" w:rsidR="00565A13" w:rsidRPr="006A2888" w:rsidRDefault="00565A13" w:rsidP="006A2888">
            <w:pPr>
              <w:spacing w:before="20" w:after="40" w:line="300" w:lineRule="exact"/>
              <w:ind w:left="57" w:right="57"/>
              <w:textDirection w:val="tbRlV"/>
              <w:rPr>
                <w:szCs w:val="20"/>
                <w:lang w:eastAsia="zh-TW" w:bidi="en-GB"/>
              </w:rPr>
            </w:pPr>
            <w:r w:rsidRPr="006A2888">
              <w:rPr>
                <w:szCs w:val="20"/>
                <w:rtl/>
              </w:rPr>
              <w:t>غينيا</w:t>
            </w:r>
          </w:p>
        </w:tc>
        <w:tc>
          <w:tcPr>
            <w:tcW w:w="2410" w:type="dxa"/>
            <w:tcBorders>
              <w:top w:val="single" w:sz="12" w:space="0" w:color="auto"/>
            </w:tcBorders>
            <w:shd w:val="clear" w:color="auto" w:fill="auto"/>
          </w:tcPr>
          <w:p w14:paraId="1841D57B" w14:textId="77777777" w:rsidR="00565A13" w:rsidRPr="006A2888" w:rsidRDefault="00565A13" w:rsidP="006A2888">
            <w:pPr>
              <w:spacing w:before="20" w:after="40" w:line="300" w:lineRule="exact"/>
              <w:ind w:left="57" w:right="57"/>
              <w:textDirection w:val="tbRlV"/>
              <w:rPr>
                <w:szCs w:val="20"/>
                <w:rtl/>
                <w:lang w:val="ar-SA" w:eastAsia="zh-TW"/>
              </w:rPr>
            </w:pPr>
            <w:r w:rsidRPr="006A2888">
              <w:rPr>
                <w:szCs w:val="20"/>
                <w:rtl/>
              </w:rPr>
              <w:t>8 آذار/مارس 2010</w:t>
            </w:r>
          </w:p>
        </w:tc>
      </w:tr>
      <w:tr w:rsidR="00565A13" w:rsidRPr="006A2888" w14:paraId="4E70859D" w14:textId="77777777" w:rsidTr="00700100">
        <w:tc>
          <w:tcPr>
            <w:tcW w:w="4960" w:type="dxa"/>
            <w:shd w:val="clear" w:color="auto" w:fill="auto"/>
          </w:tcPr>
          <w:p w14:paraId="249C165D"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سان مارينو</w:t>
            </w:r>
          </w:p>
        </w:tc>
        <w:tc>
          <w:tcPr>
            <w:tcW w:w="2410" w:type="dxa"/>
            <w:shd w:val="clear" w:color="auto" w:fill="auto"/>
          </w:tcPr>
          <w:p w14:paraId="1312AC81"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22 آذار/مارس 2010</w:t>
            </w:r>
          </w:p>
        </w:tc>
      </w:tr>
      <w:tr w:rsidR="00565A13" w:rsidRPr="006A2888" w14:paraId="258A1CC0" w14:textId="77777777" w:rsidTr="00700100">
        <w:tc>
          <w:tcPr>
            <w:tcW w:w="4960" w:type="dxa"/>
            <w:shd w:val="clear" w:color="auto" w:fill="auto"/>
          </w:tcPr>
          <w:p w14:paraId="4DC2AD14"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ليسوتو</w:t>
            </w:r>
          </w:p>
        </w:tc>
        <w:tc>
          <w:tcPr>
            <w:tcW w:w="2410" w:type="dxa"/>
            <w:shd w:val="clear" w:color="auto" w:fill="auto"/>
          </w:tcPr>
          <w:p w14:paraId="4076B853"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 كانون الثاني/يناير 2011</w:t>
            </w:r>
          </w:p>
        </w:tc>
      </w:tr>
      <w:tr w:rsidR="00565A13" w:rsidRPr="006A2888" w14:paraId="01EA675F" w14:textId="77777777" w:rsidTr="00700100">
        <w:tc>
          <w:tcPr>
            <w:tcW w:w="4960" w:type="dxa"/>
            <w:shd w:val="clear" w:color="auto" w:fill="auto"/>
          </w:tcPr>
          <w:p w14:paraId="3E7DA800"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اليمن</w:t>
            </w:r>
          </w:p>
        </w:tc>
        <w:tc>
          <w:tcPr>
            <w:tcW w:w="2410" w:type="dxa"/>
            <w:shd w:val="clear" w:color="auto" w:fill="auto"/>
          </w:tcPr>
          <w:p w14:paraId="75A2CEF4"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26 نيسان/أبريل 2011</w:t>
            </w:r>
          </w:p>
        </w:tc>
      </w:tr>
      <w:tr w:rsidR="00565A13" w:rsidRPr="006A2888" w14:paraId="57C51A05" w14:textId="77777777" w:rsidTr="00700100">
        <w:tc>
          <w:tcPr>
            <w:tcW w:w="4960" w:type="dxa"/>
            <w:shd w:val="clear" w:color="auto" w:fill="auto"/>
          </w:tcPr>
          <w:p w14:paraId="188C5D63"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الجمهورية العربية السورية</w:t>
            </w:r>
          </w:p>
        </w:tc>
        <w:tc>
          <w:tcPr>
            <w:tcW w:w="2410" w:type="dxa"/>
            <w:shd w:val="clear" w:color="auto" w:fill="auto"/>
          </w:tcPr>
          <w:p w14:paraId="5BE76972"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10 آب/أغسطس 2011</w:t>
            </w:r>
          </w:p>
        </w:tc>
      </w:tr>
      <w:tr w:rsidR="00565A13" w:rsidRPr="006A2888" w14:paraId="4060887C" w14:textId="77777777" w:rsidTr="00700100">
        <w:tc>
          <w:tcPr>
            <w:tcW w:w="4960" w:type="dxa"/>
            <w:shd w:val="clear" w:color="auto" w:fill="auto"/>
          </w:tcPr>
          <w:p w14:paraId="3F842954"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جمهورية تنزانيا المتحدة</w:t>
            </w:r>
          </w:p>
        </w:tc>
        <w:tc>
          <w:tcPr>
            <w:tcW w:w="2410" w:type="dxa"/>
            <w:shd w:val="clear" w:color="auto" w:fill="auto"/>
          </w:tcPr>
          <w:p w14:paraId="4C324A7D"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10 كانون الأول/ديسمبر 2011</w:t>
            </w:r>
          </w:p>
        </w:tc>
      </w:tr>
      <w:tr w:rsidR="00565A13" w:rsidRPr="006A2888" w14:paraId="35899E7D" w14:textId="77777777" w:rsidTr="00700100">
        <w:tc>
          <w:tcPr>
            <w:tcW w:w="4960" w:type="dxa"/>
            <w:shd w:val="clear" w:color="auto" w:fill="auto"/>
          </w:tcPr>
          <w:p w14:paraId="5260C62D"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ماليزيا</w:t>
            </w:r>
          </w:p>
        </w:tc>
        <w:tc>
          <w:tcPr>
            <w:tcW w:w="2410" w:type="dxa"/>
            <w:shd w:val="clear" w:color="auto" w:fill="auto"/>
          </w:tcPr>
          <w:p w14:paraId="659F90F9"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19 آب/أغسطس 2012</w:t>
            </w:r>
          </w:p>
        </w:tc>
      </w:tr>
      <w:tr w:rsidR="00565A13" w:rsidRPr="006A2888" w14:paraId="5F075105" w14:textId="77777777" w:rsidTr="00700100">
        <w:tc>
          <w:tcPr>
            <w:tcW w:w="4960" w:type="dxa"/>
            <w:shd w:val="clear" w:color="auto" w:fill="auto"/>
          </w:tcPr>
          <w:p w14:paraId="7B91E8D0"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سانت فنسنت وجزر غرينادين</w:t>
            </w:r>
          </w:p>
        </w:tc>
        <w:tc>
          <w:tcPr>
            <w:tcW w:w="2410" w:type="dxa"/>
            <w:shd w:val="clear" w:color="auto" w:fill="auto"/>
          </w:tcPr>
          <w:p w14:paraId="279D77BD"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29 تشرين الثاني/نوفمبر 2012</w:t>
            </w:r>
          </w:p>
        </w:tc>
      </w:tr>
      <w:tr w:rsidR="00565A13" w:rsidRPr="006A2888" w14:paraId="6B404445" w14:textId="77777777" w:rsidTr="00700100">
        <w:tc>
          <w:tcPr>
            <w:tcW w:w="4960" w:type="dxa"/>
            <w:shd w:val="clear" w:color="auto" w:fill="auto"/>
          </w:tcPr>
          <w:p w14:paraId="36BC11F8"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بليز</w:t>
            </w:r>
          </w:p>
        </w:tc>
        <w:tc>
          <w:tcPr>
            <w:tcW w:w="2410" w:type="dxa"/>
            <w:shd w:val="clear" w:color="auto" w:fill="auto"/>
          </w:tcPr>
          <w:p w14:paraId="680A392C"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 تموز/يوليه 2013</w:t>
            </w:r>
          </w:p>
        </w:tc>
      </w:tr>
      <w:tr w:rsidR="00565A13" w:rsidRPr="006A2888" w14:paraId="00D5D549" w14:textId="77777777" w:rsidTr="00700100">
        <w:tc>
          <w:tcPr>
            <w:tcW w:w="4960" w:type="dxa"/>
            <w:shd w:val="clear" w:color="auto" w:fill="auto"/>
          </w:tcPr>
          <w:p w14:paraId="1B87EB80"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كابو فيردي</w:t>
            </w:r>
          </w:p>
        </w:tc>
        <w:tc>
          <w:tcPr>
            <w:tcW w:w="2410" w:type="dxa"/>
            <w:shd w:val="clear" w:color="auto" w:fill="auto"/>
          </w:tcPr>
          <w:p w14:paraId="48625EA6"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10 تشرين الثاني/نوفمبر 2013</w:t>
            </w:r>
          </w:p>
        </w:tc>
      </w:tr>
      <w:tr w:rsidR="00565A13" w:rsidRPr="006A2888" w14:paraId="0DBD226D" w14:textId="77777777" w:rsidTr="00700100">
        <w:tc>
          <w:tcPr>
            <w:tcW w:w="4960" w:type="dxa"/>
            <w:shd w:val="clear" w:color="auto" w:fill="auto"/>
          </w:tcPr>
          <w:p w14:paraId="2663EFDE"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ناورو</w:t>
            </w:r>
          </w:p>
        </w:tc>
        <w:tc>
          <w:tcPr>
            <w:tcW w:w="2410" w:type="dxa"/>
            <w:shd w:val="clear" w:color="auto" w:fill="auto"/>
          </w:tcPr>
          <w:p w14:paraId="62F5E0C7"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27 تموز/يوليه 2014</w:t>
            </w:r>
          </w:p>
        </w:tc>
      </w:tr>
      <w:tr w:rsidR="00565A13" w:rsidRPr="006A2888" w14:paraId="30B17189" w14:textId="77777777" w:rsidTr="00700100">
        <w:tc>
          <w:tcPr>
            <w:tcW w:w="4960" w:type="dxa"/>
            <w:shd w:val="clear" w:color="auto" w:fill="auto"/>
          </w:tcPr>
          <w:p w14:paraId="2BDE6F97"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 xml:space="preserve">إسواتيني </w:t>
            </w:r>
          </w:p>
        </w:tc>
        <w:tc>
          <w:tcPr>
            <w:tcW w:w="2410" w:type="dxa"/>
            <w:shd w:val="clear" w:color="auto" w:fill="auto"/>
          </w:tcPr>
          <w:p w14:paraId="0F6BABFB"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24 تشرين الأول/أكتوبر 2014</w:t>
            </w:r>
          </w:p>
        </w:tc>
      </w:tr>
      <w:tr w:rsidR="00565A13" w:rsidRPr="006A2888" w14:paraId="2F9F46F9" w14:textId="77777777" w:rsidTr="00700100">
        <w:tc>
          <w:tcPr>
            <w:tcW w:w="4960" w:type="dxa"/>
            <w:shd w:val="clear" w:color="auto" w:fill="auto"/>
          </w:tcPr>
          <w:p w14:paraId="225D54D6"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دومينيكا</w:t>
            </w:r>
          </w:p>
        </w:tc>
        <w:tc>
          <w:tcPr>
            <w:tcW w:w="2410" w:type="dxa"/>
            <w:shd w:val="clear" w:color="auto" w:fill="auto"/>
          </w:tcPr>
          <w:p w14:paraId="718C54D4"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 تشرين الثاني/نوفمبر 2014</w:t>
            </w:r>
          </w:p>
        </w:tc>
      </w:tr>
      <w:tr w:rsidR="00565A13" w:rsidRPr="006A2888" w14:paraId="39FA6D81" w14:textId="77777777" w:rsidTr="00700100">
        <w:tc>
          <w:tcPr>
            <w:tcW w:w="4960" w:type="dxa"/>
            <w:shd w:val="clear" w:color="auto" w:fill="auto"/>
          </w:tcPr>
          <w:p w14:paraId="0C727EF9"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كمبوديا</w:t>
            </w:r>
          </w:p>
        </w:tc>
        <w:tc>
          <w:tcPr>
            <w:tcW w:w="2410" w:type="dxa"/>
            <w:shd w:val="clear" w:color="auto" w:fill="auto"/>
          </w:tcPr>
          <w:p w14:paraId="1F7DD8FF"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20 كانون الثاني/يناير 2015</w:t>
            </w:r>
          </w:p>
        </w:tc>
      </w:tr>
      <w:tr w:rsidR="00565A13" w:rsidRPr="006A2888" w14:paraId="43EE6CFD" w14:textId="77777777" w:rsidTr="00700100">
        <w:tc>
          <w:tcPr>
            <w:tcW w:w="4960" w:type="dxa"/>
            <w:shd w:val="clear" w:color="auto" w:fill="auto"/>
          </w:tcPr>
          <w:p w14:paraId="5747B08C"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بربادوس</w:t>
            </w:r>
          </w:p>
        </w:tc>
        <w:tc>
          <w:tcPr>
            <w:tcW w:w="2410" w:type="dxa"/>
            <w:shd w:val="clear" w:color="auto" w:fill="auto"/>
          </w:tcPr>
          <w:p w14:paraId="744CDE05"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27 آذار/مارس 2015</w:t>
            </w:r>
          </w:p>
        </w:tc>
      </w:tr>
      <w:tr w:rsidR="00565A13" w:rsidRPr="006A2888" w14:paraId="6E61448D" w14:textId="77777777" w:rsidTr="00700100">
        <w:tc>
          <w:tcPr>
            <w:tcW w:w="4960" w:type="dxa"/>
            <w:shd w:val="clear" w:color="auto" w:fill="auto"/>
          </w:tcPr>
          <w:p w14:paraId="2CD7F376"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بابوا غينيا الجديدة</w:t>
            </w:r>
          </w:p>
        </w:tc>
        <w:tc>
          <w:tcPr>
            <w:tcW w:w="2410" w:type="dxa"/>
            <w:shd w:val="clear" w:color="auto" w:fill="auto"/>
          </w:tcPr>
          <w:p w14:paraId="73A3CFA1"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26 تشرين الأول/أكتوبر 2015</w:t>
            </w:r>
          </w:p>
        </w:tc>
      </w:tr>
      <w:tr w:rsidR="00565A13" w:rsidRPr="006A2888" w14:paraId="226B26DD" w14:textId="77777777" w:rsidTr="00700100">
        <w:tc>
          <w:tcPr>
            <w:tcW w:w="4960" w:type="dxa"/>
            <w:shd w:val="clear" w:color="auto" w:fill="auto"/>
          </w:tcPr>
          <w:p w14:paraId="248FD92C"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كوت ديفوار</w:t>
            </w:r>
          </w:p>
        </w:tc>
        <w:tc>
          <w:tcPr>
            <w:tcW w:w="2410" w:type="dxa"/>
            <w:shd w:val="clear" w:color="auto" w:fill="auto"/>
          </w:tcPr>
          <w:p w14:paraId="3D8B41E1"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10 شباط/فبراير 2016</w:t>
            </w:r>
          </w:p>
        </w:tc>
      </w:tr>
      <w:tr w:rsidR="00565A13" w:rsidRPr="006A2888" w14:paraId="3EF07F9B" w14:textId="77777777" w:rsidTr="00700100">
        <w:tc>
          <w:tcPr>
            <w:tcW w:w="4960" w:type="dxa"/>
            <w:shd w:val="clear" w:color="auto" w:fill="auto"/>
          </w:tcPr>
          <w:p w14:paraId="03BEA2C3"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غرينادا</w:t>
            </w:r>
          </w:p>
        </w:tc>
        <w:tc>
          <w:tcPr>
            <w:tcW w:w="2410" w:type="dxa"/>
            <w:shd w:val="clear" w:color="auto" w:fill="auto"/>
          </w:tcPr>
          <w:p w14:paraId="4376C857"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17 أيلول/سبتمبر 2016</w:t>
            </w:r>
          </w:p>
        </w:tc>
      </w:tr>
      <w:tr w:rsidR="00565A13" w:rsidRPr="006A2888" w14:paraId="3BAD84CA" w14:textId="77777777" w:rsidTr="00700100">
        <w:tc>
          <w:tcPr>
            <w:tcW w:w="4960" w:type="dxa"/>
            <w:shd w:val="clear" w:color="auto" w:fill="auto"/>
          </w:tcPr>
          <w:p w14:paraId="2B5C3A85"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الكونغو</w:t>
            </w:r>
          </w:p>
        </w:tc>
        <w:tc>
          <w:tcPr>
            <w:tcW w:w="2410" w:type="dxa"/>
            <w:shd w:val="clear" w:color="auto" w:fill="auto"/>
          </w:tcPr>
          <w:p w14:paraId="0C3DD8A9"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 تشرين الأول/أكتوبر 2016</w:t>
            </w:r>
          </w:p>
        </w:tc>
      </w:tr>
      <w:tr w:rsidR="00565A13" w:rsidRPr="006A2888" w14:paraId="1608ADFA" w14:textId="77777777" w:rsidTr="00700100">
        <w:tc>
          <w:tcPr>
            <w:tcW w:w="4960" w:type="dxa"/>
            <w:shd w:val="clear" w:color="auto" w:fill="auto"/>
          </w:tcPr>
          <w:p w14:paraId="0ACC1878"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غيانا</w:t>
            </w:r>
          </w:p>
        </w:tc>
        <w:tc>
          <w:tcPr>
            <w:tcW w:w="2410" w:type="dxa"/>
            <w:shd w:val="clear" w:color="auto" w:fill="auto"/>
          </w:tcPr>
          <w:p w14:paraId="52D37A53"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10 تشرين الأول/أكتوبر 2016</w:t>
            </w:r>
          </w:p>
        </w:tc>
      </w:tr>
      <w:tr w:rsidR="00565A13" w:rsidRPr="006A2888" w14:paraId="101BE83A" w14:textId="77777777" w:rsidTr="00700100">
        <w:tc>
          <w:tcPr>
            <w:tcW w:w="4960" w:type="dxa"/>
            <w:shd w:val="clear" w:color="auto" w:fill="auto"/>
          </w:tcPr>
          <w:p w14:paraId="660711E8"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غينيا - بيساو</w:t>
            </w:r>
          </w:p>
        </w:tc>
        <w:tc>
          <w:tcPr>
            <w:tcW w:w="2410" w:type="dxa"/>
            <w:shd w:val="clear" w:color="auto" w:fill="auto"/>
          </w:tcPr>
          <w:p w14:paraId="3846D310" w14:textId="77777777" w:rsidR="00565A13" w:rsidRPr="006A2888" w:rsidRDefault="00565A13" w:rsidP="006A2888">
            <w:pPr>
              <w:spacing w:before="20" w:after="40" w:line="300" w:lineRule="exact"/>
              <w:ind w:left="57" w:right="57"/>
              <w:textDirection w:val="tbRlV"/>
              <w:rPr>
                <w:szCs w:val="20"/>
                <w:lang w:val="ar-SA" w:eastAsia="zh-TW" w:bidi="en-GB"/>
              </w:rPr>
            </w:pPr>
            <w:r w:rsidRPr="006A2888">
              <w:rPr>
                <w:szCs w:val="20"/>
                <w:rtl/>
              </w:rPr>
              <w:t>24 تشرين الأول/أكتوبر 2016</w:t>
            </w:r>
          </w:p>
        </w:tc>
      </w:tr>
    </w:tbl>
    <w:p w14:paraId="25FF2917" w14:textId="77777777" w:rsidR="00915488" w:rsidRDefault="00915488" w:rsidP="00C935A6">
      <w:pPr>
        <w:spacing w:after="200" w:line="276" w:lineRule="auto"/>
        <w:jc w:val="left"/>
        <w:rPr>
          <w:rtl/>
        </w:rPr>
        <w:sectPr w:rsidR="00915488" w:rsidSect="00C358F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19A8C3A0" w14:textId="160B5172" w:rsidR="00565A13" w:rsidRPr="001461C4" w:rsidRDefault="00565A13" w:rsidP="00247812">
      <w:pPr>
        <w:pStyle w:val="HChGA"/>
        <w:spacing w:before="0"/>
        <w:rPr>
          <w:szCs w:val="20"/>
          <w:u w:val="single"/>
          <w:lang w:val="ar-SA" w:eastAsia="zh-TW" w:bidi="en-GB"/>
        </w:rPr>
      </w:pPr>
      <w:r>
        <w:rPr>
          <w:rtl/>
        </w:rPr>
        <w:lastRenderedPageBreak/>
        <w:tab/>
        <w:t>المرفق الثالث</w:t>
      </w:r>
    </w:p>
    <w:p w14:paraId="7A65A0B2" w14:textId="77777777" w:rsidR="00565A13" w:rsidRPr="00C57BCD" w:rsidRDefault="00565A13" w:rsidP="00C57BCD">
      <w:pPr>
        <w:pStyle w:val="HChGA"/>
        <w:rPr>
          <w:szCs w:val="20"/>
          <w:lang w:val="en-US" w:eastAsia="zh-TW" w:bidi="en-GB"/>
        </w:rPr>
      </w:pPr>
      <w:r>
        <w:rPr>
          <w:rtl/>
        </w:rPr>
        <w:tab/>
      </w:r>
      <w:r>
        <w:rPr>
          <w:rtl/>
        </w:rPr>
        <w:tab/>
        <w:t>موجز الآراء والقرارات التي اعتمدتها اللجنة بشأن البلاغات الفردية المقدمة بموجب البروتوكول الاختياري</w:t>
      </w:r>
    </w:p>
    <w:p w14:paraId="27D2C91F" w14:textId="77777777" w:rsidR="00565A13" w:rsidRPr="00C57BCD" w:rsidRDefault="00565A13" w:rsidP="00C57BCD">
      <w:pPr>
        <w:pStyle w:val="H23GA"/>
        <w:rPr>
          <w:i/>
          <w:iCs/>
          <w:szCs w:val="20"/>
          <w:lang w:val="ar-SA" w:eastAsia="zh-TW" w:bidi="en-GB"/>
        </w:rPr>
      </w:pPr>
      <w:r w:rsidRPr="00C57BCD">
        <w:rPr>
          <w:i/>
          <w:iCs/>
          <w:rtl/>
        </w:rPr>
        <w:tab/>
      </w:r>
      <w:r w:rsidRPr="00C57BCD">
        <w:rPr>
          <w:i/>
          <w:iCs/>
          <w:rtl/>
        </w:rPr>
        <w:tab/>
      </w:r>
      <w:proofErr w:type="spellStart"/>
      <w:r w:rsidRPr="00C57BCD">
        <w:rPr>
          <w:i/>
          <w:iCs/>
          <w:rtl/>
        </w:rPr>
        <w:t>هينلي</w:t>
      </w:r>
      <w:proofErr w:type="spellEnd"/>
      <w:r w:rsidRPr="00C57BCD">
        <w:rPr>
          <w:i/>
          <w:iCs/>
          <w:rtl/>
        </w:rPr>
        <w:t xml:space="preserve"> ضد أستراليا</w:t>
      </w:r>
    </w:p>
    <w:p w14:paraId="5C7A78DC" w14:textId="33A87391" w:rsidR="00565A13" w:rsidRPr="001461C4" w:rsidRDefault="00565A13" w:rsidP="00247812">
      <w:pPr>
        <w:pStyle w:val="SingleTxtGA"/>
        <w:rPr>
          <w:szCs w:val="20"/>
          <w:lang w:val="ar-SA" w:eastAsia="zh-TW" w:bidi="en-GB"/>
        </w:rPr>
      </w:pPr>
      <w:r w:rsidRPr="00565A13">
        <w:rPr>
          <w:rtl/>
        </w:rPr>
        <w:t>1</w:t>
      </w:r>
      <w:r>
        <w:rPr>
          <w:rFonts w:ascii="Traditional Arabic"/>
          <w:szCs w:val="20"/>
          <w:rtl/>
        </w:rPr>
        <w:t>-</w:t>
      </w:r>
      <w:r>
        <w:rPr>
          <w:rtl/>
        </w:rPr>
        <w:tab/>
        <w:t xml:space="preserve">نظرت اللجنة في البلاغ المتعلق بقضية </w:t>
      </w:r>
      <w:proofErr w:type="spellStart"/>
      <w:r w:rsidRPr="00030CC4">
        <w:rPr>
          <w:i/>
          <w:iCs/>
          <w:rtl/>
        </w:rPr>
        <w:t>هينلي</w:t>
      </w:r>
      <w:proofErr w:type="spellEnd"/>
      <w:r w:rsidRPr="00030CC4">
        <w:rPr>
          <w:i/>
          <w:iCs/>
          <w:rtl/>
        </w:rPr>
        <w:t xml:space="preserve"> ضد أستراليا</w:t>
      </w:r>
      <w:r w:rsidR="00F748C4">
        <w:rPr>
          <w:rStyle w:val="FootnoteReference"/>
          <w:rtl/>
        </w:rPr>
        <w:t>(</w:t>
      </w:r>
      <w:r w:rsidR="00F748C4" w:rsidRPr="00CB6ECF">
        <w:rPr>
          <w:rStyle w:val="FootnoteReference"/>
          <w:rtl/>
        </w:rPr>
        <w:footnoteReference w:id="32"/>
      </w:r>
      <w:r w:rsidR="00A57E5C">
        <w:rPr>
          <w:rStyle w:val="FootnoteReference"/>
          <w:rtl/>
        </w:rPr>
        <w:t>)</w:t>
      </w:r>
      <w:r>
        <w:rPr>
          <w:rtl/>
        </w:rPr>
        <w:t xml:space="preserve"> فقد ادعت صاحبة البلاغ أنها ضحية انتهاكات الدولة الطرف للمادتين </w:t>
      </w:r>
      <w:r w:rsidRPr="00565A13">
        <w:rPr>
          <w:rtl/>
        </w:rPr>
        <w:t>9</w:t>
      </w:r>
      <w:r>
        <w:rPr>
          <w:rFonts w:ascii="Traditional Arabic"/>
          <w:szCs w:val="20"/>
          <w:rtl/>
        </w:rPr>
        <w:t>(</w:t>
      </w:r>
      <w:r w:rsidRPr="00565A13">
        <w:rPr>
          <w:rtl/>
        </w:rPr>
        <w:t>1</w:t>
      </w:r>
      <w:r>
        <w:rPr>
          <w:rFonts w:ascii="Traditional Arabic"/>
          <w:szCs w:val="20"/>
          <w:rtl/>
        </w:rPr>
        <w:t>)(</w:t>
      </w:r>
      <w:r>
        <w:rPr>
          <w:rtl/>
        </w:rPr>
        <w:t>ب</w:t>
      </w:r>
      <w:r>
        <w:rPr>
          <w:rFonts w:ascii="Traditional Arabic"/>
          <w:szCs w:val="20"/>
          <w:rtl/>
        </w:rPr>
        <w:t>)</w:t>
      </w:r>
      <w:r>
        <w:rPr>
          <w:rtl/>
        </w:rPr>
        <w:t xml:space="preserve"> </w:t>
      </w:r>
      <w:proofErr w:type="spellStart"/>
      <w:r>
        <w:rPr>
          <w:rtl/>
        </w:rPr>
        <w:t>و</w:t>
      </w:r>
      <w:r w:rsidRPr="00565A13">
        <w:rPr>
          <w:rtl/>
        </w:rPr>
        <w:t>30</w:t>
      </w:r>
      <w:proofErr w:type="spellEnd"/>
      <w:r>
        <w:rPr>
          <w:rFonts w:ascii="Traditional Arabic"/>
          <w:szCs w:val="20"/>
          <w:rtl/>
        </w:rPr>
        <w:t>(</w:t>
      </w:r>
      <w:r w:rsidRPr="00565A13">
        <w:rPr>
          <w:rtl/>
        </w:rPr>
        <w:t>1</w:t>
      </w:r>
      <w:r>
        <w:rPr>
          <w:rFonts w:ascii="Traditional Arabic"/>
          <w:szCs w:val="20"/>
          <w:rtl/>
        </w:rPr>
        <w:t>)(</w:t>
      </w:r>
      <w:r>
        <w:rPr>
          <w:rtl/>
        </w:rPr>
        <w:t>ب</w:t>
      </w:r>
      <w:r w:rsidR="00F748C4" w:rsidRPr="00F748C4">
        <w:rPr>
          <w:rFonts w:ascii="Traditional Arabic"/>
          <w:szCs w:val="20"/>
          <w:rtl/>
        </w:rPr>
        <w:t>)</w:t>
      </w:r>
      <w:r w:rsidR="00F748C4" w:rsidRPr="00F748C4">
        <w:rPr>
          <w:rtl/>
        </w:rPr>
        <w:t xml:space="preserve">، </w:t>
      </w:r>
      <w:r>
        <w:rPr>
          <w:rtl/>
        </w:rPr>
        <w:t xml:space="preserve">مقروءتين بالاقتران مع المادتين </w:t>
      </w:r>
      <w:r w:rsidRPr="00565A13">
        <w:rPr>
          <w:rtl/>
        </w:rPr>
        <w:t>4</w:t>
      </w:r>
      <w:r>
        <w:rPr>
          <w:rFonts w:ascii="Traditional Arabic"/>
          <w:szCs w:val="20"/>
          <w:rtl/>
        </w:rPr>
        <w:t>(</w:t>
      </w:r>
      <w:r w:rsidR="00F748C4" w:rsidRPr="00F748C4">
        <w:rPr>
          <w:rtl/>
        </w:rPr>
        <w:t>1</w:t>
      </w:r>
      <w:r w:rsidR="00F748C4" w:rsidRPr="00F748C4">
        <w:rPr>
          <w:rFonts w:ascii="Traditional Arabic"/>
          <w:szCs w:val="20"/>
          <w:rtl/>
        </w:rPr>
        <w:t>)</w:t>
      </w:r>
      <w:r w:rsidR="00F748C4" w:rsidRPr="00F748C4">
        <w:rPr>
          <w:rtl/>
        </w:rPr>
        <w:t xml:space="preserve"> </w:t>
      </w:r>
      <w:r>
        <w:rPr>
          <w:rtl/>
        </w:rPr>
        <w:t>و</w:t>
      </w:r>
      <w:r>
        <w:rPr>
          <w:rFonts w:ascii="Traditional Arabic"/>
          <w:szCs w:val="20"/>
          <w:rtl/>
        </w:rPr>
        <w:t>(</w:t>
      </w:r>
      <w:r w:rsidR="00F748C4" w:rsidRPr="00F748C4">
        <w:rPr>
          <w:rtl/>
        </w:rPr>
        <w:t>2</w:t>
      </w:r>
      <w:r w:rsidR="00F748C4" w:rsidRPr="00F748C4">
        <w:rPr>
          <w:rFonts w:ascii="Traditional Arabic"/>
          <w:szCs w:val="20"/>
          <w:rtl/>
        </w:rPr>
        <w:t>)</w:t>
      </w:r>
      <w:r w:rsidR="00F748C4" w:rsidRPr="00F748C4">
        <w:rPr>
          <w:rtl/>
        </w:rPr>
        <w:t xml:space="preserve"> </w:t>
      </w:r>
      <w:proofErr w:type="spellStart"/>
      <w:r>
        <w:rPr>
          <w:rtl/>
        </w:rPr>
        <w:t>و</w:t>
      </w:r>
      <w:r w:rsidRPr="00565A13">
        <w:rPr>
          <w:rtl/>
        </w:rPr>
        <w:t>5</w:t>
      </w:r>
      <w:proofErr w:type="spellEnd"/>
      <w:r>
        <w:rPr>
          <w:rFonts w:ascii="Traditional Arabic"/>
          <w:szCs w:val="20"/>
          <w:rtl/>
        </w:rPr>
        <w:t>(</w:t>
      </w:r>
      <w:r w:rsidR="00F748C4" w:rsidRPr="00F748C4">
        <w:rPr>
          <w:rtl/>
        </w:rPr>
        <w:t>3</w:t>
      </w:r>
      <w:r w:rsidR="00F748C4" w:rsidRPr="00F748C4">
        <w:rPr>
          <w:rFonts w:ascii="Traditional Arabic"/>
          <w:szCs w:val="20"/>
          <w:rtl/>
        </w:rPr>
        <w:t>)</w:t>
      </w:r>
      <w:r w:rsidR="00F748C4" w:rsidRPr="00F748C4">
        <w:rPr>
          <w:rtl/>
        </w:rPr>
        <w:t xml:space="preserve"> </w:t>
      </w:r>
      <w:r>
        <w:rPr>
          <w:rtl/>
        </w:rPr>
        <w:t>من الاتفاقية، لأن الدولة الطرف، بعدم تقديمها وصفا</w:t>
      </w:r>
      <w:r w:rsidR="00DC485E">
        <w:rPr>
          <w:rFonts w:hint="cs"/>
          <w:rtl/>
        </w:rPr>
        <w:t>ً</w:t>
      </w:r>
      <w:r>
        <w:rPr>
          <w:rtl/>
        </w:rPr>
        <w:t xml:space="preserve"> صوتيا</w:t>
      </w:r>
      <w:r w:rsidR="00DC485E">
        <w:rPr>
          <w:rFonts w:hint="cs"/>
          <w:rtl/>
        </w:rPr>
        <w:t>ً</w:t>
      </w:r>
      <w:r>
        <w:rPr>
          <w:rtl/>
        </w:rPr>
        <w:t xml:space="preserve"> على التلفزيون المجاني، لم تمكنها، بوصفها شخصا</w:t>
      </w:r>
      <w:r w:rsidR="00DC485E">
        <w:rPr>
          <w:rFonts w:hint="cs"/>
          <w:rtl/>
        </w:rPr>
        <w:t>ً</w:t>
      </w:r>
      <w:r>
        <w:rPr>
          <w:rtl/>
        </w:rPr>
        <w:t xml:space="preserve"> ذا إعاقة، من العيش بشكل مستقل والمشاركة الكاملة في جميع جوانب الحياة. </w:t>
      </w:r>
    </w:p>
    <w:p w14:paraId="617B7E84" w14:textId="0E03CD9F" w:rsidR="00565A13" w:rsidRPr="001461C4" w:rsidRDefault="00565A13" w:rsidP="00247812">
      <w:pPr>
        <w:pStyle w:val="SingleTxtGA"/>
        <w:rPr>
          <w:szCs w:val="20"/>
          <w:lang w:val="ar-SA" w:eastAsia="zh-TW" w:bidi="en-GB"/>
        </w:rPr>
      </w:pPr>
      <w:r w:rsidRPr="00565A13">
        <w:rPr>
          <w:rtl/>
        </w:rPr>
        <w:t>2</w:t>
      </w:r>
      <w:r>
        <w:rPr>
          <w:rFonts w:ascii="Traditional Arabic"/>
          <w:szCs w:val="20"/>
          <w:rtl/>
        </w:rPr>
        <w:t>-</w:t>
      </w:r>
      <w:r>
        <w:rPr>
          <w:rtl/>
        </w:rPr>
        <w:tab/>
        <w:t xml:space="preserve">وصاحبة البلاغ عمياء بالكامل منذ إصابتها في حادث سير عام </w:t>
      </w:r>
      <w:r w:rsidRPr="00565A13">
        <w:rPr>
          <w:rtl/>
        </w:rPr>
        <w:t>200</w:t>
      </w:r>
      <w:r w:rsidR="00F748C4" w:rsidRPr="00F748C4">
        <w:rPr>
          <w:rtl/>
        </w:rPr>
        <w:t>6</w:t>
      </w:r>
      <w:r w:rsidR="00F748C4" w:rsidRPr="00F748C4">
        <w:rPr>
          <w:rFonts w:ascii="Traditional Arabic"/>
          <w:szCs w:val="20"/>
          <w:rtl/>
        </w:rPr>
        <w:t>.</w:t>
      </w:r>
      <w:r w:rsidR="00F748C4" w:rsidRPr="00F748C4">
        <w:rPr>
          <w:rtl/>
        </w:rPr>
        <w:t xml:space="preserve"> </w:t>
      </w:r>
      <w:r>
        <w:rPr>
          <w:rtl/>
        </w:rPr>
        <w:t>وادعت أنها لم تتمكن من متابعة التلفزيون المجاني في الدولة الطرف على قدم المساواة مع المستعملين الآخرين، بسبب الافتقار إلى وصف صوتي يشمل سرد العناصر البصرية في التلفزيون والسينما والعروض الحية. فخلال فترات الصمت، يصف الوصف الصوتي العناصر المرئية التي تظهر على الشاشة</w:t>
      </w:r>
      <w:r w:rsidR="00F748C4" w:rsidRPr="00F748C4">
        <w:rPr>
          <w:rtl/>
        </w:rPr>
        <w:t>،</w:t>
      </w:r>
      <w:r>
        <w:rPr>
          <w:rtl/>
        </w:rPr>
        <w:t xml:space="preserve"> مثل المشاهد والسياقات والأفعال والأزياء وأي نص على الشاشة. ومن شأن توفير الوصف الصوتي أن يتيح الوصول إلى البرامج التلفزيونية التي لم تكن متاحة لولا ذلك للمكفوفين والأشخاص ذوي الإعاقات البصرية. وادعت أن الوصف الصوتي غير متاح أيضا</w:t>
      </w:r>
      <w:r w:rsidR="00DC485E">
        <w:rPr>
          <w:rFonts w:hint="cs"/>
          <w:rtl/>
        </w:rPr>
        <w:t>ً</w:t>
      </w:r>
      <w:r>
        <w:rPr>
          <w:rtl/>
        </w:rPr>
        <w:t xml:space="preserve"> في الخدمات التلفزيونية المجانية </w:t>
      </w:r>
      <w:proofErr w:type="spellStart"/>
      <w:r>
        <w:rPr>
          <w:rtl/>
        </w:rPr>
        <w:t>التداركية</w:t>
      </w:r>
      <w:proofErr w:type="spellEnd"/>
      <w:r>
        <w:rPr>
          <w:rtl/>
        </w:rPr>
        <w:t xml:space="preserve"> على الإنترنت التي تقدمها هيئات البث في الدولة الطرف.</w:t>
      </w:r>
    </w:p>
    <w:p w14:paraId="59B16BB0" w14:textId="60971203" w:rsidR="00565A13" w:rsidRPr="001461C4" w:rsidRDefault="00565A13" w:rsidP="00247812">
      <w:pPr>
        <w:pStyle w:val="SingleTxtGA"/>
        <w:rPr>
          <w:szCs w:val="20"/>
          <w:lang w:val="ar-SA" w:eastAsia="zh-TW" w:bidi="en-GB"/>
        </w:rPr>
      </w:pPr>
      <w:r w:rsidRPr="00565A13">
        <w:rPr>
          <w:rtl/>
        </w:rPr>
        <w:t>3</w:t>
      </w:r>
      <w:r>
        <w:rPr>
          <w:rFonts w:ascii="Traditional Arabic"/>
          <w:szCs w:val="20"/>
          <w:rtl/>
        </w:rPr>
        <w:t>-</w:t>
      </w:r>
      <w:r>
        <w:rPr>
          <w:rtl/>
        </w:rPr>
        <w:tab/>
        <w:t>وأحاطت اللجنة علما</w:t>
      </w:r>
      <w:r w:rsidR="005521AB">
        <w:rPr>
          <w:rFonts w:hint="cs"/>
          <w:rtl/>
        </w:rPr>
        <w:t>ً</w:t>
      </w:r>
      <w:r>
        <w:rPr>
          <w:rtl/>
        </w:rPr>
        <w:t>، في آرائها، بحجة صاحبة البلاغ ومفادها أن التدابير التي اتخذتها الدولة الطرف لتوفير محتوى وصف صوتي على شاشات التلفزيون، بما في ذلك إجراء تجارب في هذا المجال ورصد مخصصات من الميزانية، غير كافية ولا تتسق مع شرط الإعمال التدريجي. وأحاطت اللجنة علما</w:t>
      </w:r>
      <w:r w:rsidR="00DC485E">
        <w:rPr>
          <w:rFonts w:hint="cs"/>
          <w:rtl/>
        </w:rPr>
        <w:t>ً</w:t>
      </w:r>
      <w:r>
        <w:rPr>
          <w:rtl/>
        </w:rPr>
        <w:t xml:space="preserve"> أيضا</w:t>
      </w:r>
      <w:r w:rsidR="00DC485E">
        <w:rPr>
          <w:rFonts w:hint="cs"/>
          <w:rtl/>
        </w:rPr>
        <w:t>ً</w:t>
      </w:r>
      <w:r>
        <w:rPr>
          <w:rtl/>
        </w:rPr>
        <w:t xml:space="preserve"> بالحجج التي ساقتها صاحبة البلاغ بأن الدولة الطرف لم تقدم أي دليل على وجود قيود مالية، وأن القيود المفروضة على الموارد، على أي حال، ليست عذرا</w:t>
      </w:r>
      <w:r w:rsidR="00DC485E">
        <w:rPr>
          <w:rFonts w:hint="cs"/>
          <w:rtl/>
        </w:rPr>
        <w:t>ً</w:t>
      </w:r>
      <w:r>
        <w:rPr>
          <w:rtl/>
        </w:rPr>
        <w:t xml:space="preserve"> لعدم اعتماد الدولة الطرف تشريعات واستراتيجيات وخططا</w:t>
      </w:r>
      <w:r w:rsidR="00DC485E">
        <w:rPr>
          <w:rFonts w:hint="cs"/>
          <w:rtl/>
        </w:rPr>
        <w:t>ً</w:t>
      </w:r>
      <w:r>
        <w:rPr>
          <w:rtl/>
        </w:rPr>
        <w:t xml:space="preserve"> وأطر رصد لضمان إحراز تقدم ملموس ومدروس نحو الإعمال الكامل للحقوق المنصوص عليها في الاتفاقية.</w:t>
      </w:r>
    </w:p>
    <w:p w14:paraId="067D21B2" w14:textId="3651B893" w:rsidR="00565A13" w:rsidRPr="001461C4" w:rsidRDefault="00565A13" w:rsidP="00247812">
      <w:pPr>
        <w:pStyle w:val="SingleTxtGA"/>
        <w:rPr>
          <w:szCs w:val="20"/>
          <w:lang w:val="ar-SA" w:eastAsia="zh-TW" w:bidi="en-GB"/>
        </w:rPr>
      </w:pPr>
      <w:r w:rsidRPr="00565A13">
        <w:rPr>
          <w:rtl/>
        </w:rPr>
        <w:t>4</w:t>
      </w:r>
      <w:r>
        <w:rPr>
          <w:rFonts w:ascii="Traditional Arabic"/>
          <w:szCs w:val="20"/>
          <w:rtl/>
        </w:rPr>
        <w:t>-</w:t>
      </w:r>
      <w:r>
        <w:rPr>
          <w:rtl/>
        </w:rPr>
        <w:tab/>
        <w:t>وأشارت اللجنة إلى أن الإعمال التدريجي يعني أن على الدول الأطراف التزاما</w:t>
      </w:r>
      <w:r w:rsidR="00DC485E">
        <w:rPr>
          <w:rFonts w:hint="cs"/>
          <w:rtl/>
        </w:rPr>
        <w:t>ً</w:t>
      </w:r>
      <w:r>
        <w:rPr>
          <w:rtl/>
        </w:rPr>
        <w:t xml:space="preserve"> محددا</w:t>
      </w:r>
      <w:r w:rsidR="00DC485E">
        <w:rPr>
          <w:rFonts w:hint="cs"/>
          <w:rtl/>
        </w:rPr>
        <w:t>ً</w:t>
      </w:r>
      <w:r>
        <w:rPr>
          <w:rtl/>
        </w:rPr>
        <w:t xml:space="preserve"> ومستمرا</w:t>
      </w:r>
      <w:r w:rsidR="00DC485E">
        <w:rPr>
          <w:rFonts w:hint="cs"/>
          <w:rtl/>
        </w:rPr>
        <w:t>ً</w:t>
      </w:r>
      <w:r>
        <w:rPr>
          <w:rtl/>
        </w:rPr>
        <w:t xml:space="preserve"> بالتحرك بأسرع ما يمكن وبأكبر قدر ممكن من الفعالية نحو الإعمال الكامل للحقوق. ورأت اللجنة أن الخطوات المتخذة نحو الإعمال الكامل للحقوق ينبغي أن تكون مدروسة وملموسة وموجهة بأكبر قدر ممكن من الوضوح نحو الوفاء بالالتزامات المعترف بها في الاتفاقية. وأشارت اللجنة أيضا</w:t>
      </w:r>
      <w:r w:rsidR="00DC485E">
        <w:rPr>
          <w:rFonts w:hint="cs"/>
          <w:rtl/>
        </w:rPr>
        <w:t>ً</w:t>
      </w:r>
      <w:r>
        <w:rPr>
          <w:rtl/>
        </w:rPr>
        <w:t xml:space="preserve"> إلى أنه، وفقا</w:t>
      </w:r>
      <w:r w:rsidR="00DC485E">
        <w:rPr>
          <w:rFonts w:hint="cs"/>
          <w:rtl/>
        </w:rPr>
        <w:t>ً</w:t>
      </w:r>
      <w:r>
        <w:rPr>
          <w:rtl/>
        </w:rPr>
        <w:t xml:space="preserve"> للاتفاقية، لا يسمح للدول الأطراف باستخدام تدابير التقشف كذريعة لتجنب ضمان إمكانية الوصول تدريجيا</w:t>
      </w:r>
      <w:r w:rsidR="00DC485E">
        <w:rPr>
          <w:rFonts w:hint="cs"/>
          <w:rtl/>
        </w:rPr>
        <w:t>ً</w:t>
      </w:r>
      <w:r>
        <w:rPr>
          <w:rtl/>
        </w:rPr>
        <w:t xml:space="preserve"> للأشخاص ذوي الإعاقة، وأن الالتزام بتوفير إمكانية الوصول غير مشروط. </w:t>
      </w:r>
    </w:p>
    <w:p w14:paraId="09826C94" w14:textId="7ACD7ACB" w:rsidR="00565A13" w:rsidRPr="001461C4" w:rsidRDefault="00565A13" w:rsidP="00247812">
      <w:pPr>
        <w:pStyle w:val="SingleTxtGA"/>
        <w:rPr>
          <w:szCs w:val="20"/>
          <w:lang w:val="ar-SA" w:eastAsia="zh-TW" w:bidi="en-GB"/>
        </w:rPr>
      </w:pPr>
      <w:r w:rsidRPr="00565A13">
        <w:rPr>
          <w:rtl/>
        </w:rPr>
        <w:t>5</w:t>
      </w:r>
      <w:r>
        <w:rPr>
          <w:rFonts w:ascii="Traditional Arabic"/>
          <w:szCs w:val="20"/>
          <w:rtl/>
        </w:rPr>
        <w:t>-</w:t>
      </w:r>
      <w:r>
        <w:rPr>
          <w:rtl/>
        </w:rPr>
        <w:tab/>
        <w:t xml:space="preserve">وبينما أولت اللجنة الاعتبار الواجب للتدابير التي اتخذتها الدولة الطرف لتوفير وصف صوتي للأشخاص ذوي الإعاقات البصرية، بما في ذلك من خلال بحوث، وتجربتين (عامي </w:t>
      </w:r>
      <w:r w:rsidRPr="00565A13">
        <w:rPr>
          <w:rtl/>
        </w:rPr>
        <w:t>2012</w:t>
      </w:r>
      <w:r>
        <w:rPr>
          <w:rtl/>
        </w:rPr>
        <w:t xml:space="preserve"> </w:t>
      </w:r>
      <w:proofErr w:type="spellStart"/>
      <w:r>
        <w:rPr>
          <w:rtl/>
        </w:rPr>
        <w:t>و</w:t>
      </w:r>
      <w:r w:rsidRPr="00565A13">
        <w:rPr>
          <w:rtl/>
        </w:rPr>
        <w:t>201</w:t>
      </w:r>
      <w:r w:rsidR="00F748C4" w:rsidRPr="00F748C4">
        <w:rPr>
          <w:rtl/>
        </w:rPr>
        <w:t>5</w:t>
      </w:r>
      <w:proofErr w:type="spellEnd"/>
      <w:r w:rsidR="00F748C4" w:rsidRPr="00F748C4">
        <w:rPr>
          <w:rFonts w:ascii="Traditional Arabic"/>
          <w:szCs w:val="20"/>
          <w:rtl/>
        </w:rPr>
        <w:t>)</w:t>
      </w:r>
      <w:r w:rsidR="00F748C4" w:rsidRPr="00F748C4">
        <w:rPr>
          <w:rtl/>
        </w:rPr>
        <w:t xml:space="preserve"> </w:t>
      </w:r>
      <w:r>
        <w:rPr>
          <w:rtl/>
        </w:rPr>
        <w:t xml:space="preserve">وتمويل هيئات البث التلفزيوني الرئيسية (عام </w:t>
      </w:r>
      <w:r w:rsidRPr="00565A13">
        <w:rPr>
          <w:rtl/>
        </w:rPr>
        <w:t>2020</w:t>
      </w:r>
      <w:r w:rsidR="00F748C4" w:rsidRPr="00F748C4">
        <w:rPr>
          <w:rFonts w:ascii="Traditional Arabic"/>
          <w:szCs w:val="20"/>
          <w:rtl/>
        </w:rPr>
        <w:t>)</w:t>
      </w:r>
      <w:r w:rsidR="00F748C4" w:rsidRPr="00F748C4">
        <w:rPr>
          <w:rtl/>
        </w:rPr>
        <w:t xml:space="preserve">، </w:t>
      </w:r>
      <w:r>
        <w:rPr>
          <w:rtl/>
        </w:rPr>
        <w:t>لاحظت أن هذه التدابير لم تكشف عن وجود استراتيجية لاتخاذ الخطوات اللازمة تدريجيا</w:t>
      </w:r>
      <w:r w:rsidR="00DC485E">
        <w:rPr>
          <w:rFonts w:hint="cs"/>
          <w:rtl/>
        </w:rPr>
        <w:t>ً</w:t>
      </w:r>
      <w:r>
        <w:rPr>
          <w:rtl/>
        </w:rPr>
        <w:t xml:space="preserve"> وبفعالية لتوفير الوصف الصوتي بطريقة مستدامة للأشخاص </w:t>
      </w:r>
      <w:r>
        <w:rPr>
          <w:rtl/>
        </w:rPr>
        <w:lastRenderedPageBreak/>
        <w:t>ذوي الإعاقات البصرية. ولاحظت اللجنة، على وجه الخصوص، أن الدولة الطرف لم تعتمد تشريعا</w:t>
      </w:r>
      <w:r w:rsidR="00DC485E">
        <w:rPr>
          <w:rFonts w:hint="cs"/>
          <w:rtl/>
        </w:rPr>
        <w:t>ً</w:t>
      </w:r>
      <w:r>
        <w:rPr>
          <w:rtl/>
        </w:rPr>
        <w:t xml:space="preserve"> محددا</w:t>
      </w:r>
      <w:r w:rsidR="00DC485E">
        <w:rPr>
          <w:rFonts w:hint="cs"/>
          <w:rtl/>
        </w:rPr>
        <w:t>ً</w:t>
      </w:r>
      <w:r>
        <w:rPr>
          <w:rtl/>
        </w:rPr>
        <w:t>، أو إطارا</w:t>
      </w:r>
      <w:r w:rsidR="00DC485E">
        <w:rPr>
          <w:rFonts w:hint="cs"/>
          <w:rtl/>
        </w:rPr>
        <w:t>ً</w:t>
      </w:r>
      <w:r>
        <w:rPr>
          <w:rtl/>
        </w:rPr>
        <w:t xml:space="preserve"> </w:t>
      </w:r>
      <w:proofErr w:type="spellStart"/>
      <w:r>
        <w:rPr>
          <w:rtl/>
        </w:rPr>
        <w:t>سياساتيا</w:t>
      </w:r>
      <w:r w:rsidR="00DC485E">
        <w:rPr>
          <w:rFonts w:hint="cs"/>
          <w:rtl/>
        </w:rPr>
        <w:t>ً</w:t>
      </w:r>
      <w:proofErr w:type="spellEnd"/>
      <w:r>
        <w:rPr>
          <w:rtl/>
        </w:rPr>
        <w:t xml:space="preserve">، أو مخصصات مستدامة في الميزانية، أو أي تدابير أخرى متوقعة لإثبات التزامها بإحراز تقدم في توفير الوصف الصوتي للأشخاص ذوي الإعاقات البصرية بطريقة مستدامة. ولذلك، خلصت اللجنة إلى أن الدولة الطرف لم تفِ بالتزاماتها بموجب المواد </w:t>
      </w:r>
      <w:r w:rsidRPr="00565A13">
        <w:rPr>
          <w:rtl/>
        </w:rPr>
        <w:t>9</w:t>
      </w:r>
      <w:r>
        <w:rPr>
          <w:rFonts w:ascii="Traditional Arabic"/>
          <w:szCs w:val="20"/>
          <w:rtl/>
        </w:rPr>
        <w:t>(</w:t>
      </w:r>
      <w:r w:rsidRPr="00565A13">
        <w:rPr>
          <w:rtl/>
        </w:rPr>
        <w:t>1</w:t>
      </w:r>
      <w:r>
        <w:rPr>
          <w:rFonts w:ascii="Traditional Arabic"/>
          <w:szCs w:val="20"/>
          <w:rtl/>
        </w:rPr>
        <w:t>)(</w:t>
      </w:r>
      <w:r>
        <w:rPr>
          <w:rtl/>
        </w:rPr>
        <w:t>ب</w:t>
      </w:r>
      <w:r>
        <w:rPr>
          <w:rFonts w:ascii="Traditional Arabic"/>
          <w:szCs w:val="20"/>
          <w:rtl/>
        </w:rPr>
        <w:t>)</w:t>
      </w:r>
      <w:r>
        <w:rPr>
          <w:rtl/>
        </w:rPr>
        <w:t xml:space="preserve"> </w:t>
      </w:r>
      <w:proofErr w:type="spellStart"/>
      <w:r>
        <w:rPr>
          <w:rtl/>
        </w:rPr>
        <w:t>و</w:t>
      </w:r>
      <w:r w:rsidRPr="00565A13">
        <w:rPr>
          <w:rtl/>
        </w:rPr>
        <w:t>30</w:t>
      </w:r>
      <w:proofErr w:type="spellEnd"/>
      <w:r>
        <w:rPr>
          <w:rFonts w:ascii="Traditional Arabic"/>
          <w:szCs w:val="20"/>
          <w:rtl/>
        </w:rPr>
        <w:t>(</w:t>
      </w:r>
      <w:r w:rsidRPr="00565A13">
        <w:rPr>
          <w:rtl/>
        </w:rPr>
        <w:t>1</w:t>
      </w:r>
      <w:r>
        <w:rPr>
          <w:rFonts w:ascii="Traditional Arabic"/>
          <w:szCs w:val="20"/>
          <w:rtl/>
        </w:rPr>
        <w:t>)(</w:t>
      </w:r>
      <w:r>
        <w:rPr>
          <w:rtl/>
        </w:rPr>
        <w:t>ب</w:t>
      </w:r>
      <w:r w:rsidR="00F748C4" w:rsidRPr="00F748C4">
        <w:rPr>
          <w:rFonts w:ascii="Traditional Arabic"/>
          <w:szCs w:val="20"/>
          <w:rtl/>
        </w:rPr>
        <w:t>)</w:t>
      </w:r>
      <w:r w:rsidR="00F748C4" w:rsidRPr="00F748C4">
        <w:rPr>
          <w:rtl/>
        </w:rPr>
        <w:t xml:space="preserve">، </w:t>
      </w:r>
      <w:r>
        <w:rPr>
          <w:rtl/>
        </w:rPr>
        <w:t xml:space="preserve">مقروءة بالاقتران مع </w:t>
      </w:r>
      <w:r w:rsidRPr="00565A13">
        <w:rPr>
          <w:rtl/>
        </w:rPr>
        <w:t>4</w:t>
      </w:r>
      <w:r>
        <w:rPr>
          <w:rFonts w:ascii="Traditional Arabic"/>
          <w:szCs w:val="20"/>
          <w:rtl/>
        </w:rPr>
        <w:t>(</w:t>
      </w:r>
      <w:r w:rsidR="00F748C4" w:rsidRPr="00F748C4">
        <w:rPr>
          <w:rtl/>
        </w:rPr>
        <w:t>1</w:t>
      </w:r>
      <w:r w:rsidR="00F748C4" w:rsidRPr="00F748C4">
        <w:rPr>
          <w:rFonts w:ascii="Traditional Arabic"/>
          <w:szCs w:val="20"/>
          <w:rtl/>
        </w:rPr>
        <w:t>)</w:t>
      </w:r>
      <w:r w:rsidR="00F748C4" w:rsidRPr="00F748C4">
        <w:rPr>
          <w:rtl/>
        </w:rPr>
        <w:t xml:space="preserve"> </w:t>
      </w:r>
      <w:r>
        <w:rPr>
          <w:rtl/>
        </w:rPr>
        <w:t>و</w:t>
      </w:r>
      <w:r>
        <w:rPr>
          <w:rFonts w:ascii="Traditional Arabic"/>
          <w:szCs w:val="20"/>
          <w:rtl/>
        </w:rPr>
        <w:t>(</w:t>
      </w:r>
      <w:r w:rsidR="00F748C4" w:rsidRPr="00F748C4">
        <w:rPr>
          <w:rtl/>
        </w:rPr>
        <w:t>2</w:t>
      </w:r>
      <w:r w:rsidR="00F748C4" w:rsidRPr="00F748C4">
        <w:rPr>
          <w:rFonts w:ascii="Traditional Arabic"/>
          <w:szCs w:val="20"/>
          <w:rtl/>
        </w:rPr>
        <w:t>)</w:t>
      </w:r>
      <w:r w:rsidR="00F748C4" w:rsidRPr="00F748C4">
        <w:rPr>
          <w:rtl/>
        </w:rPr>
        <w:t xml:space="preserve"> </w:t>
      </w:r>
      <w:r>
        <w:rPr>
          <w:rtl/>
        </w:rPr>
        <w:t>من الاتفاقية.</w:t>
      </w:r>
    </w:p>
    <w:p w14:paraId="6B8C251B" w14:textId="77777777" w:rsidR="00565A13" w:rsidRPr="00090703" w:rsidRDefault="00565A13" w:rsidP="00090703">
      <w:pPr>
        <w:pStyle w:val="H23GA"/>
        <w:rPr>
          <w:i/>
          <w:iCs/>
          <w:szCs w:val="20"/>
          <w:lang w:val="en-US" w:eastAsia="zh-TW" w:bidi="en-GB"/>
        </w:rPr>
      </w:pPr>
      <w:r w:rsidRPr="00090703">
        <w:rPr>
          <w:i/>
          <w:iCs/>
          <w:rtl/>
        </w:rPr>
        <w:tab/>
      </w:r>
      <w:r w:rsidRPr="00090703">
        <w:rPr>
          <w:i/>
          <w:iCs/>
          <w:rtl/>
        </w:rPr>
        <w:tab/>
      </w:r>
      <w:proofErr w:type="spellStart"/>
      <w:r w:rsidRPr="00090703">
        <w:rPr>
          <w:i/>
          <w:iCs/>
          <w:rtl/>
        </w:rPr>
        <w:t>بيليني</w:t>
      </w:r>
      <w:proofErr w:type="spellEnd"/>
      <w:r w:rsidRPr="00090703">
        <w:rPr>
          <w:i/>
          <w:iCs/>
          <w:rtl/>
        </w:rPr>
        <w:t xml:space="preserve"> وآخرون ضد إيطاليا</w:t>
      </w:r>
    </w:p>
    <w:p w14:paraId="7A78779D" w14:textId="7B8A301A" w:rsidR="00565A13" w:rsidRDefault="00565A13" w:rsidP="00247812">
      <w:pPr>
        <w:pStyle w:val="SingleTxtGA"/>
        <w:rPr>
          <w:szCs w:val="20"/>
          <w:lang w:val="ar-SA" w:eastAsia="zh-TW" w:bidi="en-GB"/>
        </w:rPr>
      </w:pPr>
      <w:r w:rsidRPr="00565A13">
        <w:rPr>
          <w:rtl/>
        </w:rPr>
        <w:t>6</w:t>
      </w:r>
      <w:r>
        <w:rPr>
          <w:rFonts w:ascii="Traditional Arabic"/>
          <w:szCs w:val="20"/>
          <w:rtl/>
        </w:rPr>
        <w:t>-</w:t>
      </w:r>
      <w:r>
        <w:rPr>
          <w:rtl/>
        </w:rPr>
        <w:tab/>
        <w:t xml:space="preserve">نظرت اللجنة في البلاغ المتعلق بقضية </w:t>
      </w:r>
      <w:proofErr w:type="spellStart"/>
      <w:r>
        <w:rPr>
          <w:i/>
          <w:iCs/>
          <w:rtl/>
        </w:rPr>
        <w:t>بيليني</w:t>
      </w:r>
      <w:proofErr w:type="spellEnd"/>
      <w:r>
        <w:rPr>
          <w:i/>
          <w:iCs/>
          <w:rtl/>
        </w:rPr>
        <w:t xml:space="preserve"> وآخرون ضد إيطاليا</w:t>
      </w:r>
      <w:r w:rsidR="00F748C4">
        <w:rPr>
          <w:rStyle w:val="FootnoteReference"/>
          <w:rtl/>
        </w:rPr>
        <w:t>(</w:t>
      </w:r>
      <w:r w:rsidR="00F748C4" w:rsidRPr="00CB6ECF">
        <w:rPr>
          <w:rStyle w:val="FootnoteReference"/>
          <w:rtl/>
        </w:rPr>
        <w:footnoteReference w:id="33"/>
      </w:r>
      <w:r w:rsidR="00F748C4" w:rsidRPr="00F748C4">
        <w:rPr>
          <w:rStyle w:val="FootnoteReference"/>
          <w:rtl/>
        </w:rPr>
        <w:t>)</w:t>
      </w:r>
      <w:r w:rsidR="00F748C4" w:rsidRPr="00F748C4">
        <w:rPr>
          <w:rtl/>
        </w:rPr>
        <w:t xml:space="preserve">. </w:t>
      </w:r>
      <w:r>
        <w:rPr>
          <w:rtl/>
        </w:rPr>
        <w:t xml:space="preserve">وقدمت صاحبةُ البلاغ البلاغَ بالأصالة عن نفسها وبالنيابة عن ابنتها وشريكها. وادعت أنهم كانوا ضحايا انتهاكات الدولة الطرف للمواد </w:t>
      </w:r>
      <w:r w:rsidRPr="00565A13">
        <w:rPr>
          <w:rtl/>
        </w:rPr>
        <w:t>5</w:t>
      </w:r>
      <w:r>
        <w:rPr>
          <w:rtl/>
        </w:rPr>
        <w:t xml:space="preserve"> </w:t>
      </w:r>
      <w:proofErr w:type="spellStart"/>
      <w:r>
        <w:rPr>
          <w:rtl/>
        </w:rPr>
        <w:t>و</w:t>
      </w:r>
      <w:r w:rsidRPr="00565A13">
        <w:rPr>
          <w:rtl/>
        </w:rPr>
        <w:t>8</w:t>
      </w:r>
      <w:proofErr w:type="spellEnd"/>
      <w:r>
        <w:rPr>
          <w:rtl/>
        </w:rPr>
        <w:t xml:space="preserve"> </w:t>
      </w:r>
      <w:proofErr w:type="spellStart"/>
      <w:r>
        <w:rPr>
          <w:rtl/>
        </w:rPr>
        <w:t>و</w:t>
      </w:r>
      <w:r w:rsidRPr="00565A13">
        <w:rPr>
          <w:rtl/>
        </w:rPr>
        <w:t>12</w:t>
      </w:r>
      <w:proofErr w:type="spellEnd"/>
      <w:r>
        <w:rPr>
          <w:rtl/>
        </w:rPr>
        <w:t xml:space="preserve"> </w:t>
      </w:r>
      <w:proofErr w:type="spellStart"/>
      <w:r>
        <w:rPr>
          <w:rtl/>
        </w:rPr>
        <w:t>و</w:t>
      </w:r>
      <w:r w:rsidRPr="00565A13">
        <w:rPr>
          <w:rtl/>
        </w:rPr>
        <w:t>16</w:t>
      </w:r>
      <w:proofErr w:type="spellEnd"/>
      <w:r>
        <w:rPr>
          <w:rtl/>
        </w:rPr>
        <w:t xml:space="preserve"> </w:t>
      </w:r>
      <w:proofErr w:type="spellStart"/>
      <w:r>
        <w:rPr>
          <w:rtl/>
        </w:rPr>
        <w:t>و</w:t>
      </w:r>
      <w:r w:rsidRPr="00565A13">
        <w:rPr>
          <w:rtl/>
        </w:rPr>
        <w:t>19</w:t>
      </w:r>
      <w:proofErr w:type="spellEnd"/>
      <w:r>
        <w:rPr>
          <w:rtl/>
        </w:rPr>
        <w:t xml:space="preserve"> </w:t>
      </w:r>
      <w:proofErr w:type="spellStart"/>
      <w:r>
        <w:rPr>
          <w:rtl/>
        </w:rPr>
        <w:t>و</w:t>
      </w:r>
      <w:r w:rsidRPr="00565A13">
        <w:rPr>
          <w:rtl/>
        </w:rPr>
        <w:t>23</w:t>
      </w:r>
      <w:proofErr w:type="spellEnd"/>
      <w:r>
        <w:rPr>
          <w:rtl/>
        </w:rPr>
        <w:t xml:space="preserve"> </w:t>
      </w:r>
      <w:proofErr w:type="spellStart"/>
      <w:r>
        <w:rPr>
          <w:rtl/>
        </w:rPr>
        <w:t>و</w:t>
      </w:r>
      <w:r w:rsidRPr="00565A13">
        <w:rPr>
          <w:rtl/>
        </w:rPr>
        <w:t>25</w:t>
      </w:r>
      <w:proofErr w:type="spellEnd"/>
      <w:r>
        <w:rPr>
          <w:rtl/>
        </w:rPr>
        <w:t xml:space="preserve"> </w:t>
      </w:r>
      <w:proofErr w:type="spellStart"/>
      <w:r>
        <w:rPr>
          <w:rtl/>
        </w:rPr>
        <w:t>و</w:t>
      </w:r>
      <w:r w:rsidRPr="00565A13">
        <w:rPr>
          <w:rtl/>
        </w:rPr>
        <w:t>28</w:t>
      </w:r>
      <w:proofErr w:type="spellEnd"/>
      <w:r>
        <w:rPr>
          <w:rtl/>
        </w:rPr>
        <w:t xml:space="preserve"> من الاتفاقية.</w:t>
      </w:r>
    </w:p>
    <w:p w14:paraId="7A91B725" w14:textId="6EC2F92E" w:rsidR="00565A13" w:rsidRDefault="00565A13" w:rsidP="00247812">
      <w:pPr>
        <w:pStyle w:val="SingleTxtGA"/>
        <w:rPr>
          <w:szCs w:val="20"/>
          <w:lang w:val="ar-SA" w:eastAsia="zh-TW" w:bidi="en-GB"/>
        </w:rPr>
      </w:pPr>
      <w:r w:rsidRPr="00565A13">
        <w:rPr>
          <w:rtl/>
        </w:rPr>
        <w:t>7</w:t>
      </w:r>
      <w:r>
        <w:rPr>
          <w:rFonts w:ascii="Traditional Arabic"/>
          <w:szCs w:val="20"/>
          <w:rtl/>
        </w:rPr>
        <w:t>-</w:t>
      </w:r>
      <w:r>
        <w:rPr>
          <w:rtl/>
        </w:rPr>
        <w:tab/>
        <w:t>وكانت صاحبة البلاغ مقدمة رعاية أسرية لابنتها ولشريكها، وكلاهما من الأشخاص ذوي الإعاقة. وادعت صاحبة البلاغ أن عدم الاعتراف القانوني بمركز مقدم الرعاية الأسرية في النظام القانوني للدولة الطرف وعدم تقديم الدعم المكيف حسب حاجة كل فرد من الأسرة، بما في ذلك الافتقار إلى المساعدة المالية أو خدمات الدعم الاجتماعي أو خدمات الرعاية أو الرعاية المؤقتة، يشكلان انتهاكا</w:t>
      </w:r>
      <w:r w:rsidR="00DC485E">
        <w:rPr>
          <w:rFonts w:hint="cs"/>
          <w:rtl/>
        </w:rPr>
        <w:t>ً</w:t>
      </w:r>
      <w:r>
        <w:rPr>
          <w:rtl/>
        </w:rPr>
        <w:t xml:space="preserve"> لحقوقها وحقوق ابنتها وشريكها بموجب الاتفاقية.</w:t>
      </w:r>
    </w:p>
    <w:p w14:paraId="432C030C" w14:textId="4A4D97FA" w:rsidR="00565A13" w:rsidRPr="00C32EF8" w:rsidRDefault="00565A13" w:rsidP="00247812">
      <w:pPr>
        <w:pStyle w:val="SingleTxtGA"/>
        <w:rPr>
          <w:spacing w:val="-4"/>
          <w:szCs w:val="20"/>
          <w:lang w:val="ar-SA" w:eastAsia="zh-TW" w:bidi="en-GB"/>
        </w:rPr>
      </w:pPr>
      <w:r w:rsidRPr="00565A13">
        <w:rPr>
          <w:rtl/>
        </w:rPr>
        <w:t>8</w:t>
      </w:r>
      <w:r>
        <w:rPr>
          <w:rFonts w:ascii="Traditional Arabic"/>
          <w:szCs w:val="20"/>
          <w:rtl/>
        </w:rPr>
        <w:t>-</w:t>
      </w:r>
      <w:r>
        <w:rPr>
          <w:rtl/>
        </w:rPr>
        <w:tab/>
        <w:t xml:space="preserve">ونظرت اللجنة، في قرارها بشأن المقبولية، في ادعاء صاحبة البلاغ بأن لها الحق في تقديم مطالبات بالأصالة عن نفسها فيما يتعلق بدورها كمقدمة رعاية أسرية. وأشارت اللجنة إلى أن الغرض من الاتفاقية، بموجب المادة </w:t>
      </w:r>
      <w:r w:rsidRPr="00565A13">
        <w:rPr>
          <w:rtl/>
        </w:rPr>
        <w:t>1</w:t>
      </w:r>
      <w:r>
        <w:rPr>
          <w:rtl/>
        </w:rPr>
        <w:t xml:space="preserve"> من الاتفاقية، هو تعزيز وحماية وضمان تمتع الأشخاص ذوي الإعاقة تمتعا</w:t>
      </w:r>
      <w:r w:rsidR="00DC485E">
        <w:rPr>
          <w:rFonts w:hint="cs"/>
          <w:rtl/>
        </w:rPr>
        <w:t>ً</w:t>
      </w:r>
      <w:r>
        <w:rPr>
          <w:rtl/>
        </w:rPr>
        <w:t xml:space="preserve"> كاملا</w:t>
      </w:r>
      <w:r w:rsidR="00DC485E">
        <w:rPr>
          <w:rFonts w:hint="cs"/>
          <w:rtl/>
        </w:rPr>
        <w:t>ً</w:t>
      </w:r>
      <w:r>
        <w:rPr>
          <w:rtl/>
        </w:rPr>
        <w:t xml:space="preserve"> وعلى قدم المساواة بجميع حقوق الإنسان. غير أن اللجنة تدرك الحالات التي لا يمكن فيها إعمال حقوق الأشخاص ذوي الإعاقة دون حماية مقدمي الرعاية الأسرية. وتقضي المادة </w:t>
      </w:r>
      <w:r w:rsidRPr="00565A13">
        <w:rPr>
          <w:rtl/>
        </w:rPr>
        <w:t>28</w:t>
      </w:r>
      <w:r>
        <w:rPr>
          <w:rFonts w:ascii="Traditional Arabic"/>
          <w:szCs w:val="20"/>
          <w:rtl/>
        </w:rPr>
        <w:t>(</w:t>
      </w:r>
      <w:r w:rsidRPr="00565A13">
        <w:rPr>
          <w:rtl/>
        </w:rPr>
        <w:t>2</w:t>
      </w:r>
      <w:r>
        <w:rPr>
          <w:rFonts w:ascii="Traditional Arabic"/>
          <w:szCs w:val="20"/>
          <w:rtl/>
        </w:rPr>
        <w:t>)(</w:t>
      </w:r>
      <w:r>
        <w:rPr>
          <w:rtl/>
        </w:rPr>
        <w:t>ج</w:t>
      </w:r>
      <w:r>
        <w:rPr>
          <w:rFonts w:ascii="Traditional Arabic"/>
          <w:szCs w:val="20"/>
          <w:rtl/>
        </w:rPr>
        <w:t>)</w:t>
      </w:r>
      <w:r>
        <w:rPr>
          <w:rtl/>
        </w:rPr>
        <w:t xml:space="preserve"> صراحة بضمان استفادة الأشخاص ذوي الإعاقة وأسرهم الذين يعيشون حالات فقر من المساعدة التي تقدمها الدولة لتغطية النفقات المتعلقة بالإعاقة، بما فيها التدريب المناسب وإسداء المشورة والمساعدة المالية والرعاية المؤقتة. ولذلك خلصت اللجنة إلى أن حق أفراد أسر الأشخاص ذوي الإعاقة بموجب المادة</w:t>
      </w:r>
      <w:r w:rsidR="00C32EF8">
        <w:rPr>
          <w:rFonts w:hint="cs"/>
          <w:rtl/>
        </w:rPr>
        <w:t> </w:t>
      </w:r>
      <w:r w:rsidRPr="00C32EF8">
        <w:rPr>
          <w:rtl/>
        </w:rPr>
        <w:t>28(2)(ج)</w:t>
      </w:r>
      <w:r>
        <w:rPr>
          <w:rtl/>
        </w:rPr>
        <w:t xml:space="preserve"> يرتبط ارتباطا</w:t>
      </w:r>
      <w:r w:rsidR="00DC485E">
        <w:rPr>
          <w:rFonts w:hint="cs"/>
          <w:rtl/>
        </w:rPr>
        <w:t>ً</w:t>
      </w:r>
      <w:r>
        <w:rPr>
          <w:rtl/>
        </w:rPr>
        <w:t xml:space="preserve"> وثيقا</w:t>
      </w:r>
      <w:r w:rsidR="00DC485E">
        <w:rPr>
          <w:rFonts w:hint="cs"/>
          <w:rtl/>
        </w:rPr>
        <w:t>ً</w:t>
      </w:r>
      <w:r>
        <w:rPr>
          <w:rtl/>
        </w:rPr>
        <w:t xml:space="preserve"> بحماية حقوق الأشخاص ذوي الإعاقة أنفسهم، وأن المادة </w:t>
      </w:r>
      <w:r w:rsidRPr="00565A13">
        <w:rPr>
          <w:rtl/>
        </w:rPr>
        <w:t>28</w:t>
      </w:r>
      <w:r>
        <w:rPr>
          <w:rFonts w:ascii="Traditional Arabic"/>
          <w:szCs w:val="20"/>
          <w:rtl/>
        </w:rPr>
        <w:t>(</w:t>
      </w:r>
      <w:r w:rsidRPr="00565A13">
        <w:rPr>
          <w:rtl/>
        </w:rPr>
        <w:t>2</w:t>
      </w:r>
      <w:r>
        <w:rPr>
          <w:rFonts w:ascii="Traditional Arabic"/>
          <w:szCs w:val="20"/>
          <w:rtl/>
        </w:rPr>
        <w:t>)(</w:t>
      </w:r>
      <w:r>
        <w:rPr>
          <w:rtl/>
        </w:rPr>
        <w:t>ج</w:t>
      </w:r>
      <w:r>
        <w:rPr>
          <w:rFonts w:ascii="Traditional Arabic"/>
          <w:szCs w:val="20"/>
          <w:rtl/>
        </w:rPr>
        <w:t>)</w:t>
      </w:r>
      <w:r>
        <w:rPr>
          <w:rtl/>
        </w:rPr>
        <w:t xml:space="preserve"> تمنح أفراد الأسرة الذين ليس لديهم إعاقة الحق في تقديم مطالبة بالأصالة عن أنفسهم بموجب الاتفاقية،</w:t>
      </w:r>
      <w:r w:rsidR="00844A23">
        <w:rPr>
          <w:rtl/>
        </w:rPr>
        <w:t xml:space="preserve"> </w:t>
      </w:r>
      <w:r>
        <w:rPr>
          <w:rtl/>
        </w:rPr>
        <w:t>شريطة أن يكون هذا الحق شرطا</w:t>
      </w:r>
      <w:r w:rsidR="00C32EF8">
        <w:rPr>
          <w:rFonts w:hint="cs"/>
          <w:rtl/>
        </w:rPr>
        <w:t>ً</w:t>
      </w:r>
      <w:r>
        <w:rPr>
          <w:rtl/>
        </w:rPr>
        <w:t xml:space="preserve"> مسبقا</w:t>
      </w:r>
      <w:r w:rsidR="00C32EF8">
        <w:rPr>
          <w:rFonts w:hint="cs"/>
          <w:rtl/>
        </w:rPr>
        <w:t>ً</w:t>
      </w:r>
      <w:r>
        <w:rPr>
          <w:rtl/>
        </w:rPr>
        <w:t xml:space="preserve"> ضروريا</w:t>
      </w:r>
      <w:r w:rsidR="00C32EF8">
        <w:rPr>
          <w:rFonts w:hint="cs"/>
          <w:rtl/>
        </w:rPr>
        <w:t>ً</w:t>
      </w:r>
      <w:r>
        <w:rPr>
          <w:rtl/>
        </w:rPr>
        <w:t xml:space="preserve"> لإعمال حقوق الأشخاص ذوي الإعاقة. وأشارت اللجنة إلى تعليقها العام رقم </w:t>
      </w:r>
      <w:r w:rsidRPr="00565A13">
        <w:rPr>
          <w:rtl/>
        </w:rPr>
        <w:t>6</w:t>
      </w:r>
      <w:r>
        <w:rPr>
          <w:rFonts w:ascii="Traditional Arabic"/>
          <w:szCs w:val="20"/>
          <w:rtl/>
        </w:rPr>
        <w:t>(</w:t>
      </w:r>
      <w:r w:rsidRPr="00565A13">
        <w:rPr>
          <w:rtl/>
        </w:rPr>
        <w:t>201</w:t>
      </w:r>
      <w:r w:rsidR="00F748C4" w:rsidRPr="00F748C4">
        <w:rPr>
          <w:rtl/>
        </w:rPr>
        <w:t>8</w:t>
      </w:r>
      <w:r w:rsidR="00F748C4" w:rsidRPr="00F748C4">
        <w:rPr>
          <w:rFonts w:ascii="Traditional Arabic"/>
          <w:szCs w:val="20"/>
          <w:rtl/>
        </w:rPr>
        <w:t>)</w:t>
      </w:r>
      <w:r w:rsidR="00F748C4" w:rsidRPr="00F748C4">
        <w:rPr>
          <w:rtl/>
        </w:rPr>
        <w:t xml:space="preserve"> </w:t>
      </w:r>
      <w:r>
        <w:rPr>
          <w:rtl/>
        </w:rPr>
        <w:t xml:space="preserve">بشأن المساواة وعدم التمييز، الذي أشارت فيه إلى أن سبب توسيع نطاق المادة </w:t>
      </w:r>
      <w:r w:rsidRPr="00565A13">
        <w:rPr>
          <w:rtl/>
        </w:rPr>
        <w:t>5</w:t>
      </w:r>
      <w:r>
        <w:rPr>
          <w:rtl/>
        </w:rPr>
        <w:t xml:space="preserve"> من الاتفاقية التي تتضمن مفهوم "التمييز بالتلازم"، هو استئصال ومكافحة جميع الأوضاع و/أو السلوكيات التمييزية المتصلة بالإعاقة. ولذلك خلصت اللجنة إلى أن المادة </w:t>
      </w:r>
      <w:r w:rsidRPr="00565A13">
        <w:rPr>
          <w:rtl/>
        </w:rPr>
        <w:t>1</w:t>
      </w:r>
      <w:r>
        <w:rPr>
          <w:rtl/>
        </w:rPr>
        <w:t xml:space="preserve"> من البروتوكول الاختياري </w:t>
      </w:r>
      <w:r w:rsidRPr="00C32EF8">
        <w:rPr>
          <w:spacing w:val="-4"/>
          <w:rtl/>
        </w:rPr>
        <w:t>لا تمنعها من النظر في الادعاءات التي قدمتها صاحبة البلاغ بالأصالة عن نفسها بموجب المادة 28</w:t>
      </w:r>
      <w:r w:rsidRPr="00C32EF8">
        <w:rPr>
          <w:rFonts w:ascii="Traditional Arabic"/>
          <w:spacing w:val="-4"/>
          <w:szCs w:val="20"/>
          <w:rtl/>
        </w:rPr>
        <w:t>(</w:t>
      </w:r>
      <w:r w:rsidRPr="00C32EF8">
        <w:rPr>
          <w:spacing w:val="-4"/>
          <w:rtl/>
        </w:rPr>
        <w:t>2</w:t>
      </w:r>
      <w:r w:rsidRPr="00C32EF8">
        <w:rPr>
          <w:rFonts w:ascii="Traditional Arabic"/>
          <w:spacing w:val="-4"/>
          <w:szCs w:val="20"/>
          <w:rtl/>
        </w:rPr>
        <w:t>)(</w:t>
      </w:r>
      <w:r w:rsidRPr="00C32EF8">
        <w:rPr>
          <w:spacing w:val="-4"/>
          <w:rtl/>
        </w:rPr>
        <w:t>ج</w:t>
      </w:r>
      <w:r w:rsidR="00F748C4" w:rsidRPr="00F748C4">
        <w:rPr>
          <w:rFonts w:ascii="Traditional Arabic"/>
          <w:spacing w:val="-4"/>
          <w:szCs w:val="20"/>
          <w:rtl/>
        </w:rPr>
        <w:t>)</w:t>
      </w:r>
      <w:r w:rsidR="00F748C4" w:rsidRPr="00F748C4">
        <w:rPr>
          <w:spacing w:val="-4"/>
          <w:rtl/>
        </w:rPr>
        <w:t xml:space="preserve">، </w:t>
      </w:r>
      <w:r w:rsidRPr="00C32EF8">
        <w:rPr>
          <w:spacing w:val="-4"/>
          <w:rtl/>
        </w:rPr>
        <w:t xml:space="preserve">مقروءة بالاقتران مع المادة 5 من الاتفاقية. </w:t>
      </w:r>
    </w:p>
    <w:p w14:paraId="0A7DBFE6" w14:textId="1E9AF62D" w:rsidR="00565A13" w:rsidRPr="001637E1" w:rsidRDefault="00565A13" w:rsidP="00247812">
      <w:pPr>
        <w:pStyle w:val="SingleTxtGA"/>
        <w:rPr>
          <w:spacing w:val="-2"/>
          <w:szCs w:val="20"/>
          <w:lang w:val="ar-SA" w:eastAsia="zh-TW" w:bidi="en-GB"/>
        </w:rPr>
      </w:pPr>
      <w:r w:rsidRPr="001637E1">
        <w:rPr>
          <w:spacing w:val="-2"/>
          <w:rtl/>
        </w:rPr>
        <w:t>9</w:t>
      </w:r>
      <w:r w:rsidRPr="001637E1">
        <w:rPr>
          <w:rFonts w:ascii="Traditional Arabic"/>
          <w:spacing w:val="-2"/>
          <w:szCs w:val="20"/>
          <w:rtl/>
        </w:rPr>
        <w:t>-</w:t>
      </w:r>
      <w:r w:rsidRPr="001637E1">
        <w:rPr>
          <w:spacing w:val="-2"/>
          <w:rtl/>
        </w:rPr>
        <w:tab/>
        <w:t xml:space="preserve">وفيما يتعلق بالأسس الموضوعية للقضية، خلصت اللجنة إلى أن عدم تقديم خدمات دعم مكيفة حسب احتياجات ابنة صاحبة البلاغ وشريكها، وعدم قيام الدولة الطرف بتعزيز وتيسير وتوفير تدابير تشريعية وإدارية ومتعلقة بالميزانية وقضائية </w:t>
      </w:r>
      <w:proofErr w:type="spellStart"/>
      <w:r w:rsidRPr="001637E1">
        <w:rPr>
          <w:spacing w:val="-2"/>
          <w:rtl/>
        </w:rPr>
        <w:t>وبرنامجية</w:t>
      </w:r>
      <w:proofErr w:type="spellEnd"/>
      <w:r w:rsidRPr="001637E1">
        <w:rPr>
          <w:spacing w:val="-2"/>
          <w:rtl/>
        </w:rPr>
        <w:t xml:space="preserve"> وترويجية وغيرها من التدابير المناسبة لضمان الإعمال الكامل للحق في العيش المستقل والاندماج في المجتمع، على النحو المنصوص عليه في الاتفاقية، وعدم توفير خدمات الدعم الكافية لمقدمي الرعاية الأسرية حتى يتمكنوا بدورهم من دعم أقاربهم للعيش بشكل </w:t>
      </w:r>
      <w:r w:rsidRPr="001637E1">
        <w:rPr>
          <w:spacing w:val="-2"/>
          <w:rtl/>
        </w:rPr>
        <w:lastRenderedPageBreak/>
        <w:t>مستقل في المجتمع، تشكل انتهاكا</w:t>
      </w:r>
      <w:r w:rsidR="00C32EF8" w:rsidRPr="001637E1">
        <w:rPr>
          <w:rFonts w:hint="cs"/>
          <w:spacing w:val="-2"/>
          <w:rtl/>
        </w:rPr>
        <w:t>ً</w:t>
      </w:r>
      <w:r w:rsidRPr="001637E1">
        <w:rPr>
          <w:spacing w:val="-2"/>
          <w:rtl/>
        </w:rPr>
        <w:t xml:space="preserve"> لحقوق ابنة صاحبة البلاغ وشريكها بموجب المادة 19 من الاتفاقية. وخلصت اللجنة كذلك إلى أن عدم قيام الدولة الطرف بتزويد الأسرة بالدعم الكافي لإعمال حقها في احترام البيت والأسرة يشكل انتهاكا</w:t>
      </w:r>
      <w:r w:rsidR="00C32EF8" w:rsidRPr="001637E1">
        <w:rPr>
          <w:rFonts w:hint="cs"/>
          <w:spacing w:val="-2"/>
          <w:rtl/>
        </w:rPr>
        <w:t>ً</w:t>
      </w:r>
      <w:r w:rsidRPr="001637E1">
        <w:rPr>
          <w:spacing w:val="-2"/>
          <w:rtl/>
        </w:rPr>
        <w:t xml:space="preserve"> لحقوق ابنة صاحبة البلاغ وشريكها بموجب المادة 23 من الاتفاقية. وأخيرا</w:t>
      </w:r>
      <w:r w:rsidR="005521AB">
        <w:rPr>
          <w:rFonts w:hint="cs"/>
          <w:spacing w:val="-2"/>
          <w:rtl/>
        </w:rPr>
        <w:t>ً</w:t>
      </w:r>
      <w:r w:rsidRPr="001637E1">
        <w:rPr>
          <w:spacing w:val="-2"/>
          <w:rtl/>
        </w:rPr>
        <w:t>، خلصت اللجنة إلى أن النقص في الحماية الاجتماعية والمساعدة في النفقات المتصلة بالإعاقة، وعدم كفاية ما تقدمه سلطات الدولة الطرف من تدريب ومشورة ومساعدة مالية ورعاية مؤقتة يشكل انتهاكا</w:t>
      </w:r>
      <w:r w:rsidR="00C32EF8" w:rsidRPr="001637E1">
        <w:rPr>
          <w:rFonts w:hint="cs"/>
          <w:spacing w:val="-2"/>
          <w:rtl/>
        </w:rPr>
        <w:t>ً</w:t>
      </w:r>
      <w:r w:rsidRPr="001637E1">
        <w:rPr>
          <w:spacing w:val="-2"/>
          <w:rtl/>
        </w:rPr>
        <w:t xml:space="preserve"> لحقوق صاحبة البلاغ وابنتها وشريكها بموجب المادة 28</w:t>
      </w:r>
      <w:r w:rsidRPr="001637E1">
        <w:rPr>
          <w:rFonts w:ascii="Traditional Arabic"/>
          <w:spacing w:val="-2"/>
          <w:szCs w:val="20"/>
          <w:rtl/>
        </w:rPr>
        <w:t>(</w:t>
      </w:r>
      <w:r w:rsidRPr="001637E1">
        <w:rPr>
          <w:spacing w:val="-2"/>
          <w:rtl/>
        </w:rPr>
        <w:t>2</w:t>
      </w:r>
      <w:r w:rsidRPr="001637E1">
        <w:rPr>
          <w:rFonts w:ascii="Traditional Arabic"/>
          <w:spacing w:val="-2"/>
          <w:szCs w:val="20"/>
          <w:rtl/>
        </w:rPr>
        <w:t>)(</w:t>
      </w:r>
      <w:r w:rsidRPr="001637E1">
        <w:rPr>
          <w:spacing w:val="-2"/>
          <w:rtl/>
        </w:rPr>
        <w:t>ج</w:t>
      </w:r>
      <w:r w:rsidR="00F748C4" w:rsidRPr="001637E1">
        <w:rPr>
          <w:rFonts w:ascii="Traditional Arabic"/>
          <w:spacing w:val="-2"/>
          <w:szCs w:val="20"/>
          <w:rtl/>
        </w:rPr>
        <w:t>)</w:t>
      </w:r>
      <w:r w:rsidR="00F748C4" w:rsidRPr="001637E1">
        <w:rPr>
          <w:spacing w:val="-2"/>
          <w:rtl/>
        </w:rPr>
        <w:t xml:space="preserve">، </w:t>
      </w:r>
      <w:r w:rsidRPr="001637E1">
        <w:rPr>
          <w:spacing w:val="-2"/>
          <w:rtl/>
        </w:rPr>
        <w:t>مقروءة بالاقتران مع المادة 5 من الاتفاقية.</w:t>
      </w:r>
    </w:p>
    <w:p w14:paraId="15379A8C" w14:textId="77777777" w:rsidR="00565A13" w:rsidRPr="001461C4" w:rsidRDefault="00565A13" w:rsidP="00247812">
      <w:pPr>
        <w:pStyle w:val="SingleTxtGA"/>
        <w:rPr>
          <w:szCs w:val="20"/>
          <w:lang w:val="ar-SA" w:eastAsia="zh-TW" w:bidi="en-GB"/>
        </w:rPr>
      </w:pPr>
      <w:r w:rsidRPr="00565A13">
        <w:rPr>
          <w:rtl/>
        </w:rPr>
        <w:t>10</w:t>
      </w:r>
      <w:r>
        <w:rPr>
          <w:rFonts w:ascii="Traditional Arabic"/>
          <w:szCs w:val="20"/>
          <w:rtl/>
        </w:rPr>
        <w:t>-</w:t>
      </w:r>
      <w:r>
        <w:rPr>
          <w:rtl/>
        </w:rPr>
        <w:tab/>
        <w:t xml:space="preserve">وعليه، لاحظت اللجنة أن الدولة الطرف ملزمة، في جملة أمور، بأن تتخذ التدابير المناسبة لضمان حصول أسرة صاحب البلاغ على خدمات الدعم الكافية المكيفة حسب احتياجات كل فرد، بما في ذلك خدمات الرعاية المؤقتة، والدعم المالي، وخدمات المشورة، والدعم الاجتماعي، وغير ذلك من خيارات الدعم الملائمة، من أجل ضمان حقوقها بموجب المواد </w:t>
      </w:r>
      <w:r w:rsidRPr="00565A13">
        <w:rPr>
          <w:rtl/>
        </w:rPr>
        <w:t>19</w:t>
      </w:r>
      <w:r>
        <w:rPr>
          <w:rtl/>
        </w:rPr>
        <w:t xml:space="preserve"> </w:t>
      </w:r>
      <w:proofErr w:type="spellStart"/>
      <w:r>
        <w:rPr>
          <w:rtl/>
        </w:rPr>
        <w:t>و</w:t>
      </w:r>
      <w:r w:rsidRPr="00565A13">
        <w:rPr>
          <w:rtl/>
        </w:rPr>
        <w:t>23</w:t>
      </w:r>
      <w:proofErr w:type="spellEnd"/>
      <w:r>
        <w:rPr>
          <w:rtl/>
        </w:rPr>
        <w:t xml:space="preserve"> </w:t>
      </w:r>
      <w:proofErr w:type="spellStart"/>
      <w:r>
        <w:rPr>
          <w:rtl/>
        </w:rPr>
        <w:t>و</w:t>
      </w:r>
      <w:r w:rsidRPr="00565A13">
        <w:rPr>
          <w:rtl/>
        </w:rPr>
        <w:t>28</w:t>
      </w:r>
      <w:proofErr w:type="spellEnd"/>
      <w:r>
        <w:rPr>
          <w:rFonts w:ascii="Traditional Arabic"/>
          <w:szCs w:val="20"/>
          <w:rtl/>
        </w:rPr>
        <w:t>(</w:t>
      </w:r>
      <w:r w:rsidRPr="00565A13">
        <w:rPr>
          <w:rtl/>
        </w:rPr>
        <w:t>2</w:t>
      </w:r>
      <w:r>
        <w:rPr>
          <w:rFonts w:ascii="Traditional Arabic"/>
          <w:szCs w:val="20"/>
          <w:rtl/>
        </w:rPr>
        <w:t>)(</w:t>
      </w:r>
      <w:r>
        <w:rPr>
          <w:rtl/>
        </w:rPr>
        <w:t>ج</w:t>
      </w:r>
      <w:r>
        <w:rPr>
          <w:rFonts w:ascii="Traditional Arabic"/>
          <w:szCs w:val="20"/>
          <w:rtl/>
        </w:rPr>
        <w:t>)</w:t>
      </w:r>
      <w:r>
        <w:rPr>
          <w:rtl/>
        </w:rPr>
        <w:t xml:space="preserve"> من الاتفاقية؛ وبأن تكفل، عن طريق تعديل تشريعاتها المحلية حسب الاقتضاء، استيفاء برامج الحماية الاجتماعية بمتطلبات الطيف المتنوع من الأشخاص ذوي الإعاقة على قدم المساواة مع الآخرين.</w:t>
      </w:r>
    </w:p>
    <w:p w14:paraId="1130A4FC" w14:textId="5F1BC5EF" w:rsidR="00565A13" w:rsidRPr="00225F07" w:rsidRDefault="00225F07" w:rsidP="00225F07">
      <w:pPr>
        <w:pStyle w:val="H23GA"/>
        <w:rPr>
          <w:i/>
          <w:iCs/>
          <w:szCs w:val="20"/>
          <w:lang w:val="en-US" w:eastAsia="zh-TW" w:bidi="en-GB"/>
        </w:rPr>
      </w:pPr>
      <w:r>
        <w:rPr>
          <w:rtl/>
        </w:rPr>
        <w:tab/>
      </w:r>
      <w:r>
        <w:rPr>
          <w:rtl/>
        </w:rPr>
        <w:tab/>
      </w:r>
      <w:r w:rsidR="00565A13" w:rsidRPr="00225F07">
        <w:rPr>
          <w:i/>
          <w:iCs/>
          <w:rtl/>
        </w:rPr>
        <w:t>ج.</w:t>
      </w:r>
      <w:r w:rsidR="00D676F1">
        <w:rPr>
          <w:rFonts w:hint="cs"/>
          <w:i/>
          <w:iCs/>
          <w:rtl/>
        </w:rPr>
        <w:t xml:space="preserve"> </w:t>
      </w:r>
      <w:r w:rsidR="00565A13" w:rsidRPr="00225F07">
        <w:rPr>
          <w:i/>
          <w:iCs/>
          <w:rtl/>
        </w:rPr>
        <w:t>س. ضد المملكة المتحدة لبريطانيا العظمى وأيرلندا الشمالية</w:t>
      </w:r>
    </w:p>
    <w:p w14:paraId="12360CE6" w14:textId="6C51DE15" w:rsidR="00565A13" w:rsidRPr="00880D48" w:rsidRDefault="00565A13" w:rsidP="00816DDB">
      <w:pPr>
        <w:pStyle w:val="SingleTxtGA"/>
        <w:spacing w:line="340" w:lineRule="exact"/>
        <w:rPr>
          <w:rFonts w:eastAsia="Times New Roman"/>
          <w:bCs/>
          <w:color w:val="000000"/>
          <w:szCs w:val="20"/>
          <w:lang w:val="ar-SA" w:eastAsia="zh-TW" w:bidi="en-GB"/>
        </w:rPr>
      </w:pPr>
      <w:r w:rsidRPr="00565A13">
        <w:rPr>
          <w:rtl/>
        </w:rPr>
        <w:t>11</w:t>
      </w:r>
      <w:r>
        <w:rPr>
          <w:rFonts w:ascii="Traditional Arabic"/>
          <w:szCs w:val="20"/>
          <w:rtl/>
        </w:rPr>
        <w:t>-</w:t>
      </w:r>
      <w:r>
        <w:rPr>
          <w:rtl/>
        </w:rPr>
        <w:tab/>
        <w:t xml:space="preserve">درست اللجنة البلاغ المتعلق بقضية </w:t>
      </w:r>
      <w:r w:rsidRPr="003155E5">
        <w:rPr>
          <w:i/>
          <w:iCs/>
          <w:rtl/>
        </w:rPr>
        <w:t>ج.</w:t>
      </w:r>
      <w:r w:rsidR="003155E5" w:rsidRPr="003155E5">
        <w:rPr>
          <w:rFonts w:hint="cs"/>
          <w:i/>
          <w:iCs/>
          <w:rtl/>
        </w:rPr>
        <w:t xml:space="preserve"> </w:t>
      </w:r>
      <w:r w:rsidRPr="003155E5">
        <w:rPr>
          <w:i/>
          <w:iCs/>
          <w:rtl/>
        </w:rPr>
        <w:t>س. ضد المملكة المتحدة لبريطانيا العظمى وأيرلندا الشمالية</w:t>
      </w:r>
      <w:r w:rsidR="00F748C4">
        <w:rPr>
          <w:rStyle w:val="FootnoteReference"/>
          <w:rtl/>
        </w:rPr>
        <w:t>(</w:t>
      </w:r>
      <w:r w:rsidR="00F748C4" w:rsidRPr="00CB6ECF">
        <w:rPr>
          <w:rStyle w:val="FootnoteReference"/>
          <w:rtl/>
        </w:rPr>
        <w:footnoteReference w:id="34"/>
      </w:r>
      <w:r w:rsidR="00F748C4" w:rsidRPr="00F748C4">
        <w:rPr>
          <w:rStyle w:val="FootnoteReference"/>
          <w:rtl/>
        </w:rPr>
        <w:t>)</w:t>
      </w:r>
      <w:r w:rsidR="00F748C4" w:rsidRPr="00F748C4">
        <w:rPr>
          <w:rFonts w:hint="cs"/>
          <w:rtl/>
        </w:rPr>
        <w:t>.</w:t>
      </w:r>
      <w:r w:rsidR="00F748C4" w:rsidRPr="00F748C4">
        <w:rPr>
          <w:rtl/>
        </w:rPr>
        <w:t xml:space="preserve"> </w:t>
      </w:r>
      <w:r>
        <w:rPr>
          <w:rtl/>
        </w:rPr>
        <w:t>وقدمت البلاغ ج.</w:t>
      </w:r>
      <w:r w:rsidR="00A57E5C">
        <w:rPr>
          <w:rFonts w:hint="cs"/>
          <w:rtl/>
        </w:rPr>
        <w:t xml:space="preserve"> </w:t>
      </w:r>
      <w:r>
        <w:rPr>
          <w:rtl/>
        </w:rPr>
        <w:t xml:space="preserve">س.، بالنيابة عن ابنها س. س. مدعية أن ابنها كان ضحية انتهاكات الدولة الطرف للمواد </w:t>
      </w:r>
      <w:r w:rsidRPr="00565A13">
        <w:rPr>
          <w:rtl/>
        </w:rPr>
        <w:t>10</w:t>
      </w:r>
      <w:r>
        <w:rPr>
          <w:rtl/>
        </w:rPr>
        <w:t xml:space="preserve"> </w:t>
      </w:r>
      <w:proofErr w:type="spellStart"/>
      <w:r>
        <w:rPr>
          <w:rtl/>
        </w:rPr>
        <w:t>و</w:t>
      </w:r>
      <w:r w:rsidRPr="00565A13">
        <w:rPr>
          <w:rtl/>
        </w:rPr>
        <w:t>15</w:t>
      </w:r>
      <w:proofErr w:type="spellEnd"/>
      <w:r>
        <w:rPr>
          <w:rtl/>
        </w:rPr>
        <w:t xml:space="preserve"> </w:t>
      </w:r>
      <w:proofErr w:type="spellStart"/>
      <w:r>
        <w:rPr>
          <w:rtl/>
        </w:rPr>
        <w:t>و</w:t>
      </w:r>
      <w:r w:rsidRPr="00565A13">
        <w:rPr>
          <w:rtl/>
        </w:rPr>
        <w:t>22</w:t>
      </w:r>
      <w:proofErr w:type="spellEnd"/>
      <w:r>
        <w:rPr>
          <w:rFonts w:ascii="Traditional Arabic"/>
          <w:szCs w:val="20"/>
          <w:rtl/>
        </w:rPr>
        <w:t>(</w:t>
      </w:r>
      <w:r w:rsidR="00F748C4" w:rsidRPr="00F748C4">
        <w:rPr>
          <w:rtl/>
        </w:rPr>
        <w:t>1</w:t>
      </w:r>
      <w:r w:rsidR="00F748C4" w:rsidRPr="00F748C4">
        <w:rPr>
          <w:rFonts w:ascii="Traditional Arabic"/>
          <w:szCs w:val="20"/>
          <w:rtl/>
        </w:rPr>
        <w:t>)</w:t>
      </w:r>
      <w:r w:rsidR="00F748C4" w:rsidRPr="00F748C4">
        <w:rPr>
          <w:rtl/>
        </w:rPr>
        <w:t xml:space="preserve"> </w:t>
      </w:r>
      <w:proofErr w:type="spellStart"/>
      <w:r>
        <w:rPr>
          <w:rtl/>
        </w:rPr>
        <w:t>و</w:t>
      </w:r>
      <w:r w:rsidRPr="00565A13">
        <w:rPr>
          <w:rtl/>
        </w:rPr>
        <w:t>25</w:t>
      </w:r>
      <w:proofErr w:type="spellEnd"/>
      <w:r>
        <w:rPr>
          <w:rFonts w:ascii="Traditional Arabic"/>
          <w:szCs w:val="20"/>
          <w:rtl/>
        </w:rPr>
        <w:t>(</w:t>
      </w:r>
      <w:r>
        <w:rPr>
          <w:rtl/>
        </w:rPr>
        <w:t>و</w:t>
      </w:r>
      <w:r>
        <w:rPr>
          <w:rFonts w:ascii="Traditional Arabic"/>
          <w:szCs w:val="20"/>
          <w:rtl/>
        </w:rPr>
        <w:t>)</w:t>
      </w:r>
      <w:r>
        <w:rPr>
          <w:rtl/>
        </w:rPr>
        <w:t xml:space="preserve"> من الاتفاقية. </w:t>
      </w:r>
    </w:p>
    <w:p w14:paraId="3E99939E" w14:textId="32D378E6" w:rsidR="00565A13" w:rsidRPr="001461C4" w:rsidRDefault="00565A13" w:rsidP="00816DDB">
      <w:pPr>
        <w:pStyle w:val="SingleTxtGA"/>
        <w:spacing w:line="340" w:lineRule="exact"/>
        <w:rPr>
          <w:rFonts w:eastAsia="Times New Roman"/>
          <w:bCs/>
          <w:color w:val="000000"/>
          <w:szCs w:val="20"/>
          <w:lang w:val="ar-SA" w:eastAsia="zh-TW" w:bidi="en-GB"/>
        </w:rPr>
      </w:pPr>
      <w:r w:rsidRPr="00565A13">
        <w:rPr>
          <w:rtl/>
        </w:rPr>
        <w:t>12</w:t>
      </w:r>
      <w:r>
        <w:rPr>
          <w:rFonts w:ascii="Traditional Arabic"/>
          <w:szCs w:val="20"/>
          <w:rtl/>
        </w:rPr>
        <w:t>-</w:t>
      </w:r>
      <w:r>
        <w:rPr>
          <w:rtl/>
        </w:rPr>
        <w:tab/>
        <w:t xml:space="preserve">وكان س. س. قد أصيب بنوبة قلبية في عام </w:t>
      </w:r>
      <w:r w:rsidRPr="00565A13">
        <w:rPr>
          <w:rtl/>
        </w:rPr>
        <w:t>202</w:t>
      </w:r>
      <w:r w:rsidR="00F748C4" w:rsidRPr="00F748C4">
        <w:rPr>
          <w:rtl/>
        </w:rPr>
        <w:t>0</w:t>
      </w:r>
      <w:r w:rsidR="00F748C4" w:rsidRPr="00F748C4">
        <w:rPr>
          <w:rFonts w:ascii="Traditional Arabic"/>
          <w:szCs w:val="20"/>
          <w:rtl/>
        </w:rPr>
        <w:t>.</w:t>
      </w:r>
      <w:r w:rsidR="00F748C4" w:rsidRPr="00F748C4">
        <w:rPr>
          <w:rtl/>
        </w:rPr>
        <w:t xml:space="preserve"> </w:t>
      </w:r>
      <w:r>
        <w:rPr>
          <w:rtl/>
        </w:rPr>
        <w:t xml:space="preserve">وحُرم من الأكسجين لمدة </w:t>
      </w:r>
      <w:r w:rsidRPr="00565A13">
        <w:rPr>
          <w:rtl/>
        </w:rPr>
        <w:t>45</w:t>
      </w:r>
      <w:r>
        <w:rPr>
          <w:rtl/>
        </w:rPr>
        <w:t xml:space="preserve"> دقيقة على الأقل ودخل في غيبوبة منذ ذلك الحين. وكان أطباء المستشفى وخبير عينته المحكمة قد اعتبروه في حالة غيبوبة ورأوا أن من مصلحته المثلى وقف الإماهة والتغذية. وأيدت زوجة س. س. فصله عن أجهزة دعم الحياة، في حين عارضته صاحبة البلاغ وأخوات س. س. وخلال الإجراءات المحلية، خلصت المحكمة، استنادا</w:t>
      </w:r>
      <w:r w:rsidR="00C32EF8">
        <w:rPr>
          <w:rFonts w:hint="cs"/>
          <w:rtl/>
        </w:rPr>
        <w:t>ً</w:t>
      </w:r>
      <w:r>
        <w:rPr>
          <w:rtl/>
        </w:rPr>
        <w:t xml:space="preserve"> إلى الأدلة المعروضة عليها، إلى أن س. س. لم يكن يرغب في أن يبقى حيا</w:t>
      </w:r>
      <w:r w:rsidR="0018018B">
        <w:rPr>
          <w:rFonts w:hint="cs"/>
          <w:rtl/>
        </w:rPr>
        <w:t>ً</w:t>
      </w:r>
      <w:r>
        <w:rPr>
          <w:rtl/>
        </w:rPr>
        <w:t xml:space="preserve"> في حالته. واستنادا</w:t>
      </w:r>
      <w:r w:rsidR="00A57E5C">
        <w:rPr>
          <w:rFonts w:hint="cs"/>
          <w:rtl/>
        </w:rPr>
        <w:t>ً</w:t>
      </w:r>
      <w:r>
        <w:rPr>
          <w:rtl/>
        </w:rPr>
        <w:t xml:space="preserve"> إلى تلك الأدلة، رأت المحكمة أنه من المشروع ومن مصلحة س. س. وقف الإماهة والتغذية.</w:t>
      </w:r>
    </w:p>
    <w:p w14:paraId="24C0F9DA" w14:textId="2A865D2E" w:rsidR="00565A13" w:rsidRDefault="00565A13" w:rsidP="00816DDB">
      <w:pPr>
        <w:pStyle w:val="SingleTxtGA"/>
        <w:spacing w:line="340" w:lineRule="exact"/>
        <w:rPr>
          <w:rFonts w:eastAsia="Times New Roman"/>
          <w:szCs w:val="20"/>
          <w:lang w:val="ar-SA" w:eastAsia="zh-TW" w:bidi="en-GB"/>
        </w:rPr>
      </w:pPr>
      <w:r w:rsidRPr="00565A13">
        <w:rPr>
          <w:rtl/>
        </w:rPr>
        <w:t>13</w:t>
      </w:r>
      <w:r>
        <w:rPr>
          <w:rFonts w:ascii="Traditional Arabic"/>
          <w:szCs w:val="20"/>
          <w:rtl/>
        </w:rPr>
        <w:t>-</w:t>
      </w:r>
      <w:r>
        <w:rPr>
          <w:rtl/>
        </w:rPr>
        <w:tab/>
        <w:t xml:space="preserve">ولاحظت اللجنة في قرارها أن المحكمة الأوروبية لحقوق الإنسان رفضت في </w:t>
      </w:r>
      <w:r w:rsidRPr="00565A13">
        <w:rPr>
          <w:rtl/>
        </w:rPr>
        <w:t>7</w:t>
      </w:r>
      <w:r>
        <w:rPr>
          <w:rtl/>
        </w:rPr>
        <w:t xml:space="preserve"> كانون الثاني/يناير </w:t>
      </w:r>
      <w:r w:rsidRPr="00565A13">
        <w:rPr>
          <w:rtl/>
        </w:rPr>
        <w:t>2021</w:t>
      </w:r>
      <w:r>
        <w:rPr>
          <w:rtl/>
        </w:rPr>
        <w:t xml:space="preserve"> طلبا</w:t>
      </w:r>
      <w:r w:rsidR="0018018B">
        <w:rPr>
          <w:rFonts w:hint="cs"/>
          <w:rtl/>
        </w:rPr>
        <w:t>ً</w:t>
      </w:r>
      <w:r>
        <w:rPr>
          <w:rtl/>
        </w:rPr>
        <w:t xml:space="preserve"> قدمته إليها صاحبة البلاغ بالنيابة عن ابنها لعدم استناده بوضوح إلى أسس موضوعية سليمة. ولاحظت كذلك أن المحكمة أوضحت أنها خلصت إلى أن طلب صاحبة البلاغ لم يكشف عن أي مظهر من مظاهر انتهاك الحقوق والحريات المنصوص عليها في اتفاقية حماية حقوق الإنسان والحريات الأساسية أو البروتوكولات الملحقة بها، وأن ادعاءات صاحبة البلاغ، لذلك، لا تستند بوضوح إلى أسس موضوعية سليمة. وأحاطت اللجنة علم</w:t>
      </w:r>
      <w:r w:rsidR="00AE5EB3">
        <w:rPr>
          <w:rtl/>
        </w:rPr>
        <w:t xml:space="preserve">اً </w:t>
      </w:r>
      <w:r>
        <w:rPr>
          <w:rtl/>
        </w:rPr>
        <w:t>بحجة الدولة الطرف بأن المحكمة نظرت في الأسس الموضوعية لهذه المسألة، بدل</w:t>
      </w:r>
      <w:r w:rsidR="00AE5EB3">
        <w:rPr>
          <w:rtl/>
        </w:rPr>
        <w:t xml:space="preserve">اً </w:t>
      </w:r>
      <w:r>
        <w:rPr>
          <w:rtl/>
        </w:rPr>
        <w:t>من رفضها لأسباب إجرائية، ومن ثم لم تجد اللجنة أساس</w:t>
      </w:r>
      <w:r w:rsidR="00AE5EB3">
        <w:rPr>
          <w:rtl/>
        </w:rPr>
        <w:t xml:space="preserve">اً </w:t>
      </w:r>
      <w:r>
        <w:rPr>
          <w:rtl/>
        </w:rPr>
        <w:t>سليم</w:t>
      </w:r>
      <w:r w:rsidR="00AE5EB3">
        <w:rPr>
          <w:rtl/>
        </w:rPr>
        <w:t xml:space="preserve">اً </w:t>
      </w:r>
      <w:r>
        <w:rPr>
          <w:rtl/>
        </w:rPr>
        <w:t>لإعادة فتح القضية.</w:t>
      </w:r>
    </w:p>
    <w:p w14:paraId="1A3DF7CA" w14:textId="2400D971" w:rsidR="00565A13" w:rsidRDefault="00565A13" w:rsidP="00816DDB">
      <w:pPr>
        <w:pStyle w:val="SingleTxtGA"/>
        <w:spacing w:line="340" w:lineRule="exact"/>
        <w:rPr>
          <w:rtl/>
          <w:lang w:val="ar-SA" w:eastAsia="zh-TW" w:bidi="en-GB"/>
        </w:rPr>
      </w:pPr>
      <w:r w:rsidRPr="00565A13">
        <w:rPr>
          <w:rtl/>
        </w:rPr>
        <w:t>14</w:t>
      </w:r>
      <w:r>
        <w:rPr>
          <w:rFonts w:ascii="Traditional Arabic"/>
          <w:szCs w:val="20"/>
          <w:rtl/>
        </w:rPr>
        <w:t>-</w:t>
      </w:r>
      <w:r>
        <w:rPr>
          <w:rtl/>
        </w:rPr>
        <w:tab/>
        <w:t xml:space="preserve">وخلصت اللجنة إلى أن طلب صاحبة البلاغ المقدم إلى المحكمة الأوروبية لحقوق الإنسان يتعلق بنفس المسألة التي يتعلق بها البلاغ المعروض على اللجنة. ورأت اللجنة أن نظر تلك المحكمة في طلب صاحبة البلاغ قد تجاوز النظر في معايير المقبولية الإجرائية البحتة وأن الأسباب التي قدمتها المحكمة تشير إلى نظر معين في الأسس الموضوعية. وعليه، خلصت اللجنة إلى أن المادة </w:t>
      </w:r>
      <w:r w:rsidRPr="00565A13">
        <w:rPr>
          <w:rtl/>
        </w:rPr>
        <w:t>2</w:t>
      </w:r>
      <w:r>
        <w:rPr>
          <w:rFonts w:ascii="Traditional Arabic"/>
          <w:szCs w:val="20"/>
          <w:rtl/>
        </w:rPr>
        <w:t>(</w:t>
      </w:r>
      <w:r>
        <w:rPr>
          <w:rtl/>
        </w:rPr>
        <w:t>ج</w:t>
      </w:r>
      <w:r>
        <w:rPr>
          <w:rFonts w:ascii="Traditional Arabic"/>
          <w:szCs w:val="20"/>
          <w:rtl/>
        </w:rPr>
        <w:t>)</w:t>
      </w:r>
      <w:r>
        <w:rPr>
          <w:rtl/>
        </w:rPr>
        <w:t xml:space="preserve"> من البروتوكول الاختياري تمنعها من النظر في البلاغ، وأعلنت أنه غير مقبول. </w:t>
      </w:r>
    </w:p>
    <w:p w14:paraId="68294D5E" w14:textId="32B320BA" w:rsidR="00565A13" w:rsidRPr="00565A13" w:rsidRDefault="00565A13" w:rsidP="00565A13">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565A13" w:rsidRPr="00565A13" w:rsidSect="00915488">
      <w:headerReference w:type="even" r:id="rId14"/>
      <w:headerReference w:type="default" r:id="rId15"/>
      <w:footerReference w:type="even" r:id="rId16"/>
      <w:footerReference w:type="default" r:id="rId17"/>
      <w:footnotePr>
        <w:numRestart w:val="eachSect"/>
      </w:footnotePr>
      <w:endnotePr>
        <w:numFmt w:val="decimal"/>
      </w:endnotePr>
      <w:pgSz w:w="11907" w:h="16840" w:code="9"/>
      <w:pgMar w:top="1417" w:right="1134" w:bottom="1134" w:left="1134" w:header="68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681AD" w14:textId="77777777" w:rsidR="008825CB" w:rsidRPr="002901D9" w:rsidRDefault="008825CB" w:rsidP="006A5EE7">
      <w:pPr>
        <w:spacing w:after="60" w:line="240" w:lineRule="auto"/>
        <w:ind w:left="57"/>
        <w:rPr>
          <w:i/>
          <w:iCs/>
        </w:rPr>
      </w:pPr>
      <w:r>
        <w:rPr>
          <w:rFonts w:hint="cs"/>
          <w:i/>
          <w:iCs/>
          <w:rtl/>
        </w:rPr>
        <w:t>الحواشي</w:t>
      </w:r>
    </w:p>
  </w:endnote>
  <w:endnote w:type="continuationSeparator" w:id="0">
    <w:p w14:paraId="1A1DAD11" w14:textId="77777777" w:rsidR="008825CB" w:rsidRDefault="008825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617AC" w14:textId="758C3E9E" w:rsidR="00CB378F" w:rsidRPr="00CB378F" w:rsidRDefault="00CB378F" w:rsidP="00CB378F">
    <w:pPr>
      <w:pStyle w:val="Footer"/>
      <w:tabs>
        <w:tab w:val="right" w:pos="9638"/>
      </w:tabs>
      <w:rPr>
        <w:b/>
        <w:sz w:val="18"/>
        <w:lang w:val="en-US"/>
      </w:rPr>
    </w:pPr>
    <w:proofErr w:type="spellStart"/>
    <w:r>
      <w:rPr>
        <w:lang w:val="en-US"/>
      </w:rPr>
      <w:t>GE.22</w:t>
    </w:r>
    <w:proofErr w:type="spellEnd"/>
    <w:r>
      <w:rPr>
        <w:lang w:val="en-US"/>
      </w:rPr>
      <w:t>-16671</w:t>
    </w:r>
    <w:r>
      <w:rPr>
        <w:lang w:val="en-US"/>
      </w:rPr>
      <w:tab/>
    </w:r>
    <w:r w:rsidRPr="00CB378F">
      <w:rPr>
        <w:b/>
        <w:sz w:val="18"/>
        <w:lang w:val="en-US"/>
      </w:rPr>
      <w:fldChar w:fldCharType="begin"/>
    </w:r>
    <w:r w:rsidRPr="00CB378F">
      <w:rPr>
        <w:b/>
        <w:sz w:val="18"/>
        <w:lang w:val="en-US"/>
      </w:rPr>
      <w:instrText xml:space="preserve"> PAGE  \* MERGEFORMAT </w:instrText>
    </w:r>
    <w:r w:rsidRPr="00CB378F">
      <w:rPr>
        <w:b/>
        <w:sz w:val="18"/>
        <w:lang w:val="en-US"/>
      </w:rPr>
      <w:fldChar w:fldCharType="separate"/>
    </w:r>
    <w:r w:rsidRPr="00CB378F">
      <w:rPr>
        <w:b/>
        <w:noProof/>
        <w:sz w:val="18"/>
        <w:lang w:val="en-US"/>
      </w:rPr>
      <w:t>2</w:t>
    </w:r>
    <w:r w:rsidRPr="00CB378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A93A" w14:textId="5E7009FB" w:rsidR="006959B0" w:rsidRPr="00CB378F" w:rsidRDefault="00CB378F" w:rsidP="00CB378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-16671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649E3" w14:textId="648E3A2F" w:rsidR="00114439" w:rsidRPr="00CB378F" w:rsidRDefault="00CB378F" w:rsidP="00CB378F">
    <w:pPr>
      <w:pStyle w:val="Footer"/>
      <w:spacing w:before="600"/>
      <w:ind w:left="567"/>
      <w:jc w:val="right"/>
      <w:rPr>
        <w:sz w:val="20"/>
        <w:lang w:val="en-US"/>
      </w:rPr>
    </w:pPr>
    <w:proofErr w:type="spellStart"/>
    <w:r>
      <w:rPr>
        <w:sz w:val="20"/>
        <w:lang w:val="en-US"/>
      </w:rPr>
      <w:t>GE.</w:t>
    </w:r>
    <w:r w:rsidR="006163CA">
      <w:rPr>
        <w:noProof/>
      </w:rPr>
      <w:drawing>
        <wp:anchor distT="0" distB="0" distL="114300" distR="114300" simplePos="0" relativeHeight="251658240" behindDoc="1" locked="1" layoutInCell="0" allowOverlap="1" wp14:anchorId="1EB3406C" wp14:editId="2CFF562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-16671 (A)</w:t>
    </w:r>
    <w:r>
      <w:rPr>
        <w:noProof/>
        <w:sz w:val="20"/>
        <w:lang w:val="en-US"/>
      </w:rPr>
      <w:drawing>
        <wp:anchor distT="0" distB="0" distL="114300" distR="114300" simplePos="0" relativeHeight="251659264" behindDoc="0" locked="0" layoutInCell="1" allowOverlap="1" wp14:anchorId="59EDEEF6" wp14:editId="2EAA4839">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3B745" w14:textId="799F733E" w:rsidR="00915488" w:rsidRPr="00915488" w:rsidRDefault="00915488" w:rsidP="00915488">
    <w:pPr>
      <w:pStyle w:val="Footer"/>
      <w:tabs>
        <w:tab w:val="right" w:pos="9638"/>
      </w:tabs>
      <w:rPr>
        <w:b/>
        <w:sz w:val="18"/>
        <w:lang w:val="en-US"/>
      </w:rPr>
    </w:pPr>
    <w:proofErr w:type="spellStart"/>
    <w:r>
      <w:rPr>
        <w:lang w:val="en-US"/>
      </w:rPr>
      <w:t>GE.</w:t>
    </w:r>
    <w:r w:rsidRPr="00915488">
      <w:rPr>
        <w:lang w:val="en-US"/>
      </w:rPr>
      <w:t>22</w:t>
    </w:r>
    <w:proofErr w:type="spellEnd"/>
    <w:r>
      <w:rPr>
        <w:lang w:val="en-US"/>
      </w:rPr>
      <w:t>-</w:t>
    </w:r>
    <w:r w:rsidRPr="00915488">
      <w:rPr>
        <w:lang w:val="en-US"/>
      </w:rPr>
      <w:t>16671</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17</w:t>
    </w:r>
    <w:r>
      <w:rPr>
        <w:b/>
        <w:sz w:val="18"/>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FC917" w14:textId="6C430FF4" w:rsidR="00915488" w:rsidRPr="00915488" w:rsidRDefault="00915488" w:rsidP="00915488">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12</w:t>
    </w:r>
    <w:r>
      <w:rPr>
        <w:b/>
        <w:sz w:val="18"/>
        <w:lang w:val="en-US"/>
      </w:rPr>
      <w:fldChar w:fldCharType="end"/>
    </w:r>
    <w:r>
      <w:rPr>
        <w:b/>
        <w:sz w:val="18"/>
        <w:lang w:val="en-US"/>
      </w:rPr>
      <w:tab/>
    </w:r>
    <w:proofErr w:type="spellStart"/>
    <w:r w:rsidRPr="00915488">
      <w:rPr>
        <w:lang w:val="en-US"/>
      </w:rPr>
      <w:t>GE.22</w:t>
    </w:r>
    <w:proofErr w:type="spellEnd"/>
    <w:r w:rsidRPr="00915488">
      <w:rPr>
        <w:lang w:val="en-US"/>
      </w:rPr>
      <w:t>-16671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08E18" w14:textId="77777777" w:rsidR="008825CB" w:rsidRPr="00AA3959" w:rsidRDefault="008825CB" w:rsidP="00241847">
      <w:pPr>
        <w:pStyle w:val="Footer"/>
        <w:bidi/>
        <w:spacing w:after="80" w:line="200" w:lineRule="exact"/>
        <w:ind w:left="680"/>
      </w:pPr>
      <w:r>
        <w:rPr>
          <w:rtl/>
        </w:rPr>
        <w:t>__________</w:t>
      </w:r>
    </w:p>
  </w:footnote>
  <w:footnote w:type="continuationSeparator" w:id="0">
    <w:p w14:paraId="36F70ADC" w14:textId="77777777" w:rsidR="008825CB" w:rsidRDefault="008825CB" w:rsidP="00656392">
      <w:pPr>
        <w:spacing w:line="240" w:lineRule="auto"/>
      </w:pPr>
      <w:r>
        <w:continuationSeparator/>
      </w:r>
    </w:p>
  </w:footnote>
  <w:footnote w:id="1">
    <w:p w14:paraId="2CD8A490"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1" w:history="1">
        <w:r w:rsidRPr="00F748C4">
          <w:rPr>
            <w:rStyle w:val="Hyperlink"/>
          </w:rPr>
          <w:t>CRPD/C/27/1</w:t>
        </w:r>
      </w:hyperlink>
      <w:r w:rsidRPr="00F748C4">
        <w:rPr>
          <w:rFonts w:cs="Times New Roman"/>
          <w:szCs w:val="18"/>
          <w:rtl/>
        </w:rPr>
        <w:t xml:space="preserve">. </w:t>
      </w:r>
    </w:p>
  </w:footnote>
  <w:footnote w:id="2">
    <w:p w14:paraId="7A1DCF29"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2" w:history="1">
        <w:r w:rsidRPr="00F748C4">
          <w:rPr>
            <w:rStyle w:val="Hyperlink"/>
          </w:rPr>
          <w:t>CRPD/C/5</w:t>
        </w:r>
      </w:hyperlink>
      <w:r w:rsidRPr="00F748C4">
        <w:rPr>
          <w:rFonts w:cs="Times New Roman"/>
          <w:szCs w:val="18"/>
          <w:rtl/>
        </w:rPr>
        <w:t xml:space="preserve">. </w:t>
      </w:r>
    </w:p>
  </w:footnote>
  <w:footnote w:id="3">
    <w:p w14:paraId="24F697A9"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3" w:history="1">
        <w:r w:rsidRPr="00F748C4">
          <w:rPr>
            <w:rStyle w:val="Hyperlink"/>
          </w:rPr>
          <w:t>CRPD/C/27/D/51/2018</w:t>
        </w:r>
      </w:hyperlink>
      <w:r w:rsidRPr="00F748C4">
        <w:rPr>
          <w:rFonts w:cs="Times New Roman"/>
          <w:szCs w:val="18"/>
          <w:rtl/>
        </w:rPr>
        <w:t xml:space="preserve">. </w:t>
      </w:r>
    </w:p>
  </w:footnote>
  <w:footnote w:id="4">
    <w:p w14:paraId="506BD58B"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4" w:history="1">
        <w:r w:rsidRPr="00F748C4">
          <w:rPr>
            <w:rStyle w:val="Hyperlink"/>
          </w:rPr>
          <w:t>CRPD/C/27/D/56/2018</w:t>
        </w:r>
      </w:hyperlink>
      <w:r w:rsidRPr="00F748C4">
        <w:rPr>
          <w:rFonts w:cs="Times New Roman"/>
          <w:szCs w:val="18"/>
          <w:rtl/>
        </w:rPr>
        <w:t xml:space="preserve">. </w:t>
      </w:r>
    </w:p>
  </w:footnote>
  <w:footnote w:id="5">
    <w:p w14:paraId="7343913F"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5" w:history="1">
        <w:r w:rsidRPr="00F748C4">
          <w:rPr>
            <w:rStyle w:val="Hyperlink"/>
          </w:rPr>
          <w:t>CRPD/C/27/D/85/2021</w:t>
        </w:r>
      </w:hyperlink>
      <w:r w:rsidRPr="00F748C4">
        <w:rPr>
          <w:rFonts w:cs="Times New Roman"/>
          <w:szCs w:val="18"/>
          <w:rtl/>
        </w:rPr>
        <w:t xml:space="preserve">. </w:t>
      </w:r>
    </w:p>
  </w:footnote>
  <w:footnote w:id="6">
    <w:p w14:paraId="53059DA2" w14:textId="77777777" w:rsidR="00F748C4" w:rsidRPr="00F748C4"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6" w:history="1">
        <w:r w:rsidRPr="00F748C4">
          <w:rPr>
            <w:rStyle w:val="Hyperlink"/>
          </w:rPr>
          <w:t>CRPD/C/27/D/55/2018</w:t>
        </w:r>
      </w:hyperlink>
      <w:r w:rsidRPr="00F748C4">
        <w:rPr>
          <w:rFonts w:cs="Times New Roman"/>
          <w:szCs w:val="18"/>
          <w:rtl/>
        </w:rPr>
        <w:t xml:space="preserve">. </w:t>
      </w:r>
    </w:p>
  </w:footnote>
  <w:footnote w:id="7">
    <w:p w14:paraId="08E6860A" w14:textId="77777777" w:rsidR="00F748C4" w:rsidRPr="00F748C4"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7" w:history="1">
        <w:r w:rsidRPr="00F748C4">
          <w:rPr>
            <w:rStyle w:val="Hyperlink"/>
          </w:rPr>
          <w:t>CRPD/C/</w:t>
        </w:r>
        <w:proofErr w:type="spellStart"/>
        <w:r w:rsidRPr="00F748C4">
          <w:rPr>
            <w:rStyle w:val="Hyperlink"/>
          </w:rPr>
          <w:t>BGD</w:t>
        </w:r>
        <w:proofErr w:type="spellEnd"/>
        <w:r w:rsidRPr="00F748C4">
          <w:rPr>
            <w:rStyle w:val="Hyperlink"/>
          </w:rPr>
          <w:t>/1</w:t>
        </w:r>
      </w:hyperlink>
      <w:r w:rsidRPr="00641AE8">
        <w:rPr>
          <w:szCs w:val="18"/>
          <w:rtl/>
        </w:rPr>
        <w:t xml:space="preserve"> و</w:t>
      </w:r>
      <w:hyperlink r:id="rId8" w:history="1">
        <w:r w:rsidRPr="00F748C4">
          <w:rPr>
            <w:rStyle w:val="Hyperlink"/>
          </w:rPr>
          <w:t>CRPD/C/</w:t>
        </w:r>
        <w:proofErr w:type="spellStart"/>
        <w:r w:rsidRPr="00F748C4">
          <w:rPr>
            <w:rStyle w:val="Hyperlink"/>
          </w:rPr>
          <w:t>IDN</w:t>
        </w:r>
        <w:proofErr w:type="spellEnd"/>
        <w:r w:rsidRPr="00F748C4">
          <w:rPr>
            <w:rStyle w:val="Hyperlink"/>
          </w:rPr>
          <w:t>/1</w:t>
        </w:r>
      </w:hyperlink>
      <w:r w:rsidRPr="00641AE8">
        <w:rPr>
          <w:szCs w:val="18"/>
          <w:rtl/>
        </w:rPr>
        <w:t xml:space="preserve"> و</w:t>
      </w:r>
      <w:hyperlink r:id="rId9" w:history="1">
        <w:r w:rsidRPr="00F748C4">
          <w:rPr>
            <w:rStyle w:val="Hyperlink"/>
          </w:rPr>
          <w:t>CRPD/C/JPN/1</w:t>
        </w:r>
      </w:hyperlink>
      <w:r w:rsidRPr="00641AE8">
        <w:rPr>
          <w:szCs w:val="18"/>
          <w:rtl/>
        </w:rPr>
        <w:t xml:space="preserve"> و</w:t>
      </w:r>
      <w:hyperlink r:id="rId10" w:history="1">
        <w:r w:rsidRPr="00F748C4">
          <w:rPr>
            <w:rStyle w:val="Hyperlink"/>
          </w:rPr>
          <w:t>CRPD/C/LAO/1</w:t>
        </w:r>
      </w:hyperlink>
      <w:r w:rsidRPr="00641AE8">
        <w:rPr>
          <w:szCs w:val="18"/>
          <w:rtl/>
        </w:rPr>
        <w:t xml:space="preserve"> و</w:t>
      </w:r>
      <w:hyperlink r:id="rId11" w:history="1">
        <w:r w:rsidRPr="00F748C4">
          <w:rPr>
            <w:rStyle w:val="Hyperlink"/>
          </w:rPr>
          <w:t>CRPD/C/</w:t>
        </w:r>
        <w:proofErr w:type="spellStart"/>
        <w:r w:rsidRPr="00F748C4">
          <w:rPr>
            <w:rStyle w:val="Hyperlink"/>
          </w:rPr>
          <w:t>SGP</w:t>
        </w:r>
        <w:proofErr w:type="spellEnd"/>
        <w:r w:rsidRPr="00F748C4">
          <w:rPr>
            <w:rStyle w:val="Hyperlink"/>
          </w:rPr>
          <w:t>/1</w:t>
        </w:r>
      </w:hyperlink>
      <w:r w:rsidRPr="00F748C4">
        <w:rPr>
          <w:rFonts w:cs="Times New Roman"/>
          <w:szCs w:val="18"/>
          <w:rtl/>
        </w:rPr>
        <w:t xml:space="preserve">. </w:t>
      </w:r>
    </w:p>
  </w:footnote>
  <w:footnote w:id="8">
    <w:p w14:paraId="38318AEE" w14:textId="77777777" w:rsidR="00F748C4" w:rsidRPr="00F748C4"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12" w:history="1">
        <w:r w:rsidRPr="00F748C4">
          <w:rPr>
            <w:rStyle w:val="Hyperlink"/>
          </w:rPr>
          <w:t>CRPD/C/CHN/2-3</w:t>
        </w:r>
      </w:hyperlink>
      <w:r w:rsidRPr="00641AE8">
        <w:rPr>
          <w:szCs w:val="18"/>
          <w:rtl/>
        </w:rPr>
        <w:t xml:space="preserve"> و</w:t>
      </w:r>
      <w:hyperlink r:id="rId13" w:history="1">
        <w:r w:rsidRPr="00F748C4">
          <w:rPr>
            <w:rStyle w:val="Hyperlink"/>
          </w:rPr>
          <w:t>CRPD/C/CHN-HKG/2-3</w:t>
        </w:r>
      </w:hyperlink>
      <w:r w:rsidRPr="00641AE8">
        <w:rPr>
          <w:szCs w:val="18"/>
          <w:rtl/>
        </w:rPr>
        <w:t xml:space="preserve"> و</w:t>
      </w:r>
      <w:hyperlink r:id="rId14" w:history="1">
        <w:r w:rsidRPr="00F748C4">
          <w:rPr>
            <w:rStyle w:val="Hyperlink"/>
          </w:rPr>
          <w:t>CRPD/C/CHN-HKG/2-3/</w:t>
        </w:r>
        <w:proofErr w:type="spellStart"/>
        <w:r w:rsidRPr="00F748C4">
          <w:rPr>
            <w:rStyle w:val="Hyperlink"/>
          </w:rPr>
          <w:t>Corr.1</w:t>
        </w:r>
        <w:proofErr w:type="spellEnd"/>
      </w:hyperlink>
      <w:r w:rsidRPr="00641AE8">
        <w:rPr>
          <w:szCs w:val="18"/>
          <w:rtl/>
        </w:rPr>
        <w:t xml:space="preserve"> و</w:t>
      </w:r>
      <w:hyperlink r:id="rId15" w:history="1">
        <w:r w:rsidRPr="00F748C4">
          <w:rPr>
            <w:rStyle w:val="Hyperlink"/>
          </w:rPr>
          <w:t>CRPD/C/CHN-MAC/2-3</w:t>
        </w:r>
      </w:hyperlink>
      <w:r w:rsidRPr="00641AE8">
        <w:rPr>
          <w:szCs w:val="18"/>
          <w:rtl/>
        </w:rPr>
        <w:t xml:space="preserve"> و</w:t>
      </w:r>
      <w:hyperlink r:id="rId16" w:history="1">
        <w:r w:rsidRPr="00F748C4">
          <w:rPr>
            <w:rStyle w:val="Hyperlink"/>
          </w:rPr>
          <w:t>CRPD/C/NZL/2-3</w:t>
        </w:r>
      </w:hyperlink>
      <w:r w:rsidRPr="00641AE8">
        <w:rPr>
          <w:szCs w:val="18"/>
          <w:rtl/>
        </w:rPr>
        <w:t xml:space="preserve"> و</w:t>
      </w:r>
      <w:hyperlink r:id="rId17" w:history="1">
        <w:r w:rsidRPr="00F748C4">
          <w:rPr>
            <w:rStyle w:val="Hyperlink"/>
          </w:rPr>
          <w:t>CRPD/C/</w:t>
        </w:r>
        <w:proofErr w:type="spellStart"/>
        <w:r w:rsidRPr="00F748C4">
          <w:rPr>
            <w:rStyle w:val="Hyperlink"/>
          </w:rPr>
          <w:t>KOR</w:t>
        </w:r>
        <w:proofErr w:type="spellEnd"/>
        <w:r w:rsidRPr="00F748C4">
          <w:rPr>
            <w:rStyle w:val="Hyperlink"/>
          </w:rPr>
          <w:t>/2-3</w:t>
        </w:r>
      </w:hyperlink>
      <w:r w:rsidRPr="00F748C4">
        <w:rPr>
          <w:rFonts w:cs="Times New Roman"/>
          <w:szCs w:val="18"/>
          <w:rtl/>
        </w:rPr>
        <w:t xml:space="preserve">. </w:t>
      </w:r>
    </w:p>
  </w:footnote>
  <w:footnote w:id="9">
    <w:p w14:paraId="0FDA39EC" w14:textId="77777777" w:rsidR="00F748C4" w:rsidRPr="00F748C4" w:rsidRDefault="00F748C4" w:rsidP="00430F8F">
      <w:pPr>
        <w:pStyle w:val="FootnoteText"/>
        <w:tabs>
          <w:tab w:val="clear" w:pos="1021"/>
        </w:tabs>
        <w:bidi/>
        <w:spacing w:after="60" w:line="280" w:lineRule="exact"/>
        <w:ind w:left="1247" w:right="1247" w:hanging="567"/>
        <w:jc w:val="left"/>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18" w:history="1">
        <w:r w:rsidRPr="00F748C4">
          <w:rPr>
            <w:rStyle w:val="Hyperlink"/>
          </w:rPr>
          <w:t>CRPD/C/</w:t>
        </w:r>
        <w:proofErr w:type="spellStart"/>
        <w:r w:rsidRPr="00F748C4">
          <w:rPr>
            <w:rStyle w:val="Hyperlink"/>
          </w:rPr>
          <w:t>BGD</w:t>
        </w:r>
        <w:proofErr w:type="spellEnd"/>
        <w:r w:rsidRPr="00F748C4">
          <w:rPr>
            <w:rStyle w:val="Hyperlink"/>
          </w:rPr>
          <w:t>/CO/1</w:t>
        </w:r>
      </w:hyperlink>
      <w:r w:rsidRPr="00641AE8">
        <w:rPr>
          <w:szCs w:val="18"/>
          <w:rtl/>
        </w:rPr>
        <w:t xml:space="preserve"> و</w:t>
      </w:r>
      <w:hyperlink r:id="rId19" w:history="1">
        <w:r w:rsidRPr="00F748C4">
          <w:rPr>
            <w:rStyle w:val="Hyperlink"/>
          </w:rPr>
          <w:t>CRPD/C/CHN/CO/2-3</w:t>
        </w:r>
      </w:hyperlink>
      <w:r w:rsidRPr="00641AE8">
        <w:rPr>
          <w:szCs w:val="18"/>
          <w:rtl/>
        </w:rPr>
        <w:t xml:space="preserve"> و</w:t>
      </w:r>
      <w:hyperlink r:id="rId20" w:history="1">
        <w:r w:rsidRPr="00F748C4">
          <w:rPr>
            <w:rStyle w:val="Hyperlink"/>
          </w:rPr>
          <w:t>CRPD/C/</w:t>
        </w:r>
        <w:proofErr w:type="spellStart"/>
        <w:r w:rsidRPr="00F748C4">
          <w:rPr>
            <w:rStyle w:val="Hyperlink"/>
          </w:rPr>
          <w:t>IDN</w:t>
        </w:r>
        <w:proofErr w:type="spellEnd"/>
        <w:r w:rsidRPr="00F748C4">
          <w:rPr>
            <w:rStyle w:val="Hyperlink"/>
          </w:rPr>
          <w:t>/CO/1</w:t>
        </w:r>
      </w:hyperlink>
      <w:r w:rsidRPr="00641AE8">
        <w:rPr>
          <w:szCs w:val="18"/>
          <w:rtl/>
        </w:rPr>
        <w:t xml:space="preserve"> و</w:t>
      </w:r>
      <w:hyperlink r:id="rId21" w:history="1">
        <w:r w:rsidRPr="00F748C4">
          <w:rPr>
            <w:rStyle w:val="Hyperlink"/>
          </w:rPr>
          <w:t>CRPD/C/JPN/CO/1</w:t>
        </w:r>
      </w:hyperlink>
      <w:r w:rsidRPr="00641AE8">
        <w:rPr>
          <w:szCs w:val="18"/>
          <w:rtl/>
        </w:rPr>
        <w:t xml:space="preserve"> و</w:t>
      </w:r>
      <w:hyperlink r:id="rId22" w:history="1">
        <w:r w:rsidRPr="00F748C4">
          <w:rPr>
            <w:rStyle w:val="Hyperlink"/>
          </w:rPr>
          <w:t>CRPD/C/LAO/CO/1</w:t>
        </w:r>
      </w:hyperlink>
      <w:r w:rsidRPr="00641AE8">
        <w:rPr>
          <w:szCs w:val="18"/>
          <w:rtl/>
        </w:rPr>
        <w:t xml:space="preserve"> و</w:t>
      </w:r>
      <w:hyperlink r:id="rId23" w:history="1">
        <w:r w:rsidRPr="00F748C4">
          <w:rPr>
            <w:rStyle w:val="Hyperlink"/>
          </w:rPr>
          <w:t>CRPD/C/NZL/CO/2-3</w:t>
        </w:r>
      </w:hyperlink>
      <w:r w:rsidRPr="00641AE8">
        <w:rPr>
          <w:szCs w:val="18"/>
          <w:rtl/>
        </w:rPr>
        <w:t xml:space="preserve"> و</w:t>
      </w:r>
      <w:hyperlink r:id="rId24" w:history="1">
        <w:r w:rsidRPr="00F748C4">
          <w:rPr>
            <w:rStyle w:val="Hyperlink"/>
          </w:rPr>
          <w:t>CRPD/C/</w:t>
        </w:r>
        <w:proofErr w:type="spellStart"/>
        <w:r w:rsidRPr="00F748C4">
          <w:rPr>
            <w:rStyle w:val="Hyperlink"/>
          </w:rPr>
          <w:t>KOR</w:t>
        </w:r>
        <w:proofErr w:type="spellEnd"/>
        <w:r w:rsidRPr="00F748C4">
          <w:rPr>
            <w:rStyle w:val="Hyperlink"/>
          </w:rPr>
          <w:t>/CO/2-3</w:t>
        </w:r>
      </w:hyperlink>
      <w:r w:rsidRPr="00641AE8">
        <w:rPr>
          <w:szCs w:val="18"/>
          <w:rtl/>
        </w:rPr>
        <w:t xml:space="preserve"> و</w:t>
      </w:r>
      <w:hyperlink r:id="rId25" w:history="1">
        <w:r w:rsidRPr="00F748C4">
          <w:rPr>
            <w:rStyle w:val="Hyperlink"/>
          </w:rPr>
          <w:t>CRPD/C/</w:t>
        </w:r>
        <w:proofErr w:type="spellStart"/>
        <w:r w:rsidRPr="00F748C4">
          <w:rPr>
            <w:rStyle w:val="Hyperlink"/>
          </w:rPr>
          <w:t>SGP</w:t>
        </w:r>
        <w:proofErr w:type="spellEnd"/>
        <w:r w:rsidRPr="00F748C4">
          <w:rPr>
            <w:rStyle w:val="Hyperlink"/>
          </w:rPr>
          <w:t>/CO/1</w:t>
        </w:r>
      </w:hyperlink>
      <w:r w:rsidRPr="00F748C4">
        <w:rPr>
          <w:rFonts w:cs="Times New Roman"/>
          <w:szCs w:val="18"/>
          <w:rtl/>
        </w:rPr>
        <w:t xml:space="preserve">. </w:t>
      </w:r>
    </w:p>
  </w:footnote>
  <w:footnote w:id="10">
    <w:p w14:paraId="3F882C98" w14:textId="3C5EF507" w:rsidR="00F748C4" w:rsidRPr="00F67B21" w:rsidRDefault="00F748C4" w:rsidP="00641AE8">
      <w:pPr>
        <w:pStyle w:val="FootnoteText"/>
        <w:tabs>
          <w:tab w:val="clear" w:pos="1021"/>
        </w:tabs>
        <w:bidi/>
        <w:spacing w:after="60" w:line="280" w:lineRule="exact"/>
        <w:ind w:left="1247" w:right="1247" w:hanging="567"/>
        <w:jc w:val="lowKashida"/>
        <w:textDirection w:val="tbRlV"/>
        <w:rPr>
          <w:spacing w:val="-4"/>
          <w:szCs w:val="18"/>
          <w:lang w:eastAsia="zh-TW" w:bidi="en-GB"/>
        </w:rPr>
      </w:pPr>
      <w:r w:rsidRPr="00F67B21">
        <w:rPr>
          <w:rStyle w:val="FootnoteReference"/>
          <w:spacing w:val="-4"/>
          <w:vertAlign w:val="baseline"/>
          <w:rtl/>
        </w:rPr>
        <w:t>(</w:t>
      </w:r>
      <w:r w:rsidRPr="00F67B21">
        <w:rPr>
          <w:rStyle w:val="FootnoteReference"/>
          <w:spacing w:val="-4"/>
          <w:vertAlign w:val="baseline"/>
          <w:rtl/>
        </w:rPr>
        <w:footnoteRef/>
      </w:r>
      <w:r w:rsidRPr="00F67B21">
        <w:rPr>
          <w:rStyle w:val="FootnoteReference"/>
          <w:spacing w:val="-4"/>
          <w:vertAlign w:val="baseline"/>
          <w:rtl/>
        </w:rPr>
        <w:t>)</w:t>
      </w:r>
      <w:r w:rsidRPr="00F67B21">
        <w:rPr>
          <w:spacing w:val="-4"/>
          <w:szCs w:val="18"/>
          <w:rtl/>
        </w:rPr>
        <w:t xml:space="preserve"> </w:t>
      </w:r>
      <w:r w:rsidRPr="00F67B21">
        <w:rPr>
          <w:spacing w:val="-4"/>
          <w:szCs w:val="18"/>
          <w:rtl/>
        </w:rPr>
        <w:tab/>
        <w:t xml:space="preserve">انظر قرار الجمعية العامة </w:t>
      </w:r>
      <w:proofErr w:type="spellStart"/>
      <w:r w:rsidRPr="00F67B21">
        <w:rPr>
          <w:spacing w:val="-4"/>
          <w:szCs w:val="18"/>
          <w:rtl/>
        </w:rPr>
        <w:t>دإط</w:t>
      </w:r>
      <w:proofErr w:type="spellEnd"/>
      <w:r w:rsidRPr="00F67B21">
        <w:rPr>
          <w:spacing w:val="-4"/>
          <w:szCs w:val="18"/>
          <w:rtl/>
        </w:rPr>
        <w:t>-11</w:t>
      </w:r>
      <w:r w:rsidRPr="00F67B21">
        <w:rPr>
          <w:rFonts w:ascii="Traditional Arabic"/>
          <w:spacing w:val="-4"/>
          <w:szCs w:val="18"/>
          <w:rtl/>
        </w:rPr>
        <w:t>/</w:t>
      </w:r>
      <w:r w:rsidRPr="00F67B21">
        <w:rPr>
          <w:spacing w:val="-4"/>
          <w:szCs w:val="18"/>
          <w:rtl/>
        </w:rPr>
        <w:t>1 المؤرخ 2 آذار/مارس 2022 وقرار مجلس حقوق الإنسان 49</w:t>
      </w:r>
      <w:r w:rsidRPr="00F67B21">
        <w:rPr>
          <w:rFonts w:ascii="Traditional Arabic"/>
          <w:spacing w:val="-4"/>
          <w:szCs w:val="18"/>
          <w:rtl/>
        </w:rPr>
        <w:t>/</w:t>
      </w:r>
      <w:r w:rsidRPr="00F67B21">
        <w:rPr>
          <w:spacing w:val="-4"/>
          <w:szCs w:val="18"/>
          <w:rtl/>
        </w:rPr>
        <w:t xml:space="preserve">1 المؤرخ 4 آذار/مارس 2022. </w:t>
      </w:r>
    </w:p>
  </w:footnote>
  <w:footnote w:id="11">
    <w:p w14:paraId="566A52FB" w14:textId="77777777" w:rsidR="00F748C4" w:rsidRPr="00AF1323" w:rsidRDefault="00F748C4" w:rsidP="00641AE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الاتحاد الأوروبي، بيلاروس، تركيا، جمهورية مولدوفا، فنلندا، لاتفيا، ليتوانيا</w:t>
      </w:r>
      <w:r>
        <w:rPr>
          <w:szCs w:val="18"/>
          <w:rtl/>
        </w:rPr>
        <w:t xml:space="preserve">. </w:t>
      </w:r>
    </w:p>
  </w:footnote>
  <w:footnote w:id="12">
    <w:p w14:paraId="0B14F07B"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الاتحاد الأوروبي، بلغاريا، بيلاروس، تركيا، جمهورية مولدوفا، فنلندا، لاتفيا، ليتوانيا، هنغاريا</w:t>
      </w:r>
      <w:r>
        <w:rPr>
          <w:szCs w:val="18"/>
          <w:rtl/>
        </w:rPr>
        <w:t xml:space="preserve">. </w:t>
      </w:r>
    </w:p>
  </w:footnote>
  <w:footnote w:id="13">
    <w:p w14:paraId="65451BC1"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الاتحاد الأوروبي، وجمهورية مولدوفا، ولاتفيا، وليتوانيا</w:t>
      </w:r>
      <w:r>
        <w:rPr>
          <w:szCs w:val="18"/>
          <w:rtl/>
        </w:rPr>
        <w:t xml:space="preserve">. </w:t>
      </w:r>
    </w:p>
  </w:footnote>
  <w:footnote w:id="14">
    <w:p w14:paraId="7894C1F2"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الاتحاد الأوروبي، وبلغاريا، ولاتفيا، وهنغاريا</w:t>
      </w:r>
      <w:r>
        <w:rPr>
          <w:szCs w:val="18"/>
          <w:rtl/>
        </w:rPr>
        <w:t xml:space="preserve">. </w:t>
      </w:r>
    </w:p>
  </w:footnote>
  <w:footnote w:id="15">
    <w:p w14:paraId="40635A75"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جمهورية مولدوفا، ولاتفيا، وليتوانيا</w:t>
      </w:r>
      <w:r>
        <w:rPr>
          <w:szCs w:val="18"/>
          <w:rtl/>
        </w:rPr>
        <w:t xml:space="preserve">. </w:t>
      </w:r>
    </w:p>
  </w:footnote>
  <w:footnote w:id="16">
    <w:p w14:paraId="4D1D8F8C"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26" w:history="1">
        <w:r w:rsidRPr="00F748C4">
          <w:rPr>
            <w:rStyle w:val="Hyperlink"/>
          </w:rPr>
          <w:t>A/72/55</w:t>
        </w:r>
      </w:hyperlink>
      <w:r w:rsidRPr="00641AE8">
        <w:rPr>
          <w:szCs w:val="18"/>
          <w:rtl/>
        </w:rPr>
        <w:t xml:space="preserve">، الفقرة </w:t>
      </w:r>
      <w:r w:rsidRPr="00641AE8">
        <w:rPr>
          <w:rFonts w:ascii="Traditional Arabic"/>
          <w:szCs w:val="18"/>
          <w:rtl/>
        </w:rPr>
        <w:t>3</w:t>
      </w:r>
      <w:r w:rsidRPr="00F748C4">
        <w:rPr>
          <w:rFonts w:ascii="Traditional Arabic"/>
          <w:szCs w:val="18"/>
          <w:rtl/>
        </w:rPr>
        <w:t>2</w:t>
      </w:r>
      <w:r w:rsidRPr="00F748C4">
        <w:rPr>
          <w:szCs w:val="18"/>
          <w:rtl/>
        </w:rPr>
        <w:t xml:space="preserve">. </w:t>
      </w:r>
    </w:p>
  </w:footnote>
  <w:footnote w:id="17">
    <w:p w14:paraId="04D0EED3"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الوثيقة </w:t>
      </w:r>
      <w:hyperlink r:id="rId27" w:history="1">
        <w:r w:rsidRPr="00F748C4">
          <w:rPr>
            <w:rStyle w:val="Hyperlink"/>
          </w:rPr>
          <w:t>A/76/55</w:t>
        </w:r>
      </w:hyperlink>
      <w:r w:rsidRPr="00641AE8">
        <w:rPr>
          <w:szCs w:val="18"/>
          <w:rtl/>
        </w:rPr>
        <w:t xml:space="preserve">، الفقرة </w:t>
      </w:r>
      <w:r w:rsidRPr="00641AE8">
        <w:rPr>
          <w:rFonts w:ascii="Traditional Arabic"/>
          <w:szCs w:val="18"/>
          <w:rtl/>
        </w:rPr>
        <w:t>2</w:t>
      </w:r>
      <w:r w:rsidRPr="00F748C4">
        <w:rPr>
          <w:rFonts w:ascii="Traditional Arabic"/>
          <w:szCs w:val="18"/>
          <w:rtl/>
        </w:rPr>
        <w:t>1</w:t>
      </w:r>
      <w:r w:rsidRPr="00F748C4">
        <w:rPr>
          <w:szCs w:val="18"/>
          <w:rtl/>
        </w:rPr>
        <w:t xml:space="preserve">. </w:t>
      </w:r>
    </w:p>
  </w:footnote>
  <w:footnote w:id="18">
    <w:p w14:paraId="59BC6734" w14:textId="6C427D95"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28" w:history="1">
        <w:r w:rsidRPr="00F748C4">
          <w:rPr>
            <w:rStyle w:val="Hyperlink"/>
          </w:rPr>
          <w:t>A/74/55</w:t>
        </w:r>
      </w:hyperlink>
      <w:r w:rsidRPr="00641AE8">
        <w:rPr>
          <w:szCs w:val="18"/>
          <w:rtl/>
        </w:rPr>
        <w:t xml:space="preserve">، الفقرة </w:t>
      </w:r>
      <w:r w:rsidRPr="00641AE8">
        <w:rPr>
          <w:rFonts w:ascii="Traditional Arabic"/>
          <w:szCs w:val="18"/>
          <w:rtl/>
        </w:rPr>
        <w:t>74</w:t>
      </w:r>
      <w:r w:rsidR="00A015B0">
        <w:rPr>
          <w:rFonts w:hint="cs"/>
          <w:szCs w:val="18"/>
          <w:rtl/>
        </w:rPr>
        <w:t>.</w:t>
      </w:r>
    </w:p>
  </w:footnote>
  <w:footnote w:id="19">
    <w:p w14:paraId="2AEF063A"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29" w:history="1">
        <w:r w:rsidRPr="00F748C4">
          <w:rPr>
            <w:rStyle w:val="Hyperlink"/>
          </w:rPr>
          <w:t>A/70/55</w:t>
        </w:r>
      </w:hyperlink>
      <w:r w:rsidRPr="00641AE8">
        <w:rPr>
          <w:szCs w:val="18"/>
          <w:rtl/>
        </w:rPr>
        <w:t xml:space="preserve">، الفقرة </w:t>
      </w:r>
      <w:r w:rsidRPr="00641AE8">
        <w:rPr>
          <w:rFonts w:ascii="Traditional Arabic"/>
          <w:szCs w:val="18"/>
          <w:rtl/>
        </w:rPr>
        <w:t>3</w:t>
      </w:r>
      <w:r w:rsidRPr="00F748C4">
        <w:rPr>
          <w:rFonts w:ascii="Traditional Arabic"/>
          <w:szCs w:val="18"/>
          <w:rtl/>
        </w:rPr>
        <w:t>1</w:t>
      </w:r>
      <w:r w:rsidRPr="00F748C4">
        <w:rPr>
          <w:szCs w:val="18"/>
          <w:rtl/>
        </w:rPr>
        <w:t xml:space="preserve">. </w:t>
      </w:r>
    </w:p>
  </w:footnote>
  <w:footnote w:id="20">
    <w:p w14:paraId="35A150C2"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الوثيقة </w:t>
      </w:r>
      <w:hyperlink r:id="rId30" w:history="1">
        <w:r w:rsidRPr="00F748C4">
          <w:rPr>
            <w:rStyle w:val="Hyperlink"/>
          </w:rPr>
          <w:t>A/76/55</w:t>
        </w:r>
      </w:hyperlink>
      <w:r w:rsidRPr="00641AE8">
        <w:rPr>
          <w:szCs w:val="18"/>
          <w:rtl/>
        </w:rPr>
        <w:t xml:space="preserve">، الفقرة </w:t>
      </w:r>
      <w:r w:rsidRPr="00641AE8">
        <w:rPr>
          <w:rFonts w:ascii="Traditional Arabic"/>
          <w:szCs w:val="18"/>
          <w:rtl/>
        </w:rPr>
        <w:t>2</w:t>
      </w:r>
      <w:r w:rsidRPr="00F748C4">
        <w:rPr>
          <w:rFonts w:ascii="Traditional Arabic"/>
          <w:szCs w:val="18"/>
          <w:rtl/>
        </w:rPr>
        <w:t>1</w:t>
      </w:r>
      <w:r w:rsidRPr="00F748C4">
        <w:rPr>
          <w:szCs w:val="18"/>
          <w:rtl/>
        </w:rPr>
        <w:t xml:space="preserve">. </w:t>
      </w:r>
    </w:p>
  </w:footnote>
  <w:footnote w:id="21">
    <w:p w14:paraId="5410389A"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31" w:history="1">
        <w:r w:rsidRPr="00F748C4">
          <w:rPr>
            <w:rStyle w:val="Hyperlink"/>
          </w:rPr>
          <w:t>CRPD/C/</w:t>
        </w:r>
        <w:proofErr w:type="spellStart"/>
        <w:r w:rsidRPr="00F748C4">
          <w:rPr>
            <w:rStyle w:val="Hyperlink"/>
          </w:rPr>
          <w:t>UKR</w:t>
        </w:r>
        <w:proofErr w:type="spellEnd"/>
        <w:r w:rsidRPr="00F748C4">
          <w:rPr>
            <w:rStyle w:val="Hyperlink"/>
          </w:rPr>
          <w:t>/CO/1</w:t>
        </w:r>
      </w:hyperlink>
      <w:r w:rsidRPr="00641AE8">
        <w:rPr>
          <w:szCs w:val="18"/>
          <w:rtl/>
        </w:rPr>
        <w:t xml:space="preserve">، الفقرة </w:t>
      </w:r>
      <w:r w:rsidRPr="00641AE8">
        <w:rPr>
          <w:rFonts w:ascii="Traditional Arabic"/>
          <w:szCs w:val="18"/>
          <w:rtl/>
        </w:rPr>
        <w:t>1</w:t>
      </w:r>
      <w:r w:rsidRPr="00F748C4">
        <w:rPr>
          <w:rFonts w:ascii="Traditional Arabic"/>
          <w:szCs w:val="18"/>
          <w:rtl/>
        </w:rPr>
        <w:t>4</w:t>
      </w:r>
      <w:r w:rsidRPr="00F748C4">
        <w:rPr>
          <w:szCs w:val="18"/>
          <w:rtl/>
        </w:rPr>
        <w:t xml:space="preserve">. </w:t>
      </w:r>
    </w:p>
  </w:footnote>
  <w:footnote w:id="22">
    <w:p w14:paraId="02EAC9EF"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المرجع نفسه، الفقرة </w:t>
      </w:r>
      <w:r w:rsidRPr="00641AE8">
        <w:rPr>
          <w:rFonts w:ascii="Traditional Arabic"/>
          <w:szCs w:val="18"/>
          <w:rtl/>
        </w:rPr>
        <w:t>25</w:t>
      </w:r>
      <w:r w:rsidRPr="00641AE8">
        <w:rPr>
          <w:szCs w:val="18"/>
          <w:rtl/>
        </w:rPr>
        <w:t>، و</w:t>
      </w:r>
      <w:hyperlink r:id="rId32" w:history="1">
        <w:r w:rsidRPr="00F748C4">
          <w:rPr>
            <w:rStyle w:val="Hyperlink"/>
          </w:rPr>
          <w:t>CRPD/C/KEN/CO/1</w:t>
        </w:r>
      </w:hyperlink>
      <w:r w:rsidRPr="00641AE8">
        <w:rPr>
          <w:szCs w:val="18"/>
          <w:rtl/>
        </w:rPr>
        <w:t xml:space="preserve">، الفقرة </w:t>
      </w:r>
      <w:r w:rsidRPr="00641AE8">
        <w:rPr>
          <w:rFonts w:ascii="Traditional Arabic"/>
          <w:szCs w:val="18"/>
          <w:rtl/>
        </w:rPr>
        <w:t>22(</w:t>
      </w:r>
      <w:r w:rsidRPr="00641AE8">
        <w:rPr>
          <w:szCs w:val="18"/>
          <w:rtl/>
        </w:rPr>
        <w:t>ج</w:t>
      </w:r>
      <w:r w:rsidRPr="00F748C4">
        <w:rPr>
          <w:rFonts w:ascii="Traditional Arabic"/>
          <w:szCs w:val="18"/>
          <w:rtl/>
        </w:rPr>
        <w:t>)</w:t>
      </w:r>
      <w:r w:rsidRPr="00F748C4">
        <w:rPr>
          <w:szCs w:val="18"/>
          <w:rtl/>
        </w:rPr>
        <w:t xml:space="preserve">. </w:t>
      </w:r>
    </w:p>
  </w:footnote>
  <w:footnote w:id="23">
    <w:p w14:paraId="372BB17A"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 xml:space="preserve"> </w:t>
      </w:r>
      <w:r w:rsidRPr="00641AE8">
        <w:rPr>
          <w:szCs w:val="18"/>
          <w:rtl/>
        </w:rPr>
        <w:tab/>
      </w:r>
      <w:hyperlink r:id="rId33" w:history="1">
        <w:r w:rsidRPr="00F748C4">
          <w:rPr>
            <w:rStyle w:val="Hyperlink"/>
          </w:rPr>
          <w:t>CRPD/C/</w:t>
        </w:r>
        <w:proofErr w:type="spellStart"/>
        <w:r w:rsidRPr="00F748C4">
          <w:rPr>
            <w:rStyle w:val="Hyperlink"/>
          </w:rPr>
          <w:t>UKR</w:t>
        </w:r>
        <w:proofErr w:type="spellEnd"/>
        <w:r w:rsidRPr="00F748C4">
          <w:rPr>
            <w:rStyle w:val="Hyperlink"/>
          </w:rPr>
          <w:t>/CO/1</w:t>
        </w:r>
      </w:hyperlink>
      <w:r w:rsidRPr="00641AE8">
        <w:rPr>
          <w:szCs w:val="18"/>
          <w:rtl/>
        </w:rPr>
        <w:t xml:space="preserve">، الفقرتان </w:t>
      </w:r>
      <w:r w:rsidRPr="00641AE8">
        <w:rPr>
          <w:rFonts w:ascii="Traditional Arabic"/>
          <w:szCs w:val="18"/>
          <w:rtl/>
        </w:rPr>
        <w:t>14</w:t>
      </w:r>
      <w:r w:rsidRPr="00641AE8">
        <w:rPr>
          <w:szCs w:val="18"/>
          <w:rtl/>
        </w:rPr>
        <w:t xml:space="preserve"> </w:t>
      </w:r>
      <w:proofErr w:type="spellStart"/>
      <w:r w:rsidRPr="00641AE8">
        <w:rPr>
          <w:szCs w:val="18"/>
          <w:rtl/>
        </w:rPr>
        <w:t>و</w:t>
      </w:r>
      <w:r w:rsidRPr="00641AE8">
        <w:rPr>
          <w:rFonts w:ascii="Traditional Arabic"/>
          <w:szCs w:val="18"/>
          <w:rtl/>
        </w:rPr>
        <w:t>3</w:t>
      </w:r>
      <w:r w:rsidRPr="00F748C4">
        <w:rPr>
          <w:rFonts w:ascii="Traditional Arabic"/>
          <w:szCs w:val="18"/>
          <w:rtl/>
        </w:rPr>
        <w:t>7</w:t>
      </w:r>
      <w:proofErr w:type="spellEnd"/>
      <w:r w:rsidRPr="00F748C4">
        <w:rPr>
          <w:szCs w:val="18"/>
          <w:rtl/>
        </w:rPr>
        <w:t xml:space="preserve">. </w:t>
      </w:r>
    </w:p>
  </w:footnote>
  <w:footnote w:id="24">
    <w:p w14:paraId="561E9DF7"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34" w:history="1">
        <w:r w:rsidRPr="00F748C4">
          <w:rPr>
            <w:rStyle w:val="Hyperlink"/>
          </w:rPr>
          <w:t>E/</w:t>
        </w:r>
        <w:proofErr w:type="spellStart"/>
        <w:r w:rsidRPr="00F748C4">
          <w:rPr>
            <w:rStyle w:val="Hyperlink"/>
          </w:rPr>
          <w:t>CN.4</w:t>
        </w:r>
        <w:proofErr w:type="spellEnd"/>
        <w:r w:rsidRPr="00F748C4">
          <w:rPr>
            <w:rStyle w:val="Hyperlink"/>
          </w:rPr>
          <w:t>/1998/53/</w:t>
        </w:r>
        <w:proofErr w:type="spellStart"/>
        <w:r w:rsidRPr="00F748C4">
          <w:rPr>
            <w:rStyle w:val="Hyperlink"/>
          </w:rPr>
          <w:t>Add.2</w:t>
        </w:r>
        <w:proofErr w:type="spellEnd"/>
      </w:hyperlink>
      <w:r w:rsidRPr="00641AE8">
        <w:rPr>
          <w:szCs w:val="18"/>
          <w:rtl/>
        </w:rPr>
        <w:t>، المرفق</w:t>
      </w:r>
      <w:r>
        <w:rPr>
          <w:szCs w:val="18"/>
          <w:rtl/>
        </w:rPr>
        <w:t xml:space="preserve">. </w:t>
      </w:r>
    </w:p>
  </w:footnote>
  <w:footnote w:id="25">
    <w:p w14:paraId="21C2DD19"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المفوضية السامية لحقوق الإنسان، </w:t>
      </w:r>
      <w:r w:rsidRPr="00700100">
        <w:rPr>
          <w:rFonts w:cs="Times New Roman"/>
          <w:i/>
          <w:iCs/>
          <w:szCs w:val="18"/>
        </w:rPr>
        <w:t>Situation of Human Rights in Ukraine in the Context of the Armed Attack by the Russian Federation: 24 February to 15 May 2022</w:t>
      </w:r>
      <w:r w:rsidRPr="00641AE8">
        <w:rPr>
          <w:rFonts w:cs="Times New Roman"/>
          <w:szCs w:val="18"/>
          <w:rtl/>
        </w:rPr>
        <w:t xml:space="preserve"> </w:t>
      </w:r>
      <w:r w:rsidRPr="00641AE8">
        <w:rPr>
          <w:rFonts w:ascii="Traditional Arabic"/>
          <w:szCs w:val="18"/>
          <w:rtl/>
        </w:rPr>
        <w:t>(</w:t>
      </w:r>
      <w:r w:rsidRPr="00641AE8">
        <w:rPr>
          <w:szCs w:val="18"/>
          <w:rtl/>
        </w:rPr>
        <w:t xml:space="preserve">جنيف، </w:t>
      </w:r>
      <w:r w:rsidRPr="00641AE8">
        <w:rPr>
          <w:rFonts w:ascii="Traditional Arabic"/>
          <w:szCs w:val="18"/>
          <w:rtl/>
        </w:rPr>
        <w:t>2022</w:t>
      </w:r>
      <w:r w:rsidRPr="00F748C4">
        <w:rPr>
          <w:rFonts w:ascii="Traditional Arabic"/>
          <w:szCs w:val="18"/>
          <w:rtl/>
        </w:rPr>
        <w:t>)</w:t>
      </w:r>
      <w:r w:rsidRPr="00F748C4">
        <w:rPr>
          <w:szCs w:val="18"/>
          <w:rtl/>
        </w:rPr>
        <w:t xml:space="preserve">، </w:t>
      </w:r>
      <w:r w:rsidRPr="00641AE8">
        <w:rPr>
          <w:szCs w:val="18"/>
          <w:rtl/>
        </w:rPr>
        <w:t xml:space="preserve">الفقرة </w:t>
      </w:r>
      <w:r w:rsidRPr="00641AE8">
        <w:rPr>
          <w:rFonts w:ascii="Traditional Arabic"/>
          <w:szCs w:val="18"/>
          <w:rtl/>
        </w:rPr>
        <w:t>6</w:t>
      </w:r>
      <w:r w:rsidRPr="00F748C4">
        <w:rPr>
          <w:rFonts w:ascii="Traditional Arabic"/>
          <w:szCs w:val="18"/>
          <w:rtl/>
        </w:rPr>
        <w:t>9</w:t>
      </w:r>
      <w:r w:rsidRPr="00F748C4">
        <w:rPr>
          <w:szCs w:val="18"/>
          <w:rtl/>
        </w:rPr>
        <w:t xml:space="preserve">. </w:t>
      </w:r>
    </w:p>
  </w:footnote>
  <w:footnote w:id="26">
    <w:p w14:paraId="4D93DF4C" w14:textId="77777777" w:rsidR="00F748C4" w:rsidRPr="00D5111E" w:rsidRDefault="00F748C4" w:rsidP="00641AE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المرجع نفسه، الفقرة </w:t>
      </w:r>
      <w:r w:rsidRPr="00641AE8">
        <w:rPr>
          <w:rFonts w:ascii="Traditional Arabic"/>
          <w:szCs w:val="18"/>
          <w:rtl/>
        </w:rPr>
        <w:t>3</w:t>
      </w:r>
      <w:r w:rsidRPr="00F748C4">
        <w:rPr>
          <w:rFonts w:ascii="Traditional Arabic"/>
          <w:szCs w:val="18"/>
          <w:rtl/>
        </w:rPr>
        <w:t>7</w:t>
      </w:r>
      <w:r w:rsidRPr="00F748C4">
        <w:rPr>
          <w:szCs w:val="18"/>
          <w:rtl/>
        </w:rPr>
        <w:t xml:space="preserve">. </w:t>
      </w:r>
    </w:p>
  </w:footnote>
  <w:footnote w:id="27">
    <w:p w14:paraId="16A7D1D4" w14:textId="38D7536C"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انظر هيئة الأمم المتحدة للمساواة بين الجنسين وتمكين المرأة ومنظمة "كير" الدولية، </w:t>
      </w:r>
      <w:r w:rsidRPr="00700100">
        <w:rPr>
          <w:rFonts w:cs="Times New Roman"/>
          <w:i/>
          <w:iCs/>
          <w:szCs w:val="18"/>
        </w:rPr>
        <w:t>Rapid Gender Analysis of</w:t>
      </w:r>
      <w:r w:rsidR="00700100">
        <w:rPr>
          <w:rFonts w:cs="Times New Roman"/>
          <w:i/>
          <w:iCs/>
          <w:szCs w:val="18"/>
        </w:rPr>
        <w:t xml:space="preserve"> </w:t>
      </w:r>
      <w:r w:rsidRPr="00700100">
        <w:rPr>
          <w:rFonts w:cs="Times New Roman"/>
          <w:i/>
          <w:iCs/>
          <w:szCs w:val="18"/>
        </w:rPr>
        <w:t>Ukraine</w:t>
      </w:r>
      <w:r w:rsidRPr="00641AE8">
        <w:rPr>
          <w:rFonts w:cs="Times New Roman"/>
          <w:szCs w:val="18"/>
          <w:rtl/>
        </w:rPr>
        <w:t xml:space="preserve"> </w:t>
      </w:r>
      <w:r w:rsidRPr="00641AE8">
        <w:rPr>
          <w:rFonts w:ascii="Traditional Arabic"/>
          <w:szCs w:val="18"/>
          <w:rtl/>
        </w:rPr>
        <w:t>(</w:t>
      </w:r>
      <w:r w:rsidRPr="00641AE8">
        <w:rPr>
          <w:szCs w:val="18"/>
          <w:rtl/>
        </w:rPr>
        <w:t xml:space="preserve">كييف وجنيف، </w:t>
      </w:r>
      <w:r w:rsidRPr="00AB1485">
        <w:rPr>
          <w:szCs w:val="18"/>
          <w:rtl/>
        </w:rPr>
        <w:t>2022</w:t>
      </w:r>
      <w:r w:rsidRPr="00F748C4">
        <w:rPr>
          <w:rFonts w:ascii="Traditional Arabic"/>
          <w:szCs w:val="18"/>
          <w:rtl/>
        </w:rPr>
        <w:t>)</w:t>
      </w:r>
      <w:r w:rsidRPr="00F748C4">
        <w:rPr>
          <w:szCs w:val="18"/>
          <w:rtl/>
        </w:rPr>
        <w:t xml:space="preserve">. </w:t>
      </w:r>
    </w:p>
  </w:footnote>
  <w:footnote w:id="28">
    <w:p w14:paraId="0967825D"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المرجع نفسه</w:t>
      </w:r>
      <w:r>
        <w:rPr>
          <w:szCs w:val="18"/>
          <w:rtl/>
        </w:rPr>
        <w:t xml:space="preserve">. </w:t>
      </w:r>
    </w:p>
  </w:footnote>
  <w:footnote w:id="29">
    <w:p w14:paraId="221DC5BC" w14:textId="77777777" w:rsidR="00F748C4" w:rsidRPr="00641AE8" w:rsidRDefault="00F748C4" w:rsidP="00641AE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انظر </w:t>
      </w:r>
      <w:r w:rsidRPr="00641AE8">
        <w:rPr>
          <w:rFonts w:cs="Times New Roman"/>
          <w:szCs w:val="18"/>
        </w:rPr>
        <w:t>WH</w:t>
      </w:r>
      <w:r w:rsidRPr="00F748C4">
        <w:rPr>
          <w:rFonts w:cs="Times New Roman"/>
          <w:szCs w:val="18"/>
        </w:rPr>
        <w:t xml:space="preserve">O, </w:t>
      </w:r>
      <w:r w:rsidRPr="00641AE8">
        <w:rPr>
          <w:rFonts w:cs="Times New Roman"/>
          <w:szCs w:val="18"/>
        </w:rPr>
        <w:t>“Emergency in Ukrain</w:t>
      </w:r>
      <w:r w:rsidRPr="00F748C4">
        <w:rPr>
          <w:rFonts w:cs="Times New Roman"/>
          <w:szCs w:val="18"/>
        </w:rPr>
        <w:t xml:space="preserve">e: </w:t>
      </w:r>
      <w:r w:rsidRPr="00641AE8">
        <w:rPr>
          <w:rFonts w:cs="Times New Roman"/>
          <w:szCs w:val="18"/>
        </w:rPr>
        <w:t>external situation report #19”, 11 August 202</w:t>
      </w:r>
      <w:r w:rsidRPr="00F748C4">
        <w:rPr>
          <w:rFonts w:cs="Times New Roman"/>
          <w:szCs w:val="18"/>
        </w:rPr>
        <w:t>2</w:t>
      </w:r>
      <w:r w:rsidRPr="00F748C4">
        <w:rPr>
          <w:rFonts w:cs="Times New Roman"/>
          <w:szCs w:val="18"/>
          <w:rtl/>
        </w:rPr>
        <w:t xml:space="preserve">. </w:t>
      </w:r>
    </w:p>
  </w:footnote>
  <w:footnote w:id="30">
    <w:p w14:paraId="5ED59D51" w14:textId="77777777" w:rsidR="00F748C4" w:rsidRPr="00D17378" w:rsidRDefault="00F748C4" w:rsidP="00641AE8">
      <w:pPr>
        <w:pStyle w:val="FootnoteText"/>
        <w:tabs>
          <w:tab w:val="clear" w:pos="1021"/>
        </w:tabs>
        <w:bidi/>
        <w:spacing w:after="60" w:line="280" w:lineRule="exact"/>
        <w:ind w:left="1247" w:right="1247" w:hanging="567"/>
        <w:jc w:val="lowKashida"/>
        <w:textDirection w:val="tbRlV"/>
        <w:rPr>
          <w:szCs w:val="18"/>
        </w:rPr>
      </w:pPr>
      <w:r w:rsidRPr="00D17378">
        <w:rPr>
          <w:szCs w:val="18"/>
          <w:rtl/>
        </w:rPr>
        <w:t>(</w:t>
      </w:r>
      <w:r w:rsidRPr="00D17378">
        <w:rPr>
          <w:szCs w:val="18"/>
          <w:rtl/>
        </w:rPr>
        <w:footnoteRef/>
      </w:r>
      <w:r w:rsidRPr="00D17378">
        <w:rPr>
          <w:szCs w:val="18"/>
          <w:rtl/>
        </w:rPr>
        <w:t>)</w:t>
      </w:r>
      <w:r w:rsidRPr="00D17378">
        <w:rPr>
          <w:szCs w:val="18"/>
          <w:rtl/>
        </w:rPr>
        <w:tab/>
        <w:t xml:space="preserve">قرار الجمعية العامة 2675 (د-25) المؤرخ 9 كانون الأول/ديسمبر 1970. </w:t>
      </w:r>
    </w:p>
  </w:footnote>
  <w:footnote w:id="31">
    <w:p w14:paraId="6A2E2A4A" w14:textId="77777777" w:rsidR="00F748C4" w:rsidRPr="00641AE8" w:rsidRDefault="00F748C4" w:rsidP="00700100">
      <w:pPr>
        <w:pStyle w:val="FootnoteText"/>
        <w:tabs>
          <w:tab w:val="clear" w:pos="1021"/>
        </w:tabs>
        <w:bidi/>
        <w:spacing w:after="60" w:line="280" w:lineRule="exact"/>
        <w:ind w:left="1247" w:right="1247" w:hanging="567"/>
        <w:jc w:val="left"/>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t xml:space="preserve">انظر </w:t>
      </w:r>
      <w:hyperlink r:id="rId35" w:history="1">
        <w:r w:rsidRPr="00F748C4">
          <w:rPr>
            <w:rStyle w:val="Hyperlink"/>
          </w:rPr>
          <w:t>www.ohchr.org/en/statements/2022/04/ukraine-27-million-people-disabilities-risk-un-committee-warns</w:t>
        </w:r>
      </w:hyperlink>
      <w:r w:rsidRPr="00F748C4">
        <w:rPr>
          <w:rFonts w:cs="Times New Roman"/>
          <w:szCs w:val="18"/>
          <w:rtl/>
        </w:rPr>
        <w:t xml:space="preserve">. </w:t>
      </w:r>
    </w:p>
  </w:footnote>
  <w:footnote w:id="32">
    <w:p w14:paraId="6066579E"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36" w:history="1">
        <w:r w:rsidRPr="00F748C4">
          <w:rPr>
            <w:rStyle w:val="Hyperlink"/>
          </w:rPr>
          <w:t>CRPD/C/27/D/56/2018</w:t>
        </w:r>
      </w:hyperlink>
      <w:r w:rsidRPr="00F748C4">
        <w:rPr>
          <w:rFonts w:cs="Times New Roman"/>
          <w:szCs w:val="18"/>
          <w:rtl/>
        </w:rPr>
        <w:t xml:space="preserve">. </w:t>
      </w:r>
    </w:p>
  </w:footnote>
  <w:footnote w:id="33">
    <w:p w14:paraId="7F644B3B"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37" w:history="1">
        <w:r w:rsidRPr="00F748C4">
          <w:rPr>
            <w:rStyle w:val="Hyperlink"/>
          </w:rPr>
          <w:t>CRPD/C/27/D/51/2018</w:t>
        </w:r>
      </w:hyperlink>
      <w:r w:rsidRPr="00F748C4">
        <w:rPr>
          <w:rFonts w:cs="Times New Roman"/>
          <w:szCs w:val="18"/>
          <w:rtl/>
        </w:rPr>
        <w:t xml:space="preserve">. </w:t>
      </w:r>
    </w:p>
  </w:footnote>
  <w:footnote w:id="34">
    <w:p w14:paraId="337CCC9F" w14:textId="77777777" w:rsidR="00F748C4" w:rsidRPr="00641AE8" w:rsidRDefault="00F748C4" w:rsidP="00F748C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641AE8">
        <w:rPr>
          <w:rStyle w:val="FootnoteReference"/>
          <w:vertAlign w:val="baseline"/>
          <w:rtl/>
        </w:rPr>
        <w:footnoteRef/>
      </w:r>
      <w:r>
        <w:rPr>
          <w:rStyle w:val="FootnoteReference"/>
          <w:vertAlign w:val="baseline"/>
          <w:rtl/>
        </w:rPr>
        <w:t>)</w:t>
      </w:r>
      <w:r w:rsidRPr="00641AE8">
        <w:rPr>
          <w:szCs w:val="18"/>
          <w:rtl/>
        </w:rPr>
        <w:tab/>
      </w:r>
      <w:hyperlink r:id="rId38" w:history="1">
        <w:r w:rsidRPr="00F748C4">
          <w:rPr>
            <w:rStyle w:val="Hyperlink"/>
          </w:rPr>
          <w:t>CRPD/C/27/D/85/2021</w:t>
        </w:r>
      </w:hyperlink>
      <w:r w:rsidRPr="00F748C4">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5A8B8" w14:textId="7E8059B2" w:rsidR="00CB378F" w:rsidRPr="00CB378F" w:rsidRDefault="00CB378F" w:rsidP="00CB378F">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413B">
      <w:t>CRPD/C/27/2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6F46" w14:textId="5513B091" w:rsidR="00CB378F" w:rsidRPr="00CB378F" w:rsidRDefault="00CB378F" w:rsidP="00CB378F">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413B">
      <w:t>CRPD/C/27/2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E085C" w14:textId="410D0B18" w:rsidR="00915488" w:rsidRPr="00915488" w:rsidRDefault="00915488" w:rsidP="00943E4B">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413B">
      <w:t>CRPD/C/27/2</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AD800" w14:textId="4C2A7830" w:rsidR="00915488" w:rsidRPr="00915488" w:rsidRDefault="00915488" w:rsidP="00943E4B">
    <w:pPr>
      <w:pStyle w:val="Header"/>
      <w:jc w:val="righ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87413B">
      <w:t>CRPD/C/27/2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F0A3B"/>
    <w:multiLevelType w:val="hybridMultilevel"/>
    <w:tmpl w:val="4134E318"/>
    <w:lvl w:ilvl="0" w:tplc="C7663EB6">
      <w:start w:val="1"/>
      <w:numFmt w:val="decimal"/>
      <w:lvlText w:val="%1."/>
      <w:lvlJc w:val="left"/>
      <w:pPr>
        <w:ind w:left="185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3"/>
  </w:num>
  <w:num w:numId="4">
    <w:abstractNumId w:val="12"/>
  </w:num>
  <w:num w:numId="5">
    <w:abstractNumId w:val="9"/>
  </w:num>
  <w:num w:numId="6">
    <w:abstractNumId w:val="6"/>
  </w:num>
  <w:num w:numId="7">
    <w:abstractNumId w:val="18"/>
  </w:num>
  <w:num w:numId="8">
    <w:abstractNumId w:val="3"/>
  </w:num>
  <w:num w:numId="9">
    <w:abstractNumId w:val="12"/>
  </w:num>
  <w:num w:numId="10">
    <w:abstractNumId w:val="6"/>
  </w:num>
  <w:num w:numId="11">
    <w:abstractNumId w:val="18"/>
  </w:num>
  <w:num w:numId="12">
    <w:abstractNumId w:val="5"/>
  </w:num>
  <w:num w:numId="13">
    <w:abstractNumId w:val="4"/>
  </w:num>
  <w:num w:numId="14">
    <w:abstractNumId w:val="17"/>
  </w:num>
  <w:num w:numId="15">
    <w:abstractNumId w:val="14"/>
  </w:num>
  <w:num w:numId="16">
    <w:abstractNumId w:val="1"/>
  </w:num>
  <w:num w:numId="17">
    <w:abstractNumId w:val="15"/>
  </w:num>
  <w:num w:numId="18">
    <w:abstractNumId w:val="0"/>
  </w:num>
  <w:num w:numId="19">
    <w:abstractNumId w:val="10"/>
  </w:num>
  <w:num w:numId="20">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2"/>
    <w:lvlOverride w:ilvl="0">
      <w:lvl w:ilvl="0" w:tplc="C7663EB6">
        <w:start w:val="1"/>
        <w:numFmt w:val="decimal"/>
        <w:lvlText w:val="%1."/>
        <w:lvlJc w:val="left"/>
        <w:pPr>
          <w:ind w:left="1854" w:hanging="360"/>
        </w:pPr>
        <w:rPr>
          <w:rFonts w:hint="default"/>
          <w:b w:val="0"/>
          <w:sz w:val="20"/>
          <w:szCs w:val="20"/>
          <w:vertAlign w:val="baseline"/>
          <w:lang w:val="en-U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5CB"/>
    <w:rsid w:val="000076D5"/>
    <w:rsid w:val="000204DC"/>
    <w:rsid w:val="00030CC4"/>
    <w:rsid w:val="00037ED2"/>
    <w:rsid w:val="00043663"/>
    <w:rsid w:val="000505CF"/>
    <w:rsid w:val="000636F8"/>
    <w:rsid w:val="000839BA"/>
    <w:rsid w:val="0008448B"/>
    <w:rsid w:val="00090703"/>
    <w:rsid w:val="000C3055"/>
    <w:rsid w:val="000D2B6B"/>
    <w:rsid w:val="000D701C"/>
    <w:rsid w:val="000E2A71"/>
    <w:rsid w:val="00114439"/>
    <w:rsid w:val="00152D37"/>
    <w:rsid w:val="00160263"/>
    <w:rsid w:val="001637E1"/>
    <w:rsid w:val="0018018B"/>
    <w:rsid w:val="00181F96"/>
    <w:rsid w:val="00185BED"/>
    <w:rsid w:val="001867BF"/>
    <w:rsid w:val="001A1371"/>
    <w:rsid w:val="001B346A"/>
    <w:rsid w:val="001E1CAD"/>
    <w:rsid w:val="001E290D"/>
    <w:rsid w:val="001F201A"/>
    <w:rsid w:val="002144FA"/>
    <w:rsid w:val="00225F07"/>
    <w:rsid w:val="0023469A"/>
    <w:rsid w:val="00241847"/>
    <w:rsid w:val="002438A9"/>
    <w:rsid w:val="00243C8A"/>
    <w:rsid w:val="00247812"/>
    <w:rsid w:val="0026279F"/>
    <w:rsid w:val="00267A0E"/>
    <w:rsid w:val="00272A10"/>
    <w:rsid w:val="00277D28"/>
    <w:rsid w:val="00285D01"/>
    <w:rsid w:val="002868A4"/>
    <w:rsid w:val="002901D9"/>
    <w:rsid w:val="002976C2"/>
    <w:rsid w:val="002B36A4"/>
    <w:rsid w:val="002B4C32"/>
    <w:rsid w:val="002C515D"/>
    <w:rsid w:val="003155E5"/>
    <w:rsid w:val="0032278B"/>
    <w:rsid w:val="003234A5"/>
    <w:rsid w:val="003260FF"/>
    <w:rsid w:val="00343D95"/>
    <w:rsid w:val="00374341"/>
    <w:rsid w:val="00397C83"/>
    <w:rsid w:val="003A6715"/>
    <w:rsid w:val="003B341E"/>
    <w:rsid w:val="003D1062"/>
    <w:rsid w:val="003D3909"/>
    <w:rsid w:val="003D5984"/>
    <w:rsid w:val="003D767A"/>
    <w:rsid w:val="00420D7B"/>
    <w:rsid w:val="00430F8F"/>
    <w:rsid w:val="00450B21"/>
    <w:rsid w:val="00453B63"/>
    <w:rsid w:val="00455780"/>
    <w:rsid w:val="00476CEF"/>
    <w:rsid w:val="0049167B"/>
    <w:rsid w:val="00493E3A"/>
    <w:rsid w:val="004B0A1C"/>
    <w:rsid w:val="004D291C"/>
    <w:rsid w:val="004D298E"/>
    <w:rsid w:val="004E4D42"/>
    <w:rsid w:val="00500784"/>
    <w:rsid w:val="00517BC9"/>
    <w:rsid w:val="0054149D"/>
    <w:rsid w:val="0054472E"/>
    <w:rsid w:val="005521AB"/>
    <w:rsid w:val="00565A13"/>
    <w:rsid w:val="005662A9"/>
    <w:rsid w:val="005771AA"/>
    <w:rsid w:val="005827D4"/>
    <w:rsid w:val="0059622A"/>
    <w:rsid w:val="005B1C14"/>
    <w:rsid w:val="005C5878"/>
    <w:rsid w:val="005C7CEA"/>
    <w:rsid w:val="005D3C0B"/>
    <w:rsid w:val="005E5217"/>
    <w:rsid w:val="005E6131"/>
    <w:rsid w:val="005F0FA4"/>
    <w:rsid w:val="005F30EE"/>
    <w:rsid w:val="00600888"/>
    <w:rsid w:val="00601390"/>
    <w:rsid w:val="0060473A"/>
    <w:rsid w:val="00606EDF"/>
    <w:rsid w:val="00614B4E"/>
    <w:rsid w:val="006163CA"/>
    <w:rsid w:val="00634A37"/>
    <w:rsid w:val="00635BAA"/>
    <w:rsid w:val="00641AE8"/>
    <w:rsid w:val="00656392"/>
    <w:rsid w:val="0068781D"/>
    <w:rsid w:val="006959B0"/>
    <w:rsid w:val="006A2888"/>
    <w:rsid w:val="006A5EE7"/>
    <w:rsid w:val="006B3E27"/>
    <w:rsid w:val="006B53DE"/>
    <w:rsid w:val="006B6507"/>
    <w:rsid w:val="006C104C"/>
    <w:rsid w:val="006F30EE"/>
    <w:rsid w:val="00700100"/>
    <w:rsid w:val="00722AA7"/>
    <w:rsid w:val="00726F9E"/>
    <w:rsid w:val="00733704"/>
    <w:rsid w:val="00750B31"/>
    <w:rsid w:val="007541BA"/>
    <w:rsid w:val="00770CD9"/>
    <w:rsid w:val="00780362"/>
    <w:rsid w:val="0078071A"/>
    <w:rsid w:val="007B5A54"/>
    <w:rsid w:val="007C22D4"/>
    <w:rsid w:val="007E3F4E"/>
    <w:rsid w:val="00803632"/>
    <w:rsid w:val="00806120"/>
    <w:rsid w:val="00816DDB"/>
    <w:rsid w:val="0082668D"/>
    <w:rsid w:val="00844A23"/>
    <w:rsid w:val="00850B8E"/>
    <w:rsid w:val="00852A9A"/>
    <w:rsid w:val="00866279"/>
    <w:rsid w:val="00870B46"/>
    <w:rsid w:val="0087413B"/>
    <w:rsid w:val="008825CB"/>
    <w:rsid w:val="008B322C"/>
    <w:rsid w:val="008B668F"/>
    <w:rsid w:val="008F3C36"/>
    <w:rsid w:val="008F49E1"/>
    <w:rsid w:val="0090370F"/>
    <w:rsid w:val="00915488"/>
    <w:rsid w:val="009269D2"/>
    <w:rsid w:val="00941975"/>
    <w:rsid w:val="00942135"/>
    <w:rsid w:val="00943E4B"/>
    <w:rsid w:val="009521B0"/>
    <w:rsid w:val="00990D05"/>
    <w:rsid w:val="009A7E9F"/>
    <w:rsid w:val="009E5018"/>
    <w:rsid w:val="00A015B0"/>
    <w:rsid w:val="00A12B37"/>
    <w:rsid w:val="00A13D0C"/>
    <w:rsid w:val="00A32291"/>
    <w:rsid w:val="00A50EC0"/>
    <w:rsid w:val="00A54442"/>
    <w:rsid w:val="00A57E5C"/>
    <w:rsid w:val="00AA3959"/>
    <w:rsid w:val="00AB0F58"/>
    <w:rsid w:val="00AB1485"/>
    <w:rsid w:val="00AB631D"/>
    <w:rsid w:val="00AB6758"/>
    <w:rsid w:val="00AD2BC3"/>
    <w:rsid w:val="00AE5EB3"/>
    <w:rsid w:val="00AF1323"/>
    <w:rsid w:val="00B13763"/>
    <w:rsid w:val="00B378FC"/>
    <w:rsid w:val="00B44067"/>
    <w:rsid w:val="00B45F89"/>
    <w:rsid w:val="00B477A4"/>
    <w:rsid w:val="00B54045"/>
    <w:rsid w:val="00B65B05"/>
    <w:rsid w:val="00B74F82"/>
    <w:rsid w:val="00BA5E46"/>
    <w:rsid w:val="00BB5B2C"/>
    <w:rsid w:val="00BC4823"/>
    <w:rsid w:val="00BF7546"/>
    <w:rsid w:val="00C04E25"/>
    <w:rsid w:val="00C32EF8"/>
    <w:rsid w:val="00C358F7"/>
    <w:rsid w:val="00C36152"/>
    <w:rsid w:val="00C36177"/>
    <w:rsid w:val="00C438D7"/>
    <w:rsid w:val="00C53FE8"/>
    <w:rsid w:val="00C57BCD"/>
    <w:rsid w:val="00C81B50"/>
    <w:rsid w:val="00C935A6"/>
    <w:rsid w:val="00C95609"/>
    <w:rsid w:val="00CB378F"/>
    <w:rsid w:val="00CD1801"/>
    <w:rsid w:val="00CF6084"/>
    <w:rsid w:val="00D077A7"/>
    <w:rsid w:val="00D10EF1"/>
    <w:rsid w:val="00D17378"/>
    <w:rsid w:val="00D42810"/>
    <w:rsid w:val="00D5111E"/>
    <w:rsid w:val="00D676F1"/>
    <w:rsid w:val="00D8703A"/>
    <w:rsid w:val="00D914A7"/>
    <w:rsid w:val="00DC485E"/>
    <w:rsid w:val="00DD13C3"/>
    <w:rsid w:val="00DD596E"/>
    <w:rsid w:val="00DD621E"/>
    <w:rsid w:val="00DD74C6"/>
    <w:rsid w:val="00DE63CF"/>
    <w:rsid w:val="00DF0575"/>
    <w:rsid w:val="00E14605"/>
    <w:rsid w:val="00E45E31"/>
    <w:rsid w:val="00E70E04"/>
    <w:rsid w:val="00EA1B43"/>
    <w:rsid w:val="00EC05A7"/>
    <w:rsid w:val="00EC4B6B"/>
    <w:rsid w:val="00EC7192"/>
    <w:rsid w:val="00ED7442"/>
    <w:rsid w:val="00EF1EE5"/>
    <w:rsid w:val="00F153E4"/>
    <w:rsid w:val="00F15549"/>
    <w:rsid w:val="00F5023D"/>
    <w:rsid w:val="00F67B21"/>
    <w:rsid w:val="00F72606"/>
    <w:rsid w:val="00F748C4"/>
    <w:rsid w:val="00F763B4"/>
    <w:rsid w:val="00F81F7B"/>
    <w:rsid w:val="00F900C3"/>
    <w:rsid w:val="00F945B3"/>
    <w:rsid w:val="00FC1DA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74214A"/>
  <w15:docId w15:val="{495E3A4F-88C8-4BF0-B4B5-7F71EC9C0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IDN/1" TargetMode="External"/><Relationship Id="rId13" Type="http://schemas.openxmlformats.org/officeDocument/2006/relationships/hyperlink" Target="https://undocs.org/ar/CRPD/C/CHN-HKG/2-3" TargetMode="External"/><Relationship Id="rId18" Type="http://schemas.openxmlformats.org/officeDocument/2006/relationships/hyperlink" Target="https://undocs.org/ar/CRPD/C/BGD/CO/1" TargetMode="External"/><Relationship Id="rId26" Type="http://schemas.openxmlformats.org/officeDocument/2006/relationships/hyperlink" Target="https://undocs.org/ar/A/72/55" TargetMode="External"/><Relationship Id="rId3" Type="http://schemas.openxmlformats.org/officeDocument/2006/relationships/hyperlink" Target="https://undocs.org/ar/CRPD/C/27/D/51/2018" TargetMode="External"/><Relationship Id="rId21" Type="http://schemas.openxmlformats.org/officeDocument/2006/relationships/hyperlink" Target="https://undocs.org/ar/CRPD/C/JPN/CO/1" TargetMode="External"/><Relationship Id="rId34" Type="http://schemas.openxmlformats.org/officeDocument/2006/relationships/hyperlink" Target="https://undocs.org/ar/E/CN.4/1998/53/Add.2" TargetMode="External"/><Relationship Id="rId7" Type="http://schemas.openxmlformats.org/officeDocument/2006/relationships/hyperlink" Target="https://undocs.org/ar/CRPD/C/BGD/1" TargetMode="External"/><Relationship Id="rId12" Type="http://schemas.openxmlformats.org/officeDocument/2006/relationships/hyperlink" Target="https://undocs.org/ar/CRPD/C/CHN/2-3" TargetMode="External"/><Relationship Id="rId17" Type="http://schemas.openxmlformats.org/officeDocument/2006/relationships/hyperlink" Target="https://undocs.org/ar/CRPD/C/KOR/2-3" TargetMode="External"/><Relationship Id="rId25" Type="http://schemas.openxmlformats.org/officeDocument/2006/relationships/hyperlink" Target="https://undocs.org/ar/CRPD/C/SGP/CO/1" TargetMode="External"/><Relationship Id="rId33" Type="http://schemas.openxmlformats.org/officeDocument/2006/relationships/hyperlink" Target="https://undocs.org/ar/CRPD/C/UKR/CO/1" TargetMode="External"/><Relationship Id="rId38" Type="http://schemas.openxmlformats.org/officeDocument/2006/relationships/hyperlink" Target="https://undocs.org/ar/CRPD/C/27/D/85/2021" TargetMode="External"/><Relationship Id="rId2" Type="http://schemas.openxmlformats.org/officeDocument/2006/relationships/hyperlink" Target="https://undocs.org/ar/CRPD/C/5" TargetMode="External"/><Relationship Id="rId16" Type="http://schemas.openxmlformats.org/officeDocument/2006/relationships/hyperlink" Target="https://undocs.org/ar/CRPD/C/NZL/2-3" TargetMode="External"/><Relationship Id="rId20" Type="http://schemas.openxmlformats.org/officeDocument/2006/relationships/hyperlink" Target="https://undocs.org/ar/CRPD/C/IDN/CO/1" TargetMode="External"/><Relationship Id="rId29" Type="http://schemas.openxmlformats.org/officeDocument/2006/relationships/hyperlink" Target="https://undocs.org/ar/A/70/55" TargetMode="External"/><Relationship Id="rId1" Type="http://schemas.openxmlformats.org/officeDocument/2006/relationships/hyperlink" Target="https://undocs.org/ar/CRPD/C/27/1" TargetMode="External"/><Relationship Id="rId6" Type="http://schemas.openxmlformats.org/officeDocument/2006/relationships/hyperlink" Target="https://undocs.org/ar/CRPD/C/27/D/55/2018" TargetMode="External"/><Relationship Id="rId11" Type="http://schemas.openxmlformats.org/officeDocument/2006/relationships/hyperlink" Target="https://undocs.org/ar/CRPD/C/SGP/1" TargetMode="External"/><Relationship Id="rId24" Type="http://schemas.openxmlformats.org/officeDocument/2006/relationships/hyperlink" Target="https://undocs.org/ar/CRPD/C/KOR/CO/2-3" TargetMode="External"/><Relationship Id="rId32" Type="http://schemas.openxmlformats.org/officeDocument/2006/relationships/hyperlink" Target="https://undocs.org/ar/CRPD/C/KEN/CO/1" TargetMode="External"/><Relationship Id="rId37" Type="http://schemas.openxmlformats.org/officeDocument/2006/relationships/hyperlink" Target="https://undocs.org/ar/CRPD/C/27/D/51/2018" TargetMode="External"/><Relationship Id="rId5" Type="http://schemas.openxmlformats.org/officeDocument/2006/relationships/hyperlink" Target="https://undocs.org/ar/CRPD/C/27/D/85/2021" TargetMode="External"/><Relationship Id="rId15" Type="http://schemas.openxmlformats.org/officeDocument/2006/relationships/hyperlink" Target="https://undocs.org/ar/CRPD/C/CHN-MAC/2-3" TargetMode="External"/><Relationship Id="rId23" Type="http://schemas.openxmlformats.org/officeDocument/2006/relationships/hyperlink" Target="https://undocs.org/ar/CRPD/C/NZL/CO/2-3" TargetMode="External"/><Relationship Id="rId28" Type="http://schemas.openxmlformats.org/officeDocument/2006/relationships/hyperlink" Target="https://undocs.org/ar/A/74/55" TargetMode="External"/><Relationship Id="rId36" Type="http://schemas.openxmlformats.org/officeDocument/2006/relationships/hyperlink" Target="https://undocs.org/ar/CRPD/C/27/D/56/2018" TargetMode="External"/><Relationship Id="rId10" Type="http://schemas.openxmlformats.org/officeDocument/2006/relationships/hyperlink" Target="https://undocs.org/ar/CRPD/C/LAO/1" TargetMode="External"/><Relationship Id="rId19" Type="http://schemas.openxmlformats.org/officeDocument/2006/relationships/hyperlink" Target="https://undocs.org/ar/CRPD/C/CHN/CO/2-3" TargetMode="External"/><Relationship Id="rId31" Type="http://schemas.openxmlformats.org/officeDocument/2006/relationships/hyperlink" Target="https://undocs.org/ar/CRPD/C/UKR/CO/1" TargetMode="External"/><Relationship Id="rId4" Type="http://schemas.openxmlformats.org/officeDocument/2006/relationships/hyperlink" Target="https://undocs.org/ar/CRPD/C/27/D/56/2018" TargetMode="External"/><Relationship Id="rId9" Type="http://schemas.openxmlformats.org/officeDocument/2006/relationships/hyperlink" Target="https://undocs.org/ar/CRPD/C/JPN/1" TargetMode="External"/><Relationship Id="rId14" Type="http://schemas.openxmlformats.org/officeDocument/2006/relationships/hyperlink" Target="https://undocs.org/ar/CRPD/C/CHN-HKG/2-3/Corr.1" TargetMode="External"/><Relationship Id="rId22" Type="http://schemas.openxmlformats.org/officeDocument/2006/relationships/hyperlink" Target="https://undocs.org/ar/CRPD/C/LAO/CO/1" TargetMode="External"/><Relationship Id="rId27" Type="http://schemas.openxmlformats.org/officeDocument/2006/relationships/hyperlink" Target="https://undocs.org/ar/A/76/55" TargetMode="External"/><Relationship Id="rId30" Type="http://schemas.openxmlformats.org/officeDocument/2006/relationships/hyperlink" Target="https://undocs.org/ar/A/76/55" TargetMode="External"/><Relationship Id="rId35" Type="http://schemas.openxmlformats.org/officeDocument/2006/relationships/hyperlink" Target="http://www.ohchr.org/en/statements/2022/04/ukraine-27-million-people-disabilities-risk-un-committee-wa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5831</Words>
  <Characters>31359</Characters>
  <Application>Microsoft Office Word</Application>
  <DocSecurity>0</DocSecurity>
  <Lines>525</Lines>
  <Paragraphs>203</Paragraphs>
  <ScaleCrop>false</ScaleCrop>
  <HeadingPairs>
    <vt:vector size="2" baseType="variant">
      <vt:variant>
        <vt:lpstr>Title</vt:lpstr>
      </vt:variant>
      <vt:variant>
        <vt:i4>1</vt:i4>
      </vt:variant>
    </vt:vector>
  </HeadingPairs>
  <TitlesOfParts>
    <vt:vector size="1" baseType="lpstr">
      <vt:lpstr>CRPD/C/27/2</vt:lpstr>
    </vt:vector>
  </TitlesOfParts>
  <Company>DCM</Company>
  <LinksUpToDate>false</LinksUpToDate>
  <CharactersWithSpaces>37066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CRPD/C/27/2</dc:title>
  <dc:subject>GE.2216671(A)</dc:subject>
  <dc:creator>Ihab RIZ - </dc:creator>
  <cp:keywords>GE.2252470(A)</cp:keywords>
  <dc:description>General_x000d_
_x000d_
Arabic_x000d_
English</dc:description>
  <cp:lastModifiedBy>Ibrahim Balan</cp:lastModifiedBy>
  <cp:revision>3</cp:revision>
  <cp:lastPrinted>2022-10-28T12:17:00Z</cp:lastPrinted>
  <dcterms:created xsi:type="dcterms:W3CDTF">2022-10-28T12:17:00Z</dcterms:created>
  <dcterms:modified xsi:type="dcterms:W3CDTF">2022-10-28T12:18:00Z</dcterms:modified>
</cp:coreProperties>
</file>