
<file path=[Content_Types].xml><?xml version="1.0" encoding="utf-8"?>
<Types xmlns="http://schemas.openxmlformats.org/package/2006/content-types">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Examen de los informes presentados por los Estados partes</w:t>
      </w:r>
      <w:r>
        <w:br/>
      </w:r>
      <w:r>
        <w:tab/>
      </w:r>
      <w:r>
        <w:tab/>
        <w:t xml:space="preserve">de conformidad con el artículo 18 de la Convención sobre la </w:t>
      </w:r>
      <w:r>
        <w:br/>
      </w:r>
      <w:r>
        <w:tab/>
      </w:r>
      <w:r>
        <w:tab/>
        <w:t xml:space="preserve">eliminación de todas las formas de discriminación contra </w:t>
      </w:r>
      <w:r>
        <w:br/>
      </w:r>
      <w:r>
        <w:tab/>
      </w:r>
      <w:r>
        <w:tab/>
        <w:t>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Cuartos informes periódicos presentados por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Estonia</w:t>
      </w:r>
      <w:r>
        <w:rPr>
          <w:b w:val="0"/>
          <w:spacing w:val="4"/>
          <w:sz w:val="20"/>
        </w:rPr>
        <w:t>*</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documento se publica sin revisión editorial.</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Los informes periódicos inicial, segundo y tercero combinados presentados por el Gobierno de Estonia figuran en el documento CEDAW/C/EST/1-3, que fue examinado por el Comité en su 26º período de sesiones.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spacing w:after="120"/>
        <w:rPr>
          <w:b w:val="0"/>
        </w:rPr>
      </w:pP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Artículo 1</w:t>
            </w:r>
            <w:r>
              <w:rPr>
                <w:spacing w:val="60"/>
                <w:sz w:val="17"/>
              </w:rPr>
              <w:tab/>
            </w:r>
          </w:p>
        </w:tc>
        <w:tc>
          <w:tcPr>
            <w:tcW w:w="792" w:type="dxa"/>
            <w:vAlign w:val="bottom"/>
          </w:tcPr>
          <w:p w:rsidR="00000000" w:rsidRDefault="00000000">
            <w:pPr>
              <w:spacing w:after="120"/>
              <w:ind w:right="40"/>
              <w:jc w:val="right"/>
            </w:pPr>
            <w:r>
              <w:t>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r>
            <w:r>
              <w:tab/>
              <w:t>Igualdad entre los géneros en los instrumentos jurídicos</w:t>
            </w:r>
            <w:r>
              <w:rPr>
                <w:spacing w:val="60"/>
                <w:sz w:val="17"/>
              </w:rPr>
              <w:tab/>
            </w:r>
          </w:p>
        </w:tc>
        <w:tc>
          <w:tcPr>
            <w:tcW w:w="792" w:type="dxa"/>
            <w:vAlign w:val="bottom"/>
          </w:tcPr>
          <w:p w:rsidR="00000000" w:rsidRDefault="00000000">
            <w:pPr>
              <w:spacing w:after="120"/>
              <w:ind w:right="40"/>
              <w:jc w:val="right"/>
            </w:pPr>
            <w:r>
              <w:t>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Artículo 2</w:t>
            </w:r>
            <w:r>
              <w:rPr>
                <w:spacing w:val="60"/>
                <w:sz w:val="17"/>
              </w:rPr>
              <w:tab/>
            </w:r>
          </w:p>
        </w:tc>
        <w:tc>
          <w:tcPr>
            <w:tcW w:w="792" w:type="dxa"/>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r>
            <w:r>
              <w:tab/>
              <w:t>Ley sobre la igualdad de género</w:t>
            </w:r>
            <w:r>
              <w:rPr>
                <w:spacing w:val="60"/>
                <w:sz w:val="17"/>
              </w:rPr>
              <w:tab/>
            </w:r>
          </w:p>
        </w:tc>
        <w:tc>
          <w:tcPr>
            <w:tcW w:w="792" w:type="dxa"/>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rPr>
                <w:spacing w:val="60"/>
                <w:sz w:val="17"/>
              </w:rPr>
            </w:pPr>
            <w:r>
              <w:tab/>
            </w:r>
            <w:r>
              <w:tab/>
            </w:r>
            <w:r>
              <w:tab/>
              <w:t>Obligación de promover la igualdad de trato entre el hombre y la mujer</w:t>
            </w:r>
            <w:r>
              <w:rPr>
                <w:spacing w:val="60"/>
                <w:sz w:val="17"/>
              </w:rPr>
              <w:tab/>
            </w:r>
          </w:p>
        </w:tc>
        <w:tc>
          <w:tcPr>
            <w:tcW w:w="792" w:type="dxa"/>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r>
            <w:r>
              <w:tab/>
              <w:t>Promoción del principio de la igualdad entre los géneros en calidad de miembro de la Unión Europea</w:t>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1728" w:hanging="1728"/>
              <w:rPr>
                <w:spacing w:val="60"/>
                <w:sz w:val="17"/>
              </w:rPr>
            </w:pPr>
            <w:r>
              <w:tab/>
            </w:r>
            <w:r>
              <w:tab/>
            </w:r>
            <w:r>
              <w:tab/>
              <w:t>Resolución de controversias relativas a la discriminación en razón del género</w:t>
            </w:r>
            <w:r>
              <w:rPr>
                <w:spacing w:val="60"/>
                <w:sz w:val="17"/>
              </w:rPr>
              <w:tab/>
            </w:r>
          </w:p>
        </w:tc>
        <w:tc>
          <w:tcPr>
            <w:tcW w:w="792" w:type="dxa"/>
            <w:vAlign w:val="bottom"/>
          </w:tcPr>
          <w:p w:rsidR="00000000" w:rsidRDefault="00000000">
            <w:pPr>
              <w:spacing w:after="120"/>
              <w:ind w:right="40"/>
              <w:jc w:val="right"/>
            </w:pPr>
            <w:r>
              <w:t>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t>Carga de la prueba</w:t>
            </w:r>
            <w:r>
              <w:rPr>
                <w:spacing w:val="60"/>
                <w:sz w:val="17"/>
              </w:rPr>
              <w:tab/>
            </w:r>
          </w:p>
        </w:tc>
        <w:tc>
          <w:tcPr>
            <w:tcW w:w="792" w:type="dxa"/>
            <w:vAlign w:val="bottom"/>
          </w:tcPr>
          <w:p w:rsidR="00000000" w:rsidRDefault="00000000">
            <w:pPr>
              <w:spacing w:after="120"/>
              <w:ind w:right="40"/>
              <w:jc w:val="right"/>
            </w:pPr>
            <w:r>
              <w:t>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Indemnización por daños</w:t>
            </w:r>
            <w:r>
              <w:rPr>
                <w:spacing w:val="60"/>
                <w:sz w:val="17"/>
              </w:rPr>
              <w:tab/>
            </w:r>
          </w:p>
        </w:tc>
        <w:tc>
          <w:tcPr>
            <w:tcW w:w="792" w:type="dxa"/>
            <w:vAlign w:val="bottom"/>
          </w:tcPr>
          <w:p w:rsidR="00000000" w:rsidRDefault="00000000">
            <w:pPr>
              <w:spacing w:after="120"/>
              <w:ind w:right="40"/>
              <w:jc w:val="right"/>
            </w:pPr>
            <w:r>
              <w:t>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1728"/>
              <w:rPr>
                <w:spacing w:val="60"/>
                <w:sz w:val="17"/>
              </w:rPr>
            </w:pPr>
            <w:r>
              <w:tab/>
            </w:r>
            <w:r>
              <w:tab/>
            </w:r>
            <w:r>
              <w:tab/>
              <w:t>El Comisionado sobre igualdad de géneros</w:t>
            </w:r>
            <w:r>
              <w:rPr>
                <w:spacing w:val="60"/>
                <w:sz w:val="17"/>
              </w:rPr>
              <w:tab/>
            </w: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El Canciller de Justicia</w:t>
            </w:r>
            <w:r>
              <w:rPr>
                <w:spacing w:val="60"/>
                <w:sz w:val="17"/>
              </w:rPr>
              <w:tab/>
            </w:r>
          </w:p>
        </w:tc>
        <w:tc>
          <w:tcPr>
            <w:tcW w:w="792" w:type="dxa"/>
            <w:vAlign w:val="bottom"/>
          </w:tcPr>
          <w:p w:rsidR="00000000" w:rsidRDefault="00000000">
            <w:pPr>
              <w:spacing w:after="120"/>
              <w:ind w:right="40"/>
              <w:jc w:val="right"/>
            </w:pPr>
            <w:r>
              <w:t>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Actividades de la policía</w:t>
            </w:r>
            <w:r>
              <w:rPr>
                <w:spacing w:val="60"/>
                <w:sz w:val="17"/>
              </w:rPr>
              <w:tab/>
            </w:r>
          </w:p>
        </w:tc>
        <w:tc>
          <w:tcPr>
            <w:tcW w:w="792" w:type="dxa"/>
            <w:vAlign w:val="bottom"/>
          </w:tcPr>
          <w:p w:rsidR="00000000" w:rsidRDefault="00000000">
            <w:pPr>
              <w:spacing w:after="120"/>
              <w:ind w:right="40"/>
              <w:jc w:val="right"/>
            </w:pPr>
            <w:r>
              <w:t>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r>
            <w:r>
              <w:tab/>
              <w:t>Refugios</w:t>
            </w:r>
            <w:r>
              <w:rPr>
                <w:spacing w:val="60"/>
                <w:sz w:val="17"/>
              </w:rPr>
              <w:tab/>
            </w:r>
          </w:p>
        </w:tc>
        <w:tc>
          <w:tcPr>
            <w:tcW w:w="792" w:type="dxa"/>
            <w:vAlign w:val="bottom"/>
          </w:tcPr>
          <w:p w:rsidR="00000000" w:rsidRDefault="00000000">
            <w:pPr>
              <w:spacing w:after="120"/>
              <w:ind w:right="40"/>
              <w:jc w:val="right"/>
            </w:pPr>
            <w:r>
              <w:t>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t>Artículo 3</w:t>
            </w:r>
            <w:r>
              <w:rPr>
                <w:spacing w:val="60"/>
                <w:sz w:val="17"/>
              </w:rPr>
              <w:tab/>
            </w:r>
          </w:p>
        </w:tc>
        <w:tc>
          <w:tcPr>
            <w:tcW w:w="792" w:type="dxa"/>
            <w:vAlign w:val="bottom"/>
          </w:tcPr>
          <w:p w:rsidR="00000000" w:rsidRDefault="00000000">
            <w:pPr>
              <w:spacing w:after="120"/>
              <w:ind w:right="40"/>
              <w:jc w:val="right"/>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728" w:hanging="1728"/>
              <w:rPr>
                <w:spacing w:val="60"/>
                <w:sz w:val="17"/>
              </w:rPr>
            </w:pPr>
            <w:r>
              <w:tab/>
            </w:r>
            <w:r>
              <w:tab/>
            </w:r>
            <w:r>
              <w:tab/>
              <w:t>Departamento de Igualdad de Género del Ministerio de Asuntos Sociales</w:t>
            </w:r>
            <w:r>
              <w:rPr>
                <w:spacing w:val="60"/>
                <w:sz w:val="17"/>
              </w:rPr>
              <w:tab/>
            </w:r>
          </w:p>
        </w:tc>
        <w:tc>
          <w:tcPr>
            <w:tcW w:w="792" w:type="dxa"/>
            <w:vAlign w:val="bottom"/>
          </w:tcPr>
          <w:p w:rsidR="00000000" w:rsidRDefault="00000000">
            <w:pPr>
              <w:spacing w:after="120"/>
              <w:ind w:right="40"/>
              <w:jc w:val="right"/>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r>
            <w:r>
              <w:tab/>
              <w:t>Consejo de Igualdad de Género</w:t>
            </w:r>
            <w:r>
              <w:rPr>
                <w:spacing w:val="60"/>
                <w:sz w:val="17"/>
              </w:rPr>
              <w:tab/>
            </w:r>
          </w:p>
        </w:tc>
        <w:tc>
          <w:tcPr>
            <w:tcW w:w="792" w:type="dxa"/>
            <w:vAlign w:val="bottom"/>
          </w:tcPr>
          <w:p w:rsidR="00000000" w:rsidRDefault="00000000">
            <w:pPr>
              <w:spacing w:after="120"/>
              <w:ind w:right="40"/>
              <w:jc w:val="right"/>
            </w:pPr>
            <w:r>
              <w:t>18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t>Artículo 4</w:t>
            </w:r>
            <w:r>
              <w:rPr>
                <w:spacing w:val="60"/>
                <w:sz w:val="17"/>
              </w:rPr>
              <w:tab/>
            </w:r>
          </w:p>
        </w:tc>
        <w:tc>
          <w:tcPr>
            <w:tcW w:w="792" w:type="dxa"/>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r>
            <w:r>
              <w:tab/>
              <w:t>Cupos</w:t>
            </w:r>
            <w:r>
              <w:rPr>
                <w:spacing w:val="60"/>
                <w:sz w:val="17"/>
              </w:rPr>
              <w:tab/>
            </w:r>
          </w:p>
        </w:tc>
        <w:tc>
          <w:tcPr>
            <w:tcW w:w="792" w:type="dxa"/>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r>
            <w:r>
              <w:tab/>
              <w:t>Asignaciones con cargo al presupuesto estatal</w:t>
            </w:r>
            <w:r>
              <w:rPr>
                <w:spacing w:val="60"/>
                <w:sz w:val="17"/>
              </w:rPr>
              <w:tab/>
            </w:r>
          </w:p>
        </w:tc>
        <w:tc>
          <w:tcPr>
            <w:tcW w:w="792" w:type="dxa"/>
            <w:vAlign w:val="bottom"/>
          </w:tcPr>
          <w:p w:rsidR="00000000" w:rsidRDefault="00000000">
            <w:pPr>
              <w:spacing w:after="120"/>
              <w:ind w:right="40"/>
              <w:jc w:val="right"/>
            </w:pPr>
            <w:r>
              <w:t>22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728" w:hanging="1728"/>
              <w:rPr>
                <w:spacing w:val="60"/>
                <w:sz w:val="17"/>
              </w:rPr>
            </w:pPr>
            <w:r>
              <w:tab/>
            </w:r>
            <w:r>
              <w:tab/>
            </w:r>
            <w:r>
              <w:tab/>
              <w:t>Medidas especiales encaminadas a proteger la maternidad</w:t>
            </w:r>
            <w:r>
              <w:rPr>
                <w:spacing w:val="60"/>
                <w:sz w:val="17"/>
              </w:rPr>
              <w:tab/>
            </w:r>
          </w:p>
        </w:tc>
        <w:tc>
          <w:tcPr>
            <w:tcW w:w="792" w:type="dxa"/>
            <w:vAlign w:val="bottom"/>
          </w:tcPr>
          <w:p w:rsidR="00000000" w:rsidRDefault="00000000">
            <w:pPr>
              <w:spacing w:after="120"/>
              <w:ind w:right="40"/>
              <w:jc w:val="right"/>
            </w:pPr>
            <w:r>
              <w:t>22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t>Ley de contratos de empleo</w:t>
            </w:r>
            <w:r>
              <w:rPr>
                <w:spacing w:val="60"/>
                <w:sz w:val="17"/>
              </w:rPr>
              <w:tab/>
            </w:r>
          </w:p>
        </w:tc>
        <w:tc>
          <w:tcPr>
            <w:tcW w:w="792" w:type="dxa"/>
            <w:vAlign w:val="bottom"/>
          </w:tcPr>
          <w:p w:rsidR="00000000" w:rsidRDefault="00000000">
            <w:pPr>
              <w:spacing w:after="120"/>
              <w:ind w:right="40"/>
              <w:jc w:val="right"/>
            </w:pPr>
            <w:r>
              <w:t>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t>Ley de administración pública</w:t>
            </w:r>
            <w:r>
              <w:rPr>
                <w:spacing w:val="60"/>
                <w:sz w:val="17"/>
              </w:rPr>
              <w:tab/>
            </w:r>
          </w:p>
        </w:tc>
        <w:tc>
          <w:tcPr>
            <w:tcW w:w="792" w:type="dxa"/>
            <w:vAlign w:val="bottom"/>
          </w:tcPr>
          <w:p w:rsidR="00000000" w:rsidRDefault="00000000">
            <w:pPr>
              <w:spacing w:after="120"/>
              <w:ind w:right="40"/>
              <w:jc w:val="right"/>
            </w:pPr>
            <w:r>
              <w:t>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1728"/>
              <w:rPr>
                <w:spacing w:val="60"/>
                <w:sz w:val="17"/>
              </w:rPr>
            </w:pPr>
            <w:r>
              <w:tab/>
            </w:r>
            <w:r>
              <w:tab/>
            </w:r>
            <w:r>
              <w:tab/>
              <w:t>Ley de servicios del mercado laboral</w:t>
            </w:r>
            <w:r>
              <w:rPr>
                <w:spacing w:val="60"/>
                <w:sz w:val="17"/>
              </w:rPr>
              <w:tab/>
            </w:r>
          </w:p>
        </w:tc>
        <w:tc>
          <w:tcPr>
            <w:tcW w:w="792" w:type="dxa"/>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t>Ley de vacaciones</w:t>
            </w:r>
            <w:r>
              <w:rPr>
                <w:spacing w:val="60"/>
                <w:sz w:val="17"/>
              </w:rPr>
              <w:tab/>
            </w:r>
          </w:p>
        </w:tc>
        <w:tc>
          <w:tcPr>
            <w:tcW w:w="792" w:type="dxa"/>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1728"/>
              <w:rPr>
                <w:spacing w:val="60"/>
                <w:sz w:val="17"/>
              </w:rPr>
            </w:pPr>
            <w:r>
              <w:tab/>
            </w:r>
            <w:r>
              <w:tab/>
            </w:r>
            <w:r>
              <w:tab/>
              <w:t>Ley de tiempo de trabajo y de descanso</w:t>
            </w:r>
            <w:r>
              <w:rPr>
                <w:spacing w:val="60"/>
                <w:sz w:val="17"/>
              </w:rPr>
              <w:tab/>
            </w:r>
          </w:p>
        </w:tc>
        <w:tc>
          <w:tcPr>
            <w:tcW w:w="792" w:type="dxa"/>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1728"/>
              <w:rPr>
                <w:spacing w:val="60"/>
                <w:sz w:val="17"/>
              </w:rPr>
            </w:pPr>
            <w:r>
              <w:tab/>
            </w:r>
            <w:r>
              <w:tab/>
            </w:r>
            <w:r>
              <w:tab/>
              <w:t>Ley de salud y seguridad profesionales</w:t>
            </w:r>
            <w:r>
              <w:rPr>
                <w:spacing w:val="60"/>
                <w:sz w:val="17"/>
              </w:rPr>
              <w:tab/>
            </w:r>
          </w:p>
        </w:tc>
        <w:tc>
          <w:tcPr>
            <w:tcW w:w="792" w:type="dxa"/>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t>Artículo 5</w:t>
            </w:r>
            <w:r>
              <w:rPr>
                <w:spacing w:val="60"/>
                <w:sz w:val="17"/>
              </w:rPr>
              <w:tab/>
            </w:r>
          </w:p>
        </w:tc>
        <w:tc>
          <w:tcPr>
            <w:tcW w:w="792" w:type="dxa"/>
            <w:vAlign w:val="bottom"/>
          </w:tcPr>
          <w:p w:rsidR="00000000" w:rsidRDefault="00000000">
            <w:pPr>
              <w:spacing w:after="120"/>
              <w:ind w:right="40"/>
              <w:jc w:val="right"/>
            </w:pPr>
            <w:r>
              <w:t>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728" w:hanging="1728"/>
              <w:rPr>
                <w:spacing w:val="60"/>
                <w:sz w:val="17"/>
              </w:rPr>
            </w:pPr>
            <w:r>
              <w:tab/>
            </w:r>
            <w:r>
              <w:tab/>
            </w:r>
            <w:r>
              <w:tab/>
              <w:t>Actitudes frente a las funciones establecidas para cada género</w:t>
            </w:r>
            <w:r>
              <w:rPr>
                <w:spacing w:val="60"/>
                <w:sz w:val="17"/>
              </w:rPr>
              <w:tab/>
            </w:r>
          </w:p>
        </w:tc>
        <w:tc>
          <w:tcPr>
            <w:tcW w:w="792" w:type="dxa"/>
            <w:vAlign w:val="bottom"/>
          </w:tcPr>
          <w:p w:rsidR="00000000" w:rsidRDefault="00000000">
            <w:pPr>
              <w:spacing w:after="120"/>
              <w:ind w:right="40"/>
              <w:jc w:val="right"/>
            </w:pPr>
            <w:r>
              <w:t>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r>
            <w:r>
              <w:tab/>
              <w:t>Actitud frente a la carrera profesional de los hijos</w:t>
            </w:r>
            <w:r>
              <w:rPr>
                <w:spacing w:val="60"/>
                <w:sz w:val="17"/>
              </w:rPr>
              <w:tab/>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t>Empleo del tiempo</w:t>
            </w:r>
            <w:r>
              <w:rPr>
                <w:spacing w:val="60"/>
                <w:sz w:val="17"/>
              </w:rPr>
              <w:tab/>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1728"/>
              <w:rPr>
                <w:spacing w:val="60"/>
                <w:sz w:val="17"/>
              </w:rPr>
            </w:pPr>
            <w:r>
              <w:tab/>
            </w:r>
            <w:r>
              <w:tab/>
            </w:r>
            <w:r>
              <w:tab/>
              <w:t>La importancia de tener un horario de trabajo flexible</w:t>
            </w:r>
            <w:r>
              <w:rPr>
                <w:spacing w:val="60"/>
                <w:sz w:val="17"/>
              </w:rPr>
              <w:tab/>
            </w:r>
          </w:p>
        </w:tc>
        <w:tc>
          <w:tcPr>
            <w:tcW w:w="792" w:type="dxa"/>
            <w:vAlign w:val="bottom"/>
          </w:tcPr>
          <w:p w:rsidR="00000000" w:rsidRDefault="00000000">
            <w:pPr>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1728"/>
              <w:rPr>
                <w:spacing w:val="60"/>
                <w:sz w:val="17"/>
              </w:rPr>
            </w:pPr>
            <w:r>
              <w:tab/>
            </w:r>
            <w:r>
              <w:tab/>
            </w:r>
            <w:r>
              <w:tab/>
              <w:t>Actitudes frente a las funciones de los progenitores</w:t>
            </w:r>
            <w:r>
              <w:rPr>
                <w:spacing w:val="60"/>
                <w:sz w:val="17"/>
              </w:rPr>
              <w:tab/>
            </w:r>
          </w:p>
        </w:tc>
        <w:tc>
          <w:tcPr>
            <w:tcW w:w="792" w:type="dxa"/>
            <w:vAlign w:val="bottom"/>
          </w:tcPr>
          <w:p w:rsidR="00000000" w:rsidRDefault="00000000">
            <w:pPr>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t>El papel de los medios, las instituciones estatales y las organizaciones no gubernamentales</w:t>
            </w:r>
            <w:r>
              <w:rPr>
                <w:spacing w:val="60"/>
                <w:sz w:val="17"/>
              </w:rPr>
              <w:tab/>
            </w:r>
          </w:p>
        </w:tc>
        <w:tc>
          <w:tcPr>
            <w:tcW w:w="792" w:type="dxa"/>
            <w:vAlign w:val="bottom"/>
          </w:tcPr>
          <w:p w:rsidR="00000000" w:rsidRDefault="00000000">
            <w:pPr>
              <w:spacing w:after="120"/>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t>Apoyo financiero del Estado</w:t>
            </w:r>
            <w:r>
              <w:rPr>
                <w:spacing w:val="60"/>
                <w:sz w:val="17"/>
              </w:rPr>
              <w:tab/>
            </w:r>
          </w:p>
        </w:tc>
        <w:tc>
          <w:tcPr>
            <w:tcW w:w="792" w:type="dxa"/>
            <w:vAlign w:val="bottom"/>
          </w:tcPr>
          <w:p w:rsidR="00000000" w:rsidRDefault="00000000">
            <w:pPr>
              <w:spacing w:after="120"/>
              <w:ind w:right="4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1728"/>
              <w:rPr>
                <w:spacing w:val="60"/>
                <w:sz w:val="17"/>
              </w:rPr>
            </w:pPr>
            <w:r>
              <w:tab/>
            </w:r>
            <w:r>
              <w:tab/>
            </w:r>
            <w:r>
              <w:tab/>
              <w:t>Conciliación del trabajo con la vida familiar</w:t>
            </w:r>
            <w:r>
              <w:rPr>
                <w:spacing w:val="60"/>
                <w:sz w:val="17"/>
              </w:rPr>
              <w:tab/>
            </w:r>
          </w:p>
        </w:tc>
        <w:tc>
          <w:tcPr>
            <w:tcW w:w="792" w:type="dxa"/>
            <w:vAlign w:val="bottom"/>
          </w:tcPr>
          <w:p w:rsidR="00000000" w:rsidRDefault="00000000">
            <w:pPr>
              <w:spacing w:after="120"/>
              <w:ind w:right="4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t>El papel de los progenitores</w:t>
            </w:r>
            <w:r>
              <w:rPr>
                <w:spacing w:val="60"/>
                <w:sz w:val="17"/>
              </w:rPr>
              <w:tab/>
            </w:r>
          </w:p>
        </w:tc>
        <w:tc>
          <w:tcPr>
            <w:tcW w:w="792" w:type="dxa"/>
            <w:vAlign w:val="bottom"/>
          </w:tcPr>
          <w:p w:rsidR="00000000" w:rsidRDefault="00000000">
            <w:pPr>
              <w:spacing w:after="120"/>
              <w:ind w:right="40"/>
              <w:jc w:val="right"/>
            </w:pPr>
            <w:r>
              <w:t>31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t>El tiempo dedicado a los hijos</w:t>
            </w:r>
            <w:r>
              <w:rPr>
                <w:spacing w:val="60"/>
                <w:sz w:val="17"/>
              </w:rPr>
              <w:tab/>
            </w:r>
          </w:p>
        </w:tc>
        <w:tc>
          <w:tcPr>
            <w:tcW w:w="792" w:type="dxa"/>
            <w:vAlign w:val="bottom"/>
          </w:tcPr>
          <w:p w:rsidR="00000000" w:rsidRDefault="00000000">
            <w:pPr>
              <w:spacing w:after="120"/>
              <w:ind w:right="40"/>
              <w:jc w:val="right"/>
            </w:pPr>
            <w:r>
              <w:t>31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1728"/>
              <w:rPr>
                <w:spacing w:val="60"/>
                <w:sz w:val="17"/>
              </w:rPr>
            </w:pPr>
            <w:r>
              <w:tab/>
            </w:r>
            <w:r>
              <w:tab/>
            </w:r>
            <w:r>
              <w:tab/>
              <w:t>La situación de los progenitores sin pareja</w:t>
            </w:r>
            <w:r>
              <w:rPr>
                <w:spacing w:val="60"/>
                <w:sz w:val="17"/>
              </w:rPr>
              <w:tab/>
            </w:r>
          </w:p>
        </w:tc>
        <w:tc>
          <w:tcPr>
            <w:tcW w:w="792" w:type="dxa"/>
            <w:vAlign w:val="bottom"/>
          </w:tcPr>
          <w:p w:rsidR="00000000" w:rsidRDefault="00000000">
            <w:pPr>
              <w:spacing w:after="120"/>
              <w:ind w:right="40"/>
              <w:jc w:val="right"/>
            </w:pPr>
            <w:r>
              <w:t>31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r>
            <w:r>
              <w:tab/>
              <w:t>Política de Estado sobre la familia</w:t>
            </w:r>
            <w:r>
              <w:rPr>
                <w:spacing w:val="60"/>
                <w:sz w:val="17"/>
              </w:rPr>
              <w:tab/>
            </w:r>
          </w:p>
        </w:tc>
        <w:tc>
          <w:tcPr>
            <w:tcW w:w="792" w:type="dxa"/>
            <w:vAlign w:val="bottom"/>
          </w:tcPr>
          <w:p w:rsidR="00000000" w:rsidRDefault="00000000">
            <w:pPr>
              <w:spacing w:after="120"/>
              <w:ind w:right="40"/>
              <w:jc w:val="right"/>
            </w:pPr>
            <w:r>
              <w:t>32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r>
            <w:r>
              <w:tab/>
              <w:t>Bienestar financiero de la familia</w:t>
            </w:r>
            <w:r>
              <w:rPr>
                <w:spacing w:val="60"/>
                <w:sz w:val="17"/>
              </w:rPr>
              <w:tab/>
            </w:r>
          </w:p>
        </w:tc>
        <w:tc>
          <w:tcPr>
            <w:tcW w:w="792" w:type="dxa"/>
            <w:vAlign w:val="bottom"/>
          </w:tcPr>
          <w:p w:rsidR="00000000" w:rsidRDefault="00000000">
            <w:pPr>
              <w:spacing w:after="120"/>
              <w:ind w:right="40"/>
              <w:jc w:val="right"/>
            </w:pPr>
            <w:r>
              <w:t>32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t>Artículo 6</w:t>
            </w:r>
            <w:r>
              <w:rPr>
                <w:spacing w:val="60"/>
                <w:sz w:val="17"/>
              </w:rPr>
              <w:tab/>
            </w:r>
          </w:p>
        </w:tc>
        <w:tc>
          <w:tcPr>
            <w:tcW w:w="792" w:type="dxa"/>
            <w:vAlign w:val="bottom"/>
          </w:tcPr>
          <w:p w:rsidR="00000000" w:rsidRDefault="00000000">
            <w:pPr>
              <w:spacing w:after="120"/>
              <w:ind w:right="40"/>
              <w:jc w:val="right"/>
            </w:pPr>
            <w:r>
              <w:t>33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Medidas legislativas</w:t>
            </w:r>
            <w:r>
              <w:rPr>
                <w:spacing w:val="60"/>
                <w:sz w:val="17"/>
              </w:rPr>
              <w:tab/>
            </w:r>
          </w:p>
        </w:tc>
        <w:tc>
          <w:tcPr>
            <w:tcW w:w="792" w:type="dxa"/>
            <w:vAlign w:val="bottom"/>
          </w:tcPr>
          <w:p w:rsidR="00000000" w:rsidRDefault="00000000">
            <w:pPr>
              <w:spacing w:after="120"/>
              <w:ind w:right="40"/>
              <w:jc w:val="right"/>
            </w:pPr>
            <w:r>
              <w:t>33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t>La situación actual</w:t>
            </w:r>
            <w:r>
              <w:rPr>
                <w:spacing w:val="60"/>
                <w:sz w:val="17"/>
              </w:rPr>
              <w:tab/>
            </w:r>
          </w:p>
        </w:tc>
        <w:tc>
          <w:tcPr>
            <w:tcW w:w="792" w:type="dxa"/>
            <w:vAlign w:val="bottom"/>
          </w:tcPr>
          <w:p w:rsidR="00000000" w:rsidRDefault="00000000">
            <w:pPr>
              <w:spacing w:after="120"/>
              <w:ind w:right="40"/>
              <w:jc w:val="right"/>
            </w:pPr>
            <w:r>
              <w:t>34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1728"/>
              <w:rPr>
                <w:spacing w:val="60"/>
                <w:sz w:val="17"/>
              </w:rPr>
            </w:pPr>
            <w:r>
              <w:tab/>
            </w:r>
            <w:r>
              <w:tab/>
            </w:r>
            <w:r>
              <w:tab/>
              <w:t>Informar al público sobre el problema</w:t>
            </w:r>
            <w:r>
              <w:rPr>
                <w:spacing w:val="60"/>
                <w:sz w:val="17"/>
              </w:rPr>
              <w:tab/>
            </w:r>
          </w:p>
        </w:tc>
        <w:tc>
          <w:tcPr>
            <w:tcW w:w="792" w:type="dxa"/>
            <w:vAlign w:val="bottom"/>
          </w:tcPr>
          <w:p w:rsidR="00000000" w:rsidRDefault="00000000">
            <w:pPr>
              <w:spacing w:after="120"/>
              <w:ind w:right="40"/>
              <w:jc w:val="right"/>
            </w:pPr>
            <w:r>
              <w:t>35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1728"/>
              <w:rPr>
                <w:spacing w:val="60"/>
                <w:sz w:val="17"/>
              </w:rPr>
            </w:pPr>
            <w:r>
              <w:tab/>
            </w:r>
            <w:r>
              <w:tab/>
            </w:r>
            <w:r>
              <w:tab/>
              <w:t>La campaña en los países nórdicos y bálticos</w:t>
            </w:r>
            <w:r>
              <w:rPr>
                <w:spacing w:val="60"/>
                <w:sz w:val="17"/>
              </w:rPr>
              <w:tab/>
            </w:r>
          </w:p>
        </w:tc>
        <w:tc>
          <w:tcPr>
            <w:tcW w:w="792" w:type="dxa"/>
            <w:vAlign w:val="bottom"/>
          </w:tcPr>
          <w:p w:rsidR="00000000" w:rsidRDefault="00000000">
            <w:pPr>
              <w:spacing w:after="120"/>
              <w:ind w:right="40"/>
              <w:jc w:val="right"/>
            </w:pPr>
            <w:r>
              <w:t>35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r>
            <w:r>
              <w:tab/>
              <w:t>Estudios</w:t>
            </w:r>
            <w:r>
              <w:rPr>
                <w:spacing w:val="60"/>
                <w:sz w:val="17"/>
              </w:rPr>
              <w:tab/>
            </w:r>
          </w:p>
        </w:tc>
        <w:tc>
          <w:tcPr>
            <w:tcW w:w="792" w:type="dxa"/>
            <w:vAlign w:val="bottom"/>
          </w:tcPr>
          <w:p w:rsidR="00000000" w:rsidRDefault="00000000">
            <w:pPr>
              <w:spacing w:after="120"/>
              <w:ind w:right="40"/>
              <w:jc w:val="right"/>
            </w:pPr>
            <w:r>
              <w:t>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t>Las actividades de la policía</w:t>
            </w:r>
            <w:r>
              <w:rPr>
                <w:spacing w:val="60"/>
                <w:sz w:val="17"/>
              </w:rPr>
              <w:tab/>
            </w:r>
          </w:p>
        </w:tc>
        <w:tc>
          <w:tcPr>
            <w:tcW w:w="792" w:type="dxa"/>
            <w:vAlign w:val="bottom"/>
          </w:tcPr>
          <w:p w:rsidR="00000000" w:rsidRDefault="00000000">
            <w:pPr>
              <w:spacing w:after="120"/>
              <w:ind w:right="40"/>
              <w:jc w:val="right"/>
            </w:pPr>
            <w:r>
              <w:t>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728" w:hanging="1728"/>
              <w:rPr>
                <w:spacing w:val="60"/>
                <w:sz w:val="17"/>
              </w:rPr>
            </w:pPr>
            <w:r>
              <w:tab/>
            </w:r>
            <w:r>
              <w:tab/>
            </w:r>
            <w:r>
              <w:tab/>
              <w:t>Plan de acción nacional de lucha contra la trata de personas</w:t>
            </w:r>
            <w:r>
              <w:rPr>
                <w:spacing w:val="60"/>
                <w:sz w:val="17"/>
              </w:rPr>
              <w:tab/>
            </w:r>
          </w:p>
        </w:tc>
        <w:tc>
          <w:tcPr>
            <w:tcW w:w="792" w:type="dxa"/>
            <w:vAlign w:val="bottom"/>
          </w:tcPr>
          <w:p w:rsidR="00000000" w:rsidRDefault="00000000">
            <w:pPr>
              <w:spacing w:after="120"/>
              <w:ind w:right="40"/>
              <w:jc w:val="right"/>
            </w:pPr>
            <w:r>
              <w:t>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t>Debates en curso</w:t>
            </w:r>
            <w:r>
              <w:rPr>
                <w:spacing w:val="60"/>
                <w:sz w:val="17"/>
              </w:rPr>
              <w:tab/>
            </w:r>
          </w:p>
        </w:tc>
        <w:tc>
          <w:tcPr>
            <w:tcW w:w="792" w:type="dxa"/>
            <w:vAlign w:val="bottom"/>
          </w:tcPr>
          <w:p w:rsidR="00000000" w:rsidRDefault="00000000">
            <w:pPr>
              <w:spacing w:after="120"/>
              <w:ind w:right="40"/>
              <w:jc w:val="right"/>
            </w:pPr>
            <w:r>
              <w:t>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r>
            <w:r>
              <w:tab/>
              <w:t>Participación de Estonia en las actividades de lucha contra la trata de personas en la región</w:t>
            </w:r>
            <w:r>
              <w:rPr>
                <w:spacing w:val="60"/>
                <w:sz w:val="17"/>
              </w:rPr>
              <w:tab/>
            </w:r>
          </w:p>
        </w:tc>
        <w:tc>
          <w:tcPr>
            <w:tcW w:w="792" w:type="dxa"/>
            <w:vAlign w:val="bottom"/>
          </w:tcPr>
          <w:p w:rsidR="00000000" w:rsidRDefault="00000000">
            <w:pPr>
              <w:spacing w:after="120"/>
              <w:ind w:right="40"/>
              <w:jc w:val="right"/>
            </w:pPr>
            <w:r>
              <w:t>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t>Artículo 7</w:t>
            </w:r>
            <w:r>
              <w:rPr>
                <w:spacing w:val="60"/>
                <w:sz w:val="17"/>
              </w:rPr>
              <w:tab/>
            </w:r>
          </w:p>
        </w:tc>
        <w:tc>
          <w:tcPr>
            <w:tcW w:w="792" w:type="dxa"/>
            <w:vAlign w:val="bottom"/>
          </w:tcPr>
          <w:p w:rsidR="00000000" w:rsidRDefault="00000000">
            <w:pPr>
              <w:spacing w:after="120"/>
              <w:ind w:right="40"/>
              <w:jc w:val="right"/>
            </w:pPr>
            <w:r>
              <w:t>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t>La mujer en el Parlamento</w:t>
            </w:r>
            <w:r>
              <w:rPr>
                <w:spacing w:val="60"/>
                <w:sz w:val="17"/>
              </w:rPr>
              <w:tab/>
            </w:r>
          </w:p>
        </w:tc>
        <w:tc>
          <w:tcPr>
            <w:tcW w:w="792" w:type="dxa"/>
            <w:vAlign w:val="bottom"/>
          </w:tcPr>
          <w:p w:rsidR="00000000" w:rsidRDefault="00000000">
            <w:pPr>
              <w:spacing w:after="120"/>
              <w:ind w:right="40"/>
              <w:jc w:val="right"/>
            </w:pPr>
            <w:r>
              <w:t>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r>
            <w:r>
              <w:tab/>
              <w:t>La mujer en los concejos gubernamentales locales</w:t>
            </w:r>
            <w:r>
              <w:rPr>
                <w:spacing w:val="60"/>
                <w:sz w:val="17"/>
              </w:rPr>
              <w:tab/>
            </w:r>
          </w:p>
        </w:tc>
        <w:tc>
          <w:tcPr>
            <w:tcW w:w="792" w:type="dxa"/>
            <w:vAlign w:val="bottom"/>
          </w:tcPr>
          <w:p w:rsidR="00000000" w:rsidRDefault="00000000">
            <w:pPr>
              <w:spacing w:after="120"/>
              <w:ind w:right="40"/>
              <w:jc w:val="right"/>
            </w:pPr>
            <w:r>
              <w:t>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r>
            <w:r>
              <w:tab/>
              <w:t>La mujer en las elecciones al Parlamento Europeo</w:t>
            </w:r>
            <w:r>
              <w:rPr>
                <w:spacing w:val="60"/>
                <w:sz w:val="17"/>
              </w:rPr>
              <w:tab/>
            </w:r>
          </w:p>
        </w:tc>
        <w:tc>
          <w:tcPr>
            <w:tcW w:w="792" w:type="dxa"/>
            <w:vAlign w:val="bottom"/>
          </w:tcPr>
          <w:p w:rsidR="00000000" w:rsidRDefault="00000000">
            <w:pPr>
              <w:spacing w:after="120"/>
              <w:ind w:right="40"/>
              <w:jc w:val="right"/>
            </w:pPr>
            <w:r>
              <w:t>42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728" w:hanging="1728"/>
              <w:rPr>
                <w:spacing w:val="60"/>
                <w:sz w:val="17"/>
              </w:rPr>
            </w:pPr>
            <w:r>
              <w:tab/>
            </w:r>
            <w:r>
              <w:tab/>
            </w:r>
            <w:r>
              <w:tab/>
              <w:t>Proporción de mujeres en los principales partidos políticos</w:t>
            </w:r>
            <w:r>
              <w:rPr>
                <w:spacing w:val="60"/>
                <w:sz w:val="17"/>
              </w:rPr>
              <w:tab/>
            </w:r>
          </w:p>
        </w:tc>
        <w:tc>
          <w:tcPr>
            <w:tcW w:w="792" w:type="dxa"/>
            <w:vAlign w:val="bottom"/>
          </w:tcPr>
          <w:p w:rsidR="00000000" w:rsidRDefault="00000000">
            <w:pPr>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1728"/>
              <w:rPr>
                <w:spacing w:val="60"/>
                <w:sz w:val="17"/>
              </w:rPr>
            </w:pPr>
            <w:r>
              <w:tab/>
            </w:r>
            <w:r>
              <w:tab/>
            </w:r>
            <w:r>
              <w:tab/>
              <w:t>La mujer en la administración pública</w:t>
            </w:r>
            <w:r>
              <w:rPr>
                <w:spacing w:val="60"/>
                <w:sz w:val="17"/>
              </w:rPr>
              <w:tab/>
            </w:r>
          </w:p>
        </w:tc>
        <w:tc>
          <w:tcPr>
            <w:tcW w:w="792" w:type="dxa"/>
            <w:vAlign w:val="bottom"/>
          </w:tcPr>
          <w:p w:rsidR="00000000" w:rsidRDefault="00000000">
            <w:pPr>
              <w:spacing w:after="120"/>
              <w:ind w:right="40"/>
              <w:jc w:val="right"/>
            </w:pPr>
            <w:r>
              <w:t>44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r>
            <w:r>
              <w:tab/>
              <w:t>Sindicatos</w:t>
            </w:r>
            <w:r>
              <w:rPr>
                <w:spacing w:val="60"/>
                <w:sz w:val="17"/>
              </w:rPr>
              <w:tab/>
            </w:r>
          </w:p>
        </w:tc>
        <w:tc>
          <w:tcPr>
            <w:tcW w:w="792" w:type="dxa"/>
            <w:vAlign w:val="bottom"/>
          </w:tcPr>
          <w:p w:rsidR="00000000" w:rsidRDefault="00000000">
            <w:pPr>
              <w:spacing w:after="120"/>
              <w:ind w:right="40"/>
              <w:jc w:val="right"/>
            </w:pPr>
            <w:r>
              <w:t>46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t>Artículo 8</w:t>
            </w:r>
            <w:r>
              <w:rPr>
                <w:spacing w:val="60"/>
                <w:sz w:val="17"/>
              </w:rPr>
              <w:tab/>
            </w:r>
          </w:p>
        </w:tc>
        <w:tc>
          <w:tcPr>
            <w:tcW w:w="792" w:type="dxa"/>
            <w:vAlign w:val="bottom"/>
          </w:tcPr>
          <w:p w:rsidR="00000000" w:rsidRDefault="00000000">
            <w:pPr>
              <w:spacing w:after="120"/>
              <w:ind w:right="40"/>
              <w:jc w:val="right"/>
            </w:pPr>
            <w:r>
              <w:t>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r>
            <w:r>
              <w:tab/>
              <w:t>La mujer en las organizaciones internacionales</w:t>
            </w:r>
            <w:r>
              <w:rPr>
                <w:spacing w:val="60"/>
                <w:sz w:val="17"/>
              </w:rPr>
              <w:tab/>
            </w:r>
          </w:p>
        </w:tc>
        <w:tc>
          <w:tcPr>
            <w:tcW w:w="792" w:type="dxa"/>
            <w:vAlign w:val="bottom"/>
          </w:tcPr>
          <w:p w:rsidR="00000000" w:rsidRDefault="00000000">
            <w:pPr>
              <w:spacing w:after="120"/>
              <w:ind w:right="40"/>
              <w:jc w:val="right"/>
            </w:pPr>
            <w:r>
              <w:t>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t>Artículo 9</w:t>
            </w:r>
            <w:r>
              <w:rPr>
                <w:spacing w:val="60"/>
                <w:sz w:val="17"/>
              </w:rPr>
              <w:tab/>
            </w:r>
          </w:p>
        </w:tc>
        <w:tc>
          <w:tcPr>
            <w:tcW w:w="792" w:type="dxa"/>
            <w:vAlign w:val="bottom"/>
          </w:tcPr>
          <w:p w:rsidR="00000000" w:rsidRDefault="00000000">
            <w:pPr>
              <w:spacing w:after="120"/>
              <w:ind w:right="40"/>
              <w:jc w:val="right"/>
            </w:pPr>
            <w:r>
              <w:t>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t>Artículo 10</w:t>
            </w:r>
            <w:r>
              <w:rPr>
                <w:spacing w:val="60"/>
                <w:sz w:val="17"/>
              </w:rPr>
              <w:tab/>
            </w:r>
          </w:p>
        </w:tc>
        <w:tc>
          <w:tcPr>
            <w:tcW w:w="792" w:type="dxa"/>
            <w:vAlign w:val="bottom"/>
          </w:tcPr>
          <w:p w:rsidR="00000000" w:rsidRDefault="00000000">
            <w:pPr>
              <w:spacing w:after="120"/>
              <w:ind w:right="40"/>
              <w:jc w:val="right"/>
            </w:pPr>
            <w:r>
              <w:t>52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t>Artículo 11</w:t>
            </w:r>
            <w:r>
              <w:rPr>
                <w:spacing w:val="60"/>
                <w:sz w:val="17"/>
              </w:rPr>
              <w:tab/>
            </w:r>
          </w:p>
        </w:tc>
        <w:tc>
          <w:tcPr>
            <w:tcW w:w="792" w:type="dxa"/>
            <w:vAlign w:val="bottom"/>
          </w:tcPr>
          <w:p w:rsidR="00000000" w:rsidRDefault="00000000">
            <w:pPr>
              <w:spacing w:after="120"/>
              <w:ind w:right="40"/>
              <w:jc w:val="right"/>
            </w:pPr>
            <w:r>
              <w:t>58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1728"/>
              <w:rPr>
                <w:spacing w:val="60"/>
                <w:sz w:val="17"/>
              </w:rPr>
            </w:pPr>
            <w:r>
              <w:tab/>
            </w:r>
            <w:r>
              <w:tab/>
            </w:r>
            <w:r>
              <w:tab/>
              <w:t>Segregación horizontal y vertical en el mercado laboral</w:t>
            </w:r>
            <w:r>
              <w:rPr>
                <w:spacing w:val="60"/>
                <w:sz w:val="17"/>
              </w:rPr>
              <w:tab/>
            </w:r>
          </w:p>
        </w:tc>
        <w:tc>
          <w:tcPr>
            <w:tcW w:w="792" w:type="dxa"/>
            <w:vAlign w:val="bottom"/>
          </w:tcPr>
          <w:p w:rsidR="00000000" w:rsidRDefault="00000000">
            <w:pPr>
              <w:spacing w:after="120"/>
              <w:ind w:right="40"/>
              <w:jc w:val="right"/>
            </w:pPr>
            <w:r>
              <w:t>60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1728"/>
              <w:rPr>
                <w:spacing w:val="60"/>
                <w:sz w:val="17"/>
              </w:rPr>
            </w:pPr>
            <w:r>
              <w:tab/>
            </w:r>
            <w:r>
              <w:tab/>
            </w:r>
            <w:r>
              <w:tab/>
              <w:t>Participación en la vida empresarial</w:t>
            </w:r>
            <w:r>
              <w:rPr>
                <w:spacing w:val="60"/>
                <w:sz w:val="17"/>
              </w:rPr>
              <w:tab/>
            </w:r>
          </w:p>
        </w:tc>
        <w:tc>
          <w:tcPr>
            <w:tcW w:w="792" w:type="dxa"/>
            <w:vAlign w:val="bottom"/>
          </w:tcPr>
          <w:p w:rsidR="00000000" w:rsidRDefault="00000000">
            <w:pPr>
              <w:spacing w:after="120"/>
              <w:ind w:right="40"/>
              <w:jc w:val="right"/>
            </w:pPr>
            <w:r>
              <w:t>61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t>Artículo 12</w:t>
            </w:r>
            <w:r>
              <w:rPr>
                <w:spacing w:val="60"/>
                <w:sz w:val="17"/>
              </w:rPr>
              <w:tab/>
            </w:r>
          </w:p>
        </w:tc>
        <w:tc>
          <w:tcPr>
            <w:tcW w:w="792" w:type="dxa"/>
            <w:vAlign w:val="bottom"/>
          </w:tcPr>
          <w:p w:rsidR="00000000" w:rsidRDefault="00000000">
            <w:pPr>
              <w:spacing w:after="120"/>
              <w:ind w:right="40"/>
              <w:jc w:val="right"/>
            </w:pPr>
            <w:r>
              <w:t>69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t>Propagación del VIH/SIDA</w:t>
            </w:r>
            <w:r>
              <w:rPr>
                <w:spacing w:val="60"/>
                <w:sz w:val="17"/>
              </w:rPr>
              <w:tab/>
            </w:r>
          </w:p>
        </w:tc>
        <w:tc>
          <w:tcPr>
            <w:tcW w:w="792" w:type="dxa"/>
            <w:vAlign w:val="bottom"/>
          </w:tcPr>
          <w:p w:rsidR="00000000" w:rsidRDefault="00000000">
            <w:pPr>
              <w:spacing w:after="120"/>
              <w:ind w:right="40"/>
              <w:jc w:val="right"/>
            </w:pPr>
            <w:r>
              <w:t>71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t>Artículo 13</w:t>
            </w:r>
            <w:r>
              <w:rPr>
                <w:spacing w:val="60"/>
                <w:sz w:val="17"/>
              </w:rPr>
              <w:tab/>
            </w:r>
          </w:p>
        </w:tc>
        <w:tc>
          <w:tcPr>
            <w:tcW w:w="792" w:type="dxa"/>
            <w:vAlign w:val="bottom"/>
          </w:tcPr>
          <w:p w:rsidR="00000000" w:rsidRDefault="00000000">
            <w:pPr>
              <w:spacing w:after="120"/>
              <w:ind w:right="40"/>
              <w:jc w:val="right"/>
            </w:pPr>
            <w:r>
              <w:t>73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Prestaciones familiares</w:t>
            </w:r>
            <w:r>
              <w:rPr>
                <w:spacing w:val="60"/>
                <w:sz w:val="17"/>
              </w:rPr>
              <w:tab/>
            </w:r>
          </w:p>
        </w:tc>
        <w:tc>
          <w:tcPr>
            <w:tcW w:w="792" w:type="dxa"/>
            <w:vAlign w:val="bottom"/>
          </w:tcPr>
          <w:p w:rsidR="00000000" w:rsidRDefault="00000000">
            <w:pPr>
              <w:spacing w:after="120"/>
              <w:ind w:right="40"/>
              <w:jc w:val="right"/>
            </w:pPr>
            <w:r>
              <w:t>73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1728"/>
              <w:rPr>
                <w:spacing w:val="60"/>
                <w:sz w:val="17"/>
              </w:rPr>
            </w:pPr>
            <w:r>
              <w:tab/>
            </w:r>
            <w:r>
              <w:tab/>
            </w:r>
            <w:r>
              <w:tab/>
              <w:t>Desgravaciones impositivas para familias con hijos</w:t>
            </w:r>
            <w:r>
              <w:rPr>
                <w:spacing w:val="60"/>
                <w:sz w:val="17"/>
              </w:rPr>
              <w:tab/>
            </w:r>
          </w:p>
        </w:tc>
        <w:tc>
          <w:tcPr>
            <w:tcW w:w="792" w:type="dxa"/>
            <w:vAlign w:val="bottom"/>
          </w:tcPr>
          <w:p w:rsidR="00000000" w:rsidRDefault="00000000">
            <w:pPr>
              <w:spacing w:after="120"/>
              <w:ind w:right="40"/>
              <w:jc w:val="right"/>
            </w:pPr>
            <w:r>
              <w:t>73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t>Artículo 14</w:t>
            </w:r>
            <w:r>
              <w:rPr>
                <w:spacing w:val="60"/>
                <w:sz w:val="17"/>
              </w:rPr>
              <w:tab/>
            </w:r>
          </w:p>
        </w:tc>
        <w:tc>
          <w:tcPr>
            <w:tcW w:w="792" w:type="dxa"/>
            <w:vAlign w:val="bottom"/>
          </w:tcPr>
          <w:p w:rsidR="00000000" w:rsidRDefault="00000000">
            <w:pPr>
              <w:spacing w:after="120"/>
              <w:ind w:right="40"/>
              <w:jc w:val="right"/>
            </w:pPr>
            <w:r>
              <w:t>77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r>
            <w:r>
              <w:tab/>
              <w:t>El desempleo en las zonas rurales</w:t>
            </w:r>
            <w:r>
              <w:rPr>
                <w:spacing w:val="60"/>
                <w:sz w:val="17"/>
              </w:rPr>
              <w:tab/>
            </w:r>
          </w:p>
        </w:tc>
        <w:tc>
          <w:tcPr>
            <w:tcW w:w="792" w:type="dxa"/>
            <w:vAlign w:val="bottom"/>
          </w:tcPr>
          <w:p w:rsidR="00000000" w:rsidRDefault="00000000">
            <w:pPr>
              <w:spacing w:after="120"/>
              <w:ind w:right="40"/>
              <w:jc w:val="right"/>
            </w:pPr>
            <w:r>
              <w:t>77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r>
            <w:r>
              <w:tab/>
              <w:t>Inversiones y estrategia de desarrollo regional</w:t>
            </w:r>
            <w:r>
              <w:rPr>
                <w:spacing w:val="60"/>
                <w:sz w:val="17"/>
              </w:rPr>
              <w:tab/>
            </w:r>
          </w:p>
        </w:tc>
        <w:tc>
          <w:tcPr>
            <w:tcW w:w="792" w:type="dxa"/>
            <w:vAlign w:val="bottom"/>
          </w:tcPr>
          <w:p w:rsidR="00000000" w:rsidRDefault="00000000">
            <w:pPr>
              <w:spacing w:after="120"/>
              <w:ind w:right="40"/>
              <w:jc w:val="right"/>
            </w:pPr>
            <w:r>
              <w:t>78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t>Artículo 15</w:t>
            </w:r>
            <w:r>
              <w:rPr>
                <w:spacing w:val="60"/>
                <w:sz w:val="17"/>
              </w:rPr>
              <w:tab/>
            </w:r>
          </w:p>
        </w:tc>
        <w:tc>
          <w:tcPr>
            <w:tcW w:w="792" w:type="dxa"/>
            <w:vAlign w:val="bottom"/>
          </w:tcPr>
          <w:p w:rsidR="00000000" w:rsidRDefault="00000000">
            <w:pPr>
              <w:spacing w:after="120"/>
              <w:ind w:right="40"/>
              <w:jc w:val="right"/>
            </w:pPr>
            <w:r>
              <w:t>86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r>
            <w:r>
              <w:tab/>
              <w:t>Igualdad de capacidad jurídica en materia civil</w:t>
            </w:r>
            <w:r>
              <w:rPr>
                <w:spacing w:val="60"/>
                <w:sz w:val="17"/>
              </w:rPr>
              <w:tab/>
            </w:r>
          </w:p>
        </w:tc>
        <w:tc>
          <w:tcPr>
            <w:tcW w:w="792" w:type="dxa"/>
            <w:vAlign w:val="bottom"/>
          </w:tcPr>
          <w:p w:rsidR="00000000" w:rsidRDefault="00000000">
            <w:pPr>
              <w:spacing w:after="120"/>
              <w:ind w:right="40"/>
              <w:jc w:val="right"/>
            </w:pPr>
            <w:r>
              <w:t>86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Actuación como juez</w:t>
            </w:r>
            <w:r>
              <w:rPr>
                <w:spacing w:val="60"/>
                <w:sz w:val="17"/>
              </w:rPr>
              <w:tab/>
            </w:r>
          </w:p>
        </w:tc>
        <w:tc>
          <w:tcPr>
            <w:tcW w:w="792" w:type="dxa"/>
            <w:vAlign w:val="bottom"/>
          </w:tcPr>
          <w:p w:rsidR="00000000" w:rsidRDefault="00000000">
            <w:pPr>
              <w:spacing w:after="120"/>
              <w:ind w:right="40"/>
              <w:jc w:val="right"/>
            </w:pPr>
            <w:r>
              <w:t>86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t>Actuación como juez lego</w:t>
            </w:r>
            <w:r>
              <w:rPr>
                <w:spacing w:val="60"/>
                <w:sz w:val="17"/>
              </w:rPr>
              <w:tab/>
            </w:r>
          </w:p>
        </w:tc>
        <w:tc>
          <w:tcPr>
            <w:tcW w:w="792" w:type="dxa"/>
            <w:vAlign w:val="bottom"/>
          </w:tcPr>
          <w:p w:rsidR="00000000" w:rsidRDefault="00000000">
            <w:pPr>
              <w:spacing w:after="120"/>
              <w:ind w:right="40"/>
              <w:jc w:val="right"/>
            </w:pPr>
            <w:r>
              <w:t>87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t>Actuación como representante</w:t>
            </w:r>
            <w:r>
              <w:rPr>
                <w:spacing w:val="60"/>
                <w:sz w:val="17"/>
              </w:rPr>
              <w:tab/>
            </w:r>
          </w:p>
        </w:tc>
        <w:tc>
          <w:tcPr>
            <w:tcW w:w="792" w:type="dxa"/>
            <w:vAlign w:val="bottom"/>
          </w:tcPr>
          <w:p w:rsidR="00000000" w:rsidRDefault="00000000">
            <w:pPr>
              <w:spacing w:after="120"/>
              <w:ind w:right="40"/>
              <w:jc w:val="right"/>
            </w:pPr>
            <w:r>
              <w:t>87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Actuación como fiscal</w:t>
            </w:r>
            <w:r>
              <w:rPr>
                <w:spacing w:val="60"/>
                <w:sz w:val="17"/>
              </w:rPr>
              <w:tab/>
            </w:r>
          </w:p>
        </w:tc>
        <w:tc>
          <w:tcPr>
            <w:tcW w:w="792" w:type="dxa"/>
            <w:vAlign w:val="bottom"/>
          </w:tcPr>
          <w:p w:rsidR="00000000" w:rsidRDefault="00000000">
            <w:pPr>
              <w:spacing w:after="120"/>
              <w:ind w:right="40"/>
              <w:jc w:val="right"/>
            </w:pPr>
            <w:r>
              <w:t>87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Actuación como parte</w:t>
            </w:r>
            <w:r>
              <w:rPr>
                <w:spacing w:val="60"/>
                <w:sz w:val="17"/>
              </w:rPr>
              <w:tab/>
            </w:r>
          </w:p>
        </w:tc>
        <w:tc>
          <w:tcPr>
            <w:tcW w:w="792" w:type="dxa"/>
            <w:vAlign w:val="bottom"/>
          </w:tcPr>
          <w:p w:rsidR="00000000" w:rsidRDefault="00000000">
            <w:pPr>
              <w:spacing w:after="120"/>
              <w:ind w:right="40"/>
              <w:jc w:val="right"/>
            </w:pPr>
            <w:r>
              <w:t>88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Actuación como testigo</w:t>
            </w:r>
            <w:r>
              <w:rPr>
                <w:spacing w:val="60"/>
                <w:sz w:val="17"/>
              </w:rPr>
              <w:tab/>
            </w:r>
          </w:p>
        </w:tc>
        <w:tc>
          <w:tcPr>
            <w:tcW w:w="792" w:type="dxa"/>
            <w:vAlign w:val="bottom"/>
          </w:tcPr>
          <w:p w:rsidR="00000000" w:rsidRDefault="00000000">
            <w:pPr>
              <w:spacing w:after="120"/>
              <w:ind w:right="40"/>
              <w:jc w:val="right"/>
            </w:pPr>
            <w:r>
              <w:t>88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t>Artículo 16</w:t>
            </w:r>
            <w:r>
              <w:rPr>
                <w:spacing w:val="60"/>
                <w:sz w:val="17"/>
              </w:rPr>
              <w:tab/>
            </w:r>
          </w:p>
        </w:tc>
        <w:tc>
          <w:tcPr>
            <w:tcW w:w="792" w:type="dxa"/>
            <w:vAlign w:val="bottom"/>
          </w:tcPr>
          <w:p w:rsidR="00000000" w:rsidRDefault="00000000">
            <w:pPr>
              <w:spacing w:after="120"/>
              <w:ind w:right="40"/>
              <w:jc w:val="right"/>
            </w:pPr>
            <w:r>
              <w:t>89</w:t>
            </w:r>
          </w:p>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bookmarkStart w:id="1" w:name="_Toc103503056"/>
      <w:r>
        <w:tab/>
      </w:r>
      <w:r>
        <w:tab/>
        <w:t>Artículo 1</w:t>
      </w:r>
      <w:bookmarkEnd w:id="1"/>
    </w:p>
    <w:p w:rsidR="00000000" w:rsidRDefault="00000000">
      <w:pPr>
        <w:pStyle w:val="SingleTxt"/>
        <w:spacing w:after="0" w:line="120" w:lineRule="exact"/>
        <w:rPr>
          <w:sz w:val="10"/>
        </w:rPr>
      </w:pPr>
      <w:bookmarkStart w:id="2" w:name="_Toc103503057"/>
    </w:p>
    <w:p w:rsidR="00000000" w:rsidRDefault="00000000">
      <w:pPr>
        <w:pStyle w:val="SingleTxt"/>
        <w:spacing w:after="0" w:line="120" w:lineRule="exact"/>
        <w:rPr>
          <w:sz w:val="10"/>
        </w:rPr>
      </w:pPr>
    </w:p>
    <w:p w:rsidR="00000000" w:rsidRDefault="00000000">
      <w:pPr>
        <w:pStyle w:val="SingleTxt"/>
        <w:rPr>
          <w:i/>
        </w:rPr>
      </w:pPr>
      <w:r>
        <w:tab/>
      </w:r>
      <w:r>
        <w:rPr>
          <w:i/>
        </w:rPr>
        <w:t>A los efectos de la presente Convención, la expresión “discriminación contra la mujer” denotará toda distinción, exclusión o restricción basada en el sexo que tenga por objeto o resultado menoscabar o anular el reconocimiento, goce o ejerc</w:t>
      </w:r>
      <w:r>
        <w:rPr>
          <w:i/>
        </w:rPr>
        <w:t>i</w:t>
      </w:r>
      <w:r>
        <w:rPr>
          <w:i/>
        </w:rPr>
        <w:t>cio por la mujer, independientemente de su estado civil, sobre la base de la igualdad del hombre y la mujer, de los derechos humanos y las libertades fundamentales en las esferas política, económica, social, cultural y civil o en cualquier otra esfera.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entre los géneros en los instrumentos jurídicos</w:t>
      </w:r>
      <w:bookmarkEnd w:id="2"/>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1º de mayo de 2004 entró en vigor la Ley sobre la igualdad de género. Se trata de la primera ley de este tipo en Estonia y su texto aclara términos como la igualdad entre los géneros, la igualdad de trato entre el hombre y la mujer, la di</w:t>
      </w:r>
      <w:r>
        <w:t>s</w:t>
      </w:r>
      <w:r>
        <w:t>criminación directa e indirecta en razón del género y también prevé medidas para la promoción de la igualdad de trato entre el hombre y la mujer.</w:t>
      </w:r>
    </w:p>
    <w:p w:rsidR="00000000" w:rsidRDefault="00000000">
      <w:pPr>
        <w:pStyle w:val="SingleTxt"/>
      </w:pPr>
      <w:r>
        <w:tab/>
        <w:t>En la Ley sobre la igualdad de género se define el término “discriminación contra la mujer”, que hasta ese momento no figuraba en las leyes de Estonia, motivo por el cual el Comité había expresado su pre</w:t>
      </w:r>
      <w:r>
        <w:t>o</w:t>
      </w:r>
      <w:r>
        <w:t>cupación.</w:t>
      </w:r>
    </w:p>
    <w:p w:rsidR="00000000" w:rsidRDefault="00000000">
      <w:pPr>
        <w:pStyle w:val="SingleTxt"/>
      </w:pPr>
      <w:r>
        <w:tab/>
        <w:t>La discriminación contra la mujer se define en función del requisito de la igualdad de trato entre el hombre y la mujer, en virtud de la cual no puede ejercerse la discr</w:t>
      </w:r>
      <w:r>
        <w:t>i</w:t>
      </w:r>
      <w:r>
        <w:t>minación directa ni indirecta.</w:t>
      </w:r>
    </w:p>
    <w:p w:rsidR="00000000" w:rsidRDefault="00000000">
      <w:pPr>
        <w:pStyle w:val="SingleTxt"/>
      </w:pPr>
      <w:r>
        <w:tab/>
        <w:t>La discriminación directa basada en el género se produce cuando una persona recibe trato menos favorable en razón del género que el que recibe, ha recibido o r</w:t>
      </w:r>
      <w:r>
        <w:t>e</w:t>
      </w:r>
      <w:r>
        <w:t>cibiría otra persona en una situación comparable. También denota el trato menos f</w:t>
      </w:r>
      <w:r>
        <w:t>a</w:t>
      </w:r>
      <w:r>
        <w:t>vorable hacia una persona en relación con el embarazo y el alumbramiento, la co</w:t>
      </w:r>
      <w:r>
        <w:t>n</w:t>
      </w:r>
      <w:r>
        <w:t>dición de progenitor, el cumplimiento de las obligaciones familiares u otras ci</w:t>
      </w:r>
      <w:r>
        <w:t>r</w:t>
      </w:r>
      <w:r>
        <w:t>cunstancias r</w:t>
      </w:r>
      <w:r>
        <w:t>e</w:t>
      </w:r>
      <w:r>
        <w:t>lacionadas con el género y el acoso sexual.</w:t>
      </w:r>
    </w:p>
    <w:p w:rsidR="00000000" w:rsidRDefault="00000000">
      <w:pPr>
        <w:pStyle w:val="SingleTxt"/>
      </w:pPr>
      <w:r>
        <w:tab/>
        <w:t>La discriminación indirecta basada en el género se produce cuando una disp</w:t>
      </w:r>
      <w:r>
        <w:t>o</w:t>
      </w:r>
      <w:r>
        <w:t>sición, un criterio o una práctica aparentemente neutrales ponen a las personas de un género en situación de desventaja respecto de las personas del otro, a menos que esa disposición, ese criterio o esa práctica se justifiquen objetivamente en virtud de un fin legítimo y los medios para alcanzar ese fin sean apropiados y necesarios. La d</w:t>
      </w:r>
      <w:r>
        <w:t>e</w:t>
      </w:r>
      <w:r>
        <w:t>finición de discriminación indirecta basada en el género también abarca las activ</w:t>
      </w:r>
      <w:r>
        <w:t>i</w:t>
      </w:r>
      <w:r>
        <w:t>dades que podrían parecer neutrales, pero que son de naturaleza discriminatoria.</w:t>
      </w:r>
    </w:p>
    <w:p w:rsidR="00000000" w:rsidRDefault="00000000">
      <w:pPr>
        <w:pStyle w:val="SingleTxt"/>
      </w:pPr>
      <w:r>
        <w:tab/>
        <w:t>El acoso sexual es una forma de discriminación basada en el género. Existe cuando, en cualquier relación de subordinación o dependencia, se produce alguna forma de actividad o conducta verbal, no verbal o física de naturaleza sexual no d</w:t>
      </w:r>
      <w:r>
        <w:t>e</w:t>
      </w:r>
      <w:r>
        <w:t>seada con el propósito o el efecto de violar la dignidad de una persona, en particular cuando se genera un entorno perturbador, intimidatorio, hostil, degradante, hum</w:t>
      </w:r>
      <w:r>
        <w:t>i</w:t>
      </w:r>
      <w:r>
        <w:t>llante u ofensivo y cuando la persona rechaza dicho comportamiento o se somete a éste porque constituye un requisito previo directo o indirecto para obtener un e</w:t>
      </w:r>
      <w:r>
        <w:t>m</w:t>
      </w:r>
      <w:r>
        <w:t>pleo, mantenerlo, participar en actividades de capacitación, percibir una remuner</w:t>
      </w:r>
      <w:r>
        <w:t>a</w:t>
      </w:r>
      <w:r>
        <w:t>ción, u otras ventajas o beneficios.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 w:name="_Toc103503058"/>
      <w:r>
        <w:br w:type="page"/>
      </w:r>
      <w:r>
        <w:tab/>
      </w:r>
      <w:r>
        <w:tab/>
        <w:t>Artículo 2</w:t>
      </w:r>
      <w:bookmarkEnd w:id="3"/>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ab/>
        <w:t>Los Estados partes condenan la discriminación contra la mujer en todas sus formas, convienen en seguir, por todos los medios apropiados y sin dilaciones, una política encaminada a eliminar la discriminación contra la mujer y, con tal objeto, se co</w:t>
      </w:r>
      <w:r>
        <w:rPr>
          <w:i/>
        </w:rPr>
        <w:t>m</w:t>
      </w:r>
      <w:r>
        <w:rPr>
          <w:i/>
        </w:rPr>
        <w:t>prometen a:</w:t>
      </w:r>
    </w:p>
    <w:p w:rsidR="00000000" w:rsidRDefault="00000000">
      <w:pPr>
        <w:pStyle w:val="SingleTxt"/>
        <w:rPr>
          <w:i/>
        </w:rPr>
      </w:pPr>
      <w:r>
        <w:rPr>
          <w:i/>
        </w:rPr>
        <w:tab/>
        <w:t>a)</w:t>
      </w:r>
      <w:r>
        <w:rPr>
          <w:i/>
        </w:rPr>
        <w:tab/>
        <w:t>Consagrar, si aún no lo han hecho, en sus constituciones nacionales y en cualquier otra legislación apropiada el principio de la igualdad del hombre y de la mujer y asegurar por ley u otros medios apropiados la realización práctica de ese principio;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ab/>
        <w:t>La igualdad entre los géneros está garantizada cuando el hombre y la mujer pueden adquirir derechos, cumplir obligaciones y asumir responsabilidades en igualdad de condiciones.</w:t>
      </w:r>
    </w:p>
    <w:p w:rsidR="00000000" w:rsidRDefault="00000000">
      <w:pPr>
        <w:pStyle w:val="SingleTxt"/>
      </w:pPr>
      <w:r>
        <w:tab/>
        <w:t>Debe establecerse la igualdad de oportunidades entre el hombre y la mujer en la vida profesional, la adquisición de educación y la participación en otras esferas de la vida social. Para lograrlo, es necesario prohibir la discriminación tanto directa como indirecta, eliminar todas las desigualdades de género existentes, crear igua</w:t>
      </w:r>
      <w:r>
        <w:t>l</w:t>
      </w:r>
      <w:r>
        <w:t>dad de oportunidades entre el hombre y la mujer, y aplicar distintas estrategias para promover la igualdad entre los géneros. En la Ley sobre la igualdad de género se establecen los fundamentos jurídicos necesarios y las instituciones responsables de su apl</w:t>
      </w:r>
      <w:r>
        <w:t>i</w:t>
      </w:r>
      <w:r>
        <w:t>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 w:name="_Toc103503059"/>
      <w:r>
        <w:tab/>
      </w:r>
      <w:r>
        <w:tab/>
        <w:t>Ley sobre la igualdad de género</w:t>
      </w:r>
      <w:bookmarkEnd w:id="4"/>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Ley sobre la igualdad de género establece la prohibición de la discrimin</w:t>
      </w:r>
      <w:r>
        <w:t>a</w:t>
      </w:r>
      <w:r>
        <w:t>ción en razón del género y la obligación de promover la igualdad de trato entre el hombre y la mujer. Con arreglo a la ley se crearán dos nuevas instituciones, el C</w:t>
      </w:r>
      <w:r>
        <w:t>o</w:t>
      </w:r>
      <w:r>
        <w:t>misionado sobre igualdad de géneros y el Consejo de Igualdad de Género. El Com</w:t>
      </w:r>
      <w:r>
        <w:t>i</w:t>
      </w:r>
      <w:r>
        <w:t>sionado es un experto independiente e imparcial que supervisa el cumplimiento de los requisitos establecidos en la Ley sobre la igualdad de género y emite opiniones en relación con las demandas presentadas por particulares. El Consejo asesora al Gobierno de la República en materia de promoción de la igualdad entre los géneros.</w:t>
      </w:r>
    </w:p>
    <w:p w:rsidR="00000000" w:rsidRDefault="00000000">
      <w:pPr>
        <w:pStyle w:val="SingleTxt"/>
        <w:spacing w:after="0" w:line="120" w:lineRule="exact"/>
        <w:rPr>
          <w:b/>
          <w:i/>
          <w:sz w:val="10"/>
          <w:u w:val="single"/>
        </w:rPr>
      </w:pPr>
      <w:bookmarkStart w:id="5" w:name="_Toc103503060"/>
    </w:p>
    <w:p w:rsidR="00000000" w:rsidRDefault="00000000">
      <w:pPr>
        <w:pStyle w:val="SingleTxt"/>
        <w:spacing w:after="0" w:line="120" w:lineRule="exact"/>
        <w:rPr>
          <w:b/>
          <w:i/>
          <w:sz w:val="10"/>
          <w:u w:val="single"/>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Obligación de promover la igualdad de trato entre el hombre y la mujer</w:t>
      </w:r>
      <w:bookmarkEnd w:id="5"/>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organismos gubernamentales estatales y locales tienen la obligación de promover la igualdad entre los géneros sistemática y resueltamente. De ser neces</w:t>
      </w:r>
      <w:r>
        <w:t>a</w:t>
      </w:r>
      <w:r>
        <w:t>rio, deben modificar las condiciones y circunstancias que impiden alcanzarla. En la planificación, aplicación y evaluación de las estrategias, políticas y planes de acción nacionales, regionales e institucionales, los organismos deben tener en cuenta las d</w:t>
      </w:r>
      <w:r>
        <w:t>i</w:t>
      </w:r>
      <w:r>
        <w:t>ferentes necesidades y la condición social de hombres y mujeres, y considerar la forma en que las medidas aplicadas y por aplicarse afectarán la situación de los hombres y las mujeres en la sociedad.</w:t>
      </w:r>
    </w:p>
    <w:p w:rsidR="00000000" w:rsidRDefault="00000000">
      <w:pPr>
        <w:pStyle w:val="SingleTxt"/>
      </w:pPr>
      <w:r>
        <w:tab/>
        <w:t>La Ley también prevé las obligaciones de los empleadores, las instituciones educacionales y de investigación, así como las instituciones encargadas de la org</w:t>
      </w:r>
      <w:r>
        <w:t>a</w:t>
      </w:r>
      <w:r>
        <w:t>nización de la capacitación (véase también el párr</w:t>
      </w:r>
      <w:r>
        <w:t>a</w:t>
      </w:r>
      <w:r>
        <w:t>fo e) del artículo 2).</w:t>
      </w:r>
    </w:p>
    <w:p w:rsidR="00000000" w:rsidRDefault="00000000">
      <w:pPr>
        <w:pStyle w:val="SingleTxt"/>
      </w:pPr>
      <w:r>
        <w:tab/>
        <w:t>El Ministerio de Asuntos Sociales tiene derecho a formular recomendaciones sobre la ejecución de las obligaciones mencionadas y la aplicación de la estrategia de i</w:t>
      </w:r>
      <w:r>
        <w:t>n</w:t>
      </w:r>
      <w:r>
        <w:t>corporación de una perspectiva de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 w:name="_Toc103503061"/>
      <w:r>
        <w:tab/>
      </w:r>
      <w:r>
        <w:tab/>
        <w:t>Promoción del principio de la igualdad entre los géneros en calidad de miembro de la Unión Europea</w:t>
      </w:r>
      <w:bookmarkEnd w:id="6"/>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Desde el 1º de mayo de 2004 Estonia es miembro de la Unión Europea. De conformidad con el Tratado Constitutivo de la Comunidad Europea, un objetivo compartido de los Estados miembros de la UE es reducir la desigualdad de trato e</w:t>
      </w:r>
      <w:r>
        <w:t>n</w:t>
      </w:r>
      <w:r>
        <w:t>tre el hombre y la mujer y promover la igualdad entre los géneros. El Reglamento (CE) No. 1260/1999 del Consejo de la Unión Europea, Diario Oficial L 161 de 26 de junio de 1999, por el que se establecen las disposiciones generales sobre los Fo</w:t>
      </w:r>
      <w:r>
        <w:t>n</w:t>
      </w:r>
      <w:r>
        <w:t>dos Estructurales también incluye normas sobre el establecimiento de igualdad de oportunidades entre el hombre y la mujer en la preparación y ejecución de proye</w:t>
      </w:r>
      <w:r>
        <w:t>c</w:t>
      </w:r>
      <w:r>
        <w:t>tos.</w:t>
      </w:r>
    </w:p>
    <w:p w:rsidR="00000000" w:rsidRDefault="00000000">
      <w:pPr>
        <w:pStyle w:val="SingleTxt"/>
      </w:pPr>
      <w:r>
        <w:tab/>
        <w:t>A fin de promover la igualdad entre el hombre y la mujer, las autoridades e</w:t>
      </w:r>
      <w:r>
        <w:t>n</w:t>
      </w:r>
      <w:r>
        <w:t>cargadas de la preparación de proyectos que se financiarán con cargo a los fondos estructurales están obligadas a analizar y estimar el efecto previsto de la estrategia y la asistencia, especialmente sobre la integración de la mujer y el hombre en el me</w:t>
      </w:r>
      <w:r>
        <w:t>r</w:t>
      </w:r>
      <w:r>
        <w:t>cado laboral, la educación y la formación profesional, la inserción de la mujer en las activ</w:t>
      </w:r>
      <w:r>
        <w:t>i</w:t>
      </w:r>
      <w:r>
        <w:t>dades empresariales y la conciliación de la vida familiar con el trabajo.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b)</w:t>
      </w:r>
      <w:r>
        <w:rPr>
          <w:i/>
        </w:rPr>
        <w:tab/>
        <w:t>Adoptar medidas adecuadas, legislativas y de otro carácter, con las sa</w:t>
      </w:r>
      <w:r>
        <w:rPr>
          <w:i/>
        </w:rPr>
        <w:t>n</w:t>
      </w:r>
      <w:r>
        <w:rPr>
          <w:i/>
        </w:rPr>
        <w:t>ciones correspondientes, que prohíban toda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general, en la Ley sobre la igualdad de género se prohíbe la discriminación directa e indirecta en razón del género en todos los ámbitos de la vida social. Co</w:t>
      </w:r>
      <w:r>
        <w:t>n</w:t>
      </w:r>
      <w:r>
        <w:t>cretamente, se prohíbe la discriminación en la vida profesional (véase también el art</w:t>
      </w:r>
      <w:r>
        <w:t>í</w:t>
      </w:r>
      <w:r>
        <w:t>culo 11).</w:t>
      </w:r>
    </w:p>
    <w:p w:rsidR="00000000" w:rsidRDefault="00000000">
      <w:pPr>
        <w:pStyle w:val="SingleTxt"/>
        <w:suppressAutoHyphens/>
      </w:pPr>
      <w:r>
        <w:tab/>
        <w:t>En la Ley se establecen excepciones que podrían considerarse una forma de discriminación en razón del género pero que se justifican por determinadas razones. Las disposiciones relativas a la protección especial de la mujer en relación con el embarazo y el alumbramiento, el establecimiento del servicio militar obligatorio únicamente para hombres o la aceptación sólo de mujeres o sólo de hombres en calidad de miembros de una asociación sin fines de lucro si ello dimana de los estatutos de la asociación no se consideran discriminación directa o indirecta en razón del g</w:t>
      </w:r>
      <w:r>
        <w:t>é</w:t>
      </w:r>
      <w:r>
        <w:t>nero.</w:t>
      </w:r>
    </w:p>
    <w:p w:rsidR="00000000" w:rsidRDefault="00000000">
      <w:pPr>
        <w:pStyle w:val="SingleTxt"/>
      </w:pPr>
      <w:r>
        <w:tab/>
        <w:t>Tampoco se considera discriminatorio brindar un trato distinto a una persona en razón del género al contratar o facilitar a una persona la capacitación necesaria para su contratación, si el género es un requisito auténtico y determinante en razón de la naturaleza de las actividades laborales de que se trata o del contexto en que se realizan, siempre que el objetivo de la discriminación sea legítimo y el requisito sea propo</w:t>
      </w:r>
      <w:r>
        <w:t>r</w:t>
      </w:r>
      <w:r>
        <w:t>cional.</w:t>
      </w:r>
    </w:p>
    <w:p w:rsidR="00000000" w:rsidRDefault="00000000">
      <w:pPr>
        <w:pStyle w:val="SingleTxt"/>
      </w:pPr>
      <w:r>
        <w:tab/>
        <w:t>La aplicación de medidas especiales que promuevan la igualdad entre los g</w:t>
      </w:r>
      <w:r>
        <w:t>é</w:t>
      </w:r>
      <w:r>
        <w:t>neros y concedan ventajas al género menos representado o reduzcan la desigualdad entre los géneros no se considera discriminación (véase también el artículo 4).</w:t>
      </w:r>
    </w:p>
    <w:p w:rsidR="00000000" w:rsidRDefault="00000000">
      <w:pPr>
        <w:pStyle w:val="SingleTxt"/>
        <w:spacing w:after="0" w:line="120" w:lineRule="exact"/>
        <w:rPr>
          <w:b/>
          <w:i/>
          <w:sz w:val="10"/>
          <w:u w:val="single"/>
        </w:rPr>
      </w:pPr>
      <w:bookmarkStart w:id="7" w:name="_Toc103503062"/>
    </w:p>
    <w:p w:rsidR="00000000" w:rsidRDefault="00000000">
      <w:pPr>
        <w:pStyle w:val="SingleTxt"/>
        <w:spacing w:after="0" w:line="120" w:lineRule="exact"/>
        <w:rPr>
          <w:b/>
          <w:i/>
          <w:sz w:val="10"/>
          <w:u w:val="single"/>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Resolución de controversias relativas a la discriminación en razón del género</w:t>
      </w:r>
      <w:bookmarkEnd w:id="7"/>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la Ley sobre la igualdad de género se establece el derecho de las personas a pr</w:t>
      </w:r>
      <w:r>
        <w:t>o</w:t>
      </w:r>
      <w:r>
        <w:t>teger su derecho constitucional a no ser discriminadas en razón del género.</w:t>
      </w:r>
    </w:p>
    <w:p w:rsidR="00000000" w:rsidRDefault="00000000">
      <w:pPr>
        <w:pStyle w:val="SingleTxt"/>
      </w:pPr>
      <w:r>
        <w:tab/>
        <w:t>Las controversias relativas a la discriminación deberán dirimirse en los trib</w:t>
      </w:r>
      <w:r>
        <w:t>u</w:t>
      </w:r>
      <w:r>
        <w:t>nales. Además, todas las personas tienen derecho a recurrir al Comité encargado de solucionar los conflictos laborales o al Canciller de Justicia. Los empleados y las personas que solicitan empleo, que han sido víctimas de discriminación por parte del empleador, tienen derecho a exigir una indemnización por daños patrimoniales y no patrimoniales. Las personas tienen derecho a exigir una indemnización por di</w:t>
      </w:r>
      <w:r>
        <w:t>s</w:t>
      </w:r>
      <w:r>
        <w:t>crim</w:t>
      </w:r>
      <w:r>
        <w:t>i</w:t>
      </w:r>
      <w:r>
        <w:t>nación en relación con las ofertas de empleo.</w:t>
      </w:r>
    </w:p>
    <w:p w:rsidR="00000000" w:rsidRDefault="00000000">
      <w:pPr>
        <w:pStyle w:val="SingleTxt"/>
        <w:spacing w:after="0" w:line="120" w:lineRule="exact"/>
        <w:rPr>
          <w:b/>
          <w:i/>
          <w:sz w:val="10"/>
          <w:u w:val="single"/>
        </w:rPr>
      </w:pPr>
      <w:bookmarkStart w:id="8" w:name="_Toc103503063"/>
    </w:p>
    <w:p w:rsidR="00000000" w:rsidRDefault="00000000">
      <w:pPr>
        <w:pStyle w:val="SingleTxt"/>
        <w:spacing w:after="0" w:line="120" w:lineRule="exact"/>
        <w:rPr>
          <w:b/>
          <w:i/>
          <w:sz w:val="10"/>
          <w:u w:val="single"/>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Carga de la prueba</w:t>
      </w:r>
      <w:bookmarkEnd w:id="8"/>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Es difícil para un particular establecer que se ha producido un acto de discr</w:t>
      </w:r>
      <w:r>
        <w:t>i</w:t>
      </w:r>
      <w:r>
        <w:t>minación en razón del género puesto que a menudo resulta complicado probar que una persona ha sido relegada a una posición menos favorable en razón del género.</w:t>
      </w:r>
    </w:p>
    <w:p w:rsidR="00000000" w:rsidRDefault="00000000">
      <w:pPr>
        <w:pStyle w:val="SingleTxt"/>
      </w:pPr>
      <w:r>
        <w:tab/>
        <w:t>En virtud de la Ley sobre la igualdad de género, la carga de la prueba recae parcialmente sobre la persona en contra de la cual se presenta la solicitud, demanda o petición en materia de discriminación en razón del género. Si una persona cons</w:t>
      </w:r>
      <w:r>
        <w:t>i</w:t>
      </w:r>
      <w:r>
        <w:t>dera que ha sido víctima de discriminación ante todo debe presentar hechos, sobre la base de los cuales puede suponerse que se ha ejercido un acto de discriminación d</w:t>
      </w:r>
      <w:r>
        <w:t>i</w:t>
      </w:r>
      <w:r>
        <w:t>recta o indirecta en razón del género. La persona en contra de la que se ha present</w:t>
      </w:r>
      <w:r>
        <w:t>a</w:t>
      </w:r>
      <w:r>
        <w:t>do la solicitud, demanda o petición luego tiene que explicar que su comportamiento obedece a otras razones aceptables, distintas del género. Una vez que una persona ha presentado una denuncia de discriminación, la carga de la prueba recae sobre la pe</w:t>
      </w:r>
      <w:r>
        <w:t>r</w:t>
      </w:r>
      <w:r>
        <w:t>sona que presuntamente ha incurrido en actividades discriminatorias. Si ésta no puede dar las razones o motivos de su comportamiento o decisión, esto se consider</w:t>
      </w:r>
      <w:r>
        <w:t>a</w:t>
      </w:r>
      <w:r>
        <w:t>rá equiv</w:t>
      </w:r>
      <w:r>
        <w:t>a</w:t>
      </w:r>
      <w:r>
        <w:t>lente al reconocimiento de discriminación por parte de dicha persona.</w:t>
      </w:r>
    </w:p>
    <w:p w:rsidR="00000000" w:rsidRDefault="00000000">
      <w:pPr>
        <w:pStyle w:val="SingleTxt"/>
      </w:pPr>
      <w:r>
        <w:tab/>
        <w:t>La carga de la prueba compartida no se aplica a las actuaciones judiciales a</w:t>
      </w:r>
      <w:r>
        <w:t>d</w:t>
      </w:r>
      <w:r>
        <w:t>mini</w:t>
      </w:r>
      <w:r>
        <w:t>s</w:t>
      </w:r>
      <w:r>
        <w:t>trativas y penales.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9" w:name="_Toc103503064"/>
      <w:r>
        <w:tab/>
      </w:r>
      <w:r>
        <w:tab/>
        <w:t>Indemnización por daños</w:t>
      </w:r>
      <w:bookmarkEnd w:id="9"/>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Comité expresó su preocupación por el hecho de que las mujeres carecían de acceso al recurso de indemnización por los daños sufridos en relación con la violación de los derechos establecidos en la Convención. Las controversias relativas a la discriminación se dirimen en los tribunales y éstos establecen la reparación. Con arreglo a la Ley sobre igualdad de género la parte damnificada puede reclamar indemnización por daños y la terminación de la actividad perjudicial. La parte da</w:t>
      </w:r>
      <w:r>
        <w:t>m</w:t>
      </w:r>
      <w:r>
        <w:t>nificada puede reclamar una cifra razonable de dinero en calidad de indemnización por daños no patrimoniales causados por la violación de los derechos. Para establ</w:t>
      </w:r>
      <w:r>
        <w:t>e</w:t>
      </w:r>
      <w:r>
        <w:t>cer la cifra de la indemnización, los tribunales tienen en cuenta, entre otras cosas, el alcance, la duración y la naturaleza de la discriminación. El tribunal también debe tener en cuenta si el transgresor ha puesto fin a las circunstancias discriminatorias o no. Una persona tiene un plazo de un año para interponer una demanda de indemn</w:t>
      </w:r>
      <w:r>
        <w:t>i</w:t>
      </w:r>
      <w:r>
        <w:t>zación por daños a partir de la fecha en que la parte damnificada tomó conciencia, o debería haber tomado concie</w:t>
      </w:r>
      <w:r>
        <w:t>n</w:t>
      </w:r>
      <w:r>
        <w:t>cia, del daño causado.</w:t>
      </w:r>
    </w:p>
    <w:p w:rsidR="00000000" w:rsidRDefault="00000000">
      <w:pPr>
        <w:pStyle w:val="SingleTxt"/>
        <w:rPr>
          <w:spacing w:val="2"/>
          <w:w w:val="101"/>
        </w:rPr>
      </w:pPr>
      <w:r>
        <w:tab/>
        <w:t>El Centro de Estudios y Recursos sobre la Mujer Estonia y la Mesa Redonda de Asociaciones de Mujeres Estonias han observado que en la Ley no se establece una indemnización mínima. En vista de que es posible interponer una demanda por daños únicamente ante los tribunales y que antes de iniciar dicho proceso es neces</w:t>
      </w:r>
      <w:r>
        <w:t>a</w:t>
      </w:r>
      <w:r>
        <w:t xml:space="preserve">rio pagar la tasa de justicia, las ONG consideran que en la práctica la posibilidad de </w:t>
      </w:r>
      <w:r>
        <w:rPr>
          <w:spacing w:val="2"/>
          <w:w w:val="101"/>
        </w:rPr>
        <w:t>interponer demandas no está garantizada para todas las mujeres que viven en Est</w:t>
      </w:r>
      <w:r>
        <w:rPr>
          <w:spacing w:val="2"/>
          <w:w w:val="101"/>
        </w:rPr>
        <w:t>o</w:t>
      </w:r>
      <w:r>
        <w:rPr>
          <w:spacing w:val="2"/>
          <w:w w:val="101"/>
        </w:rPr>
        <w:t>nia.</w:t>
      </w:r>
    </w:p>
    <w:p w:rsidR="00000000" w:rsidRDefault="00000000">
      <w:pPr>
        <w:pStyle w:val="SingleTxt"/>
      </w:pPr>
      <w:r>
        <w:tab/>
        <w:t>En casos de discriminación por razón del género es posible fundamentar la demanda en las disposiciones de la Ley de contratos de empleo, la Ley de salarios y la Ley de tiempo de trabajo y de descanso. Según la Ley sobre la igualdad de género una persona puede reclamar una indemnización por daños y perjuicios en los casos en que se ha violado su derecho a no ser discriminada. En virtud de las otras leyes mencionadas una persona puede exigir una indemnización por otro tipo de daños, por ejemplo, un empleado puede reclamar una indemnización cuando el empleador no ha respetado el principio de la igualdad de remuneración o ha violado de alguna forma el principio de la igualdad entre los géneros estipulado en otros instrumentos jurídicos. En esos casos, el tribunal puede otorgar una indemnización basada no sólo en la Ley sobre la igualdad de género sino también en las otras leyes.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c)</w:t>
      </w:r>
      <w:r>
        <w:rPr>
          <w:i/>
        </w:rPr>
        <w:tab/>
        <w:t>Establecer la protección jurídica de los derechos de la mujer sobre una base de igualdad con los del hombre y garantizar, por conducto de los tribunales nacionales competentes y de otras instituciones públicas, la protección efectiva de la mujer contra todo acto de discriminación;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competencia de los tribunales y del Comité encargado de solucionar los distintos conflictos laborales se examinarán en forma más pormenorizada en rel</w:t>
      </w:r>
      <w:r>
        <w:t>a</w:t>
      </w:r>
      <w:r>
        <w:t>ción con el artículo 15.</w:t>
      </w:r>
    </w:p>
    <w:p w:rsidR="00000000" w:rsidRDefault="00000000">
      <w:pPr>
        <w:pStyle w:val="SingleTxt"/>
      </w:pPr>
      <w:r>
        <w:tab/>
        <w:t>No se dispone de información en el sentido de que los tribunales hayan aplic</w:t>
      </w:r>
      <w:r>
        <w:t>a</w:t>
      </w:r>
      <w:r>
        <w:t>do d</w:t>
      </w:r>
      <w:r>
        <w:t>i</w:t>
      </w:r>
      <w:r>
        <w:t>rectamente las disposiciones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0" w:name="_Toc103503065"/>
      <w:r>
        <w:tab/>
      </w:r>
      <w:r>
        <w:tab/>
        <w:t>El Comisionado sobre igualdad de géneros</w:t>
      </w:r>
      <w:bookmarkEnd w:id="10"/>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la Ley sobre la igualdad de género se prevé la creación de una nueva inst</w:t>
      </w:r>
      <w:r>
        <w:t>i</w:t>
      </w:r>
      <w:r>
        <w:t>tución, el Comisionado sobre igualdad de géneros. El Comisionado es nombrado por el Ministro de Asuntos Sociales por un período de cinco años y sus actividades se fina</w:t>
      </w:r>
      <w:r>
        <w:t>n</w:t>
      </w:r>
      <w:r>
        <w:t>cian con cargo al presupuesto estatal.</w:t>
      </w:r>
    </w:p>
    <w:p w:rsidR="00000000" w:rsidRDefault="00000000">
      <w:pPr>
        <w:pStyle w:val="SingleTxt"/>
      </w:pPr>
      <w:r>
        <w:tab/>
        <w:t>El Comisionado supervisa el cumplimiento de las disposiciones contenidas en la Ley, recibe solicitudes de particulares y emite opiniones sobre los posibles casos de discriminación.</w:t>
      </w:r>
    </w:p>
    <w:p w:rsidR="00000000" w:rsidRDefault="00000000">
      <w:pPr>
        <w:pStyle w:val="SingleTxt"/>
        <w:keepNext/>
        <w:keepLines/>
      </w:pPr>
      <w:r>
        <w:tab/>
        <w:t>El Comisionado es un experto independiente e imparcial, y las personas que han sido víctimas de discriminación así como las personas que tienen interés justif</w:t>
      </w:r>
      <w:r>
        <w:t>i</w:t>
      </w:r>
      <w:r>
        <w:t>cado en supervisar el cumplimiento de las disposiciones relativas a la igualdad de trato pueden presentar reclamaciones sobre cuestiones relativas a la discriminación por razón del género.</w:t>
      </w:r>
    </w:p>
    <w:p w:rsidR="00000000" w:rsidRDefault="00000000">
      <w:pPr>
        <w:pStyle w:val="SingleTxt"/>
      </w:pPr>
      <w:r>
        <w:tab/>
        <w:t>El Comisionado emite opiniones sobre los posibles casos de discriminación. El objetivo de esto es brindar una evaluación que, combinada con la Ley sobre la igualdad de género, los acuerdos internacionales de carácter vinculante para la R</w:t>
      </w:r>
      <w:r>
        <w:t>e</w:t>
      </w:r>
      <w:r>
        <w:t>pública de Estonia y otras leyes, permite establecer si se ha violado el principio de la igualdad de trato en una relación jurídica determinada.</w:t>
      </w:r>
    </w:p>
    <w:p w:rsidR="00000000" w:rsidRDefault="00000000">
      <w:pPr>
        <w:pStyle w:val="SingleTxt"/>
      </w:pPr>
      <w:r>
        <w:tab/>
        <w:t>Así pues, se establece que al emitir su opinión, el Comisionado debe tener en cuenta las normas de la Convención.</w:t>
      </w:r>
    </w:p>
    <w:p w:rsidR="00000000" w:rsidRDefault="00000000">
      <w:pPr>
        <w:pStyle w:val="SingleTxt"/>
      </w:pPr>
      <w:r>
        <w:tab/>
        <w:t>Además, el Comisionado analiza las consecuencias de las actos jurídicos sobre la situación de los hombres y mujeres en la sociedad, formula propuestas al Gobie</w:t>
      </w:r>
      <w:r>
        <w:t>r</w:t>
      </w:r>
      <w:r>
        <w:t>no de la República, los organismos gubernamentales, los gobiernos locales y sus o</w:t>
      </w:r>
      <w:r>
        <w:t>r</w:t>
      </w:r>
      <w:r>
        <w:t>ganismos para la enmienda de instrumentos jurídicos, asesora e informa al Gobie</w:t>
      </w:r>
      <w:r>
        <w:t>r</w:t>
      </w:r>
      <w:r>
        <w:t>no, los organismos gubernamentales y los organismos gubernamentales locales s</w:t>
      </w:r>
      <w:r>
        <w:t>o</w:t>
      </w:r>
      <w:r>
        <w:t>bre cuestiones relativas a la aplicación de la Ley sobre la igualdad de género y adopta las medidas necesarias para promoverla.</w:t>
      </w:r>
    </w:p>
    <w:p w:rsidR="00000000" w:rsidRDefault="00000000">
      <w:pPr>
        <w:pStyle w:val="SingleTxt"/>
      </w:pPr>
      <w:r>
        <w:tab/>
        <w:t>A fin de que un solicitante reciba la opinión del Comisionado, debe presentarle una solicitud en la que se establecen las circunstancias en que se ha ejercido discr</w:t>
      </w:r>
      <w:r>
        <w:t>i</w:t>
      </w:r>
      <w:r>
        <w:t>minación en razón del género. Para emitir una opinión, el Comisionado tiene der</w:t>
      </w:r>
      <w:r>
        <w:t>e</w:t>
      </w:r>
      <w:r>
        <w:t>cho a recabar información de todas las personas que pudieran poseer datos neces</w:t>
      </w:r>
      <w:r>
        <w:t>a</w:t>
      </w:r>
      <w:r>
        <w:t>rios para establecer los hechos relativos a un caso de discriminación, y a exigir e</w:t>
      </w:r>
      <w:r>
        <w:t>x</w:t>
      </w:r>
      <w:r>
        <w:t>plicaciones por escrito respecto de los hechos pertinentes a la presunta discrimin</w:t>
      </w:r>
      <w:r>
        <w:t>a</w:t>
      </w:r>
      <w:r>
        <w:t>ción por razón del género, así como la presentación de documentos y copias de los documentos c</w:t>
      </w:r>
      <w:r>
        <w:t>o</w:t>
      </w:r>
      <w:r>
        <w:t>rrespondientes en el plazo establecido por el Comisionado.</w:t>
      </w:r>
    </w:p>
    <w:p w:rsidR="00000000" w:rsidRDefault="00000000">
      <w:pPr>
        <w:pStyle w:val="SingleTxt"/>
      </w:pPr>
      <w:r>
        <w:tab/>
        <w:t>A la fecha de presentación de este informe se había transmitido a distintos o</w:t>
      </w:r>
      <w:r>
        <w:t>r</w:t>
      </w:r>
      <w:r>
        <w:t>ganismos gubernamentales a los fines de consulta el estatuto que reglamenta las a</w:t>
      </w:r>
      <w:r>
        <w:t>c</w:t>
      </w:r>
      <w:r>
        <w:t>tividades del Comisionado, y por lo tanto no resulta posible brindar información complementaria ni evaluar las actividades de éste. Las ONG Centro de Estudios y Recursos sobre la Mujer Estonia y la Mesa Redonda de Asociaciones de Mujeres Estonias han expresado su preocupación por cuanto no se ha aprobado el estatuto del Comisionado y éste aún no ha asumido sus funciones a los ocho meses de la promulgación de la Ley. Las ONG también han criticado al Gobierno por considerar que el Comisionado no es realmente un experto imparcial, dado que es nombrado por un ministro político y depende del Ministerio de Asuntos Sociales.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1" w:name="_Toc103503066"/>
      <w:r>
        <w:tab/>
      </w:r>
      <w:r>
        <w:tab/>
        <w:t>El Canciller de Justicia</w:t>
      </w:r>
      <w:bookmarkEnd w:id="11"/>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ab/>
        <w:t>Desde el 1º de enero de 2004 se ha ampliado el alcance de la jurisdicción del Ca</w:t>
      </w:r>
      <w:r>
        <w:rPr>
          <w:spacing w:val="2"/>
          <w:w w:val="101"/>
        </w:rPr>
        <w:t>n</w:t>
      </w:r>
      <w:r>
        <w:rPr>
          <w:spacing w:val="2"/>
          <w:w w:val="101"/>
        </w:rPr>
        <w:t>ciller de Justicia. Toda persona tiene derecho a recurrir al Canciller de Justicia para tr</w:t>
      </w:r>
      <w:r>
        <w:rPr>
          <w:spacing w:val="2"/>
          <w:w w:val="101"/>
        </w:rPr>
        <w:t>a</w:t>
      </w:r>
      <w:r>
        <w:rPr>
          <w:spacing w:val="2"/>
          <w:w w:val="101"/>
        </w:rPr>
        <w:t>mitar un procedimiento de conciliación si considera que una persona natural o jurídica de derecho privado la ha discriminado en razón del género, la raza, la nacionalidad (el origen étnico), el color de la piel, el idioma, el origen, la religión o las creencias religi</w:t>
      </w:r>
      <w:r>
        <w:rPr>
          <w:spacing w:val="2"/>
          <w:w w:val="101"/>
        </w:rPr>
        <w:t>o</w:t>
      </w:r>
      <w:r>
        <w:rPr>
          <w:spacing w:val="2"/>
          <w:w w:val="101"/>
        </w:rPr>
        <w:t>sas, las opiniones políticas o de otro tipo, los bienes o la condición social, la edad, la discapacidad, la orientación sexual u otros atributos especificados por ley.</w:t>
      </w:r>
    </w:p>
    <w:p w:rsidR="00000000" w:rsidRDefault="00000000">
      <w:pPr>
        <w:pStyle w:val="SingleTxt"/>
      </w:pPr>
      <w:r>
        <w:tab/>
        <w:t>A fin de poder presentar una petición al Canciller de Justicia, es necesario que no se haya emitido ninguna sentencia sobre el mismo asunto ni existan actuaciones judiciales, ni procedimientos obligatorios previos a una demanda, pendientes sobre la cuestión.</w:t>
      </w:r>
    </w:p>
    <w:p w:rsidR="00000000" w:rsidRDefault="00000000">
      <w:pPr>
        <w:pStyle w:val="SingleTxt"/>
        <w:rPr>
          <w:spacing w:val="2"/>
          <w:w w:val="101"/>
        </w:rPr>
      </w:pPr>
      <w:r>
        <w:tab/>
        <w:t>El Canciller de Justicia verifica las actividades de las personas naturales o j</w:t>
      </w:r>
      <w:r>
        <w:t>u</w:t>
      </w:r>
      <w:r>
        <w:t>rídicas de derecho privado y lleva adelante un procedimiento de conciliación basado en la solicitud de la persona que considera que ha sido víctima de discriminación por las razones que se mencionan más arriba. Cabe destacar, empero, que a fin de llevar adelante el procedimiento de conciliación, ambas partes deben acordar su participación. Dado que el procedimiento de conciliación no es obligatorio, la parte contra la que se interpone la demanda no tiene la obligación de participar en dicho procedimiento. Además, puede dejar de participar en cualquier etapa del proced</w:t>
      </w:r>
      <w:r>
        <w:t>i</w:t>
      </w:r>
      <w:r>
        <w:t xml:space="preserve">miento. Si </w:t>
      </w:r>
      <w:r>
        <w:rPr>
          <w:spacing w:val="2"/>
          <w:w w:val="101"/>
        </w:rPr>
        <w:t>ambas partes han participado en las actuaciones y el Canciller de Justicia ha aprobado el acuerdo, éste tiene carácter definitivo y ambas partes están obligadas a cumplirlo.</w:t>
      </w:r>
    </w:p>
    <w:p w:rsidR="00000000" w:rsidRDefault="00000000">
      <w:pPr>
        <w:pStyle w:val="SingleTxt"/>
      </w:pPr>
      <w:r>
        <w:tab/>
        <w:t>En la práctica, el Canciller de Justicia aún no ha emprendido ningún proced</w:t>
      </w:r>
      <w:r>
        <w:t>i</w:t>
      </w:r>
      <w:r>
        <w:t>miento de conciliación relativo a discriminación en razón del género. Esto podría obedecer al hecho de que la gente aún no tiene plena conciencia de que tiene esta posibilidad o no quiere revelar sus problemas. También es posible que la gente no esté en condiciones de reconocer si ha sido objeto de discriminación en razón del género.</w:t>
      </w:r>
    </w:p>
    <w:p w:rsidR="00000000" w:rsidRDefault="00000000">
      <w:pPr>
        <w:pStyle w:val="SingleTxt"/>
      </w:pPr>
      <w:r>
        <w:tab/>
        <w:t>Hasta la fecha, sólo se ha presentado al Canciller de Justicia una petición en la que se denuncia que los requisitos impuestos para la solicitud de la ciudadanía est</w:t>
      </w:r>
      <w:r>
        <w:t>o</w:t>
      </w:r>
      <w:r>
        <w:t>nia son de carácter discriminatorio. Dado que el procedimiento de conciliación es voluntario y que la parte demandada se negó a ser parte en las actuaciones, la causa se abandonó y por lo tanto no se adoptó una decisión sobre su mérito.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d)</w:t>
      </w:r>
      <w:r>
        <w:rPr>
          <w:i/>
        </w:rPr>
        <w:tab/>
        <w:t>Abstenerse de incurrir en todo acto o práctica de discriminación contra la mujer y velar por que las autoridades e instituciones públicas actúen de confo</w:t>
      </w:r>
      <w:r>
        <w:rPr>
          <w:i/>
        </w:rPr>
        <w:t>r</w:t>
      </w:r>
      <w:r>
        <w:rPr>
          <w:i/>
        </w:rPr>
        <w:t>midad con esta obligación;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 partir del 1º de enero de 2004 toda persona tiene derecho a recurrir al Ca</w:t>
      </w:r>
      <w:r>
        <w:t>n</w:t>
      </w:r>
      <w:r>
        <w:t>ciller de Justicia para asegurar la protección de sus derechos mediante la present</w:t>
      </w:r>
      <w:r>
        <w:t>a</w:t>
      </w:r>
      <w:r>
        <w:t>ción de una petición de solicitud de verificación de que un organismo estatal, un o</w:t>
      </w:r>
      <w:r>
        <w:t>r</w:t>
      </w:r>
      <w:r>
        <w:t>ganismo u órgano gubernamental local, una persona jurídica de derecho público, una persona natural o jurídica de derecho privado en el desempeño de sus obligaci</w:t>
      </w:r>
      <w:r>
        <w:t>o</w:t>
      </w:r>
      <w:r>
        <w:t>nes públicas adhiere a los principios de la observancia de los derechos y libertades fu</w:t>
      </w:r>
      <w:r>
        <w:t>n</w:t>
      </w:r>
      <w:r>
        <w:t>damentales y a los principios de la buena gobernanza.</w:t>
      </w:r>
    </w:p>
    <w:p w:rsidR="00000000" w:rsidRDefault="00000000">
      <w:pPr>
        <w:pStyle w:val="SingleTxt"/>
      </w:pPr>
      <w:r>
        <w:tab/>
        <w:t>Con anterioridad a ello, sólo era posible solicitar al Canciller de Justicia que verificase si las actividades de los organismos gubernamentales se compadecían con los derechos y libertades fundamentales.</w:t>
      </w:r>
    </w:p>
    <w:p w:rsidR="00000000" w:rsidRDefault="00000000">
      <w:pPr>
        <w:pStyle w:val="SingleTxt"/>
      </w:pPr>
      <w:r>
        <w:tab/>
        <w:t>En la Ley de procedimientos administrativos se establecen los principios para garantizar la protección de los derechos y libertades fundamentales de las personas y la buena gobernanza. Así pues, se establecen los siguientes principios: los derechos y libertades fundamentales u otros derechos subjetivos individuales pueden verse limitados en un procedimiento administrativo únicamente en el marco de la ley; los actos y las medidas administrativos deben ser apropiados, necesarios y proporci</w:t>
      </w:r>
      <w:r>
        <w:t>o</w:t>
      </w:r>
      <w:r>
        <w:t xml:space="preserve">nales a los objetivos establecidos; el procedimiento administrativo debe tener un sentido claro, ser eficiente y directo, y conducirse sin demoras indebidas, evitando costos innecesarios e inconvenientes para las personas; y los actos procesales deben ser ejecutados sin dilaciones y dentro de los plazos establecidos por la ley o las </w:t>
      </w:r>
      <w:r>
        <w:br/>
        <w:t>reglament</w:t>
      </w:r>
      <w:r>
        <w:t>a</w:t>
      </w:r>
      <w:r>
        <w:t>ciones.</w:t>
      </w:r>
    </w:p>
    <w:p w:rsidR="00000000" w:rsidRDefault="00000000">
      <w:pPr>
        <w:pStyle w:val="SingleTxt"/>
      </w:pPr>
      <w:r>
        <w:tab/>
        <w:t>En la Ley de responsabilidad del Estado, que entró en vigor el 1º de enero de 2002, se sientan las bases y el procedimiento para la protección y el restablec</w:t>
      </w:r>
      <w:r>
        <w:t>i</w:t>
      </w:r>
      <w:r>
        <w:t>miento de los derechos violados en el curso del ejercicio del poder público y el d</w:t>
      </w:r>
      <w:r>
        <w:t>e</w:t>
      </w:r>
      <w:r>
        <w:t>sempeño de otras obligaciones públicas, y la indemnización por los daños ocasion</w:t>
      </w:r>
      <w:r>
        <w:t>a</w:t>
      </w:r>
      <w:r>
        <w:t>dos (respo</w:t>
      </w:r>
      <w:r>
        <w:t>n</w:t>
      </w:r>
      <w:r>
        <w:t>sabilidad del Estado).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e)</w:t>
      </w:r>
      <w:r>
        <w:rPr>
          <w:i/>
        </w:rPr>
        <w:tab/>
        <w:t>Tomar todas las medidas apropiadas para eliminar la discriminación contra la mujer practicada por cualesquiera personas, organizaciones o empr</w:t>
      </w:r>
      <w:r>
        <w:rPr>
          <w:i/>
        </w:rPr>
        <w:t>e</w:t>
      </w:r>
      <w:r>
        <w:rPr>
          <w:i/>
        </w:rPr>
        <w:t>sas;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ab/>
        <w:t>En virtud de la Ley sobre la igualdad de género, un funcionario de la depe</w:t>
      </w:r>
      <w:r>
        <w:t>n</w:t>
      </w:r>
      <w:r>
        <w:t>dencia orgánica del Ministerio de Asuntos Sociales que se ocupa de la igualdad e</w:t>
      </w:r>
      <w:r>
        <w:t>n</w:t>
      </w:r>
      <w:r>
        <w:t>tre los géneros celebra consultas con todas las personas sobre cuestiones relativas a la aplicación del principio de la igualdad de trato entre el hombre y la mujer. De ser necesario, se explica a las personas qué institución tiene competencia para resolver un posible caso de discriminación y, en respuesta al pedido de las personas, se presta asistencia en la preparación de una solicitud por escrito y su presentación al órgano competente, salvo que éste sea un tribunal o un comité encargado se soluci</w:t>
      </w:r>
      <w:r>
        <w:t>o</w:t>
      </w:r>
      <w:r>
        <w:t>nar co</w:t>
      </w:r>
      <w:r>
        <w:t>n</w:t>
      </w:r>
      <w:r>
        <w:t>flictos laborales.</w:t>
      </w:r>
    </w:p>
    <w:p w:rsidR="00000000" w:rsidRDefault="00000000">
      <w:pPr>
        <w:pStyle w:val="SingleTxt"/>
      </w:pPr>
      <w:r>
        <w:tab/>
        <w:t>En Estonia se han adoptado medidas para cambiar el sistema patriarcal exi</w:t>
      </w:r>
      <w:r>
        <w:t>s</w:t>
      </w:r>
      <w:r>
        <w:t>tente basado en el género y para reducir la discriminación indirecta contra la mujer en la v</w:t>
      </w:r>
      <w:r>
        <w:t>i</w:t>
      </w:r>
      <w:r>
        <w:t>da laboral.</w:t>
      </w:r>
    </w:p>
    <w:p w:rsidR="00000000" w:rsidRDefault="00000000">
      <w:pPr>
        <w:pStyle w:val="SingleTxt"/>
      </w:pPr>
      <w:r>
        <w:tab/>
        <w:t>En la Ley sobre la igualdad de género se establece la obligación de los e</w:t>
      </w:r>
      <w:r>
        <w:t>m</w:t>
      </w:r>
      <w:r>
        <w:t>pleadores de promover activamente la igualdad entre los géneros. Esta obligación se extiende a todos los empleadores, tanto del sector privado como público. Para fac</w:t>
      </w:r>
      <w:r>
        <w:t>i</w:t>
      </w:r>
      <w:r>
        <w:t>litar esto, en el espíritu de la ley, los empleadores deberán:</w:t>
      </w:r>
    </w:p>
    <w:p w:rsidR="00000000" w:rsidRDefault="00000000">
      <w:pPr>
        <w:pStyle w:val="SingleTxt"/>
      </w:pPr>
      <w:r>
        <w:tab/>
        <w:t>1)</w:t>
      </w:r>
      <w:r>
        <w:tab/>
        <w:t>Emplear personas de ambos sexos para llenar los puestos vacantes;</w:t>
      </w:r>
    </w:p>
    <w:p w:rsidR="00000000" w:rsidRDefault="00000000">
      <w:pPr>
        <w:pStyle w:val="SingleTxt"/>
      </w:pPr>
      <w:r>
        <w:tab/>
        <w:t>2)</w:t>
      </w:r>
      <w:r>
        <w:tab/>
        <w:t>Cerciorarse de que el número de hombres y de mujeres empleados para ocupar los distintos puestos sea lo más equilibrado posible y que se les brinde el mismo trato en materia de ascensos;</w:t>
      </w:r>
    </w:p>
    <w:p w:rsidR="00000000" w:rsidRDefault="00000000">
      <w:pPr>
        <w:pStyle w:val="SingleTxt"/>
      </w:pPr>
      <w:r>
        <w:tab/>
        <w:t>3)</w:t>
      </w:r>
      <w:r>
        <w:tab/>
        <w:t>Crear condiciones de trabajo adecuadas tanto para el hombre como para la mujer y apoyar la conciliación del trabajo con la vida familiar, teniendo en cuenta las nec</w:t>
      </w:r>
      <w:r>
        <w:t>e</w:t>
      </w:r>
      <w:r>
        <w:t>sidades de los empleados.</w:t>
      </w:r>
    </w:p>
    <w:p w:rsidR="00000000" w:rsidRDefault="00000000">
      <w:pPr>
        <w:pStyle w:val="SingleTxt"/>
      </w:pPr>
      <w:r>
        <w:tab/>
        <w:t>Los empleadores tienen la obligación de brindar periódicamente información pertinente a los empleados y a sus representantes en relación con la igualdad de trato entre el hombre y la mujer en su organización, así como las medidas adoptadas para promover la igualdad. Los empleadores también tienen que informar a los e</w:t>
      </w:r>
      <w:r>
        <w:t>m</w:t>
      </w:r>
      <w:r>
        <w:t>ple</w:t>
      </w:r>
      <w:r>
        <w:t>a</w:t>
      </w:r>
      <w:r>
        <w:t>dos sobre sus derechos conforme a la Ley.</w:t>
      </w:r>
    </w:p>
    <w:p w:rsidR="00000000" w:rsidRDefault="00000000">
      <w:pPr>
        <w:pStyle w:val="SingleTxt"/>
      </w:pPr>
      <w:r>
        <w:tab/>
        <w:t>En la Ley sobre la igualdad de género se dispone que el empleador debe reunir datos estadísticos desglosados por género sobre el empleo. De ser necesario, los datos deberían permitir que las instituciones pertinentes supervisaran y evaluaran si se cumple el principio de la igualdad de trato en las relaciones laborales. Esto puede utilizarse como un medio para poner de relieve los problemas en materia de igua</w:t>
      </w:r>
      <w:r>
        <w:t>l</w:t>
      </w:r>
      <w:r>
        <w:t>dad entre los géneros. El procedimiento para la recopilación de datos y la lista de datos necesarios se establece mediante una reglamentación del Gobierno de la R</w:t>
      </w:r>
      <w:r>
        <w:t>e</w:t>
      </w:r>
      <w:r>
        <w:t>pública; actualmente están pendientes los procedimientos de consulta entre los di</w:t>
      </w:r>
      <w:r>
        <w:t>s</w:t>
      </w:r>
      <w:r>
        <w:t>tintos o</w:t>
      </w:r>
      <w:r>
        <w:t>r</w:t>
      </w:r>
      <w:r>
        <w:t>ganismos gubernamentales relativos a la reglamentación.</w:t>
      </w:r>
    </w:p>
    <w:p w:rsidR="00000000" w:rsidRDefault="00000000">
      <w:pPr>
        <w:pStyle w:val="SingleTxt"/>
      </w:pPr>
      <w:r>
        <w:tab/>
        <w:t>El Canciller de Justicia tiene la obligación de promover la igualdad entre los géneros y el principio de la igualdad de trato. Éste considera que es importante fo</w:t>
      </w:r>
      <w:r>
        <w:t>r</w:t>
      </w:r>
      <w:r>
        <w:t>jar vínculos de cooperación con organizaciones no gubernamentales y en 2004 se organizó una Mesa Redonda sobre la igualdad entre los géneros con representantes de estas organizaciones. Uno de los objetivos de la Mesa Redonda fue examinar los problemas de la igualdad de trato en la sociedad estonia y explicar el mandato del Canc</w:t>
      </w:r>
      <w:r>
        <w:t>i</w:t>
      </w:r>
      <w:r>
        <w:t>ller de Justicia en relación con estos problemas.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f)</w:t>
      </w:r>
      <w:r>
        <w:rPr>
          <w:i/>
        </w:rPr>
        <w:tab/>
        <w:t>Adoptar todas las medidas adecuadas, incluso de carácter legislativo, para modificar o derogar leyes, reglamentos, usos y prácticas que constituyan di</w:t>
      </w:r>
      <w:r>
        <w:rPr>
          <w:i/>
        </w:rPr>
        <w:t>s</w:t>
      </w:r>
      <w:r>
        <w:rPr>
          <w:i/>
        </w:rPr>
        <w:t>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la Ley sobre la igualdad de trato se establece la obligación del empleador de garantizar que los empleados no sean víctimas de acoso s</w:t>
      </w:r>
      <w:r>
        <w:t>e</w:t>
      </w:r>
      <w:r>
        <w:t>xual.</w:t>
      </w:r>
    </w:p>
    <w:p w:rsidR="00000000" w:rsidRDefault="00000000">
      <w:pPr>
        <w:pStyle w:val="SingleTxt"/>
      </w:pPr>
      <w:r>
        <w:tab/>
        <w:t>El acosador puede ser un subordinado del empleado, un colega, un supervisor inmediato o el propio empleador. Las personas que trabajan en el ámbito de los se</w:t>
      </w:r>
      <w:r>
        <w:t>r</w:t>
      </w:r>
      <w:r>
        <w:t>vicios también pueden convertirse en víctimas de acoso de parte de los clientes. E</w:t>
      </w:r>
      <w:r>
        <w:t>s</w:t>
      </w:r>
      <w:r>
        <w:t>tas situaciones también exigen que el empleador adopte medidas para poner fin al acoso. El empleador será responsable de incumplimiento de su obligación de velar por que no se produzca acoso sexual en caso de que tenga conocimiento de que éste se ha producido y no haya aplicado las medidas necesarias para ponerle fin.</w:t>
      </w:r>
    </w:p>
    <w:p w:rsidR="00000000" w:rsidRDefault="00000000">
      <w:pPr>
        <w:pStyle w:val="SingleTxt"/>
      </w:pPr>
      <w:r>
        <w:tab/>
        <w:t>El Comité señaló al Gobierno que este tipo de violencia constituye un delito y debe ser sancionado en virtud del derecho penal, es decir, enjuiciado y sancionado con la severidad y la velocidad pertinentes, y las mujeres víctimas de la violencia deben tener medios inmediatos de reparación y protección. El Comité también sug</w:t>
      </w:r>
      <w:r>
        <w:t>i</w:t>
      </w:r>
      <w:r>
        <w:t>rió que el Gobierno adoptara medidas destinadas a aumentar la concienciación, i</w:t>
      </w:r>
      <w:r>
        <w:t>n</w:t>
      </w:r>
      <w:r>
        <w:t>cluida una campaña de tolerancia cero, para que este tipo de violencia se tornara s</w:t>
      </w:r>
      <w:r>
        <w:t>o</w:t>
      </w:r>
      <w:r>
        <w:t>cial y moralmente inaceptable. Recomienda la promulgación de una ley por la cual se prohíba especialmente la violencia contra la mujer, que imponga mandatos jud</w:t>
      </w:r>
      <w:r>
        <w:t>i</w:t>
      </w:r>
      <w:r>
        <w:t>ciales de a</w:t>
      </w:r>
      <w:r>
        <w:t>m</w:t>
      </w:r>
      <w:r>
        <w:t>paro y conminatorios y acceso a la asistencia jurídica.</w:t>
      </w:r>
    </w:p>
    <w:p w:rsidR="00000000" w:rsidRDefault="00000000">
      <w:pPr>
        <w:pStyle w:val="SingleTxt"/>
      </w:pPr>
      <w:r>
        <w:tab/>
        <w:t>El derecho estonio no incluye una definición especial de violencia contra la mujer ni de violencia en la relación de pareja. Desde el 1º de septiembre de 2002, fecha en que entró en vigor el nuevo Código Penal, pueden enjuiciarse los actos de violencia contra la persona.</w:t>
      </w:r>
    </w:p>
    <w:p w:rsidR="00000000" w:rsidRDefault="00000000">
      <w:pPr>
        <w:pStyle w:val="SingleTxt"/>
      </w:pPr>
      <w:r>
        <w:tab/>
        <w:t>Según el artículo 118 del Código Penal, causar un daño grave a la salud, que se traduce en riesgo para la vida, una enfermedad física grave, un desorden mental s</w:t>
      </w:r>
      <w:r>
        <w:t>e</w:t>
      </w:r>
      <w:r>
        <w:t>rio, un aborto, una lesión o mutilación facial permanente o la pérdida o el cese del fu</w:t>
      </w:r>
      <w:r>
        <w:t>n</w:t>
      </w:r>
      <w:r>
        <w:t>cionamiento de un órgano se sancionan con cuatro a 12 años de cárcel.</w:t>
      </w:r>
    </w:p>
    <w:p w:rsidR="00000000" w:rsidRDefault="00000000">
      <w:pPr>
        <w:pStyle w:val="SingleTxt"/>
        <w:suppressAutoHyphens/>
      </w:pPr>
      <w:r>
        <w:tab/>
        <w:t>La amenaza (artículo 120), el maltrato físico (artículo 121) y la tortura (artículo 122) son tipificados como actos de violencia.</w:t>
      </w:r>
    </w:p>
    <w:p w:rsidR="00000000" w:rsidRDefault="00000000">
      <w:pPr>
        <w:pStyle w:val="SingleTxt"/>
        <w:suppressAutoHyphens/>
      </w:pPr>
      <w:r>
        <w:tab/>
        <w:t>La amenaza de muerte, de daño a la salud o de daño considerable a la propiedad, o la destrucción de ésta, en caso de haber motivos para temer el cumplimiento de dicha amenaza, se sancionan con una multa o hasta un año de cárcel.</w:t>
      </w:r>
    </w:p>
    <w:p w:rsidR="00000000" w:rsidRDefault="00000000">
      <w:pPr>
        <w:pStyle w:val="SingleTxt"/>
      </w:pPr>
      <w:r>
        <w:tab/>
        <w:t>El daño causado a la salud de otra persona, o las palizas, la agresión con lesi</w:t>
      </w:r>
      <w:r>
        <w:t>o</w:t>
      </w:r>
      <w:r>
        <w:t>nes u otras formas de maltrato físico doloroso, se sancionan con una multa o hasta tres años de cárcel.</w:t>
      </w:r>
    </w:p>
    <w:p w:rsidR="00000000" w:rsidRDefault="00000000">
      <w:pPr>
        <w:pStyle w:val="SingleTxt"/>
      </w:pPr>
      <w:r>
        <w:tab/>
        <w:t>El maltrato físico continuado o el maltrato muy doloroso se sancionan con una multa o hasta cinco años de cárcel.</w:t>
      </w:r>
    </w:p>
    <w:p w:rsidR="00000000" w:rsidRDefault="00000000">
      <w:pPr>
        <w:pStyle w:val="SingleTxt"/>
      </w:pPr>
      <w:r>
        <w:tab/>
        <w:t>Los actos de violencia, como las palizas o las palizas reiteradas se consideran ma</w:t>
      </w:r>
      <w:r>
        <w:t>l</w:t>
      </w:r>
      <w:r>
        <w:t>trato físico.</w:t>
      </w:r>
    </w:p>
    <w:p w:rsidR="00000000" w:rsidRDefault="00000000">
      <w:pPr>
        <w:pStyle w:val="SingleTxt"/>
        <w:suppressAutoHyphens/>
      </w:pPr>
      <w:r>
        <w:tab/>
        <w:t>Los delitos contra un miembro de la familia constituyen circunstancias agravantes establecidas en la parte general del Código Penal. Una circunstancia agravante es cometer un delito contra una persona con la que el perpetrador mantiene una relación financiera, familiar o de servicio, fundamentado en motivos egoístas o viles, con maldad y alevosía, o mediante la degradación de la víctima, a sabiendas contra una persona menor de 18 años, una mujer embarazada, una persona de edad avanzada, que necesita asistencia o que padece una enfermedad mental grave (art</w:t>
      </w:r>
      <w:r>
        <w:t>í</w:t>
      </w:r>
      <w:r>
        <w:t>culo 58).</w:t>
      </w:r>
    </w:p>
    <w:p w:rsidR="00000000" w:rsidRDefault="00000000">
      <w:pPr>
        <w:pStyle w:val="SingleTxt"/>
      </w:pPr>
      <w:r>
        <w:tab/>
        <w:t>Según el Código de Procedimiento Penal, un órgano de investigación o la Of</w:t>
      </w:r>
      <w:r>
        <w:t>i</w:t>
      </w:r>
      <w:r>
        <w:t>cina del Fiscal, inicia actuaciones penales si existen razones y motivos para ello. La razón para iniciar actuaciones penales es una denuncia de un delito u otra inform</w:t>
      </w:r>
      <w:r>
        <w:t>a</w:t>
      </w:r>
      <w:r>
        <w:t>ción a los efectos de que se ha producido un delito. La denuncia de un delito debe presentarse al órgano de investigación o a la Oficina del Fiscal en forma oral o e</w:t>
      </w:r>
      <w:r>
        <w:t>s</w:t>
      </w:r>
      <w:r>
        <w:t>crita. En el caso de una denuncia penal oral que se presenta directamente en el lugar en que se ha cometido el delito, ésta quedará registrada como denuncia, en tanto que una denuncia de delito comunicada telefónicamente puede ser registrada por escrito o grabada (artículos 193 a 195).</w:t>
      </w:r>
    </w:p>
    <w:p w:rsidR="00000000" w:rsidRDefault="00000000">
      <w:pPr>
        <w:pStyle w:val="SingleTxt"/>
        <w:rPr>
          <w:spacing w:val="2"/>
          <w:w w:val="101"/>
        </w:rPr>
      </w:pPr>
      <w:r>
        <w:tab/>
        <w:t>En 2001 el Instituto para una Sociedad Abierta realizó un estudio encomend</w:t>
      </w:r>
      <w:r>
        <w:t>a</w:t>
      </w:r>
      <w:r>
        <w:t xml:space="preserve">do por el Ministerio de Asuntos Sociales, según el cual el 16% de las mujeres había sido víctima de violencia física o sexual directa durante el último año y un 21% de </w:t>
      </w:r>
      <w:r>
        <w:rPr>
          <w:spacing w:val="2"/>
          <w:w w:val="101"/>
        </w:rPr>
        <w:t>mujeres había sido víctima de violencia en general (incluida la violencia psicológ</w:t>
      </w:r>
      <w:r>
        <w:rPr>
          <w:spacing w:val="2"/>
          <w:w w:val="101"/>
        </w:rPr>
        <w:t>i</w:t>
      </w:r>
      <w:r>
        <w:rPr>
          <w:spacing w:val="2"/>
          <w:w w:val="101"/>
        </w:rPr>
        <w:t>ca).</w:t>
      </w:r>
    </w:p>
    <w:p w:rsidR="00000000" w:rsidRDefault="00000000">
      <w:pPr>
        <w:pStyle w:val="SingleTxt"/>
        <w:rPr>
          <w:rFonts w:eastAsia="Arial Unicode MS"/>
          <w:color w:val="000000"/>
          <w:lang w:eastAsia="zh-CN"/>
        </w:rPr>
      </w:pPr>
      <w:r>
        <w:rPr>
          <w:rFonts w:eastAsia="Arial Unicode MS"/>
          <w:color w:val="000000"/>
          <w:lang w:eastAsia="zh-CN"/>
        </w:rPr>
        <w:tab/>
        <w:t>En 2003 se efectuó otro estudio sobre la violencia y la salud de la mujer (en el que participaron 1.008 encuestados, de los cuales 544 eran mujeres y 464 hombres). El estudio indicó que el 68% de las víctimas de la violencia en el hogar eran mujeres menores de 40 años. El principal grupo de riesgo era el de mujeres de 21 a 30 años en uniones consensuales. Éstas constituían una tercera parte de todos los casos de violencia en el hogar. El 54% del personal médico ha estado en contacto en su tr</w:t>
      </w:r>
      <w:r>
        <w:rPr>
          <w:rFonts w:eastAsia="Arial Unicode MS"/>
          <w:color w:val="000000"/>
          <w:lang w:eastAsia="zh-CN"/>
        </w:rPr>
        <w:t>a</w:t>
      </w:r>
      <w:r>
        <w:rPr>
          <w:rFonts w:eastAsia="Arial Unicode MS"/>
          <w:color w:val="000000"/>
          <w:lang w:eastAsia="zh-CN"/>
        </w:rPr>
        <w:t>bajo cotidiano con mujeres que son víctimas habituales de la violencia en el hogar. El 80% del personal médico afirmó que carecía de formación especial para asesorar a las víctimas de la violencia y que no sabía adónde remitirlas para que obtuvieran asistencia. En 2004 comenzaron a impartirse cursos de capacitación con el apoyo del Fondo de Seguro de Salud de Estonia.</w:t>
      </w:r>
    </w:p>
    <w:p w:rsidR="00000000" w:rsidRDefault="00000000">
      <w:pPr>
        <w:pStyle w:val="SingleTxt"/>
        <w:suppressAutoHyphens/>
        <w:rPr>
          <w:rFonts w:eastAsia="Arial Unicode MS"/>
          <w:color w:val="000000"/>
          <w:lang w:eastAsia="zh-CN"/>
        </w:rPr>
      </w:pPr>
      <w:r>
        <w:rPr>
          <w:rFonts w:eastAsia="Arial Unicode MS"/>
          <w:color w:val="000000"/>
          <w:lang w:eastAsia="zh-CN"/>
        </w:rPr>
        <w:tab/>
        <w:t>Aunque el 75% de los encuestados condenaron la violencia contra la mujer, aún se acepta en forma generalizada la violencia directa e indirecta. Uno de cada tres hombres y una de cada cinco mujeres opinan en mayor o menor grado que el esposo tiene derecho a exigir relaciones sexuales, aun en contra de la voluntad de su esposa. El 21% de las mujeres y el 27% de los hombres carecen de una opinión formada respecto de si la violación dentro del matrimonio debería considerarse un delito. El 76% de las mujeres y el 70% de los hombres están convencidos de que el empleo de la violencia física contra la mujer debería considerarse violencia.</w:t>
      </w:r>
    </w:p>
    <w:p w:rsidR="00000000" w:rsidRDefault="00000000">
      <w:pPr>
        <w:pStyle w:val="SingleTxt"/>
      </w:pPr>
      <w:r>
        <w:tab/>
        <w:t>Una tercera parte de las víctimas recurre a un médico para que las asista; entre el 2% y el 3% de las mujeres víctimas de la violencia en el hogar procuran obtener asistencia de trabajadores sociales. El 10% de las mujeres que han sido víctimas de la violencia informan a la policía y entre el 2% y el 3% de las denuncias se traduce en un enjuiciamiento o en una condena de los tribunales.</w:t>
      </w:r>
    </w:p>
    <w:p w:rsidR="00000000" w:rsidRDefault="00000000">
      <w:pPr>
        <w:pStyle w:val="SingleTxt"/>
      </w:pPr>
      <w:r>
        <w:tab/>
        <w:t>En el plan de desarrollo para 2004-2007 aprobado por el Ministerio de Justicia el 5 de marzo de 2004 se establece la lucha contra el delito como una de las metas, y uno de los objetivos secundarios también es la reducción de la violencia en la fam</w:t>
      </w:r>
      <w:r>
        <w:t>i</w:t>
      </w:r>
      <w:r>
        <w:t>lia. Para lograr este objetivo concreto, la Oficina del Fiscal ha establecido parám</w:t>
      </w:r>
      <w:r>
        <w:t>e</w:t>
      </w:r>
      <w:r>
        <w:t>tros concretos para cada año, que también deberían garantizar la labor eficaz de las autoridades de investigación en la detección, el registro y la indagación de los casos de violencia en el hogar. Para garantizar una supervisión más eficiente, en 2004 se asignaron todos los fiscales especiales de las oficinas de fiscales a casos de viole</w:t>
      </w:r>
      <w:r>
        <w:t>n</w:t>
      </w:r>
      <w:r>
        <w:t>cia en el hogar y se les impartió capacitación adecuada. En la Oficina del Fiscal del Distrito Septentrional, se estableció un departamento especial sobre la juventud e</w:t>
      </w:r>
      <w:r>
        <w:t>n</w:t>
      </w:r>
      <w:r>
        <w:t>cargado de las actuaciones relacionadas con la violencia en el hogar, así como los delitos cometidos por delincuentes juveniles. Los fiscales especializados en casos de violencia en el hogar han participado activamente en mesas redondas de funcion</w:t>
      </w:r>
      <w:r>
        <w:t>a</w:t>
      </w:r>
      <w:r>
        <w:t>rios de bienestar social y médicos de familia a fin de identificar conjuntamente las razones por las cuales muchas víctimas son renuentes a notificar a la policía los c</w:t>
      </w:r>
      <w:r>
        <w:t>a</w:t>
      </w:r>
      <w:r>
        <w:t>sos de violencia en el hogar. En 2004 la Oficina del Fiscal tramitó actuaciones en relación con 292 causas penales relacionadas con la viole</w:t>
      </w:r>
      <w:r>
        <w:t>n</w:t>
      </w:r>
      <w:r>
        <w:t>cia en el hogar.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2" w:name="_Toc103503068"/>
      <w:r>
        <w:tab/>
      </w:r>
      <w:r>
        <w:tab/>
        <w:t>Actividades de la policía</w:t>
      </w:r>
      <w:bookmarkEnd w:id="12"/>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2004 la policía declaró la violencia en el hogar (incluida la violencia contra la mujer en el seno de la familia) una de sus prioridades. Se han elaborado y puesto en marcha los sistemas pertinentes de estadísticas y directrices de la policía para tratar los casos de violencia en el hogar, y se está fortaleciendo la cooperación con asi</w:t>
      </w:r>
      <w:r>
        <w:t>s</w:t>
      </w:r>
      <w:r>
        <w:t>tentes sociales y personal médico locales.</w:t>
      </w:r>
    </w:p>
    <w:p w:rsidR="00000000" w:rsidRDefault="00000000">
      <w:pPr>
        <w:pStyle w:val="SingleTxt"/>
      </w:pPr>
      <w:r>
        <w:tab/>
        <w:t>Hasta el 1º de julio de 2004, los casos de violencia en el hogar se investigaban sobre la base de denuncias privadas. La investigación de casos se vio obstaculizada por el hecho de que a menudo las víctimas retiraban sus demandas y debía cerrarse la investigación. El 1º de julio de 2004 entró en vigor el nuevo Código de Proced</w:t>
      </w:r>
      <w:r>
        <w:t>i</w:t>
      </w:r>
      <w:r>
        <w:t>miento Penal.</w:t>
      </w:r>
    </w:p>
    <w:p w:rsidR="00000000" w:rsidRDefault="00000000">
      <w:pPr>
        <w:pStyle w:val="SingleTxt"/>
      </w:pPr>
      <w:r>
        <w:tab/>
        <w:t>En los primeros seis meses de 2004, se registraron 32 causas penales en la se</w:t>
      </w:r>
      <w:r>
        <w:t>c</w:t>
      </w:r>
      <w:r>
        <w:t>ción de maltrato físico. Tras la entrada en vigor del nuevo Código de Procedimiento Penal aumentó drásticamente el número de casos investigados en el marco de la se</w:t>
      </w:r>
      <w:r>
        <w:t>c</w:t>
      </w:r>
      <w:r>
        <w:t>ción de maltrato físico: en nueve meses, se registraron 531 causas penales. En los tres primeros meses del segundo semestre del año, se registraron unas 1.000 actu</w:t>
      </w:r>
      <w:r>
        <w:t>a</w:t>
      </w:r>
      <w:r>
        <w:t>ciones relativas a maltrato físico. No obstante, no resulta posible suministrar est</w:t>
      </w:r>
      <w:r>
        <w:t>a</w:t>
      </w:r>
      <w:r>
        <w:t>dísticas sobre cuántos de estos casos constituían violencia en el hogar.</w:t>
      </w:r>
    </w:p>
    <w:p w:rsidR="00000000" w:rsidRDefault="00000000">
      <w:pPr>
        <w:pStyle w:val="SingleTxt"/>
      </w:pPr>
      <w:r>
        <w:tab/>
        <w:t>Durante el primer semestre de 2004, se recibieron 2.036 llamadas de familias con problemas (“familias con problemas” es una de las categorías de clasificación utilizadas en la base de datos de la policía, POLIS). Los agentes de policía tienen la obligación de reunir y mantener información sobre familias con problemas en la b</w:t>
      </w:r>
      <w:r>
        <w:t>a</w:t>
      </w:r>
      <w:r>
        <w:t>se de datos de su comisaría y de verificar regularmente esta información, así como de adoptar medidas para prevenir delitos. La base de datos de los agentes de policía de las comisarías contiene información sobre 699 personas violentas.</w:t>
      </w:r>
    </w:p>
    <w:p w:rsidR="00000000" w:rsidRDefault="00000000">
      <w:pPr>
        <w:pStyle w:val="SingleTxt"/>
      </w:pPr>
      <w:r>
        <w:tab/>
        <w:t>La capacitación sobre la violencia en el hogar es organizada por oficiales de la policía encargados del orden público (se planificaron cinco cursos de capacitación de una semana de duración en el marco del trabajo de formación laboral de la pol</w:t>
      </w:r>
      <w:r>
        <w:t>i</w:t>
      </w:r>
      <w:r>
        <w:t>cía regional. Hasta la fecha se han impartido cuatro cursos, y para fines de 2004 h</w:t>
      </w:r>
      <w:r>
        <w:t>a</w:t>
      </w:r>
      <w:r>
        <w:t>brán recibido capac</w:t>
      </w:r>
      <w:r>
        <w:t>i</w:t>
      </w:r>
      <w:r>
        <w:t>tación100 agentes de policía).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3" w:name="_Toc103503069"/>
      <w:r>
        <w:tab/>
      </w:r>
      <w:r>
        <w:tab/>
        <w:t>Refugios</w:t>
      </w:r>
      <w:bookmarkEnd w:id="13"/>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noviembre de 2002 se abrió el primer refugio para mujeres en Tartu. Las mujeres víctimas son acogidas en refugios temporarios, se les brinda orientación psicológica, asistencia médica e información sobre los servicios que prestan los di</w:t>
      </w:r>
      <w:r>
        <w:t>s</w:t>
      </w:r>
      <w:r>
        <w:t>tintos org</w:t>
      </w:r>
      <w:r>
        <w:t>a</w:t>
      </w:r>
      <w:r>
        <w:t>nismos.</w:t>
      </w:r>
    </w:p>
    <w:p w:rsidR="00000000" w:rsidRDefault="00000000">
      <w:pPr>
        <w:pStyle w:val="SingleTxt"/>
      </w:pPr>
      <w:r>
        <w:tab/>
        <w:t>En 2003, 1.858 personas pernoctaron en el refugio (42 mujeres y 21 niños). Entre enero y septiembre de 2004, 2.632 personas (35 mujeres y 22 niños) pasaron la n</w:t>
      </w:r>
      <w:r>
        <w:t>o</w:t>
      </w:r>
      <w:r>
        <w:t>che en el refugio.</w:t>
      </w:r>
    </w:p>
    <w:p w:rsidR="00000000" w:rsidRDefault="00000000">
      <w:pPr>
        <w:pStyle w:val="SingleTxt"/>
      </w:pPr>
      <w:r>
        <w:tab/>
        <w:t>A fines de 2003 se inauguró el primer grupo de apoyo para mujeres víctimas de la violencia en Tallin, por iniciativa de la organización no gubernamental Centro de Programas Sociales de Estonia. Como resultado de una serie de actividades de capacitación, se está formando en Estonia una red de grupos de apoyo para la mujer. En 2004 se habían establecido estos grupos de apoyo en diez ciudades.</w:t>
      </w:r>
    </w:p>
    <w:p w:rsidR="00000000" w:rsidRDefault="00000000">
      <w:pPr>
        <w:pStyle w:val="SingleTxt"/>
      </w:pPr>
      <w:r>
        <w:tab/>
        <w:t>Actualmente en Estonia hay grupos de apoyo y refugios para mujeres y niños; pronto también habrá grupos de apoyo para hombres que desean abandonar las co</w:t>
      </w:r>
      <w:r>
        <w:t>n</w:t>
      </w:r>
      <w:r>
        <w:t>ductas violentas. En 2004, se organizaron los primeros seminarios para especialistas que ofrecerán servicios de rehabilitación dirigidos a hombres violentos. A principios de 2005, se abrirán en Tallin grupos de apoyo para hombres violentos.</w:t>
      </w:r>
    </w:p>
    <w:p w:rsidR="00000000" w:rsidRDefault="00000000">
      <w:pPr>
        <w:pStyle w:val="SingleTxt"/>
      </w:pPr>
      <w:r>
        <w:tab/>
        <w:t>El Comité recomendó al Gobierno de Estonia que luchara contra la violencia contra la mujer. Estonia ha estudiado el fenómeno, aumentado la concienciación del público y de grupos destinatarios concretos, asistentes sociales, agentes de policía, personal médico, los medios y las organizaciones de mujeres. Las leyes se han vuelto más estrictas y las medidas adoptadas por la policía más firmes. No es nec</w:t>
      </w:r>
      <w:r>
        <w:t>e</w:t>
      </w:r>
      <w:r>
        <w:t>sario contar con una ley distinta sobre violencia en el hogar pues la cuestión está r</w:t>
      </w:r>
      <w:r>
        <w:t>e</w:t>
      </w:r>
      <w:r>
        <w:t>glamentada en el Código Penal, que también dispone la protección contra la viole</w:t>
      </w:r>
      <w:r>
        <w:t>n</w:t>
      </w:r>
      <w:r>
        <w:t>cia en el h</w:t>
      </w:r>
      <w:r>
        <w:t>o</w:t>
      </w:r>
      <w:r>
        <w:t>gar.</w:t>
      </w:r>
    </w:p>
    <w:p w:rsidR="00000000" w:rsidRDefault="00000000">
      <w:pPr>
        <w:pStyle w:val="SingleTxt"/>
        <w:suppressAutoHyphens/>
      </w:pPr>
      <w:r>
        <w:tab/>
        <w:t>En Estonia es posible aplicar una medida cautelar. En caso de violación de un mandato conminatorio, los tribunales pueden imponer una multa a la persona que ejerce la violencia, y la víctima tiene derecho a exigir un resarcimiento por los daños sufridos. En el Código de Procedimiento Penal se incluye una norma especial sobre el acopio de pruebas. Así pues, si durante la investigación es necesario examinar o extraer material del cuerpo de una persona para los fines de comparación, el funcionario del organismo de investigación, el fiscal y los participantes en el procedimiento, con excepción del personal médico o el médico forense, tienen que ser del mismo sexo que la persona de que se trate.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g)</w:t>
      </w:r>
      <w:r>
        <w:rPr>
          <w:i/>
        </w:rPr>
        <w:tab/>
        <w:t>Derogar todas las disposiciones penales nacionales que constituyan di</w:t>
      </w:r>
      <w:r>
        <w:rPr>
          <w:i/>
        </w:rPr>
        <w:t>s</w:t>
      </w:r>
      <w:r>
        <w:rPr>
          <w:i/>
        </w:rPr>
        <w:t>crim</w:t>
      </w:r>
      <w:r>
        <w:rPr>
          <w:i/>
        </w:rPr>
        <w:t>i</w:t>
      </w:r>
      <w:r>
        <w:rPr>
          <w:i/>
        </w:rPr>
        <w:t>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requisito de la igualdad de trato y la prohibición de la discriminación ta</w:t>
      </w:r>
      <w:r>
        <w:t>m</w:t>
      </w:r>
      <w:r>
        <w:t>bién se aplica a los legisladores. Por consiguiente, el Código Penal es imparcial en el trato entre el hombre y la mujer y no hace diferencias en razón del sexo de la ví</w:t>
      </w:r>
      <w:r>
        <w:t>c</w:t>
      </w:r>
      <w:r>
        <w:t>tima o del delincuente.</w:t>
      </w:r>
    </w:p>
    <w:p w:rsidR="00000000" w:rsidRDefault="00000000">
      <w:pPr>
        <w:pStyle w:val="SingleTxt"/>
        <w:spacing w:after="0" w:line="120" w:lineRule="exact"/>
        <w:rPr>
          <w:b/>
          <w:sz w:val="10"/>
        </w:rPr>
      </w:pPr>
      <w:bookmarkStart w:id="14" w:name="_Toc103503070"/>
    </w:p>
    <w:p w:rsidR="00000000" w:rsidRDefault="00000000">
      <w:pPr>
        <w:pStyle w:val="SingleTxt"/>
        <w:spacing w:after="0" w:line="120" w:lineRule="exact"/>
        <w:rPr>
          <w:b/>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bookmarkEnd w:id="14"/>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bookmarkStart w:id="15" w:name="_Toc103503071"/>
      <w:r>
        <w:rPr>
          <w:i/>
        </w:rPr>
        <w:tab/>
        <w:t>Los Estados partes tomarán en todas las esferas, y en particular en las esferas política, social, económica y cultural, todas las medidas apropiadas, incluso de c</w:t>
      </w:r>
      <w:r>
        <w:rPr>
          <w:i/>
        </w:rPr>
        <w:t>a</w:t>
      </w:r>
      <w:r>
        <w:rPr>
          <w:i/>
        </w:rPr>
        <w:t>rácter legislativo, para asegurar el pleno desarrollo y adelanto de la mujer, con el objeto de garantizarle el ejercicio y el goce de los derechos humanos y las libert</w:t>
      </w:r>
      <w:r>
        <w:rPr>
          <w:i/>
        </w:rPr>
        <w:t>a</w:t>
      </w:r>
      <w:r>
        <w:rPr>
          <w:i/>
        </w:rPr>
        <w:t>des fu</w:t>
      </w:r>
      <w:r>
        <w:rPr>
          <w:i/>
        </w:rPr>
        <w:t>n</w:t>
      </w:r>
      <w:r>
        <w:rPr>
          <w:i/>
        </w:rPr>
        <w:t>damentales en igualdad de condiciones con el hombre.</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Departamento de Igualdad de Género del Ministerio de Asuntos Sociales</w:t>
      </w:r>
      <w:bookmarkEnd w:id="15"/>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Comité expresó su preocupación respecto de la escasa repercusión de la Oficina de Igualdad entre los Géneros. En respuesta a ello, nos complace observar que desde el 1º de enero de 2004 se reorganizó la Oficina de Igualdad entre los G</w:t>
      </w:r>
      <w:r>
        <w:t>é</w:t>
      </w:r>
      <w:r>
        <w:t>neros, que pasó a ser el Departamento de Igualdad de Género. Desde 2004 el D</w:t>
      </w:r>
      <w:r>
        <w:t>e</w:t>
      </w:r>
      <w:r>
        <w:t>partamento cuenta con cinco puestos.</w:t>
      </w:r>
    </w:p>
    <w:p w:rsidR="00000000" w:rsidRDefault="00000000">
      <w:pPr>
        <w:pStyle w:val="SingleTxt"/>
      </w:pPr>
      <w:r>
        <w:tab/>
        <w:t>Las actividades del Departamento de Igualdad de Género se rigen por la r</w:t>
      </w:r>
      <w:r>
        <w:t>e</w:t>
      </w:r>
      <w:r>
        <w:t>glamentación del Ministerio de Asuntos Sociales de 4 de mayo de 2004, según la cual las principales obligaciones del Departamento incluyen la redacción de legisl</w:t>
      </w:r>
      <w:r>
        <w:t>a</w:t>
      </w:r>
      <w:r>
        <w:t>ción relativa a la igualdad entre los géneros, la planificación de medidas para la r</w:t>
      </w:r>
      <w:r>
        <w:t>e</w:t>
      </w:r>
      <w:r>
        <w:t>ducción de la desigualdad y la coordinación de la aplicación de las medidas.</w:t>
      </w:r>
    </w:p>
    <w:p w:rsidR="00000000" w:rsidRDefault="00000000">
      <w:pPr>
        <w:pStyle w:val="SingleTxt"/>
      </w:pPr>
      <w:r>
        <w:tab/>
        <w:t>Las obligaciones del Departamento también incluyen el análisis de la cond</w:t>
      </w:r>
      <w:r>
        <w:t>i</w:t>
      </w:r>
      <w:r>
        <w:t>ción jurídica y social de la mujer y el hombre en distintos ámbitos de la sociedad y la preparación de recomendaciones y directrices con miras a reducir la desigualdad entre los géneros. El Departamento de Igualdad de Género informa a los grupos de intereses comunes de distintas iniciativas y participa en un diálogo sobre expectat</w:t>
      </w:r>
      <w:r>
        <w:t>i</w:t>
      </w:r>
      <w:r>
        <w:t>vas y repercusiones.</w:t>
      </w:r>
    </w:p>
    <w:p w:rsidR="00000000" w:rsidRDefault="00000000">
      <w:pPr>
        <w:pStyle w:val="SingleTxt"/>
      </w:pPr>
      <w:r>
        <w:tab/>
        <w:t>El Departamento también tiene la obligación de informar al Gobierno y a los organismos gubernamentales, los organismos gubernamentales locales y otras partes interesadas acera de la aplicación de las medidas dirigidas a reducir la discrimin</w:t>
      </w:r>
      <w:r>
        <w:t>a</w:t>
      </w:r>
      <w:r>
        <w:t>ción contra la mujer y la estratificación social.</w:t>
      </w:r>
    </w:p>
    <w:p w:rsidR="00000000" w:rsidRDefault="00000000">
      <w:pPr>
        <w:pStyle w:val="SingleTxt"/>
      </w:pPr>
      <w:r>
        <w:tab/>
        <w:t>En febrero de 2005 Estonia presentó un informe a las Naciones Unidas sobre la aplicación de la Declaración de Beijing elaborado por el Departamento de Igua</w:t>
      </w:r>
      <w:r>
        <w:t>l</w:t>
      </w:r>
      <w:r>
        <w:t>dad de Género del Ministerio de Asuntos Sociales.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6" w:name="_Toc103503072"/>
      <w:r>
        <w:tab/>
      </w:r>
      <w:r>
        <w:tab/>
        <w:t>Consejo de Igualdad de Género</w:t>
      </w:r>
      <w:bookmarkEnd w:id="16"/>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Consejo de Igualdad de Género se establecerá en virtud de la Ley sobre la igualdad de género. Actualmente el estatuto del Consejo está aguardando la aprob</w:t>
      </w:r>
      <w:r>
        <w:t>a</w:t>
      </w:r>
      <w:r>
        <w:t>ción del Gobierno.</w:t>
      </w:r>
    </w:p>
    <w:p w:rsidR="00000000" w:rsidRDefault="00000000">
      <w:pPr>
        <w:pStyle w:val="SingleTxt"/>
      </w:pPr>
      <w:r>
        <w:tab/>
        <w:t>El Consejo es un órgano consultivo colegiado que depende del Ministerio de Asuntos Sociales, cuya composición debe ser aprobada por el Gobierno. El Consejo de Igualdad de Género aprueba las directrices generales de la política de igualdad entre los géneros, celebra consultas con el Gobierno sobre cuestiones de estrategia para la promoción de la igualdad entre los géneros y presenta al Gobierno su pos</w:t>
      </w:r>
      <w:r>
        <w:t>i</w:t>
      </w:r>
      <w:r>
        <w:t>ción sobre la compatibilidad de los programas nacionales presentados por los m</w:t>
      </w:r>
      <w:r>
        <w:t>i</w:t>
      </w:r>
      <w:r>
        <w:t>nisterios con la Ley sobre la igualdad de género.</w:t>
      </w:r>
    </w:p>
    <w:p w:rsidR="00000000" w:rsidRDefault="00000000">
      <w:pPr>
        <w:pStyle w:val="SingleTxt"/>
      </w:pPr>
      <w:r>
        <w:tab/>
        <w:t>El Consejo ejerce esta tarea en cooperación con el Departamento de Igualdad de Género del Ministerio de Asuntos Sociales.</w:t>
      </w:r>
    </w:p>
    <w:p w:rsidR="00000000" w:rsidRDefault="00000000">
      <w:pPr>
        <w:pStyle w:val="SingleTxt"/>
      </w:pPr>
      <w:r>
        <w:tab/>
        <w:t>Sobre la base de estadísticas, estudios y análisis nacionales (que se describen más detenidamente en relación con el artículo 5), puede llegarse a la conclusión de que la sociedad estonia se caracteriza por un sistema tradicional en materia de gén</w:t>
      </w:r>
      <w:r>
        <w:t>e</w:t>
      </w:r>
      <w:r>
        <w:t>ro, es decir la existencia de una división tradicional del trabajo y el mercado laboral en los llamados empleos para hombres y para mujeres, políticas salariales y de co</w:t>
      </w:r>
      <w:r>
        <w:t>n</w:t>
      </w:r>
      <w:r>
        <w:t>tratación que discriminan contra la mujer, una escasa representación de la mujer en la adopción de decisiones en materia política y económica, una menor esperanza de vida y un comportamiento de alto riesgo de los hombres, y su participación reducida en el desempeño de las obl</w:t>
      </w:r>
      <w:r>
        <w:t>i</w:t>
      </w:r>
      <w:r>
        <w:t>gaciones familiares, etc.</w:t>
      </w:r>
    </w:p>
    <w:p w:rsidR="00000000" w:rsidRDefault="00000000">
      <w:pPr>
        <w:pStyle w:val="SingleTxt"/>
      </w:pPr>
      <w:r>
        <w:tab/>
        <w:t>Las razones de la desigualdad generalizada residen principalmente en los p</w:t>
      </w:r>
      <w:r>
        <w:t>a</w:t>
      </w:r>
      <w:r>
        <w:t>peles tradicionales de género y la creencia estereotipada de que las mujeres y los hombres tienen condiciones y capacidades inherentes y no adquiridas. El entorno propicio al prejuicio en razón del género favorece la persistencia de actitudes di</w:t>
      </w:r>
      <w:r>
        <w:t>s</w:t>
      </w:r>
      <w:r>
        <w:t>criminatorias y limita mayormente la participación de la mujer en la vida social, económica y polít</w:t>
      </w:r>
      <w:r>
        <w:t>i</w:t>
      </w:r>
      <w:r>
        <w:t>ca.</w:t>
      </w:r>
    </w:p>
    <w:p w:rsidR="00000000" w:rsidRDefault="00000000">
      <w:pPr>
        <w:pStyle w:val="SingleTxt"/>
      </w:pPr>
      <w:r>
        <w:tab/>
        <w:t>Podría decirse que aún existe cierta resistencia dentro de la sociedad a mejorar la representación social de la mujer mediante un sistema de cupos por género. Esta resistencia se refleja en la elite política, así como en la opinión pública y entre las propias organizaciones de muj</w:t>
      </w:r>
      <w:r>
        <w:t>e</w:t>
      </w:r>
      <w:r>
        <w:t>res.</w:t>
      </w:r>
    </w:p>
    <w:p w:rsidR="00000000" w:rsidRDefault="00000000">
      <w:pPr>
        <w:pStyle w:val="SingleTxt"/>
      </w:pPr>
      <w:r>
        <w:tab/>
        <w:t>El Ministerio de Asuntos Sociales ha emprendido y coordinado programas y proyectos para la promoción de la igualdad entre los géneros y la reducción de la desigualdad, dirigidos principalmente a la información y capacitación del público y de grupos destinatarios, la preparación y divulgación de material pertinente, el a</w:t>
      </w:r>
      <w:r>
        <w:t>u</w:t>
      </w:r>
      <w:r>
        <w:t>mento de la capacidad administrativa de los organismos estatales para que puedan detectar la discriminación contra la mujer y reducir la desigualdad entre los géneros.</w:t>
      </w:r>
    </w:p>
    <w:p w:rsidR="00000000" w:rsidRDefault="00000000">
      <w:pPr>
        <w:pStyle w:val="SingleTxt"/>
      </w:pPr>
      <w:r>
        <w:tab/>
        <w:t>Por iniciativa del Gobierno, se ha estudiado el empleo del tiempo entre las mujeres y los hombres, la cobertura en los medios de cuestiones relativas a la igua</w:t>
      </w:r>
      <w:r>
        <w:t>l</w:t>
      </w:r>
      <w:r>
        <w:t>dad entre los géneros y los problemas de la pobreza y la exclusión social.</w:t>
      </w:r>
    </w:p>
    <w:p w:rsidR="00000000" w:rsidRDefault="00000000">
      <w:pPr>
        <w:pStyle w:val="SingleTxt"/>
      </w:pPr>
      <w:r>
        <w:tab/>
        <w:t>En 2000, se tradujo al estonio y se publicó “ABC de los derechos de las trab</w:t>
      </w:r>
      <w:r>
        <w:t>a</w:t>
      </w:r>
      <w:r>
        <w:t>jadoras y la igualdad de género” de la OIT. En colaboración con el Fondo de Pobl</w:t>
      </w:r>
      <w:r>
        <w:t>a</w:t>
      </w:r>
      <w:r>
        <w:t>ción de las Naciones Unidas, en 2003 se publicó un estudio titulado “Distintos pero iguales”, en el que se brinda una reseña breve y clara de las principales condiciones y problemas de la igualdad entre el hombre y la mujer. La publicación es utilizada por distintas organizaciones para la preparación general de cursos de capacitación, así como cursos sobre temas determinados.</w:t>
      </w:r>
    </w:p>
    <w:p w:rsidR="00000000" w:rsidRDefault="00000000">
      <w:pPr>
        <w:pStyle w:val="SingleTxt"/>
      </w:pPr>
      <w:r>
        <w:tab/>
        <w:t>A fin de aumentar la participación de las mujeres mayores en el mercado lab</w:t>
      </w:r>
      <w:r>
        <w:t>o</w:t>
      </w:r>
      <w:r>
        <w:t>ral, un experto de la OIT preparó un estudio para la reducción de la discriminación en razón de la edad. El material puede utilizarse para capacitar el personal de las oficinas de empleo y los repr</w:t>
      </w:r>
      <w:r>
        <w:t>e</w:t>
      </w:r>
      <w:r>
        <w:t>sentantes de empleadores.</w:t>
      </w:r>
    </w:p>
    <w:p w:rsidR="00000000" w:rsidRDefault="00000000">
      <w:pPr>
        <w:pStyle w:val="SingleTxt"/>
      </w:pPr>
      <w:r>
        <w:tab/>
        <w:t>En 2002, Estonia se adhirió al programa marco de la Unión Europea que se utiliza para aplicar la estrategia de la Comunidad Europea sobre la igualdad entre los géneros (2001-2005). Sobre la base de este programa, los proyectos ejecutados en Estonia y coordinados por el Ministerio de Asuntos Sociales tienen por objeto formular y divulgar directrices para la evaluación de las repercusiones desde el punto de vista del género, apoyar la carrera profesional de las mujeres en el sector privado y di</w:t>
      </w:r>
      <w:r>
        <w:t>s</w:t>
      </w:r>
      <w:r>
        <w:t>minuir la representación estereotipada de la mujer en los medios.</w:t>
      </w:r>
    </w:p>
    <w:p w:rsidR="00000000" w:rsidRDefault="00000000">
      <w:pPr>
        <w:pStyle w:val="SingleTxt"/>
      </w:pPr>
      <w:r>
        <w:tab/>
        <w:t>Las directrices preparadas por el Ministerio de Asuntos Sociales (“Evaluación de las repercusiones desde el punto de vista del género”) incluyen una lista de d</w:t>
      </w:r>
      <w:r>
        <w:t>o</w:t>
      </w:r>
      <w:r>
        <w:t>cumentos jurídicamente vinculantes que contienen normas para la promoción de la igualdad entre los géneros, en primer lugar para la integración de la igualdad entre los géneros en distintas políticas y medidas. Las directrices pueden utilizarse para analizar la situación de la mujer y el hombre tanto en el plano nacional como local.</w:t>
      </w:r>
    </w:p>
    <w:p w:rsidR="00000000" w:rsidRDefault="00000000">
      <w:pPr>
        <w:pStyle w:val="SingleTxt"/>
      </w:pPr>
      <w:r>
        <w:tab/>
        <w:t>Sobre la base del proyecto “Las mujeres ascienden”, que apoya la carrera pr</w:t>
      </w:r>
      <w:r>
        <w:t>o</w:t>
      </w:r>
      <w:r>
        <w:t>fesional de la mujer, se han emprendido programas de mentores en cinco empresas privadas de Estonia y se está traduciendo una publicación que trata de las cuestiones de la teoría de la organización desde el punto de vista feminista. El proyecto se ej</w:t>
      </w:r>
      <w:r>
        <w:t>e</w:t>
      </w:r>
      <w:r>
        <w:t>cuta en cooperación con instituciones de igualdad de género de Dinamarca, Grecia y Suecia.</w:t>
      </w:r>
    </w:p>
    <w:p w:rsidR="00000000" w:rsidRDefault="00000000">
      <w:pPr>
        <w:pStyle w:val="SingleTxt"/>
      </w:pPr>
      <w:r>
        <w:tab/>
        <w:t>En cooperación con Dinamarca, Italia y Letonia, se emprendió el proyecto “Los medios de masas en la (re)distribución del poder”, en función del cual se est</w:t>
      </w:r>
      <w:r>
        <w:t>u</w:t>
      </w:r>
      <w:r>
        <w:t>dia la forma en que se presenta a las políticas mujeres en los medios y la imagen que éstas tienen de sí mismas.</w:t>
      </w:r>
    </w:p>
    <w:p w:rsidR="00000000" w:rsidRDefault="00000000">
      <w:pPr>
        <w:pStyle w:val="SingleTxt"/>
        <w:suppressAutoHyphens/>
      </w:pPr>
      <w:r>
        <w:tab/>
        <w:t>En julio de 2004 se emprendió el proyecto de asociación PHARE 2003 “Mejorar el desempeño de la administración pública para integrar la igualdad entre los géneros”. El proyecto se propone integrar la igualdad entre los géneros en los programas de estudio de los establecimientos de enseñanza superior y crear un centro de competencia virtual: una base de datos y una página Web sobre la igualdad entre los géneros. En el marco del proyecto, se brindará capacitación principalmente a los instructores y a 300 funcionarios públicos, y se formularán estrategias de capacit</w:t>
      </w:r>
      <w:r>
        <w:t>a</w:t>
      </w:r>
      <w:r>
        <w:t>ción.</w:t>
      </w:r>
    </w:p>
    <w:p w:rsidR="00000000" w:rsidRDefault="00000000">
      <w:pPr>
        <w:pStyle w:val="SingleTxt"/>
      </w:pPr>
      <w:r>
        <w:tab/>
        <w:t>Desde la presentación del último informe de Estonia, ha aumentado el número de instituciones que se ocupan de la promoción de la igualdad entre el hombre y la mujer. En 2004 se formó un grupo de trabajo sobre igualdad entre los géneros ab</w:t>
      </w:r>
      <w:r>
        <w:t>o</w:t>
      </w:r>
      <w:r>
        <w:t>cado a la aplicación de la legislación de la UE en materia de igualdad entre los g</w:t>
      </w:r>
      <w:r>
        <w:t>é</w:t>
      </w:r>
      <w:r>
        <w:t>neros en el plano nacional.</w:t>
      </w:r>
    </w:p>
    <w:p w:rsidR="00000000" w:rsidRDefault="00000000">
      <w:pPr>
        <w:pStyle w:val="SingleTxt"/>
      </w:pPr>
      <w:r>
        <w:tab/>
        <w:t>Mediante la ordenanza gubernamental de 27 de noviembre de 2003, se establ</w:t>
      </w:r>
      <w:r>
        <w:t>e</w:t>
      </w:r>
      <w:r>
        <w:t>ció un comité interministerial de promoción de la igualdad entre los géneros. Las t</w:t>
      </w:r>
      <w:r>
        <w:t>a</w:t>
      </w:r>
      <w:r>
        <w:t>reas del comité incluyen la elaboración de un plan de desarrollo estratégico para eliminar la desigualdad entre el hombre y la mujer e integrar la igualdad en los pl</w:t>
      </w:r>
      <w:r>
        <w:t>a</w:t>
      </w:r>
      <w:r>
        <w:t>nes de acción, los programas y los proyectos de los organismos estatales. El comité también formula recomendaciones sobre la aplicación de las medidas previstas en distintos ámbitos.</w:t>
      </w:r>
    </w:p>
    <w:p w:rsidR="00000000" w:rsidRDefault="00000000">
      <w:pPr>
        <w:pStyle w:val="SingleTxt"/>
      </w:pPr>
      <w:r>
        <w:tab/>
        <w:t>En el momento en que se estaba preparando el informe, se celebraban consu</w:t>
      </w:r>
      <w:r>
        <w:t>l</w:t>
      </w:r>
      <w:r>
        <w:t>tas con las organizaciones de mujeres sobre el documento básico de política de igualdad entre los géneros, que contiene actividades en las siguientes esferas:</w:t>
      </w:r>
    </w:p>
    <w:p w:rsidR="00000000" w:rsidRDefault="00000000">
      <w:pPr>
        <w:pStyle w:val="SingleTxt"/>
        <w:tabs>
          <w:tab w:val="right" w:pos="1685"/>
        </w:tabs>
        <w:ind w:left="1742" w:hanging="475"/>
      </w:pPr>
      <w:r>
        <w:tab/>
        <w:t>•</w:t>
      </w:r>
      <w:r>
        <w:tab/>
        <w:t>la igualdad de representación entre el hombre y la mujer en la política y la adopción de decisiones;</w:t>
      </w:r>
    </w:p>
    <w:p w:rsidR="00000000" w:rsidRDefault="00000000">
      <w:pPr>
        <w:pStyle w:val="SingleTxt"/>
        <w:tabs>
          <w:tab w:val="right" w:pos="1685"/>
        </w:tabs>
        <w:ind w:left="1742" w:hanging="475"/>
      </w:pPr>
      <w:r>
        <w:tab/>
        <w:t>•</w:t>
      </w:r>
      <w:r>
        <w:tab/>
        <w:t>la segregación horizontal y vertical en materia de género en el mercado laboral e igual remuneración por un trabajo de igual valor;</w:t>
      </w:r>
    </w:p>
    <w:p w:rsidR="00000000" w:rsidRDefault="00000000">
      <w:pPr>
        <w:pStyle w:val="SingleTxt"/>
        <w:tabs>
          <w:tab w:val="right" w:pos="1685"/>
        </w:tabs>
        <w:ind w:left="1742" w:hanging="475"/>
      </w:pPr>
      <w:r>
        <w:tab/>
        <w:t>•</w:t>
      </w:r>
      <w:r>
        <w:tab/>
        <w:t>la posición de la mujer y el hombre en la economía y los negocios;</w:t>
      </w:r>
    </w:p>
    <w:p w:rsidR="00000000" w:rsidRDefault="00000000">
      <w:pPr>
        <w:pStyle w:val="SingleTxt"/>
        <w:tabs>
          <w:tab w:val="right" w:pos="1685"/>
        </w:tabs>
        <w:ind w:left="1742" w:hanging="475"/>
      </w:pPr>
      <w:r>
        <w:tab/>
        <w:t>•</w:t>
      </w:r>
      <w:r>
        <w:tab/>
        <w:t>la segregación en razón del género y los estereotipos de género en la ciencia y la educación;</w:t>
      </w:r>
    </w:p>
    <w:p w:rsidR="00000000" w:rsidRDefault="00000000">
      <w:pPr>
        <w:pStyle w:val="SingleTxt"/>
        <w:tabs>
          <w:tab w:val="right" w:pos="1685"/>
        </w:tabs>
        <w:ind w:left="1742" w:hanging="475"/>
      </w:pPr>
      <w:r>
        <w:tab/>
        <w:t>•</w:t>
      </w:r>
      <w:r>
        <w:tab/>
        <w:t>la violencia contra la mujer y la trata de personas;</w:t>
      </w:r>
    </w:p>
    <w:p w:rsidR="00000000" w:rsidRDefault="00000000">
      <w:pPr>
        <w:pStyle w:val="SingleTxt"/>
        <w:tabs>
          <w:tab w:val="right" w:pos="1685"/>
        </w:tabs>
        <w:ind w:left="1742" w:hanging="475"/>
      </w:pPr>
      <w:r>
        <w:tab/>
        <w:t>•</w:t>
      </w:r>
      <w:r>
        <w:tab/>
        <w:t>la salud y el estilo de vida de mujeres y hombres;</w:t>
      </w:r>
    </w:p>
    <w:p w:rsidR="00000000" w:rsidRDefault="00000000">
      <w:pPr>
        <w:pStyle w:val="SingleTxt"/>
        <w:tabs>
          <w:tab w:val="right" w:pos="1685"/>
        </w:tabs>
        <w:ind w:left="1742" w:hanging="475"/>
      </w:pPr>
      <w:r>
        <w:tab/>
        <w:t>•</w:t>
      </w:r>
      <w:r>
        <w:tab/>
        <w:t>los papeles asignados en razón de género en los medios y la cultura;</w:t>
      </w:r>
    </w:p>
    <w:p w:rsidR="00000000" w:rsidRDefault="00000000">
      <w:pPr>
        <w:pStyle w:val="SingleTxt"/>
        <w:tabs>
          <w:tab w:val="right" w:pos="1685"/>
        </w:tabs>
        <w:ind w:left="1742" w:hanging="475"/>
      </w:pPr>
      <w:r>
        <w:tab/>
        <w:t>•</w:t>
      </w:r>
      <w:r>
        <w:tab/>
        <w:t>la función de la administración pública en el establecimiento de la igualdad entre los géneros.</w:t>
      </w:r>
    </w:p>
    <w:p w:rsidR="00000000" w:rsidRDefault="00000000">
      <w:pPr>
        <w:pStyle w:val="SingleTxt"/>
      </w:pPr>
      <w:r>
        <w:tab/>
        <w:t>In 2003, las organizaciones de mujeres estonias formaron dos organizaciones coordinadoras, la Mesa Redonda de Asociaciones de Mujeres Estonias, que incluye a casi todas las mesas redondas regionales de organizaciones de mujeres, la Asoci</w:t>
      </w:r>
      <w:r>
        <w:t>a</w:t>
      </w:r>
      <w:r>
        <w:t>ción de Mujeres Rurales de Estonia, la Unión de Mujeres Estonias y la Cadena de Cooperación de Mujeres Estonias, que reúne principalmente a las asociaciones de mujeres de distintos partidos políticos y a las principales políticas mujeres. La Mesa Redonda de Asociaciones de Mujeres Estonias está integrada por aproximadamente 180 organizaciones. Entre otras, participan asociaciones de mujeres de tres partidos políticos que pertenecen a la Mesa Redonda (la Unión Pro Patria, Res Publica y el Partido Social Democrático).</w:t>
      </w:r>
    </w:p>
    <w:p w:rsidR="00000000" w:rsidRDefault="00000000">
      <w:pPr>
        <w:pStyle w:val="SingleTxt"/>
      </w:pPr>
      <w:r>
        <w:tab/>
        <w:t xml:space="preserve">La Asociación de Mujeres del </w:t>
      </w:r>
      <w:r>
        <w:rPr>
          <w:i/>
        </w:rPr>
        <w:t>Riigikogu</w:t>
      </w:r>
      <w:r>
        <w:t>, la Mesa Redonda de Asociaciones de Mujeres de los Partidos Políticos, el Centro de Capacitación de la Mujer, el Centro de Capacitación Cívica, los centros de investigación sobre la mujer de la Univers</w:t>
      </w:r>
      <w:r>
        <w:t>i</w:t>
      </w:r>
      <w:r>
        <w:t>dad de Tartu y la Universidad Pedagógica de Tallin y el Centro de Estudios e Inve</w:t>
      </w:r>
      <w:r>
        <w:t>s</w:t>
      </w:r>
      <w:r>
        <w:t>tigación sobre la Mujer Estonia han centrado sus actividades en el desarrollo de la conciencia de la propia identidad de la mujer y el cambio de las actitudes tradici</w:t>
      </w:r>
      <w:r>
        <w:t>o</w:t>
      </w:r>
      <w:r>
        <w:t>nales imperantes en la sociedad. Estas actividades han tenido éxito. Todas las org</w:t>
      </w:r>
      <w:r>
        <w:t>a</w:t>
      </w:r>
      <w:r>
        <w:t>nizaciones mencionadas desplegaron una intensa actividad durante el período de s</w:t>
      </w:r>
      <w:r>
        <w:t>e</w:t>
      </w:r>
      <w:r>
        <w:t xml:space="preserve">siones del </w:t>
      </w:r>
      <w:r>
        <w:rPr>
          <w:i/>
        </w:rPr>
        <w:t>Riigikogu</w:t>
      </w:r>
      <w:r>
        <w:t xml:space="preserve"> en que se debatió la Ley sobre la igualdad de género, y organ</w:t>
      </w:r>
      <w:r>
        <w:t>i</w:t>
      </w:r>
      <w:r>
        <w:t xml:space="preserve">zaron reuniones con los miembros del </w:t>
      </w:r>
      <w:r>
        <w:rPr>
          <w:i/>
        </w:rPr>
        <w:t>Riigikogu</w:t>
      </w:r>
      <w:r>
        <w:t>, enviaron declaraciones conjuntas a grupos de parlamentarios y se presentaron ante los medios.</w:t>
      </w:r>
    </w:p>
    <w:p w:rsidR="00000000" w:rsidRDefault="00000000">
      <w:pPr>
        <w:pStyle w:val="SingleTxt"/>
        <w:suppressAutoHyphens/>
      </w:pPr>
      <w:r>
        <w:tab/>
        <w:t>A fin de modernizar la sociedad, todos deben tener conciencia de las causas y consecuencias de la desigualdad entre los géneros. La concienciación de la mujer puede aumentarse mediante programas de capacitación y una red de cooperación de mujeres que recibe apoyo financiero del Estado. Esto también puede facilitarse mediante la cooperación internacional. No obstante, también está claro que el cambio de val</w:t>
      </w:r>
      <w:r>
        <w:t>o</w:t>
      </w:r>
      <w:r>
        <w:t>res y actitudes lleva tiempo.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7" w:name="_Toc103503073"/>
      <w:r>
        <w:tab/>
      </w:r>
      <w:r>
        <w:tab/>
        <w:t>Artículo 4</w:t>
      </w:r>
      <w:bookmarkEnd w:id="17"/>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ab/>
        <w:t>1.</w:t>
      </w:r>
      <w:r>
        <w:rPr>
          <w:i/>
        </w:rPr>
        <w:tab/>
        <w:t xml:space="preserve">La adopción por los Estados partes de medidas especiales de carácter temporal encaminadas a acelerar la igualdad </w:t>
      </w:r>
      <w:r>
        <w:t xml:space="preserve">de facto </w:t>
      </w:r>
      <w:r>
        <w:rPr>
          <w:i/>
        </w:rPr>
        <w:t>entre el hombre y la mujer no se considerará discriminación en la forma definida en la presente Convención, pero de ningún modo entrañará, como consecuencia, el mantenimiento de normas des</w:t>
      </w:r>
      <w:r>
        <w:rPr>
          <w:i/>
        </w:rPr>
        <w:t>i</w:t>
      </w:r>
      <w:r>
        <w:rPr>
          <w:i/>
        </w:rPr>
        <w:t>guales o separadas; estas medidas cesarán cuando se hayan alcanzado los objetivos de igualdad de oportunidad y trato.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ab/>
        <w:t>Estonia no ha redactado la ley sobre medidas especiales de carácter temporal recomendada por el Comité. La Ley sobre la igualdad de género ya contiene una s</w:t>
      </w:r>
      <w:r>
        <w:t>e</w:t>
      </w:r>
      <w:r>
        <w:t>rie de medidas especiales.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8" w:name="_Toc103503074"/>
      <w:r>
        <w:tab/>
      </w:r>
      <w:r>
        <w:tab/>
        <w:t>Cupos</w:t>
      </w:r>
      <w:bookmarkEnd w:id="18"/>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Estonia ha estudiado la actitud del público en relación con la utilización de un sistema de cupos para aumentar la proporción de mujeres en el Parlamento y en los consejos de gobierno local. Según una encuesta de opinión pública realizada en 2002, el 37% de la población estonia está a favor de la institución del sistema de c</w:t>
      </w:r>
      <w:r>
        <w:t>u</w:t>
      </w:r>
      <w:r>
        <w:t>pos con esta finalidad. El 41% de la población está en contra y el 63% de las pers</w:t>
      </w:r>
      <w:r>
        <w:t>o</w:t>
      </w:r>
      <w:r>
        <w:t xml:space="preserve">nas que apoyaron el sistema de cupos son mujeres. Las mujeres constituyen el 43% de las personas que se oponen al sistema de cupos (Marti Taru, Rein Toomla, </w:t>
      </w:r>
      <w:r>
        <w:rPr>
          <w:i/>
        </w:rPr>
        <w:t xml:space="preserve">Eesti elanikkonna valmiskäitumise motiivid ja mehhanismid. Avaliku arvamuse küsitluste sekundaaranalüüs </w:t>
      </w:r>
      <w:r>
        <w:t>[Motivaciones y mecanismos del comportamiento de los votantes entre la población estonia. Análisis secundario de las encuestas de opinión pública], Tartu 2002). No se ha emprendido un examen de alcance amplio sobe la institución del sistema de cupos.</w:t>
      </w:r>
    </w:p>
    <w:p w:rsidR="00000000" w:rsidRDefault="00000000">
      <w:pPr>
        <w:pStyle w:val="SingleTxt"/>
      </w:pPr>
      <w:r>
        <w:tab/>
        <w:t>Además del establecimiento del mecanismo para la protección de los derechos de las personas, en la Ley sobre la igualdad de género también se sientan las bases de dos estrategias principales, a saber: la aplicación de medidas para brindar vent</w:t>
      </w:r>
      <w:r>
        <w:t>a</w:t>
      </w:r>
      <w:r>
        <w:t>jas especiales al género que está insuficientemente representado o medidas que contribuyan a reducir la desigualdad; y la aplicación de la igualdad entre los géneros como una política horizontal inherente a todas las demás políticas.</w:t>
      </w:r>
    </w:p>
    <w:p w:rsidR="00000000" w:rsidRDefault="00000000">
      <w:pPr>
        <w:pStyle w:val="SingleTxt"/>
      </w:pPr>
      <w:r>
        <w:tab/>
        <w:t>En la legislación no se establecen cupos, pero en virtud de la Ley sobre la igualdad de género, en la medida de lo posible, ambos sexos deben estar represent</w:t>
      </w:r>
      <w:r>
        <w:t>a</w:t>
      </w:r>
      <w:r>
        <w:t>dos en los comités, consejos y otros órganos colegiados formados por organismos de los g</w:t>
      </w:r>
      <w:r>
        <w:t>o</w:t>
      </w:r>
      <w:r>
        <w:t>biernos estatal y local.</w:t>
      </w:r>
    </w:p>
    <w:p w:rsidR="00000000" w:rsidRDefault="00000000">
      <w:pPr>
        <w:pStyle w:val="SingleTxt"/>
      </w:pPr>
      <w:r>
        <w:tab/>
        <w:t>El Comisionado sobre igualdad de géneros tiene la obligación de supervisar el cu</w:t>
      </w:r>
      <w:r>
        <w:t>m</w:t>
      </w:r>
      <w:r>
        <w:t>plimiento de las normas establecidas en la Ley.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9" w:name="_Toc103503075"/>
      <w:r>
        <w:tab/>
      </w:r>
      <w:r>
        <w:tab/>
        <w:t>Asignaciones con cargo al presupuesto estatal</w:t>
      </w:r>
      <w:bookmarkEnd w:id="19"/>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Desde 2002 se han hecho asignaciones con cargo al presupuesto estatal para promover la cooperación entre mujeres. En la reglamentación del Ministerio de Asuntos Sociales de 28 de febrero de 2003, se estableció el procedimiento para la solicitud y el otorgamiento de asignaciones para la promoción de la cooperación entre mujeres.</w:t>
      </w:r>
    </w:p>
    <w:p w:rsidR="00000000" w:rsidRDefault="00000000">
      <w:pPr>
        <w:pStyle w:val="SingleTxt"/>
      </w:pPr>
      <w:r>
        <w:tab/>
        <w:t>La financiación asignada con cargo al presupuesto estatal al Ministerio de Asuntos Sociales para promover la cooperación entre mujeres se utiliza en apoyo de la creación y sostenibilidad de una red de cooperación de organizaciones de mujeres en Estonia. Esta medida especial se aplica para compensar las limitaciones relativas al acceso a la información, los recursos y la adopción de decisiones en relación con las di</w:t>
      </w:r>
      <w:r>
        <w:t>s</w:t>
      </w:r>
      <w:r>
        <w:t>tintas redes de comunicación de mujeres y hombres.</w:t>
      </w:r>
    </w:p>
    <w:p w:rsidR="00000000" w:rsidRDefault="00000000">
      <w:pPr>
        <w:pStyle w:val="SingleTxt"/>
      </w:pPr>
      <w:r>
        <w:tab/>
        <w:t>Según la reglamentación del Ministro, todos los años los representantes de o</w:t>
      </w:r>
      <w:r>
        <w:t>r</w:t>
      </w:r>
      <w:r>
        <w:t>ganizaciones de mujeres determinan sus esferas prioritarias y las presentan al M</w:t>
      </w:r>
      <w:r>
        <w:t>i</w:t>
      </w:r>
      <w:r>
        <w:t>nisterio de Asuntos Sociales. En el curso de las negociaciones, el Ministerio de Asuntos Sociales tiene derecho a definir las propuestas o agregar temas, en caso de ser necesario.</w:t>
      </w:r>
    </w:p>
    <w:p w:rsidR="00000000" w:rsidRDefault="00000000">
      <w:pPr>
        <w:pStyle w:val="SingleTxt"/>
      </w:pPr>
      <w:r>
        <w:tab/>
        <w:t>Los objetivos y las actividades de los proyectos deben ser compatibles con los temas prioritarios anunciados en el concurso de proyectos del Ministerio de Asuntos Sociales y contribuir a la reducción de la desigualdad entre los géneros y la prom</w:t>
      </w:r>
      <w:r>
        <w:t>o</w:t>
      </w:r>
      <w:r>
        <w:t>ción de la igualdad. Los objetivos y las actividades de los proyectos deben orienta</w:t>
      </w:r>
      <w:r>
        <w:t>r</w:t>
      </w:r>
      <w:r>
        <w:t>se a la promoción de la cooperación entre organizaciones de mujeres y mejorar el papel de las organizaciones de mujeres en el plano local y nacional.</w:t>
      </w:r>
    </w:p>
    <w:p w:rsidR="00000000" w:rsidRDefault="00000000">
      <w:pPr>
        <w:pStyle w:val="SingleTxt"/>
      </w:pPr>
      <w:r>
        <w:tab/>
        <w:t>El Ministerio de Asuntos Sociales distribuye los recursos del presupuesto e</w:t>
      </w:r>
      <w:r>
        <w:t>s</w:t>
      </w:r>
      <w:r>
        <w:t>tatal disponibles para la promoción de la cooperación entre mujeres, conforme a las solicitudes de proyectos recibidas y en este sentido tiene en cuenta consideraciones relativas al equilibrio regional. En 2004 se recibieron 35 solicitudes para el concu</w:t>
      </w:r>
      <w:r>
        <w:t>r</w:t>
      </w:r>
      <w:r>
        <w:t>so de proyectos “Promover la cooperación entre mujeres”. La financiación total otorgada a los proyectos ascendió a alrededor de 400.000 coronas est</w:t>
      </w:r>
      <w:r>
        <w:t>o</w:t>
      </w:r>
      <w:r>
        <w:t>nias.</w:t>
      </w:r>
    </w:p>
    <w:p w:rsidR="00000000" w:rsidRDefault="00000000">
      <w:pPr>
        <w:pStyle w:val="SingleTxt"/>
      </w:pPr>
      <w:r>
        <w:tab/>
        <w:t>El programa “Más y mejores empleos para la mujer”, ejecutado con el apoyo de la OIT en 2001-2003, tuvo por objeto aumentar la proporción de empresarias y el empleo de mujeres. De resultas del proyecto, se crearon 100 nuevos empleos y se establecieron ocho nuevas organiz</w:t>
      </w:r>
      <w:r>
        <w:t>a</w:t>
      </w:r>
      <w:r>
        <w:t>ciones de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bookmarkStart w:id="20" w:name="_Toc103503076"/>
      <w:r>
        <w:rPr>
          <w:i/>
        </w:rPr>
        <w:tab/>
        <w:t>2.</w:t>
      </w:r>
      <w:r>
        <w:rPr>
          <w:i/>
        </w:rPr>
        <w:tab/>
        <w:t>La adopción por los Estados partes de medidas especiales, incluso las contenidas en la presente Convención, encaminadas a proteger la maternidad no se cons</w:t>
      </w:r>
      <w:r>
        <w:rPr>
          <w:i/>
        </w:rPr>
        <w:t>i</w:t>
      </w:r>
      <w:r>
        <w:rPr>
          <w:i/>
        </w:rPr>
        <w:t>derará discriminatoria.</w:t>
      </w:r>
    </w:p>
    <w:p w:rsidR="00000000" w:rsidRDefault="00000000">
      <w:pPr>
        <w:pStyle w:val="SingleTxt"/>
        <w:spacing w:after="0" w:line="120" w:lineRule="exact"/>
        <w:rPr>
          <w:b/>
          <w:i/>
          <w:sz w:val="10"/>
          <w:u w:val="single"/>
        </w:rPr>
      </w:pPr>
    </w:p>
    <w:p w:rsidR="00000000" w:rsidRDefault="00000000">
      <w:pPr>
        <w:pStyle w:val="SingleTxt"/>
        <w:spacing w:after="0" w:line="120" w:lineRule="exact"/>
        <w:rPr>
          <w:b/>
          <w:i/>
          <w:sz w:val="10"/>
          <w:u w:val="single"/>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especiales encaminadas a proteger la maternidad</w:t>
      </w:r>
      <w:bookmarkEnd w:id="20"/>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In la legislación estonia, las disposiciones relativas a la protección especial de la mujer en relación con el embarazo y el parto no se consideran discriminación d</w:t>
      </w:r>
      <w:r>
        <w:t>i</w:t>
      </w:r>
      <w:r>
        <w:t>recta ni indirecta en razón del género.</w:t>
      </w:r>
    </w:p>
    <w:p w:rsidR="00000000" w:rsidRDefault="00000000">
      <w:pPr>
        <w:pStyle w:val="SingleTxt"/>
      </w:pPr>
      <w:r>
        <w:tab/>
        <w:t>En Estonia la protección de la maternidad se garantiza en virtud de la Ley de contratos de empleo, la Ley de administración pública, la Ley de tiempo de trabajo y de descanso, la Ley de vacaciones, la Ley de seguro médico, la Ley del impuesto social, la Ley de subsidios por hijo y la Ley del seguro de pensión estatal.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1" w:name="_Toc103503077"/>
      <w:r>
        <w:tab/>
      </w:r>
      <w:r>
        <w:tab/>
        <w:t>Ley de contratos de empleo</w:t>
      </w:r>
      <w:bookmarkEnd w:id="21"/>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No se considera discriminatorio otorgar preferencias en razón del embarazo, el parto, el cuidado de menores de edad o adultos incapacitados para trabajar, o de p</w:t>
      </w:r>
      <w:r>
        <w:t>a</w:t>
      </w:r>
      <w:r>
        <w:t>dres incapacitados para trabajar.</w:t>
      </w:r>
    </w:p>
    <w:p w:rsidR="00000000" w:rsidRDefault="00000000">
      <w:pPr>
        <w:pStyle w:val="SingleTxt"/>
      </w:pPr>
      <w:r>
        <w:tab/>
        <w:t>Los empleadores tienen la obligación de evaluar la exposición de las trabaj</w:t>
      </w:r>
      <w:r>
        <w:t>a</w:t>
      </w:r>
      <w:r>
        <w:t>doras a factores que representan un riesgo para su salud, como la naturaleza, el nivel y la duración de dicho trabajo, incluido el posible efecto sobre el embarazo y la lactancia. También debería informarse a las trabajadoras y sus representantes de los resultados de toda evaluación de los riesgos, así como de las medidas de seguridad e h</w:t>
      </w:r>
      <w:r>
        <w:t>i</w:t>
      </w:r>
      <w:r>
        <w:t>giene que se hayan adoptado.</w:t>
      </w:r>
    </w:p>
    <w:p w:rsidR="00000000" w:rsidRDefault="00000000">
      <w:pPr>
        <w:pStyle w:val="SingleTxt"/>
      </w:pPr>
      <w:r>
        <w:tab/>
        <w:t>No puede obligarse a las trabajadoras embarazadas a realizar tareas que impl</w:t>
      </w:r>
      <w:r>
        <w:t>i</w:t>
      </w:r>
      <w:r>
        <w:t>quen riesgos para su salud ni a realizar trabajos nocturnos. Los empleadores tienen la obligación de garantizar que las empleadas embarazadas puedan realizarse ex</w:t>
      </w:r>
      <w:r>
        <w:t>á</w:t>
      </w:r>
      <w:r>
        <w:t>menes médicos prenatales sin que se les descuente del sueldo las horas no trabaj</w:t>
      </w:r>
      <w:r>
        <w:t>a</w:t>
      </w:r>
      <w:r>
        <w:t>das. No puede exigirse a las mujeres embarazadas que hagan viajes de negocios.</w:t>
      </w:r>
    </w:p>
    <w:p w:rsidR="00000000" w:rsidRDefault="00000000">
      <w:pPr>
        <w:pStyle w:val="SingleTxt"/>
      </w:pPr>
      <w:r>
        <w:tab/>
        <w:t>Las mujeres embarazadas tienen derecho a pedir que se alivien temporalmente sus condiciones de trabajo o se las traslade a otro puesto, presentando a ese efecto un certificado médico de licencia por enfermedad. En ese caso, el empleado recibe una compensación por la diferencia salarial con arreglo al procedimiento establecido en la Ley de seguro médico. Si el inspector de trabajo determina que el empleador no puede aliviar las condiciones de trabajo de la mujer embarazada o trasladarla a una tarea más fácil, ésta será desvinculada del trabajo durante el período indicado en el certificado de licencia por enfermedad, y recibirá una prestación de seguro méd</w:t>
      </w:r>
      <w:r>
        <w:t>i</w:t>
      </w:r>
      <w:r>
        <w:t>co obligatorio conforme al procedimiento prescrito en la Ley de seguro médico.</w:t>
      </w:r>
    </w:p>
    <w:p w:rsidR="00000000" w:rsidRDefault="00000000">
      <w:pPr>
        <w:pStyle w:val="SingleTxt"/>
      </w:pPr>
      <w:r>
        <w:tab/>
        <w:t>El empleador no puede rescindir el contrato de trabajo de una mujer embar</w:t>
      </w:r>
      <w:r>
        <w:t>a</w:t>
      </w:r>
      <w:r>
        <w:t>zada o una persona que cuida a un hijo menor de tres años, excepto en el caso de l</w:t>
      </w:r>
      <w:r>
        <w:t>i</w:t>
      </w:r>
      <w:r>
        <w:t>quidación de la empresa, el organismo u otra organización, la declaración de quiebra del empleador, resultados laborales insatisfactorios durante el período de prueba, el incumplimiento de las obligaciones de trabajo del empleado, la pérdida de confianza en el empleado, un acto indecente de parte del empleado, o la contratación de un empleado de tiempo completo. No obstante, aun en las circunstancias mencionadas, el contrato de una mujer embarazada o de una persona que cuida un hijo menor de tres años sólo podrá rescindi</w:t>
      </w:r>
      <w:r>
        <w:t>r</w:t>
      </w:r>
      <w:r>
        <w:t>se con el consentimiento del inspector de trabajo.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2" w:name="_Toc103503078"/>
      <w:r>
        <w:tab/>
      </w:r>
      <w:r>
        <w:tab/>
        <w:t>Ley de administrac</w:t>
      </w:r>
      <w:bookmarkEnd w:id="22"/>
      <w:r>
        <w:t>ión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Durante el embarazo, presentando a ese efecto un certificado médico de lice</w:t>
      </w:r>
      <w:r>
        <w:t>n</w:t>
      </w:r>
      <w:r>
        <w:t>cia por enfermedad, una funcionaria tendrá derecho a que se alivien temporalmente sus condiciones de trabajo o se la traslade a otro puesto, excepto en los casos de puestos que se llenen por concurso de oposición. Se compensarán las diferencias salariales. Si no resulta posible aliviar temporalmente las condiciones del servicio o el traslado ofrecido es imposible, la funcionaria será liberada del desempeño de sus obligaciones durante el período estipulado en el certificado de licencia médica y percibirá la prestación de seguro médico obligatorio. Una mujer embarazada o una persona que cuida un hijo discapacitado, una persona discapacitada desde la infancia o un niño menor de tres años de edad no podrán ser enviadas en misión oficial sin su consentimiento. Una funcionaria embarazada o una persona que cuida un niño m</w:t>
      </w:r>
      <w:r>
        <w:t>e</w:t>
      </w:r>
      <w:r>
        <w:t>nor de tres años, no podrán ser despedidas por exceso de personal, discapacidad de largo plazo para el empleo o problemas de salud, ni sobre la base de los resultados de una evaluación.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3" w:name="_Toc103503079"/>
      <w:r>
        <w:tab/>
      </w:r>
      <w:r>
        <w:tab/>
        <w:t>Ley de servicios del mercado laboral</w:t>
      </w:r>
      <w:bookmarkEnd w:id="23"/>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Con arreglo a la Ley de servicios del mercado laboral, los empleadores perc</w:t>
      </w:r>
      <w:r>
        <w:t>i</w:t>
      </w:r>
      <w:r>
        <w:t>ben un subsidio por servicios en el mercado laboral por conducto de la oficina de empleo si contratan una persona desempleada de escasa capacidad competitiva. Asimismo, las mujeres embarazadas desempleadas y las personas que cuidan un hijo menor de seis años se consideran desempleadas y de escasa capacidad competitiva. Si se emplea a tiempo completo una mujer embarazada desempleada o a una persona que cuida un hijo menor de seis años, el empleador tiene derecho a recibir un subs</w:t>
      </w:r>
      <w:r>
        <w:t>i</w:t>
      </w:r>
      <w:r>
        <w:t>dio por servicios del mercado laboral equivalente al salario mensual mínimo durante los primeros seis meses, y a la mitad del salario mensual mínimo durante los seis meses siguie</w:t>
      </w:r>
      <w:r>
        <w:t>n</w:t>
      </w:r>
      <w:r>
        <w:t>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4" w:name="_Toc103503080"/>
      <w:r>
        <w:tab/>
      </w:r>
      <w:r>
        <w:tab/>
        <w:t>Ley de vacaciones</w:t>
      </w:r>
      <w:bookmarkEnd w:id="24"/>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mujer tiene derecho a licencia de embarazo y maternidad de 140 días civ</w:t>
      </w:r>
      <w:r>
        <w:t>i</w:t>
      </w:r>
      <w:r>
        <w:t>les. En el caso de alumbramiento múltiple o de un parto con complicaciones, se otorgarán 154 días civiles de licencia de embarazo y maternidad.</w:t>
      </w:r>
    </w:p>
    <w:p w:rsidR="00000000" w:rsidRDefault="00000000">
      <w:pPr>
        <w:pStyle w:val="SingleTxt"/>
      </w:pPr>
      <w:r>
        <w:tab/>
        <w:t>Las mujeres tienen derecho a licencia de embarazo y maternidad de 70 días c</w:t>
      </w:r>
      <w:r>
        <w:t>i</w:t>
      </w:r>
      <w:r>
        <w:t>viles con anterioridad a la fecha prevista del nacimiento establecida por el médico. Durante la licencia de embarazo y maternidad, las mujeres perciben una compens</w:t>
      </w:r>
      <w:r>
        <w:t>a</w:t>
      </w:r>
      <w:r>
        <w:t>ción por incapacidad laboral temporal del 100% del ingreso medio por día civil.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5" w:name="_Toc103503081"/>
      <w:r>
        <w:tab/>
      </w:r>
      <w:r>
        <w:tab/>
        <w:t>Ley de tiempo de trabajo y de descanso</w:t>
      </w:r>
      <w:bookmarkEnd w:id="25"/>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empleadores tienen la obligación de garantizar que las empleadas embar</w:t>
      </w:r>
      <w:r>
        <w:t>a</w:t>
      </w:r>
      <w:r>
        <w:t>zadas puedan realizarse exámenes médicos prenatales en los horarios indicados por el m</w:t>
      </w:r>
      <w:r>
        <w:t>é</w:t>
      </w:r>
      <w:r>
        <w:t>dico sin que se les descuente del sueldo las horas no trabajadas.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6" w:name="_Toc103503082"/>
      <w:r>
        <w:tab/>
      </w:r>
      <w:r>
        <w:tab/>
        <w:t>Ley de salud y seguridad profesionales</w:t>
      </w:r>
      <w:bookmarkEnd w:id="26"/>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empleador tiene la obligación de crear condiciones de trabajo y de descanso adecuadas para la mujer embarazada y la madre lactante. El empleador tiene la obl</w:t>
      </w:r>
      <w:r>
        <w:t>i</w:t>
      </w:r>
      <w:r>
        <w:t>gación de cumplir con las restricciones establecidas por ley para garantizar la seg</w:t>
      </w:r>
      <w:r>
        <w:t>u</w:t>
      </w:r>
      <w:r>
        <w:t>ridad de la mujer embarazada y la madre lactante. Éstas deberían tener la posibilidad de descansar en condiciones adecuadas en un lugar especialmente habilitado para ello. El Gobierno ha emitido una reglamentación sobre la “Salud y la seguridad pr</w:t>
      </w:r>
      <w:r>
        <w:t>o</w:t>
      </w:r>
      <w:r>
        <w:t xml:space="preserve">fesionales de la mujer embarazada y la madre lactante”, en la que se establecen las obligaciones del empleador con </w:t>
      </w:r>
      <w:r>
        <w:rPr>
          <w:spacing w:val="2"/>
          <w:w w:val="101"/>
        </w:rPr>
        <w:t>respecto a la creación de un entorno de trabajo seguro</w:t>
      </w:r>
      <w:r>
        <w:t xml:space="preserve"> para las empleadas embarazadas; las medidas para garantizar condiciones de trabajo seguras para las empleadas mujeres; los trabajos prohibidos para las mujeres emb</w:t>
      </w:r>
      <w:r>
        <w:t>a</w:t>
      </w:r>
      <w:r>
        <w:t>razadas; los trabajos prohibidos para las madres lactantes; y los factores de riesgo y los procedimientos laborales que deben tenerse en cuenta al evaluar los riesgos.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7" w:name="_Toc103503083"/>
      <w:r>
        <w:tab/>
      </w:r>
      <w:r>
        <w:tab/>
        <w:t>Artículo 5</w:t>
      </w:r>
      <w:bookmarkEnd w:id="27"/>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ab/>
        <w:t>Los Estados partes tomarán todas las medidas apropiadas para:</w:t>
      </w:r>
    </w:p>
    <w:p w:rsidR="00000000" w:rsidRDefault="00000000">
      <w:pPr>
        <w:pStyle w:val="SingleTxt"/>
        <w:rPr>
          <w:i/>
        </w:rPr>
      </w:pPr>
      <w:r>
        <w:rPr>
          <w:i/>
        </w:rPr>
        <w:tab/>
        <w:t>a)</w:t>
      </w:r>
      <w:r>
        <w:rPr>
          <w:i/>
        </w:rPr>
        <w:tab/>
        <w:t>Modificar los patrones socioculturales de conducta de hombres y muj</w:t>
      </w:r>
      <w:r>
        <w:rPr>
          <w:i/>
        </w:rPr>
        <w:t>e</w:t>
      </w:r>
      <w:r>
        <w:rPr>
          <w:i/>
        </w:rPr>
        <w:t>res, con miras a alcanzar la eliminación de los prejuicios y las prácticas consuet</w:t>
      </w:r>
      <w:r>
        <w:rPr>
          <w:i/>
        </w:rPr>
        <w:t>u</w:t>
      </w:r>
      <w:r>
        <w:rPr>
          <w:i/>
        </w:rPr>
        <w:t>dinarias y de cualquier otra índole que estén basados en la idea de la inferioridad o superioridad de cualquiera de los sexos o en funciones estereotipadas de hombres y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instituciones educacionales, de investigación y capacitación tienen proh</w:t>
      </w:r>
      <w:r>
        <w:t>i</w:t>
      </w:r>
      <w:r>
        <w:t>bido discriminar contra las personas en razón del sexo en lo que hace la orientación profesional, la educación, la formación profesional y el readiestramiento. Además, estas instituciones deben garantizar que los programas de estudio, el material de e</w:t>
      </w:r>
      <w:r>
        <w:t>s</w:t>
      </w:r>
      <w:r>
        <w:t>tudio y la investigación llevada a cabo contribuyan a la eliminación de la desigua</w:t>
      </w:r>
      <w:r>
        <w:t>l</w:t>
      </w:r>
      <w:r>
        <w:t>dad entre el hombre y la mujer, y a la promoción de la igualdad entre los géneros.</w:t>
      </w:r>
    </w:p>
    <w:p w:rsidR="00000000" w:rsidRDefault="00000000">
      <w:pPr>
        <w:pStyle w:val="SingleTxt"/>
      </w:pPr>
      <w:r>
        <w:tab/>
        <w:t>Durante el período que se examina, la categoría de género se convirtió en uno de los indicadores utilizados en el análisis estadístico regular así como en los est</w:t>
      </w:r>
      <w:r>
        <w:t>u</w:t>
      </w:r>
      <w:r>
        <w:t>dios sociológicos para permitir la evaluación de las condiciones de vida de hombres y m</w:t>
      </w:r>
      <w:r>
        <w:t>u</w:t>
      </w:r>
      <w:r>
        <w:t>jeres, y los cambios en los patrones de comportamiento sociales y culturales.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8" w:name="_Toc103503084"/>
      <w:r>
        <w:tab/>
      </w:r>
      <w:r>
        <w:tab/>
        <w:t xml:space="preserve">Actitudes frente a las funciones establecidas para cada </w:t>
      </w:r>
      <w:bookmarkEnd w:id="28"/>
      <w:r>
        <w:t>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2003, el Instituto para una Sociedad Abierta realizó una encuesta de segu</w:t>
      </w:r>
      <w:r>
        <w:t>i</w:t>
      </w:r>
      <w:r>
        <w:t>miento de la igualdad entre los géneros encomendada por el Ministerio de Asuntos Sociales con el objeto de conocer las opiniones y actitudes de la sociedad respecto de la igualdad entre los géneros y la función de hombres y mujeres.</w:t>
      </w:r>
    </w:p>
    <w:p w:rsidR="00000000" w:rsidRDefault="00000000">
      <w:pPr>
        <w:pStyle w:val="SingleTxt"/>
      </w:pPr>
      <w:r>
        <w:tab/>
        <w:t>Según el estudio, por un lado, en Estonia existen prejuicios arraigados sobre género y, por el otro, la población está dispuesta a apoyar la igualdad de trato entre el ho</w:t>
      </w:r>
      <w:r>
        <w:t>m</w:t>
      </w:r>
      <w:r>
        <w:t>bre y la mujer en el mercado de trabajo.</w:t>
      </w:r>
    </w:p>
    <w:p w:rsidR="00000000" w:rsidRDefault="00000000">
      <w:pPr>
        <w:pStyle w:val="SingleTxt"/>
      </w:pPr>
      <w:r>
        <w:tab/>
        <w:t>La población estonia tiene mayor conciencia acerca de la segregación entre los géneros. El 83% de las mujeres y el 73% de los hombres creen que la posición del hombre en función de su ingreso y las condiciones de su empleo es más elevada que la de la mujer. El 9% de los encuestados consideró que no había diferencias a este respecto.</w:t>
      </w:r>
    </w:p>
    <w:p w:rsidR="00000000" w:rsidRDefault="00000000">
      <w:pPr>
        <w:pStyle w:val="SingleTxt"/>
      </w:pPr>
      <w:r>
        <w:tab/>
        <w:t>Según la encuesta, una de cada dos mujeres y uno de cada cuatro hombres cree que debería mejorar la posición de la mujer. El 75% de los hombres y el 50% de las mujeres tienen una opinión neutra sobre esta cuestión. El 2% no está a favor de ap</w:t>
      </w:r>
      <w:r>
        <w:t>o</w:t>
      </w:r>
      <w:r>
        <w:t>yar a la mujer. El público está decididamente a favor de aumentar la proporción de mujeres en el Parlamento. Al mismo tiempo, la encuesta muestra que a menudo la actitud es más negativa respecto de las mujeres en puestos de liderazgo. La opinión pública desaprueba de las dirigentes mujeres y tiene reservas sobre su capacidad de liderazgo. Impera tanto entre hombres como mujeres la creencia de que las mujeres no son buenas líderes y que no están a la altura de esta labor porque son excesiv</w:t>
      </w:r>
      <w:r>
        <w:t>a</w:t>
      </w:r>
      <w:r>
        <w:t>mente recatadas y emotivas (el 75% de los encuestados). La mayoría de los encue</w:t>
      </w:r>
      <w:r>
        <w:t>s</w:t>
      </w:r>
      <w:r>
        <w:t>tados también estaban convencidos de que los líderes hombres son decididamente mejores pues son más racionales, tienen más confianza en sí mismos y más autor</w:t>
      </w:r>
      <w:r>
        <w:t>i</w:t>
      </w:r>
      <w:r>
        <w:t>dad. Las mujeres no son solidarias entre sí, no apoyan a las dirigentes mujeres ni votan por políticas mujeres.</w:t>
      </w:r>
    </w:p>
    <w:p w:rsidR="00000000" w:rsidRDefault="00000000">
      <w:pPr>
        <w:pStyle w:val="SingleTxt"/>
      </w:pPr>
      <w:r>
        <w:tab/>
        <w:t>No obstante, la predisposición a reducir la desigualdad entre los géneros en el mercado de trabajo es sumamente elevada: del 74% al 91% de los encuestados est</w:t>
      </w:r>
      <w:r>
        <w:t>a</w:t>
      </w:r>
      <w:r>
        <w:t>ban a favor de aplicar distintas medidas (especialmente jurídicas). La predisposición de las mujeres es considerablemente mayor que la de los hombres por cuanto la m</w:t>
      </w:r>
      <w:r>
        <w:t>a</w:t>
      </w:r>
      <w:r>
        <w:t>yoría de las medidas les garantizaría el mismo trato que a los hombres en el merc</w:t>
      </w:r>
      <w:r>
        <w:t>a</w:t>
      </w:r>
      <w:r>
        <w:t>do de tr</w:t>
      </w:r>
      <w:r>
        <w:t>a</w:t>
      </w:r>
      <w:r>
        <w:t>bajo.</w:t>
      </w:r>
    </w:p>
    <w:p w:rsidR="00000000" w:rsidRDefault="00000000">
      <w:pPr>
        <w:pStyle w:val="SingleTxt"/>
      </w:pPr>
      <w:r>
        <w:tab/>
        <w:t>Tanto los hombres como las mujeres estonios comparten la opinión de que hay una distinción clara entre los llamados “empleos de hombres y empleos de mujer”. El 72% de los hombres cree que su trabajo actual es adecuado únicamente para hombres. Las mujeres son menos conservadoras pero también entre ellas el 43% cons</w:t>
      </w:r>
      <w:r>
        <w:t>i</w:t>
      </w:r>
      <w:r>
        <w:t>dera que su trabajo actual es sólo apropiado para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9" w:name="_Toc103503085"/>
      <w:r>
        <w:tab/>
      </w:r>
      <w:r>
        <w:tab/>
        <w:t>Actitud frente a la carrera profesional de los hijos</w:t>
      </w:r>
      <w:bookmarkEnd w:id="29"/>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Según la encuesta correspondiente, tanto la madre como el padre consideran importante la carrera profesional de sus hijos. Los hombres consideran la carrera de los hijos tan importante como la propia, y asignan la misma importancia a la carrera de sus hijas que a la de sus hijos. Las madres atribuyen mucha mayor importancia a la carrera de sus hijos que a la propia y, a diferencia de los hombres, valoran la c</w:t>
      </w:r>
      <w:r>
        <w:t>a</w:t>
      </w:r>
      <w:r>
        <w:t>rrera de los hijos algo más que la de las hijas. Así pues, puede llegarse a la concl</w:t>
      </w:r>
      <w:r>
        <w:t>u</w:t>
      </w:r>
      <w:r>
        <w:t>sión de que en general las familias valoran la carrera profesional y que la proporción de mujeres profesionales aumentará en el futuro.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0" w:name="_Toc103503086"/>
      <w:r>
        <w:tab/>
      </w:r>
      <w:r>
        <w:tab/>
        <w:t>Empleo del tiempo</w:t>
      </w:r>
      <w:bookmarkEnd w:id="30"/>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encuesta sobre el empleo del tiempo realizada en Estonia en 1999-2000 permitió el desglose de tareas remuneradas y no remuneradas de hombres y mujeres en la vida pública y privada. Los resultados demostraron que los hombres estaban agobiados a causa del trabajo remunerado y que las mujeres disponían de escaso tiempo para descanso y pasatiempos o para mejorar su nivel de instrucción.</w:t>
      </w:r>
    </w:p>
    <w:p w:rsidR="00000000" w:rsidRDefault="00000000">
      <w:pPr>
        <w:pStyle w:val="SingleTxt"/>
      </w:pPr>
      <w:r>
        <w:tab/>
        <w:t>El tiempo promedio total trabajado por las mujeres por día (8 horas y 3 min</w:t>
      </w:r>
      <w:r>
        <w:t>u</w:t>
      </w:r>
      <w:r>
        <w:t>tos), excedía en casi una hora el tiempo promedio total trabajado por los hombres (7 horas y 8 minutos). Así pues, aunque en general los hombres realizaban más t</w:t>
      </w:r>
      <w:r>
        <w:t>a</w:t>
      </w:r>
      <w:r>
        <w:t>reas remuneradas, la contribución total del trabajo de las mujeres era considerabl</w:t>
      </w:r>
      <w:r>
        <w:t>e</w:t>
      </w:r>
      <w:r>
        <w:t>mente superior. El principal aspecto de la desigualdad entre los géneros en la vida cotidiana se expresaba en el volumen significativamente mayor de tareas no rem</w:t>
      </w:r>
      <w:r>
        <w:t>u</w:t>
      </w:r>
      <w:r>
        <w:t>neradas de las mujeres, lo cual se traducía en menos tiempo libre, es decir, de de</w:t>
      </w:r>
      <w:r>
        <w:t>s</w:t>
      </w:r>
      <w:r>
        <w:t>canso, e</w:t>
      </w:r>
      <w:r>
        <w:t>n</w:t>
      </w:r>
      <w:r>
        <w:t>tretenimiento, pasatiempos y para mejorar su nivel de instrucción.</w:t>
      </w:r>
    </w:p>
    <w:p w:rsidR="00000000" w:rsidRDefault="00000000">
      <w:pPr>
        <w:pStyle w:val="SingleTxt"/>
        <w:suppressAutoHyphens/>
      </w:pPr>
      <w:r>
        <w:tab/>
        <w:t>La desigualdad era mayor en el grupo de edad de 20 a 34 años, en que el volumen de tareas domésticas de la mujer excedía al de los hombres en 2 horas y 45 minutos.</w:t>
      </w:r>
    </w:p>
    <w:p w:rsidR="00000000" w:rsidRDefault="00000000">
      <w:pPr>
        <w:pStyle w:val="SingleTxt"/>
      </w:pPr>
      <w:r>
        <w:tab/>
        <w:t>Los resultados de la encuesta también demostraron que entre las parejas cas</w:t>
      </w:r>
      <w:r>
        <w:t>a</w:t>
      </w:r>
      <w:r>
        <w:t>das más jóvenes y con mayor nivel de educación las tareas domésticas de rutina se compartían de manera más equitativa entre a</w:t>
      </w:r>
      <w:r>
        <w:t>m</w:t>
      </w:r>
      <w:r>
        <w:t>bos sexos.</w:t>
      </w:r>
    </w:p>
    <w:p w:rsidR="00000000" w:rsidRDefault="00000000">
      <w:pPr>
        <w:pStyle w:val="SingleTxt"/>
      </w:pPr>
      <w:r>
        <w:tab/>
        <w:t>Pueden observarse algunos cambios en la distribución estricta de funciones por género respecto de 1990. La encuesta sociológica paneuropea “Encuesta de valores europeos” realizada en 1999 permite llegar a la conclusión de que en comparación con 1990, las mujeres de Estonia están menos asociadas con el concepto de familia e hijos. Por ejemplo, en respuesta a la pregunta: “¿Es necesario que una mujer tenga hijos para alcanzar la realización personal?”, en 1990 el 84% de los encuestados estonios respondió que las mujeres debían tener hijos, en tanto que diez años más tarde un 67% expresó la misma opinión.</w:t>
      </w:r>
    </w:p>
    <w:p w:rsidR="00000000" w:rsidRDefault="00000000">
      <w:pPr>
        <w:pStyle w:val="SingleTxt"/>
      </w:pPr>
      <w:r>
        <w:tab/>
        <w:t>El empleo materno ya no se considera un obstáculo a la creación de vínculos emocionales con el hijo. Por ejemplo, el número de personas que creen que los n</w:t>
      </w:r>
      <w:r>
        <w:t>i</w:t>
      </w:r>
      <w:r>
        <w:t>ños en edad preescolar sufren en razón de que sus madres trabajan ha disminuido. De hecho, el número de personas que favorecen la situación anterior ha disminuido radicalmente. En 1990 el 89% de las mujeres en Estonia consideraban que aunque tener una carrera era bueno, lo que la mayoría realmente deseaba era tener un hogar e hijos. Diez años más tarde, sólo un 69% era partidario de esa opinión. En 1990, el 51% de la población adulta consideraba que un empleo podía ayudar a una mujer a adquirir mayor independencia, mientras que en 1999 ese porcentaje llegaba al 73%.</w:t>
      </w:r>
    </w:p>
    <w:p w:rsidR="00000000" w:rsidRDefault="00000000">
      <w:pPr>
        <w:pStyle w:val="SingleTxt"/>
      </w:pPr>
      <w:r>
        <w:tab/>
        <w:t>En lo que hace a la adopción de decisiones importantes en la familia, las fam</w:t>
      </w:r>
      <w:r>
        <w:t>i</w:t>
      </w:r>
      <w:r>
        <w:t>lias estonias son relativamente democráticas, y los cónyuges o compañeros toman casi todas las decisiones juntos. En los casos en que uno solo de los miembros de la pareja toma una decisión, puede establecerse una distinción entre las llamadas esf</w:t>
      </w:r>
      <w:r>
        <w:t>e</w:t>
      </w:r>
      <w:r>
        <w:t>ras de competencia de la mujer (crecimiento de la familia, la forma de pasar el tie</w:t>
      </w:r>
      <w:r>
        <w:t>m</w:t>
      </w:r>
      <w:r>
        <w:t>po libre, la educación de los niños, etc.) y las esferas de competencia de los hombres (la asignación de los principales gastos).</w:t>
      </w:r>
    </w:p>
    <w:p w:rsidR="00000000" w:rsidRDefault="00000000">
      <w:pPr>
        <w:pStyle w:val="SingleTxt"/>
      </w:pPr>
      <w:r>
        <w:tab/>
        <w:t>Sobre la base de la encuesta “La mujer, la familia y el empleo”, realizada en 2000 por el Instituto de Estudios Internacionales y Sociales de la Universidad Ped</w:t>
      </w:r>
      <w:r>
        <w:t>a</w:t>
      </w:r>
      <w:r>
        <w:t>gógica de Tallin, puede afirmarse que en la mayoría de las familias con hijos pequ</w:t>
      </w:r>
      <w:r>
        <w:t>e</w:t>
      </w:r>
      <w:r>
        <w:t>ños de Tallin ambos cónyuges toman las decisiones conjuntamente. Las respuestas de las mujeres permiten llegar a la conclusión de que los hombres no tienen la últ</w:t>
      </w:r>
      <w:r>
        <w:t>i</w:t>
      </w:r>
      <w:r>
        <w:t>ma palabra en cuestiones importantes para la familia. Las decisiones sobre los ga</w:t>
      </w:r>
      <w:r>
        <w:t>s</w:t>
      </w:r>
      <w:r>
        <w:t>tos más importantes constituyen el centro de las cuestiones financieras de la familia. Una cuarta parte de las mujeres sostuvo que ellas decidían personalmente este tipo de cuestiones, en tanto que una de cada siete mujeres afirmó que su marido las t</w:t>
      </w:r>
      <w:r>
        <w:t>o</w:t>
      </w:r>
      <w:r>
        <w:t>maba. La mayoría de las mujeres que participaron en la encuesta opinaron que co</w:t>
      </w:r>
      <w:r>
        <w:t>m</w:t>
      </w:r>
      <w:r>
        <w:t>partir las tareas domésticas debería depender de la situación y no de las tradiciones (80%), Más de uno de cada diez encuestados (el 12%) afirmó que las tareas domé</w:t>
      </w:r>
      <w:r>
        <w:t>s</w:t>
      </w:r>
      <w:r>
        <w:t>ticas deberían distribuirse equitativamente ya sea en función del tiempo disponible o del volumen de trabajo.</w:t>
      </w:r>
    </w:p>
    <w:p w:rsidR="00000000" w:rsidRDefault="00000000">
      <w:pPr>
        <w:pStyle w:val="SingleTxt"/>
      </w:pPr>
      <w:r>
        <w:tab/>
        <w:t>Un 8% de mujeres estaba a favor de la opinión tradicional, es decir, que las mujeres deberían hacer trabajos de mujer y los hombres trabajos de hombre. Entre los partidarios de la opinión tradicional había un número algo mayor de mujeres de bajo nivel de educación. La mayoría de las madres de niños en edad preescolar op</w:t>
      </w:r>
      <w:r>
        <w:t>i</w:t>
      </w:r>
      <w:r>
        <w:t>naron que los cónyuges (los progenitores) debían compartir por igual el trabajo tanto en lo que hace al tiempo como al volumen.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1" w:name="_Toc103503087"/>
      <w:r>
        <w:tab/>
      </w:r>
      <w:r>
        <w:tab/>
        <w:t>La importancia de tener un horario de trabajo flexible</w:t>
      </w:r>
      <w:bookmarkEnd w:id="31"/>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Sobre la base de los resultados de la encuesta “La mujer, la familia y el e</w:t>
      </w:r>
      <w:r>
        <w:t>m</w:t>
      </w:r>
      <w:r>
        <w:t>pleo”, puede afirmarse que las mujeres con niños más pequeños tienen una actitud moderna; menos de una cuarta parte de ellas (el 23%) afirman que están dispuestas a seguir siendo amas de casa en caso de disfrutar de una buena posición económica. No obstante, también hay un número relativamente escaso de mujeres (el 15%) que señaló que, aun en caso de una mejora considerable de su situación económica, igualmente desearían trabajar a tiempo completo. Las demás mujeres estaban di</w:t>
      </w:r>
      <w:r>
        <w:t>s</w:t>
      </w:r>
      <w:r>
        <w:t>puestas a seguir trabajando, pero preferirían hacerlo en un horario reducido. Sobre la base de esta encuesta, puede llegarse a la conclusión de que el deseo de perman</w:t>
      </w:r>
      <w:r>
        <w:t>e</w:t>
      </w:r>
      <w:r>
        <w:t>cer en casa o de seguir trabajando no depende fundamentalmente de la edad de la mujer, ni de la edad o el número de los hijos. No obstante, existe una correlación entre el deseo de continuar trabajando y el nivel de educación de la mujer, su cat</w:t>
      </w:r>
      <w:r>
        <w:t>e</w:t>
      </w:r>
      <w:r>
        <w:t>goría profesional y la situación económica de la familia. Entre las mujeres con est</w:t>
      </w:r>
      <w:r>
        <w:t>u</w:t>
      </w:r>
      <w:r>
        <w:t>dios superiores, en comparación con las mujeres que cursaron estudios secundarios, hay muchas que más que continuarían trabajando aun si la situación económica de la familia les permitiera quedarse en casa. Al parecer, la inversión en educación y las actitudes adquiridas por medio de la educación permiten a las mujeres con estudios superiores ver el trabajo en un contexto más amplio que una simple forma de gana</w:t>
      </w:r>
      <w:r>
        <w:t>r</w:t>
      </w:r>
      <w:r>
        <w:t>se la vida.</w:t>
      </w:r>
    </w:p>
    <w:p w:rsidR="00000000" w:rsidRDefault="00000000">
      <w:pPr>
        <w:pStyle w:val="SingleTxt"/>
      </w:pPr>
      <w:r>
        <w:tab/>
        <w:t>Durante el año en que se realizó la encuesta, las madres tenían derecho a 56 días de licencia de maternidad después del alumbramiento, y con posterioridad a ello podían también tomar licencia de los padres hasta que el niño cumpliera los tres años. Apenas algo más de la tercera parte de las mujeres que participó en la encuesta (el 36%) se valió de la posibilidad de permanecer en casa hasta que el niño cumpli</w:t>
      </w:r>
      <w:r>
        <w:t>e</w:t>
      </w:r>
      <w:r>
        <w:t>ra los tres años, y casi una quinta parte (el 18%) había retomado su trabajo antes de que el niño cumpliera el primer año. Las mujeres jóvenes menores de treinta años y en la mayoría de los casos con estudios superiores consideraban necesario regresar a su trabajo, y también encontraban la forma de hacerlo, con mayor frecuencia que las mujeres mayores de treinta años o con estudios secundarios únicamente. Otro factor importante era el cargo profesional de las mujeres. Casi una cuarta parte (el 24%) de las mujeres que ocupaban cargos ejecutivos y especialistas habían regresado a su trabajo antes de que el niño cumpliera un año, y entre las mujeres empleadas en el sector privado el porcentaje era del 33% , en tanto que en el sector de los servicios y entre las trabajadoras manuales era del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2" w:name="_Toc103503088"/>
      <w:r>
        <w:tab/>
      </w:r>
      <w:r>
        <w:tab/>
        <w:t xml:space="preserve">Actitudes frente a las funciones de los </w:t>
      </w:r>
      <w:bookmarkEnd w:id="32"/>
      <w:r>
        <w:t>progenitores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empleadores estonios suelen tener un concepto estereotipado de la mujer, a la que consideran principalmente en su función materna, actitud ésta que no se e</w:t>
      </w:r>
      <w:r>
        <w:t>x</w:t>
      </w:r>
      <w:r>
        <w:t>tiende a los hombres. Esto, empero, tiene consecuencias negativas para ambos gén</w:t>
      </w:r>
      <w:r>
        <w:t>e</w:t>
      </w:r>
      <w:r>
        <w:t>ros. La discriminación en razón del género en el mercado de trabajo suele guardar relación con la condición más “vulnerable” de la mujer ya durante la fase de bú</w:t>
      </w:r>
      <w:r>
        <w:t>s</w:t>
      </w:r>
      <w:r>
        <w:t>queda de empleo, por cuanto los empleadores suelen atribuir importancia excesiva a aspectos no relacionados con las obligaciones laborales del empleado. La existencia de una familia e hijos a menudo se asocia con la función tradicional de la mujer en el hogar y los empleadores temen que podrían surgir problemas cuando la mujer procure conciliar su vida familiar con su trabajo. Este tipo de actitud hace que las mujeres con hijos pequeños frecuentemente sientan que al competir por mejores puestos los niños son un obstáculo para su acceso al empleo y al ascenso. En este contexto, puede hablarse de un claro conflicto en relación con las expectativas de género en Estonia. Los dilemas a que hace frente la mujer al procurar conciliar su papel en la familia con el del trabajo se han analizado en forma más pormenorizada, mientras que problemas semejantes entre los hombres no han sido objeto de un e</w:t>
      </w:r>
      <w:r>
        <w:t>s</w:t>
      </w:r>
      <w:r>
        <w:t>tudio tan det</w:t>
      </w:r>
      <w:r>
        <w:t>e</w:t>
      </w:r>
      <w:r>
        <w:t>nido.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3" w:name="_Toc103503089"/>
      <w:r>
        <w:tab/>
      </w:r>
      <w:r>
        <w:tab/>
        <w:t>El papel de los medios, las instituciones estatales y las organizaciones no gubernamentales</w:t>
      </w:r>
      <w:bookmarkEnd w:id="33"/>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medios cumplen una función importante en la reformulación y el fortal</w:t>
      </w:r>
      <w:r>
        <w:t>e</w:t>
      </w:r>
      <w:r>
        <w:t>cimiento de los estereotipos basados en el género, así como en la formación de nu</w:t>
      </w:r>
      <w:r>
        <w:t>e</w:t>
      </w:r>
      <w:r>
        <w:t>vas actitudes.</w:t>
      </w:r>
    </w:p>
    <w:p w:rsidR="00000000" w:rsidRDefault="00000000">
      <w:pPr>
        <w:pStyle w:val="SingleTxt"/>
      </w:pPr>
      <w:r>
        <w:tab/>
        <w:t>Aunque en Estonia hay muchas periodistas mujeres en los medios, pocas oc</w:t>
      </w:r>
      <w:r>
        <w:t>u</w:t>
      </w:r>
      <w:r>
        <w:t>pan puestos ejecutivos. Por lo general, las revistas que se ocupan de la mujer, la s</w:t>
      </w:r>
      <w:r>
        <w:t>a</w:t>
      </w:r>
      <w:r>
        <w:t>lud y la familia tienen una directora, a diferencia de los diarios y periódicos naci</w:t>
      </w:r>
      <w:r>
        <w:t>o</w:t>
      </w:r>
      <w:r>
        <w:t>nales. En Estonia las revistas de actualidad y las revistas de mujeres suelen prese</w:t>
      </w:r>
      <w:r>
        <w:t>n</w:t>
      </w:r>
      <w:r>
        <w:t>tar a la mujer y al hombre desde una perspectiva sumamente estereotipada y, por cons</w:t>
      </w:r>
      <w:r>
        <w:t>i</w:t>
      </w:r>
      <w:r>
        <w:t>guiente, fortalecen y reformulan las funciones tradicionales de los géneros.</w:t>
      </w:r>
    </w:p>
    <w:p w:rsidR="00000000" w:rsidRDefault="00000000">
      <w:pPr>
        <w:pStyle w:val="SingleTxt"/>
      </w:pPr>
      <w:r>
        <w:tab/>
        <w:t>La encuesta sobre las noticias que difunden los medios realizada por la Un</w:t>
      </w:r>
      <w:r>
        <w:t>i</w:t>
      </w:r>
      <w:r>
        <w:t>versidad de Tartu en 2000 demostró que la proporción de mujeres que ocupan un l</w:t>
      </w:r>
      <w:r>
        <w:t>u</w:t>
      </w:r>
      <w:r>
        <w:t>gar central en todos los medios de comunicación en Estonia fue del 28%. En 2002-2004 se analizó la forma en que se presentaba a la mujer en la televisión y se prep</w:t>
      </w:r>
      <w:r>
        <w:t>a</w:t>
      </w:r>
      <w:r>
        <w:t>ró material de estudio para periodistas en el que se señalaban los estereotipos y la manipulación de la prensa en la presentación de las mujeres como representantes de un grupo y no como personas.</w:t>
      </w:r>
    </w:p>
    <w:p w:rsidR="00000000" w:rsidRDefault="00000000">
      <w:pPr>
        <w:pStyle w:val="SingleTxt"/>
      </w:pPr>
      <w:r>
        <w:tab/>
        <w:t>En 2002 se realizó un estudio sobre la mujer en la televisión. Éste reveló que en una medición de 55 horas de televisión, las mujeres hablaban un 33% del tiempo y los hombres un 67%. Correspondía a las mujeres sólo el 20% de lo dicho en la t</w:t>
      </w:r>
      <w:r>
        <w:t>e</w:t>
      </w:r>
      <w:r>
        <w:t>levisión, pues sus expresiones eran más breves que las de los hombres. Se daba a las mujeres la oportunidad de hablar principalmente como ciudadanas comunes y c</w:t>
      </w:r>
      <w:r>
        <w:t>o</w:t>
      </w:r>
      <w:r>
        <w:t>rrientes, y no como expertas o dirigentes de la opinión pública.</w:t>
      </w:r>
    </w:p>
    <w:p w:rsidR="00000000" w:rsidRDefault="00000000">
      <w:pPr>
        <w:pStyle w:val="SingleTxt"/>
      </w:pPr>
      <w:r>
        <w:tab/>
        <w:t>Durante el período que se está examinando, se han escrito alrededor de una docena de tesis de licenciaturas y maestrías en las que se analiza la forma en que los medios crean un entorno propicio para las opiniones y actitudes prejuiciosas y est</w:t>
      </w:r>
      <w:r>
        <w:t>e</w:t>
      </w:r>
      <w:r>
        <w:t>reotipadas. Las funciones impuestas por los medios para cada género, principa</w:t>
      </w:r>
      <w:r>
        <w:t>l</w:t>
      </w:r>
      <w:r>
        <w:t>mente por medio de la publicidad, limitan la libertad de elección y llevan a las m</w:t>
      </w:r>
      <w:r>
        <w:t>u</w:t>
      </w:r>
      <w:r>
        <w:t>chachas j</w:t>
      </w:r>
      <w:r>
        <w:t>ó</w:t>
      </w:r>
      <w:r>
        <w:t>venes a considerarse objetos sexuales.</w:t>
      </w:r>
    </w:p>
    <w:p w:rsidR="00000000" w:rsidRDefault="00000000">
      <w:pPr>
        <w:pStyle w:val="SingleTxt"/>
      </w:pPr>
      <w:r>
        <w:tab/>
        <w:t>A fin de reconocer el problema y capacitar a los periodistas, Estonia participa en un proyecto internacional, “El papel de los medios en la (re)distribución del p</w:t>
      </w:r>
      <w:r>
        <w:t>o</w:t>
      </w:r>
      <w:r>
        <w:t>der”, financiado con cargo al programa marco sobre la igualdad entre los géneros de la Unión Europea. El proyecto examina la forma en que los medios representan a las políticas mujeres y el papel de éstas en la sociedad. Asimismo, se organizan semin</w:t>
      </w:r>
      <w:r>
        <w:t>a</w:t>
      </w:r>
      <w:r>
        <w:t>rios para periodistas, políticos y directores de relaciones públicas.</w:t>
      </w:r>
    </w:p>
    <w:p w:rsidR="00000000" w:rsidRDefault="00000000">
      <w:pPr>
        <w:pStyle w:val="SingleTxt"/>
      </w:pPr>
      <w:r>
        <w:tab/>
        <w:t>Muchas de las actividades de las instituciones estatales (el Ministerio de Asuntos Sociales, el Canciller de Justicia), así como organizaciones no gubern</w:t>
      </w:r>
      <w:r>
        <w:t>a</w:t>
      </w:r>
      <w:r>
        <w:t>mentales, como el Centro de Estudios y Recursos sobre la Mujer de Estonia, el Centro de Capacitación para la Mujer y el Centro de Capacitación Cívica se han orientado al aumento de la concienciación sobre los problemas de la desigualdad y la forma de cambiar los estereotipos y las actitudes sobre género. La participación activa de las organizaciones de mujeres en el plano local también ha contribuido a un aumento de la concienciación.</w:t>
      </w:r>
    </w:p>
    <w:p w:rsidR="00000000" w:rsidRDefault="00000000">
      <w:pPr>
        <w:pStyle w:val="SingleTxt"/>
      </w:pPr>
      <w:r>
        <w:tab/>
        <w:t>El Comité alentó la elaboración de programas educacionales integrales que cambiaran los estereotipos tradicionales de género en la familia, el trabajo, la polít</w:t>
      </w:r>
      <w:r>
        <w:t>i</w:t>
      </w:r>
      <w:r>
        <w:t>ca y la sociedad en general. Estonia aún debe aplicar cabalmente esta recomend</w:t>
      </w:r>
      <w:r>
        <w:t>a</w:t>
      </w:r>
      <w:r>
        <w:t>ción, pero se ha reconocido el problema.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b)</w:t>
      </w:r>
      <w:r>
        <w:rPr>
          <w:i/>
        </w:rPr>
        <w:tab/>
        <w:t>Garantizar que la educación familiar incluya una comprensión adecuada de la maternidad como función social y el reconocimiento de la responsabilidad común de hombres y mujeres en cuanto a la educación y al desarrollo de sus hijos, en la inteligencia de que el interés de los hijos constituirá la consideración primo</w:t>
      </w:r>
      <w:r>
        <w:rPr>
          <w:i/>
        </w:rPr>
        <w:t>r</w:t>
      </w:r>
      <w:r>
        <w:rPr>
          <w:i/>
        </w:rPr>
        <w:t>dial en todos los casos.</w:t>
      </w:r>
    </w:p>
    <w:p w:rsidR="00000000" w:rsidRDefault="00000000">
      <w:pPr>
        <w:pStyle w:val="SingleTxt"/>
        <w:spacing w:after="0" w:line="120" w:lineRule="exact"/>
        <w:rPr>
          <w:b/>
          <w:i/>
          <w:sz w:val="10"/>
          <w:u w:val="single"/>
        </w:rPr>
      </w:pPr>
      <w:bookmarkStart w:id="34" w:name="_Toc103503090"/>
    </w:p>
    <w:p w:rsidR="00000000" w:rsidRDefault="00000000">
      <w:pPr>
        <w:pStyle w:val="SingleTxt"/>
        <w:spacing w:after="0" w:line="120" w:lineRule="exact"/>
        <w:rPr>
          <w:b/>
          <w:i/>
          <w:sz w:val="10"/>
          <w:u w:val="single"/>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Apoyo financiero del Estado</w:t>
      </w:r>
      <w:bookmarkEnd w:id="34"/>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1º de enero de 2004 entró en vigor la Ley de subsidio parental. La finalidad de esa ley es compensar a un progenitor por la pérdida de ingresos derivada del cu</w:t>
      </w:r>
      <w:r>
        <w:t>i</w:t>
      </w:r>
      <w:r>
        <w:t>dado de un hijo pequeño y conciliar la vida laboral con la vida familiar. Un prog</w:t>
      </w:r>
      <w:r>
        <w:t>e</w:t>
      </w:r>
      <w:r>
        <w:t>nitor que goza de licencia parental puede recibir el subsidio parental hasta que el n</w:t>
      </w:r>
      <w:r>
        <w:t>i</w:t>
      </w:r>
      <w:r>
        <w:t>ño cumple los 11 meses, y a partir de ese momento recibe la prestación por cuidado del hijo hasta que el niño tiene tres años.</w:t>
      </w:r>
    </w:p>
    <w:p w:rsidR="00000000" w:rsidRDefault="00000000">
      <w:pPr>
        <w:pStyle w:val="SingleTxt"/>
      </w:pPr>
      <w:r>
        <w:tab/>
        <w:t>La suma percibida como subsidio parental se calcula sobre la base del ingreso al que se aplicaba el impuesto social y se percibió durante el año civil previo a la f</w:t>
      </w:r>
      <w:r>
        <w:t>e</w:t>
      </w:r>
      <w:r>
        <w:t>cha en que se adquirió el derecho a percibir la prestación. Los progenitores que no estaban trabajando perciben la suma del subsidio parental estatal (en 2004 era de 2.200 coronas est</w:t>
      </w:r>
      <w:r>
        <w:t>o</w:t>
      </w:r>
      <w:r>
        <w:t>nias por 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5" w:name="_Toc103503091"/>
      <w:r>
        <w:tab/>
      </w:r>
      <w:r>
        <w:tab/>
        <w:t>Conciliación del trabajo con la vida familiar</w:t>
      </w:r>
      <w:bookmarkEnd w:id="35"/>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ab/>
        <w:t>En 2001 se realizó un estudio encomendado por la Oficina del Ministro de Asuntos de Población titulado “Familias con hijos y política nacional de familia: los problemas de conciliar la vida profesional con la familiar y su relación con el co</w:t>
      </w:r>
      <w:r>
        <w:t>m</w:t>
      </w:r>
      <w:r>
        <w:t>portamiento demográfico de la población”. El estudio estuvo a cargo de investigad</w:t>
      </w:r>
      <w:r>
        <w:t>o</w:t>
      </w:r>
      <w:r>
        <w:t>res del Instituto de Estudios Internacionales y Sociales de la Universidad Pedagóg</w:t>
      </w:r>
      <w:r>
        <w:t>i</w:t>
      </w:r>
      <w:r>
        <w:t xml:space="preserve">ca de Tallin y se centró en la situación de mujeres con hijos menores de diez años en </w:t>
      </w:r>
      <w:r>
        <w:rPr>
          <w:spacing w:val="2"/>
          <w:w w:val="101"/>
        </w:rPr>
        <w:t>Tallin en relación con el mercado de trabajo y los obstáculos más frecuentes que imp</w:t>
      </w:r>
      <w:r>
        <w:rPr>
          <w:spacing w:val="2"/>
          <w:w w:val="101"/>
        </w:rPr>
        <w:t>e</w:t>
      </w:r>
      <w:r>
        <w:rPr>
          <w:spacing w:val="2"/>
          <w:w w:val="101"/>
        </w:rPr>
        <w:t>dían la conciliación de la vida familiar con el trabajo. Por primera vez se planteó en una escala amplia la dificultad de conciliar el trabajo con la vida familiar en E</w:t>
      </w:r>
      <w:r>
        <w:rPr>
          <w:spacing w:val="2"/>
          <w:w w:val="101"/>
        </w:rPr>
        <w:t>s</w:t>
      </w:r>
      <w:r>
        <w:rPr>
          <w:spacing w:val="2"/>
          <w:w w:val="101"/>
        </w:rPr>
        <w:t>tonia.</w:t>
      </w:r>
    </w:p>
    <w:p w:rsidR="00000000" w:rsidRDefault="00000000">
      <w:pPr>
        <w:pStyle w:val="SingleTxt"/>
      </w:pPr>
      <w:r>
        <w:tab/>
        <w:t>El Comité también expresó su preocupación respecto de la situación de las mujeres jóvenes que hacen frente a las dificultades del mercado de trabajo en razón de las obligaciones domésticas y familiares que se les impone.</w:t>
      </w:r>
    </w:p>
    <w:p w:rsidR="00000000" w:rsidRDefault="00000000">
      <w:pPr>
        <w:pStyle w:val="SingleTxt"/>
        <w:spacing w:after="0" w:line="120" w:lineRule="exact"/>
        <w:rPr>
          <w:b/>
          <w:i/>
          <w:sz w:val="10"/>
          <w:u w:val="single"/>
        </w:rPr>
      </w:pPr>
      <w:bookmarkStart w:id="36" w:name="_Toc103503092"/>
    </w:p>
    <w:p w:rsidR="00000000" w:rsidRDefault="00000000">
      <w:pPr>
        <w:pStyle w:val="SingleTxt"/>
        <w:spacing w:after="0" w:line="120" w:lineRule="exact"/>
        <w:rPr>
          <w:b/>
          <w:i/>
          <w:sz w:val="10"/>
          <w:u w:val="single"/>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papel de los p</w:t>
      </w:r>
      <w:bookmarkEnd w:id="36"/>
      <w:r>
        <w:t>rogenitores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Uno de los cambios más notables del último decenio ha sido la posibilidad del parto con participación de la familia, y el cambio de actitud a este respecto. Mie</w:t>
      </w:r>
      <w:r>
        <w:t>n</w:t>
      </w:r>
      <w:r>
        <w:t>tras que en 1992 la proporción de los partos con participación de la familia const</w:t>
      </w:r>
      <w:r>
        <w:t>i</w:t>
      </w:r>
      <w:r>
        <w:t>tuía el 12,6% de todos los partos, en 2002 la proporción ya era del 60,3% (según los regi</w:t>
      </w:r>
      <w:r>
        <w:t>s</w:t>
      </w:r>
      <w:r>
        <w:t>tros médicos de nacimientos de Estonia).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7" w:name="_Toc103503093"/>
      <w:r>
        <w:tab/>
      </w:r>
      <w:r>
        <w:tab/>
        <w:t>El tiempo dedicado a los hijos</w:t>
      </w:r>
      <w:bookmarkEnd w:id="37"/>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período 1993-2003 las madres y los padres calcularon de distinta forma el tiempo dedicado a los hijos. Para 2003 se duplicó el número de hombres que co</w:t>
      </w:r>
      <w:r>
        <w:t>n</w:t>
      </w:r>
      <w:r>
        <w:t>sideraban haber pasado suficiente tiempo con sus hijos. En 1993 y 1998 sólo el 10% de los hombres consideraban que habían pasado suficiente tiempo con sus hijos, mientras que en 2003 este porcentaje se había duplicado. Pudo observarse la misma tendencia entre las madres. Según los estudios de 1993 y 1998, el 25% de las muj</w:t>
      </w:r>
      <w:r>
        <w:t>e</w:t>
      </w:r>
      <w:r>
        <w:t>res estaban satisfechas con el tiempo que pasaban con sus hijos, en tanto que en 2003 la proporción ya ascendía al 42%.</w:t>
      </w:r>
    </w:p>
    <w:p w:rsidR="00000000" w:rsidRDefault="00000000">
      <w:pPr>
        <w:pStyle w:val="SingleTxt"/>
        <w:suppressAutoHyphens/>
      </w:pPr>
      <w:r>
        <w:tab/>
        <w:t>No obstante, todavía hay una elevada proporción de hombres (50%) que sienten que no han pasado el tiempo necesario con sus hijos (Instituto de Estudios Internacionales y Sociales de la Universidad Pedagógica de Tallin, encuestas “Estonia 93”, “E</w:t>
      </w:r>
      <w:r>
        <w:t>s</w:t>
      </w:r>
      <w:r>
        <w:t>tonia 98” y “Estonia 2003”).</w:t>
      </w:r>
    </w:p>
    <w:p w:rsidR="00000000" w:rsidRDefault="00000000">
      <w:pPr>
        <w:pStyle w:val="SingleTxt"/>
      </w:pPr>
      <w:r>
        <w:tab/>
        <w:t>Puede afirmarse que el número de padres en la sociedad que dedican la misma cantidad de tiempo que las madres al cuidado de los hijos (y que están dispuestos a h</w:t>
      </w:r>
      <w:r>
        <w:t>a</w:t>
      </w:r>
      <w:r>
        <w:t>cerlo) está aumentando.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8" w:name="_Toc103503094"/>
      <w:r>
        <w:tab/>
      </w:r>
      <w:r>
        <w:tab/>
        <w:t>La situación de los progenitores sin pareja</w:t>
      </w:r>
      <w:bookmarkEnd w:id="38"/>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mujeres constituyen la mayoría de los progenitores sin pareja; sólo el 1% de los progenitores sin pareja son hombres.</w:t>
      </w:r>
    </w:p>
    <w:p w:rsidR="00000000" w:rsidRDefault="00000000">
      <w:pPr>
        <w:pStyle w:val="SingleTxt"/>
      </w:pPr>
      <w:r>
        <w:tab/>
        <w:t>Las principales dificultades económicas de las madres sin pareja son el resu</w:t>
      </w:r>
      <w:r>
        <w:t>l</w:t>
      </w:r>
      <w:r>
        <w:t>tado de que el apoyo del padre no es suficiente. El 11% de las madres sin pareja y el 40% de las divorciadas o separadas recibían ayuda financiera del padre. El 75% de las m</w:t>
      </w:r>
      <w:r>
        <w:t>a</w:t>
      </w:r>
      <w:r>
        <w:t>dres sin pareja recibían ayuda de parientes.</w:t>
      </w:r>
    </w:p>
    <w:p w:rsidR="00000000" w:rsidRDefault="00000000">
      <w:pPr>
        <w:pStyle w:val="SingleTxt"/>
      </w:pPr>
      <w:r>
        <w:tab/>
        <w:t>Tras el divorcio el nivel de vida de las madres sin pareja se deteriora y cambia su red social. Las malas relaciones entre los progenitores, la falta de un padre o las reuniones poco frecuentes con el padre pueden crear en el hijo una visión deformada del papel del padre en la familia.</w:t>
      </w:r>
    </w:p>
    <w:p w:rsidR="00000000" w:rsidRDefault="00000000">
      <w:pPr>
        <w:pStyle w:val="SingleTxt"/>
      </w:pPr>
      <w:r>
        <w:tab/>
        <w:t>En 2003 la Fundación Niños Estonios organizó la campaña “Un niño necesita un padre”, que tiene por objeto informar al público acerca de la importancia de una figura paterna, el papel del padre y alentar a los padres a establecer una relación con los hijos.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9" w:name="_Toc103503095"/>
      <w:r>
        <w:tab/>
      </w:r>
      <w:r>
        <w:tab/>
        <w:t>Política de Estado sobre la familia</w:t>
      </w:r>
      <w:bookmarkEnd w:id="39"/>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familia basada en el matrimonio tradicional inscripto en el registro civil está perdiendo popularidad en Estonia. Cada vez más parejas deciden no registrar oficialmente su relación, aun en los casos en que ti</w:t>
      </w:r>
      <w:r>
        <w:t>e</w:t>
      </w:r>
      <w:r>
        <w:t>nen hijos.</w:t>
      </w:r>
    </w:p>
    <w:p w:rsidR="00000000" w:rsidRDefault="00000000">
      <w:pPr>
        <w:pStyle w:val="SingleTxt"/>
      </w:pPr>
      <w:r>
        <w:tab/>
        <w:t>Según los estudios del Instituto de Estudios Internacionales y Sociales de la Universidad Pedagógica de Tallin está aumentando el número de uniones conse</w:t>
      </w:r>
      <w:r>
        <w:t>n</w:t>
      </w:r>
      <w:r>
        <w:t>suales. En 1993, este tipo de uniones representaba el 24% de todas las uniones en el grupo de edad de 18 a 24 años, y en 2003 su proporción había aumentado al 79%.</w:t>
      </w:r>
    </w:p>
    <w:p w:rsidR="00000000" w:rsidRDefault="00000000">
      <w:pPr>
        <w:pStyle w:val="SingleTxt"/>
      </w:pPr>
      <w:r>
        <w:tab/>
        <w:t>El modelo de familia tradicional suele ser elegido con mayor frecuencia por extranjeros. Aunque suele considerarse que la población de las zonas rurales cultiva valores familiares más tradicionales, la proporción de concubinatos entre los hab</w:t>
      </w:r>
      <w:r>
        <w:t>i</w:t>
      </w:r>
      <w:r>
        <w:t>tantes de zonas rurales es más el</w:t>
      </w:r>
      <w:r>
        <w:t>e</w:t>
      </w:r>
      <w:r>
        <w:t>vada que entre los habitantes de zonas urbanas.</w:t>
      </w:r>
    </w:p>
    <w:p w:rsidR="00000000" w:rsidRDefault="00000000">
      <w:pPr>
        <w:pStyle w:val="SingleTxt"/>
      </w:pPr>
      <w:r>
        <w:tab/>
        <w:t>Según la concepción de la política sobre el niño y la familia estonios, la polít</w:t>
      </w:r>
      <w:r>
        <w:t>i</w:t>
      </w:r>
      <w:r>
        <w:t>ca sobre la familia cumple principalmente los siguientes objetivos: a) mejorar la c</w:t>
      </w:r>
      <w:r>
        <w:t>a</w:t>
      </w:r>
      <w:r>
        <w:t>lidad de vida de los niños y las familias con hijos, b) apoyar la conciliación de la v</w:t>
      </w:r>
      <w:r>
        <w:t>i</w:t>
      </w:r>
      <w:r>
        <w:t>da f</w:t>
      </w:r>
      <w:r>
        <w:t>a</w:t>
      </w:r>
      <w:r>
        <w:t>miliar con el trabajo, y c) valorizar el cuidado de los hijos.</w:t>
      </w:r>
    </w:p>
    <w:p w:rsidR="00000000" w:rsidRDefault="00000000">
      <w:pPr>
        <w:pStyle w:val="SingleTxt"/>
        <w:spacing w:after="0" w:line="120" w:lineRule="exact"/>
        <w:rPr>
          <w:b/>
          <w:sz w:val="10"/>
        </w:rPr>
      </w:pPr>
      <w:bookmarkStart w:id="40" w:name="_Toc103503096"/>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Bienestar financiero de la fa</w:t>
      </w:r>
      <w:bookmarkEnd w:id="40"/>
      <w:r>
        <w:t>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Según las encuestas sobre el nivel de vida de 2002, los menores ingresos y gastos por miembro de una familia se registraban entre las familias de tres o más hijos y las familias monoparentales. Esto obedece a la relación desfavorable entre los trabajadores remunerados y el número de personas a cargo. El ingreso de un progenitor sin pareja equivale aproximadamente al 84% del ingreso medio de un integrante de una familia en Estonia. El ingreso per cápita entre las familias de tres o más hijos repr</w:t>
      </w:r>
      <w:r>
        <w:t>e</w:t>
      </w:r>
      <w:r>
        <w:t>senta el 81% del ingreso medio en Estonia.</w:t>
      </w:r>
    </w:p>
    <w:p w:rsidR="00000000" w:rsidRDefault="00000000">
      <w:pPr>
        <w:pStyle w:val="SingleTxt"/>
      </w:pPr>
      <w:r>
        <w:tab/>
        <w:t>Según el estudio de 2003 sobre prestaciones de subsistencia, además de las personas desempleadas, las familias con hijos eran las que habían recibido estas prestaciones de subsistencia durante el período más prolongado. Las familias con hijos constituían el 39% de todas las solicitudes de prestaciones de subsistencia otorgadas. El número de solicitudes de familias de un progenitor sin pareja excedía en un 25% el número de solicitudes de todas las familias con hijos. El 17,4% de las solicitudes provenían de familias de tres o más hijos. La proporción de familias con muchos hijos, así como de familias monoparentales entre los beneficiarios de las prestaci</w:t>
      </w:r>
      <w:r>
        <w:t>o</w:t>
      </w:r>
      <w:r>
        <w:t>nes de subsistencia ha ido aumentando a lo largo de los años.</w:t>
      </w:r>
    </w:p>
    <w:p w:rsidR="00000000" w:rsidRDefault="00000000">
      <w:pPr>
        <w:pStyle w:val="SingleTxt"/>
        <w:rPr>
          <w:spacing w:val="2"/>
          <w:w w:val="101"/>
        </w:rPr>
      </w:pPr>
      <w:r>
        <w:tab/>
        <w:t>El Comité sugirió que se ejecutaran programas eficaces para reducir la pobr</w:t>
      </w:r>
      <w:r>
        <w:t>e</w:t>
      </w:r>
      <w:r>
        <w:t xml:space="preserve">za. En Estonia se ha formulado un plan de participación social encaminado a reducir la pobreza. El problema de la reducción de la pobreza se ha abordado, por ejemplo, </w:t>
      </w:r>
      <w:r>
        <w:rPr>
          <w:spacing w:val="2"/>
          <w:w w:val="101"/>
        </w:rPr>
        <w:t>mediante la institución de un salario parental, la reducción del impuesto sobre la renta, el aumento del ingreso mínimo no imponible, la indexación de las pensiones, etc.</w:t>
      </w: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6</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ab/>
        <w:t>Los Estados partes tomarán todas las medidas apropiadas, incluso de carácter legislativo, para suprimir todas las formas de trata de mujeres y explotación de la prost</w:t>
      </w:r>
      <w:r>
        <w:rPr>
          <w:i/>
        </w:rPr>
        <w:t>i</w:t>
      </w:r>
      <w:r>
        <w:rPr>
          <w:i/>
        </w:rPr>
        <w:t>tución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legislativas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Aunque Estonia no dispone de leyes especiales contra la trata de personas, v</w:t>
      </w:r>
      <w:r>
        <w:t>a</w:t>
      </w:r>
      <w:r>
        <w:t>rias disposiciones del Código Penal tipifican esta actividad como delito. Las s</w:t>
      </w:r>
      <w:r>
        <w:t>i</w:t>
      </w:r>
      <w:r>
        <w:t>guientes disposiciones del Código Penal son pertinentes.</w:t>
      </w:r>
    </w:p>
    <w:p w:rsidR="00000000" w:rsidRDefault="00000000">
      <w:pPr>
        <w:pStyle w:val="SingleTxt"/>
      </w:pPr>
      <w:r>
        <w:tab/>
        <w:t>Esclavizar a una persona significa llevarla, por medio de la violencia o el e</w:t>
      </w:r>
      <w:r>
        <w:t>n</w:t>
      </w:r>
      <w:r>
        <w:t>gaño, a una situación en la que se la obliga a trabajar o llevar a cabo actividades en contra de su voluntad en beneficio de otra persona, o mantenerla en esta situación. Esclavizar conlleva una sanción de uno a cinco años de cárcel. El mismo delito contra dos o más personas, o contra una persona menor de 18 años, conlleva una sanción de 3 a 12 años de cárcel (artículo 133).</w:t>
      </w:r>
    </w:p>
    <w:p w:rsidR="00000000" w:rsidRDefault="00000000">
      <w:pPr>
        <w:pStyle w:val="SingleTxt"/>
      </w:pPr>
      <w:r>
        <w:tab/>
        <w:t>Este delito incluye la esclavitud en el sentido clásico (mantener a una persona en estado de esclavitud para beneficiarse de los frutos de su trabajo) así como actos similares a la esclavitud, como la servidumbre por deudas, obtener beneficios ec</w:t>
      </w:r>
      <w:r>
        <w:t>o</w:t>
      </w:r>
      <w:r>
        <w:t>nómicos obligando a una persona a prostituirse, etc.</w:t>
      </w:r>
    </w:p>
    <w:p w:rsidR="00000000" w:rsidRDefault="00000000">
      <w:pPr>
        <w:pStyle w:val="SingleTxt"/>
      </w:pPr>
      <w:r>
        <w:tab/>
        <w:t>Llevar a una persona, por medio de la violencia o el engaño, a una situación en la que puede ser objeto de persecución o humillación en razón del género o la raza o por otros motivos, o dejarla en esa situación, y que esta persona no esté protegida jurídicamente contra este trato y no tenga la posibilidad de salir de esta situación, se sanciona con una multa o hasta cinco años de cárcel. El mismo delito, contra dos o más personas, o contra una persona menor de 18 años, conlleva una sanción de 2 a 10 años de cárcel (artículo 134).</w:t>
      </w:r>
    </w:p>
    <w:p w:rsidR="00000000" w:rsidRDefault="00000000">
      <w:pPr>
        <w:pStyle w:val="SingleTxt"/>
      </w:pPr>
      <w:r>
        <w:tab/>
        <w:t>Privar a otra persona de su libertad se sanciona con una multa o hasta cinco años de cárcel. El mismo delito cometido contra una persona menor de 18 años co</w:t>
      </w:r>
      <w:r>
        <w:t>n</w:t>
      </w:r>
      <w:r>
        <w:t>lleva una sanción de uno a cinco años de cárcel (artículo 136).</w:t>
      </w:r>
    </w:p>
    <w:p w:rsidR="00000000" w:rsidRDefault="00000000">
      <w:pPr>
        <w:pStyle w:val="SingleTxt"/>
      </w:pPr>
      <w:r>
        <w:tab/>
        <w:t>Todas las formas de inducir a una persona a prostituirse y de proxenetismo constit</w:t>
      </w:r>
      <w:r>
        <w:t>u</w:t>
      </w:r>
      <w:r>
        <w:t>yen un delito en Estonia y pueden ser sancionados como tales.</w:t>
      </w:r>
    </w:p>
    <w:p w:rsidR="00000000" w:rsidRDefault="00000000">
      <w:pPr>
        <w:pStyle w:val="SingleTxt"/>
      </w:pPr>
      <w:r>
        <w:tab/>
        <w:t>El acto de inducir a una persona menor de 18 años por medio de incentivos, amenazas u otros medios a que ejerza o continúe ejerciendo la prostitución, sin que este acto contenga los elementos que caracterizan el delito descrito en los artículos 133 y 134 del Código Penal, se sanciona con una multa o hasta tres años de cárcel (artículo 175).</w:t>
      </w:r>
    </w:p>
    <w:p w:rsidR="00000000" w:rsidRDefault="00000000">
      <w:pPr>
        <w:pStyle w:val="SingleTxt"/>
        <w:suppressAutoHyphens/>
      </w:pPr>
      <w:r>
        <w:tab/>
        <w:t>Favorecer la prostitución de una persona menor de 18 años intermediando, facilitando locales o de cualquier otra manera se sanciona con una multa o hasta cinco años de cárcel. El mismo acto llevado a cabo por una persona jurídica se sanciona con una multa (artículo 176). Además, el tribunal puede imponer un castigo adicional por el cual el infractor debe pagar una multa equivalente al valor de todos sus bienes (artículo 176). Si un tribunal condena a una persona que ha cometido un delito a más de tres años de cárcel o cadena perpetua puede, en los casos en que lo dispone la ley, imponer un castigo adicional por el cual el infractor debe pagar una suma equiv</w:t>
      </w:r>
      <w:r>
        <w:t>a</w:t>
      </w:r>
      <w:r>
        <w:t>lente al valor de todos sus bienes (artículo 53).</w:t>
      </w:r>
    </w:p>
    <w:p w:rsidR="00000000" w:rsidRDefault="00000000">
      <w:pPr>
        <w:pStyle w:val="SingleTxt"/>
      </w:pPr>
      <w:r>
        <w:tab/>
        <w:t>El proxenetismo o el suministro de locales para el consumo ilegal de estupef</w:t>
      </w:r>
      <w:r>
        <w:t>a</w:t>
      </w:r>
      <w:r>
        <w:t>cientes o psicofármacos, la organización de juegos ilegales o el ejercicio de la pro</w:t>
      </w:r>
      <w:r>
        <w:t>s</w:t>
      </w:r>
      <w:r>
        <w:t>titución son sancionados con una multa o hasta cinco años de cárcel. El tribunal también puede imponer un castigo adicional por el cual el infractor debe pagar una multa equivalente al valor de todos sus bienes (artículo 268).</w:t>
      </w:r>
    </w:p>
    <w:p w:rsidR="00000000" w:rsidRDefault="00000000">
      <w:pPr>
        <w:pStyle w:val="SingleTxt"/>
      </w:pPr>
      <w:r>
        <w:tab/>
        <w:t xml:space="preserve">En el momento en que se presentó este informe el </w:t>
      </w:r>
      <w:r>
        <w:rPr>
          <w:i/>
        </w:rPr>
        <w:t xml:space="preserve">Riigikogu </w:t>
      </w:r>
      <w:r>
        <w:t>estaba</w:t>
      </w:r>
      <w:r>
        <w:rPr>
          <w:i/>
        </w:rPr>
        <w:t xml:space="preserve"> </w:t>
      </w:r>
      <w:r>
        <w:t>debatiendo el proyecto de ley de protección de testigos.</w:t>
      </w:r>
    </w:p>
    <w:p w:rsidR="00000000" w:rsidRDefault="00000000">
      <w:pPr>
        <w:pStyle w:val="SingleTxt"/>
      </w:pPr>
      <w:r>
        <w:tab/>
        <w:t xml:space="preserve">El 4 de diciembre de 2002 Estonia ratificó la </w:t>
      </w:r>
      <w:r>
        <w:rPr>
          <w:color w:val="000000"/>
        </w:rPr>
        <w:t xml:space="preserve">Convención de las Naciones Unidas contra la Delincuencia Organizada Transnacional (2000). El 10 de marzo de 2004 Estonia también ratificó el </w:t>
      </w:r>
      <w:r>
        <w:t>Protocolo para prevenir, reprimir y sancionar la trata de personas, especialmente mujeres y niños (Convención de Palermo), que complementa la Convención de las Naciones Unidas contra la Delincuencia Organ</w:t>
      </w:r>
      <w:r>
        <w:t>i</w:t>
      </w:r>
      <w:r>
        <w:t>zada Transnacional.</w:t>
      </w:r>
    </w:p>
    <w:p w:rsidR="00000000" w:rsidRDefault="00000000">
      <w:pPr>
        <w:pStyle w:val="SingleTxt"/>
      </w:pPr>
      <w:r>
        <w:tab/>
        <w:t>El 2 de junio de 2004 Estonia ratificó el Protocolo Facultativo de la Conve</w:t>
      </w:r>
      <w:r>
        <w:t>n</w:t>
      </w:r>
      <w:r>
        <w:t>ción sobre los Derechos del Niño relativo a la venta de niños, la prostitución infantil y la utilización de niños en la pornografía (2000), en el que se definen por primera vez conceptos como “venta de niños”, “prostitución infantil” y “utilización de niños en la pornografía”.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situación actual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principal forma de trata de mujeres en Estonia es el proxenetismo.</w:t>
      </w:r>
    </w:p>
    <w:p w:rsidR="00000000" w:rsidRDefault="00000000">
      <w:pPr>
        <w:pStyle w:val="SingleTxt"/>
      </w:pPr>
      <w:r>
        <w:tab/>
        <w:t>Generalmente las personas encargadas de los prostíbulos pertenecen a organ</w:t>
      </w:r>
      <w:r>
        <w:t>i</w:t>
      </w:r>
      <w:r>
        <w:t>zaciones delictivas permanentes bien organizadas que suelen utilizar distintos tipos de negocios como pantalla. A menudo las mismas personas organizan la trata de mujeres con fines de prostitución de las ex repúblicas soviéticas a Estonia y otros países, en cooperación con organizaciones delictivas internacionales. Los países de destino suelen ser los países nórdicos, aunque también se ha recibido información sobre mujeres provenientes de Estonia en España, Grecia, Italia y hasta el Japón. Ha disminuido el número de prostitutas de otros países (principalmente las ex repúbl</w:t>
      </w:r>
      <w:r>
        <w:t>i</w:t>
      </w:r>
      <w:r>
        <w:t>cas soviéticas) que residen ilegalmente en Estonia.</w:t>
      </w:r>
    </w:p>
    <w:p w:rsidR="00000000" w:rsidRDefault="00000000">
      <w:pPr>
        <w:pStyle w:val="SingleTxt"/>
      </w:pPr>
      <w:r>
        <w:tab/>
        <w:t>Las causas de la prostitución radican principalmente en la desigualdad fina</w:t>
      </w:r>
      <w:r>
        <w:t>n</w:t>
      </w:r>
      <w:r>
        <w:t>ciera y de género que las redes delictivas explotan a su favor. El aumento de la trata de mujeres está relacionado con la violencia, la pobreza, el desempleo, la propag</w:t>
      </w:r>
      <w:r>
        <w:t>a</w:t>
      </w:r>
      <w:r>
        <w:t>ción del VIH/SIDA y las enfermedades de transmisión sexual, la salud pública, el uso indebido de drogas, la delincuencia y otros factores. El negocio de la prostit</w:t>
      </w:r>
      <w:r>
        <w:t>u</w:t>
      </w:r>
      <w:r>
        <w:t>ción se oculta detrás de actividades como los servicios de hostelería y de gastron</w:t>
      </w:r>
      <w:r>
        <w:t>o</w:t>
      </w:r>
      <w:r>
        <w:t xml:space="preserve">mía, el </w:t>
      </w:r>
      <w:r>
        <w:rPr>
          <w:i/>
        </w:rPr>
        <w:t>striptease</w:t>
      </w:r>
      <w:r>
        <w:t>, los servicios de masaje y de sauna, etc.</w:t>
      </w:r>
    </w:p>
    <w:p w:rsidR="00000000" w:rsidRDefault="00000000">
      <w:pPr>
        <w:pStyle w:val="SingleTxt"/>
      </w:pPr>
      <w:r>
        <w:tab/>
        <w:t>Dado que la prostitución es ilegal en Estonia, las estadísticas sobre este tipo de empresas, los proveedores de servicios, el número de clientes y el movimiento de efectivo se basan en estimaciones y no en datos recopilados en encuestas. Según los análisis de los expertos, puede afirmarse que la prostitución se centra principa</w:t>
      </w:r>
      <w:r>
        <w:t>l</w:t>
      </w:r>
      <w:r>
        <w:t>mente en Tallin, aunque también existe en ciudades más pequeñas de Estonia.</w:t>
      </w:r>
    </w:p>
    <w:p w:rsidR="00000000" w:rsidRDefault="00000000">
      <w:pPr>
        <w:pStyle w:val="SingleTxt"/>
      </w:pPr>
      <w:r>
        <w:tab/>
        <w:t>Habida cuenta de la escasa población del país y de los males sociales que trae ap</w:t>
      </w:r>
      <w:r>
        <w:t>a</w:t>
      </w:r>
      <w:r>
        <w:t>rejada la prostitución, para Estonia se trata de un problema grave.</w:t>
      </w:r>
    </w:p>
    <w:p w:rsidR="00000000" w:rsidRDefault="00000000">
      <w:pPr>
        <w:pStyle w:val="SingleTxt"/>
      </w:pPr>
      <w:r>
        <w:tab/>
        <w:t>En Estonia las mujeres sin educación, pobres, desempleadas, menores de edad, apátridas o toxicómanas son más proclives a caer en la prostitución. Muchas veces han sido víctimas de maltrato o de abuso sexual en la infancia.</w:t>
      </w:r>
    </w:p>
    <w:p w:rsidR="00000000" w:rsidRDefault="00000000">
      <w:pPr>
        <w:pStyle w:val="SingleTxt"/>
      </w:pPr>
      <w:r>
        <w:tab/>
        <w:t>Por consiguiente, el aumento de la prostitución está relacionado con el dese</w:t>
      </w:r>
      <w:r>
        <w:t>m</w:t>
      </w:r>
      <w:r>
        <w:t>pleo entre las mujeres, su condición desfavorecida en el mercado laboral y los bajos ingresos comparados con los ingresos potenciales de la prostitución, y el papel tr</w:t>
      </w:r>
      <w:r>
        <w:t>a</w:t>
      </w:r>
      <w:r>
        <w:t>dicional asignado a la mujer en razón del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Informar al público sobre el problema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 continuación se consignan algunos proyectos de la Organización Internaci</w:t>
      </w:r>
      <w:r>
        <w:t>o</w:t>
      </w:r>
      <w:r>
        <w:t>nal p</w:t>
      </w:r>
      <w:r>
        <w:t>a</w:t>
      </w:r>
      <w:r>
        <w:t>ra las Migraciones (OIM):</w:t>
      </w:r>
    </w:p>
    <w:p w:rsidR="00000000" w:rsidRDefault="00000000">
      <w:pPr>
        <w:pStyle w:val="SingleTxt"/>
      </w:pPr>
      <w:r>
        <w:tab/>
        <w:t>En el marco del proyecto piloto “Investigación, información y legislación: La trata de mujeres en los Estados del Báltico”, organizado por la OIM entre septie</w:t>
      </w:r>
      <w:r>
        <w:t>m</w:t>
      </w:r>
      <w:r>
        <w:t>bre de 2000 y agosto de 2001, se llevó a cabo una encuesta sobre el grado de con</w:t>
      </w:r>
      <w:r>
        <w:t>o</w:t>
      </w:r>
      <w:r>
        <w:t>cimiento de la población y se analizaron los aspectos sociales de la trata de mujeres y la pro</w:t>
      </w:r>
      <w:r>
        <w:t>s</w:t>
      </w:r>
      <w:r>
        <w:t>titución, así como la legislación relacionada con la trata de personas.</w:t>
      </w:r>
    </w:p>
    <w:p w:rsidR="00000000" w:rsidRDefault="00000000">
      <w:pPr>
        <w:pStyle w:val="SingleTxt"/>
      </w:pPr>
      <w:r>
        <w:tab/>
        <w:t xml:space="preserve">Los resultados del análisis se publicaron en el libro </w:t>
      </w:r>
      <w:r>
        <w:rPr>
          <w:i/>
        </w:rPr>
        <w:t>Trafficking in Women and Prostitution in the Baltic States</w:t>
      </w:r>
      <w:r>
        <w:t xml:space="preserve"> (La trata de mujeres y la prostitución en los Estados bálticos). En función de los resultados del estudio, se preparó una campaña public</w:t>
      </w:r>
      <w:r>
        <w:t>i</w:t>
      </w:r>
      <w:r>
        <w:t>taria de carácter social (en la vía pública, anuncios breves en radio y televisión, en interiores y anuncios gráficos) y material de información (folletos, carpetas, cart</w:t>
      </w:r>
      <w:r>
        <w:t>e</w:t>
      </w:r>
      <w:r>
        <w:t>les, etc. que ofrecían consejos e información). En el curso de la campaña, se asesoró a personas que querían trabajar en el extranjero, a víctimas de la trata, a familiares de personas desaparecidas, se organizaron cursos de capacitación y se trató el pr</w:t>
      </w:r>
      <w:r>
        <w:t>o</w:t>
      </w:r>
      <w:r>
        <w:t>blema en los medios de comunicación. El Centro de Información Jurídica para los Derechos Humanos y el Centro de Apoyo a las Víctimas del SIDA también colab</w:t>
      </w:r>
      <w:r>
        <w:t>o</w:t>
      </w:r>
      <w:r>
        <w:t>raron en la organización de la campaña junto a organismos estatales y organizaci</w:t>
      </w:r>
      <w:r>
        <w:t>o</w:t>
      </w:r>
      <w:r>
        <w:t>nes no gubernamentales.</w:t>
      </w:r>
    </w:p>
    <w:p w:rsidR="00000000" w:rsidRDefault="00000000">
      <w:pPr>
        <w:pStyle w:val="SingleTxt"/>
      </w:pPr>
      <w:r>
        <w:tab/>
        <w:t>En 2004, la OIM llevó a cabo el proyecto “Investigación e información sobre la trata de mujeres y niños”, con el objeto de describir la situación de la trata de pe</w:t>
      </w:r>
      <w:r>
        <w:t>r</w:t>
      </w:r>
      <w:r>
        <w:t>sonas en Estonia. El proyecto finalizó en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campaña en los países nórdicos y bálticos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Comité solicitó más información sobre las actividades del Consejo Nórdico de Ministros en relación con la trata de mujeres.</w:t>
      </w:r>
    </w:p>
    <w:p w:rsidR="00000000" w:rsidRDefault="00000000">
      <w:pPr>
        <w:pStyle w:val="SingleTxt"/>
      </w:pPr>
      <w:r>
        <w:tab/>
        <w:t>Entre 2002 y 2003 se organizó una campaña contra la trata de mujeres en los países nórdicos y bálticos por iniciativa del Consejo Nórdico de Ministros. En Est</w:t>
      </w:r>
      <w:r>
        <w:t>o</w:t>
      </w:r>
      <w:r>
        <w:t>nia el objetivo de la campaña fue abordar la cuestión de la trata de mujeres como un problema social y comenzar a cambiar las actitudes imperantes. Otro objetivo fue establecer la predisposición de Estonia para reconocer la trata de personas como un problema social, luchar contra ella e informar a los grupos sociales de importancia e</w:t>
      </w:r>
      <w:r>
        <w:t>s</w:t>
      </w:r>
      <w:r>
        <w:t>tratégica sobre las causas y consecuencias de este fenómeno.</w:t>
      </w:r>
    </w:p>
    <w:p w:rsidR="00000000" w:rsidRDefault="00000000">
      <w:pPr>
        <w:pStyle w:val="SingleTxt"/>
      </w:pPr>
      <w:r>
        <w:tab/>
        <w:t>La campaña comenzó en 2002 con el seminario conjunto de los países nórdicos y bálticos de tres días de duración “La trata de mujeres: Una trata de esclavos m</w:t>
      </w:r>
      <w:r>
        <w:t>o</w:t>
      </w:r>
      <w:r>
        <w:t>derna”, que se ocupó de diferentes aspectos del tema. En Estonia se realizaron v</w:t>
      </w:r>
      <w:r>
        <w:t>a</w:t>
      </w:r>
      <w:r>
        <w:t>rias investigaciones que sirvieron de base para otras actividades, a saber:</w:t>
      </w:r>
    </w:p>
    <w:p w:rsidR="00000000" w:rsidRDefault="00000000">
      <w:pPr>
        <w:pStyle w:val="SingleTxt"/>
        <w:tabs>
          <w:tab w:val="right" w:pos="1685"/>
        </w:tabs>
        <w:ind w:left="1742" w:hanging="475"/>
      </w:pPr>
      <w:r>
        <w:tab/>
        <w:t>1.</w:t>
      </w:r>
      <w:r>
        <w:tab/>
        <w:t>Un estudio sobre el conocimiento que tenían las mujeres jóvenes a punto de f</w:t>
      </w:r>
      <w:r>
        <w:t>i</w:t>
      </w:r>
      <w:r>
        <w:t>nalizar la escuela secundaria sobre la trata de personas a fin de determinar hasta qué punto sabían cómo evitar convertirse en víctimas (segundo y tercer trimestres de 2002).</w:t>
      </w:r>
    </w:p>
    <w:p w:rsidR="00000000" w:rsidRDefault="00000000">
      <w:pPr>
        <w:pStyle w:val="SingleTxt"/>
        <w:tabs>
          <w:tab w:val="right" w:pos="1685"/>
        </w:tabs>
        <w:suppressAutoHyphens/>
        <w:ind w:left="1742" w:hanging="475"/>
      </w:pPr>
      <w:r>
        <w:tab/>
        <w:t>2.</w:t>
      </w:r>
      <w:r>
        <w:tab/>
        <w:t>Un estudio de las evaluaciones y las opiniones de los agentes de policía de Tallin sobre la prostitución y la trata de mujeres (segundo trimestre de 2002).</w:t>
      </w:r>
    </w:p>
    <w:p w:rsidR="00000000" w:rsidRDefault="00000000">
      <w:pPr>
        <w:pStyle w:val="SingleTxt"/>
        <w:tabs>
          <w:tab w:val="right" w:pos="1685"/>
        </w:tabs>
        <w:ind w:left="1742" w:hanging="475"/>
      </w:pPr>
      <w:r>
        <w:tab/>
        <w:t>3.</w:t>
      </w:r>
      <w:r>
        <w:tab/>
        <w:t>Un estudio a fin de evaluar el conocimiento de las agencias privadas de inte</w:t>
      </w:r>
      <w:r>
        <w:t>r</w:t>
      </w:r>
      <w:r>
        <w:t>mediación laboral sobre la trata de personas y determinar qué tipo de asesor</w:t>
      </w:r>
      <w:r>
        <w:t>a</w:t>
      </w:r>
      <w:r>
        <w:t>miento brindan a las mujeres que van a trabajar al exterior (cuarto trimestre de 2002).</w:t>
      </w:r>
    </w:p>
    <w:p w:rsidR="00000000" w:rsidRDefault="00000000">
      <w:pPr>
        <w:pStyle w:val="SingleTxt"/>
        <w:tabs>
          <w:tab w:val="right" w:pos="1685"/>
        </w:tabs>
        <w:ind w:left="1742" w:hanging="475"/>
      </w:pPr>
      <w:r>
        <w:tab/>
        <w:t>4.</w:t>
      </w:r>
      <w:r>
        <w:tab/>
        <w:t>Se aclaró si determinadas ofertas de empleo de carácter sospechoso eran en realidad una pantalla de personas y empresas que reclutaban mujeres para eje</w:t>
      </w:r>
      <w:r>
        <w:t>r</w:t>
      </w:r>
      <w:r>
        <w:t>cer la prostit</w:t>
      </w:r>
      <w:r>
        <w:t>u</w:t>
      </w:r>
      <w:r>
        <w:t>ción (cuarto trimestre de 2002).</w:t>
      </w:r>
    </w:p>
    <w:p w:rsidR="00000000" w:rsidRDefault="00000000">
      <w:pPr>
        <w:pStyle w:val="SingleTxt"/>
        <w:tabs>
          <w:tab w:val="right" w:pos="1685"/>
        </w:tabs>
        <w:ind w:left="1742" w:hanging="475"/>
      </w:pPr>
      <w:r>
        <w:tab/>
        <w:t>5.</w:t>
      </w:r>
      <w:r>
        <w:tab/>
        <w:t>La evaluación de las opiniones de los funcionarios públicos estonios y los e</w:t>
      </w:r>
      <w:r>
        <w:t>m</w:t>
      </w:r>
      <w:r>
        <w:t>pleados de organizaciones no gubernamentales sobre las posibilidades de l</w:t>
      </w:r>
      <w:r>
        <w:t>u</w:t>
      </w:r>
      <w:r>
        <w:t>char contra la prostitución y la trata de mujeres permitió establecer la seriedad de estos problemas, determinar cómo consideraban que podían combatirse y cuál debería ser el papel y la política del Estado en relación con estas cuesti</w:t>
      </w:r>
      <w:r>
        <w:t>o</w:t>
      </w:r>
      <w:r>
        <w:t>nes (cuarto trimestre de 2002).</w:t>
      </w:r>
    </w:p>
    <w:p w:rsidR="00000000" w:rsidRDefault="00000000">
      <w:pPr>
        <w:pStyle w:val="SingleTxt"/>
        <w:tabs>
          <w:tab w:val="right" w:pos="1685"/>
        </w:tabs>
        <w:ind w:left="1742" w:hanging="475"/>
      </w:pPr>
      <w:r>
        <w:tab/>
        <w:t>6.</w:t>
      </w:r>
      <w:r>
        <w:tab/>
        <w:t>Una encuesta de opinión entre los soldados guardafrontera y los especialistas de la policía sobre la prostitución y la trata de mujeres y sus propuestas para co</w:t>
      </w:r>
      <w:r>
        <w:t>m</w:t>
      </w:r>
      <w:r>
        <w:t>batir estos fenómenos (cuarto trimestre de 2002).</w:t>
      </w:r>
    </w:p>
    <w:p w:rsidR="00000000" w:rsidRDefault="00000000">
      <w:pPr>
        <w:pStyle w:val="SingleTxt"/>
        <w:tabs>
          <w:tab w:val="right" w:pos="1685"/>
        </w:tabs>
        <w:ind w:left="1742" w:hanging="475"/>
      </w:pPr>
      <w:r>
        <w:tab/>
        <w:t>7.</w:t>
      </w:r>
      <w:r>
        <w:tab/>
        <w:t>Una encuesta de opinión entre las personas que trabajan con jóvenes (mae</w:t>
      </w:r>
      <w:r>
        <w:t>s</w:t>
      </w:r>
      <w:r>
        <w:t>tros, consejeros profesionales y trabajadores sociales juveniles) sobre la pro</w:t>
      </w:r>
      <w:r>
        <w:t>s</w:t>
      </w:r>
      <w:r>
        <w:t>tit</w:t>
      </w:r>
      <w:r>
        <w:t>u</w:t>
      </w:r>
      <w:r>
        <w:t>ción (cuarto trimestre de 2002).</w:t>
      </w:r>
    </w:p>
    <w:p w:rsidR="00000000" w:rsidRDefault="00000000">
      <w:pPr>
        <w:pStyle w:val="SingleTxt"/>
        <w:suppressAutoHyphens/>
      </w:pPr>
      <w:r>
        <w:tab/>
        <w:t>En el marco de la campaña, se organizaron los cursos de capacitación “El papel de la comunidad en la prevención de la trata” y “Prevenir la trata de perso-nas”. El primero incluyó varias reuniones educativas dirigidas a padres, agentes de policía, trabajadores sociales, maestros, líderes gubernamentales locales y otras personas que pueden influir sobre el grado de conocimiento y la actitud de los jóvenes mediante su trabajo. En total se organizaron nueve reuniones a las que asistió un total de 251 personas. Por medio del segundo seminario “Prevenir la trata de personas” se capacitó a maestros, trabajadores sociales juveniles y consejeros profesi</w:t>
      </w:r>
      <w:r>
        <w:t>o</w:t>
      </w:r>
      <w:r>
        <w:t>nales.</w:t>
      </w:r>
    </w:p>
    <w:p w:rsidR="00000000" w:rsidRDefault="00000000">
      <w:pPr>
        <w:pStyle w:val="SingleTxt"/>
      </w:pPr>
      <w:r>
        <w:tab/>
        <w:t>A fines de 2003 se decidió prorrogar la campaña y en 2004 el Consejo Nórdico de Ministros, junto con el Ministerio de Asuntos Sociales, llevó a cabo la campaña de seguimiento “Los estupefacientes, la prostitución y la trata desde una perspectiva de género”. En 2004 se realizaron cursos de dos y tres días de duración para prof</w:t>
      </w:r>
      <w:r>
        <w:t>e</w:t>
      </w:r>
      <w:r>
        <w:t>sores de escuela secundaria, psicólogos escolares, trabajadores sociales juveniles, profesores especializados en pasatiempos y consejeros profesionales. En total se celebraron cinco seminarios en Tallin, Pärnu y Jõhvi, a los que asistieron 100 pers</w:t>
      </w:r>
      <w:r>
        <w:t>o</w:t>
      </w:r>
      <w:r>
        <w:t xml:space="preserve">nas. </w:t>
      </w:r>
      <w:r>
        <w:rPr>
          <w:spacing w:val="2"/>
          <w:w w:val="101"/>
        </w:rPr>
        <w:t>Además de abordar el tema de la trata de mujeres, los programas de capacitación</w:t>
      </w:r>
      <w:r>
        <w:t xml:space="preserve"> incluyeron cuestiones como los estereotipos basados en el género, los medios, la prostitución, los estupefacientes, el SIDA, etc. El programa de capacitación tuvo éxito, y se tiene previsto continuarlo en 2005.</w:t>
      </w:r>
    </w:p>
    <w:p w:rsidR="00000000" w:rsidRDefault="00000000">
      <w:pPr>
        <w:pStyle w:val="SingleTxt"/>
      </w:pPr>
      <w:r>
        <w:tab/>
        <w:t>En el marco de la campaña se realizaron dos concursos de redacción sobre la trata de personas. El objeto era estimular a los jóvenes a pensar sobre este tema, y así evitar que se convirtieran en víctimas. Los temas secundarios del concurso eran “La prostitución: La oferta y la demanda” y “Cómo podría convertirme en víctima de los tr</w:t>
      </w:r>
      <w:r>
        <w:t>a</w:t>
      </w:r>
      <w:r>
        <w:t>ficantes”.</w:t>
      </w:r>
    </w:p>
    <w:p w:rsidR="00000000" w:rsidRDefault="00000000">
      <w:pPr>
        <w:pStyle w:val="SingleTxt"/>
      </w:pPr>
      <w:r>
        <w:tab/>
        <w:t>También se llevaron a cabo cinco seminarios internacionales sobre la trata de personas y su relación con la prostitución, el uso indebido de estupefacientes y las desigualdades basadas en el género. Los seminarios se realizaron en Estonia, la F</w:t>
      </w:r>
      <w:r>
        <w:t>e</w:t>
      </w:r>
      <w:r>
        <w:t>deración de Rusia, Letonia y Lituania. El objetivo fue reunir a expertos de diferentes países (agentes de policía, trabajadores sociales y representantes de ONG) para que intercambiaran perspectivas sobre estos temas.</w:t>
      </w:r>
    </w:p>
    <w:p w:rsidR="00000000" w:rsidRDefault="00000000">
      <w:pPr>
        <w:pStyle w:val="SingleTxt"/>
      </w:pPr>
      <w:r>
        <w:tab/>
        <w:t>La campaña cumplió sus objetivos; se logró que un tema anteriormente cons</w:t>
      </w:r>
      <w:r>
        <w:t>i</w:t>
      </w:r>
      <w:r>
        <w:t>derado tangencial atrajera el interés de los medios de comunicación y los políticos. Tras la campaña cambió el modo en que los medios abordaban el tema de la trata en Estonia. Sin embargo, en general en la publicidad sigue presentándose a la mujer como un objeto sexual. El Ministerio de Asuntos Sociales ha presentado propuestas para prohibir este tipo de publicidad. Varias ONG siguen llevando a cabo activid</w:t>
      </w:r>
      <w:r>
        <w:t>a</w:t>
      </w:r>
      <w:r>
        <w:t>des de concienciación, incluida la capacitación de periodistas, e informándoles sobre casos de prostitución y trata de personas. Por ejemplo, el Centro de Prevención del SIDA tiene previsto organizar dos seminarios de capacitación sobre la trata de pe</w:t>
      </w:r>
      <w:r>
        <w:t>r</w:t>
      </w:r>
      <w:r>
        <w:t>sonas para periodistas en 2004. La ONG Centro de Estudios y Recursos sobre la Mujer Estonia tiene previsto organizar seminarios de capacitación para la policía.</w:t>
      </w:r>
    </w:p>
    <w:p w:rsidR="00000000" w:rsidRDefault="00000000">
      <w:pPr>
        <w:pStyle w:val="SingleTxt"/>
      </w:pPr>
      <w:r>
        <w:tab/>
        <w:t>En octubre de 2004 se estableció una línea telefónica directa para prevenir la trata de personas, que ofrece asesoramiento jurídico gratuito e información sobre formas seguras de viajar y oportunidades de empleo. El Departamento de Estado de los Estados Unidos de América financia el proyecto de un año de duración “Línea telefónica directa para mujeres para prevenir la trata de personas”. El proyecto es ejecutado por el Centro de Prevención del SIDA, la ONG Living for Tomorrow y la organ</w:t>
      </w:r>
      <w:r>
        <w:t>i</w:t>
      </w:r>
      <w:r>
        <w:t>zación Finnish Union.</w:t>
      </w:r>
    </w:p>
    <w:p w:rsidR="00000000" w:rsidRDefault="00000000">
      <w:pPr>
        <w:pStyle w:val="SingleTxt"/>
      </w:pPr>
      <w:r>
        <w:tab/>
        <w:t>La ONG Centro de Información Jurídica para los Derechos Humanos publicó el manual “Prevención de la trata de personas y trabajo en el extranjero” en el cuarto tr</w:t>
      </w:r>
      <w:r>
        <w:t>i</w:t>
      </w:r>
      <w:r>
        <w:t>mestre de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Estudios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2003 se puso en marcha el proyecto “La prostitución, ¿un problema social? La postura de los orientadores de opinión de los países bálticos y el noroeste de R</w:t>
      </w:r>
      <w:r>
        <w:t>u</w:t>
      </w:r>
      <w:r>
        <w:t>sia”, organizado en cooperación con el Centro de Estudios y Recursos sobre la M</w:t>
      </w:r>
      <w:r>
        <w:t>u</w:t>
      </w:r>
      <w:r>
        <w:t>jer Estonia y el Ministerio de Asuntos Sociales. La información obtenida debería brindar un panorama de la perspectiva de los orientadores de opinión sobre las ca</w:t>
      </w:r>
      <w:r>
        <w:t>u</w:t>
      </w:r>
      <w:r>
        <w:t>sas y consecuencias de la explotación sexual de la mujer y la posibilidad de adoptar med</w:t>
      </w:r>
      <w:r>
        <w:t>i</w:t>
      </w:r>
      <w:r>
        <w:t>das legislativas en los países de esta región.</w:t>
      </w:r>
    </w:p>
    <w:p w:rsidR="00000000" w:rsidRDefault="00000000">
      <w:pPr>
        <w:pStyle w:val="SingleTxt"/>
        <w:keepNext/>
        <w:keepLines/>
      </w:pPr>
      <w:r>
        <w:tab/>
        <w:t>En el segundo y tercer trimestres de 2004 se organizó el estudio “Actividades contra la trata de personas en Estonia: Opinión de los expertos y soluciones pos</w:t>
      </w:r>
      <w:r>
        <w:t>i</w:t>
      </w:r>
      <w:r>
        <w:t>bles” en cooperación con el Consejo Nórdico de Ministros y el Centro de Estudios y Recursos sobre la Mujer Estonia. El estudio tenía por objeto determinar los probl</w:t>
      </w:r>
      <w:r>
        <w:t>e</w:t>
      </w:r>
      <w:r>
        <w:t>mas con los que se enfrentan los especialistas que luchan contra la trata de personas. También se estudiaron formas de intensificar la lucha contra la trata de personas en Estonia.</w:t>
      </w:r>
    </w:p>
    <w:p w:rsidR="00000000" w:rsidRDefault="00000000">
      <w:pPr>
        <w:pStyle w:val="SingleTxt"/>
      </w:pPr>
      <w:r>
        <w:tab/>
        <w:t>En 2003 se llevó a cabo una encuesta sobre la violencia contra la mujer y la salud de la mujer con el objetivo de conocer la opinión del público sobre la prostit</w:t>
      </w:r>
      <w:r>
        <w:t>u</w:t>
      </w:r>
      <w:r>
        <w:t>ción, las sanciones por utilizar los servicios de una prostituta y los clientes de la prostitución. La encuesta permitió elaborar el informe “La prostitución: Los riesgos sociales y la presión económica”, según el cual las dos terceras partes de la pobl</w:t>
      </w:r>
      <w:r>
        <w:t>a</w:t>
      </w:r>
      <w:r>
        <w:t>ción apoyan las leyes actuales que prohíben el proxenetismo. El número de encue</w:t>
      </w:r>
      <w:r>
        <w:t>s</w:t>
      </w:r>
      <w:r>
        <w:t>tados que estaba de acuerdo con que se sancionara a las personas que utilizaban los servicios de una prostituta era dos veces menor. Los estonios prefieren sancionar a la prostituta (el 39%) o suprimir las restricciones actuales y legalizar los prostíbulos (el 40%).</w:t>
      </w:r>
    </w:p>
    <w:p w:rsidR="00000000" w:rsidRDefault="00000000">
      <w:pPr>
        <w:pStyle w:val="SingleTxt"/>
      </w:pPr>
      <w:r>
        <w:tab/>
        <w:t xml:space="preserve">Sobre la base de la encuesta entre la población adulta de Estonia realizada por el </w:t>
      </w:r>
      <w:r>
        <w:rPr>
          <w:spacing w:val="2"/>
          <w:w w:val="101"/>
        </w:rPr>
        <w:t>Instituto Estonio para una Sociedad Abierta</w:t>
      </w:r>
      <w:r>
        <w:t xml:space="preserve"> en el tercer trimestre de 2004, puede llegarse a la conclusión de que los estonios no tienen una opinión definida sobre la prostitución y de que la prostitución no se considera una forma de violencia contra la mujer.</w:t>
      </w:r>
    </w:p>
    <w:p w:rsidR="00000000" w:rsidRDefault="00000000">
      <w:pPr>
        <w:pStyle w:val="SingleTxt"/>
        <w:suppressAutoHyphens/>
      </w:pPr>
      <w:r>
        <w:tab/>
        <w:t>En el segundo trimestre de 2004 la campaña contra la trata de mujeres en los países nórdicos y bálticos, y otras medidas dieron lugar a un debate en el segundo trimestre de 2004 sobre la tipificación como delito de la adquisición de servicios sexuales. Sin embargo, la sociedad estonia no está preparada para una enmienda legislativa de este tipo; una de cada dos personas en Estonia tiene una opinión favorable sobre la pro</w:t>
      </w:r>
      <w:r>
        <w:t>s</w:t>
      </w:r>
      <w:r>
        <w:t>titución, de las cuales el 60% son hombres y el 42% mujeres.</w:t>
      </w:r>
    </w:p>
    <w:p w:rsidR="00000000" w:rsidRDefault="00000000">
      <w:pPr>
        <w:pStyle w:val="SingleTxt"/>
      </w:pPr>
      <w:r>
        <w:tab/>
        <w:t>El análisis de la actitud de la mujer demuestra que ésta no ve riesgos sociales en el aumento de la prostitución y la creciente red de prostíbulos. Las mujeres no comprenden que el rápido aumento del número de prostíbulos y de todas las formas de prostitución en Estonia representa una grave amenaza para muchas jóvenes que p</w:t>
      </w:r>
      <w:r>
        <w:t>o</w:t>
      </w:r>
      <w:r>
        <w:t>drían ser víctimas del mercado del sexo, en permanente aumento.</w:t>
      </w:r>
    </w:p>
    <w:p w:rsidR="00000000" w:rsidRDefault="00000000">
      <w:pPr>
        <w:pStyle w:val="SingleTxt"/>
      </w:pPr>
      <w:r>
        <w:tab/>
        <w:t>Visitar prostíbulos es considerado una actividad natural de los hombres, sie</w:t>
      </w:r>
      <w:r>
        <w:t>m</w:t>
      </w:r>
      <w:r>
        <w:t>pre y cuando tengan suficiente dinero. Tres cuartas partes de la población estonia considera que visitar prostíbulos es una actividad aceptable que tiene un efecto est</w:t>
      </w:r>
      <w:r>
        <w:t>a</w:t>
      </w:r>
      <w:r>
        <w:t>bilizador sobre la familia, y que se justifica en razón de la mayor intensidad de las necesidades sexuales de los hombres y la actitud fría y reacia de sus esposas. Esto demuestra que es necesario emprender actividades para incrementar la concienci</w:t>
      </w:r>
      <w:r>
        <w:t>a</w:t>
      </w:r>
      <w:r>
        <w:t>ción pública sobre este tema.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actividades de la policía</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suppressAutoHyphens/>
      </w:pPr>
      <w:r>
        <w:tab/>
        <w:t>Desde el 1º de noviembre de 2003 existe un grupo de trabajo especial de la división de delitos contra las personas del Departamento Penal de la Comisaría de Tallin del Norte cuyo objetivo es luchar contra el proxenetismo. El grupo de trabajo reúne información sobre el proxenetismo, sistematiza los datos y lleva a cabo procedimientos de vigilancia e investigación de casos con anterioridad al juicio. El grupo se creó en Tallin pues se estima que aproximadamente el 80% de los casos de proxenetismo ocurren en esa ciudad y sus alrededores. Como resultado de las medidas adoptadas contra los dueños de prostíbulos, durante los primeros ocho meses de 2004 se puso fin a actividades delictivas en nueve prostíbulos que atendían en el lugar y en tres “empresas” que funcionaban como apartamentos-prostíbulos que ate</w:t>
      </w:r>
      <w:r>
        <w:t>n</w:t>
      </w:r>
      <w:r>
        <w:t>dían a clientes por medio de un servicio de acompañantes.</w:t>
      </w:r>
    </w:p>
    <w:p w:rsidR="00000000" w:rsidRDefault="00000000">
      <w:pPr>
        <w:pStyle w:val="SingleTxt"/>
      </w:pPr>
      <w:r>
        <w:tab/>
        <w:t>Las otras comisarías no disponen de unidades especiales de este tipo y las of</w:t>
      </w:r>
      <w:r>
        <w:t>i</w:t>
      </w:r>
      <w:r>
        <w:t>cinas contra la delincuencia organizada se ocupan de los casos de proxenetismo. Los funcionarios de migraciones desempeñan un papel importante en lo que hace a la ident</w:t>
      </w:r>
      <w:r>
        <w:t>i</w:t>
      </w:r>
      <w:r>
        <w:t>ficación de extranjeros que residen ilegalmente en Estonia.</w:t>
      </w:r>
    </w:p>
    <w:p w:rsidR="00000000" w:rsidRDefault="00000000">
      <w:pPr>
        <w:pStyle w:val="SingleTxt"/>
      </w:pPr>
      <w:r>
        <w:tab/>
        <w:t>La Policía Criminal Central se ocupa de casos de proxenetismo en los que prostitutas de Estonia son llevadas a otros países. El departamento internacional de inteligencia criminal de la Policía Criminal Central recibe aproximadamente entre 40 y 50 pedidos de informes de otros países por año sobre la detención de much</w:t>
      </w:r>
      <w:r>
        <w:t>a</w:t>
      </w:r>
      <w:r>
        <w:t>chas estonias sospechadas de ejercer la prostitución. Generalmente las mismas pe</w:t>
      </w:r>
      <w:r>
        <w:t>r</w:t>
      </w:r>
      <w:r>
        <w:t>sonas que participan en actividades delictivas relacionadas con los estupefacientes, esp</w:t>
      </w:r>
      <w:r>
        <w:t>e</w:t>
      </w:r>
      <w:r>
        <w:t>cialmente el contrabando de narcóticos, ejercen el proxenetismo.</w:t>
      </w:r>
    </w:p>
    <w:p w:rsidR="00000000" w:rsidRDefault="00000000">
      <w:pPr>
        <w:pStyle w:val="SingleTxt"/>
      </w:pPr>
      <w:r>
        <w:tab/>
        <w:t xml:space="preserve">Durante la primera mitad de 2004 la Policía Criminal Central presentó ante los </w:t>
      </w:r>
      <w:r>
        <w:rPr>
          <w:spacing w:val="2"/>
          <w:w w:val="101"/>
        </w:rPr>
        <w:t>tribunales cuatro causas penales cuya investigación se inició con arreglo al artículo 268</w:t>
      </w:r>
      <w:r>
        <w:t xml:space="preserve"> del Código Penal sobre proxenetismo. En los primeros meses de 2004 se abrió la i</w:t>
      </w:r>
      <w:r>
        <w:t>n</w:t>
      </w:r>
      <w:r>
        <w:t>vestigación de 43 causas penales con arreglo al artículo 268 del Código Penal. De</w:t>
      </w:r>
      <w:r>
        <w:t>s</w:t>
      </w:r>
      <w:r>
        <w:t>de el cuarto trimestre de 2003 sólo se ha interpuesto ante el tribunal una causa de esclavitud (artículo 133 del Código Penal). Se han procesado nueve personas en r</w:t>
      </w:r>
      <w:r>
        <w:t>e</w:t>
      </w:r>
      <w:r>
        <w:t>lación con esta causa.</w:t>
      </w:r>
    </w:p>
    <w:p w:rsidR="00000000" w:rsidRDefault="00000000">
      <w:pPr>
        <w:pStyle w:val="SingleTxt"/>
        <w:rPr>
          <w:spacing w:val="2"/>
          <w:w w:val="101"/>
        </w:rPr>
      </w:pPr>
      <w:r>
        <w:tab/>
        <w:t>A pesar de los diferentes tipos de empresas ilegales y licencias utilizadas para ocultar las actividades, los delitos son identificados e investigados. Esto ha permit</w:t>
      </w:r>
      <w:r>
        <w:t>i</w:t>
      </w:r>
      <w:r>
        <w:t xml:space="preserve">do </w:t>
      </w:r>
      <w:r>
        <w:rPr>
          <w:spacing w:val="2"/>
          <w:w w:val="101"/>
        </w:rPr>
        <w:t>reducir las ganancias que obtienen los delincuentes por medio de estas activid</w:t>
      </w:r>
      <w:r>
        <w:rPr>
          <w:spacing w:val="2"/>
          <w:w w:val="101"/>
        </w:rPr>
        <w:t>a</w:t>
      </w:r>
      <w:r>
        <w:rPr>
          <w:spacing w:val="2"/>
          <w:w w:val="101"/>
        </w:rPr>
        <w:t>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 de acción nacional de lucha contra la trata de personas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9 de abril de 2003 durante una reunión oficiosa celebrada en Estocolmo, los Ministros de los países nórdicos y bálticos de Igualdad de Género, Justicia e Interior aprobaron una declaración y recomendaciones conjuntas, en virtud de las cuales acordaron que para 2005 todos los países participantes habrían elaborado un plan de acción nacional de lucha contra la trata de personas, en especial mujeres y niños.</w:t>
      </w:r>
    </w:p>
    <w:p w:rsidR="00000000" w:rsidRDefault="00000000">
      <w:pPr>
        <w:pStyle w:val="SingleTxt"/>
      </w:pPr>
      <w:r>
        <w:tab/>
        <w:t>Actualmente Estonia está abocada a la redacción de un plan de acción nacional contra la trata de personas. El 13 de enero de 2005 el Gobierno decidió que el M</w:t>
      </w:r>
      <w:r>
        <w:t>i</w:t>
      </w:r>
      <w:r>
        <w:t>nisterio de Justicia coordinaría las actividades contra la trata de personas como parte de su política nacional sobre el delito y que para el 1º de marzo de 2005 presentaría al Gobierno un proyecto de plan de acción nacional.</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Debates en curso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12 de noviembre de 2003, el Ministerio del Interior y la representación de la Organización Internacional para las Migraciones en Estonia organizaron una mesa redonda sobre la trata de personas, en la que participaron representantes de la OIM, instituciones nacionales y embajadas de países extranjeros.</w:t>
      </w:r>
    </w:p>
    <w:p w:rsidR="00000000" w:rsidRDefault="00000000">
      <w:pPr>
        <w:pStyle w:val="SingleTxt"/>
      </w:pPr>
      <w:r>
        <w:tab/>
        <w:t>Los participantes intercambiaron información sobre el modo en que las dif</w:t>
      </w:r>
      <w:r>
        <w:t>e</w:t>
      </w:r>
      <w:r>
        <w:t>rentes instituciones luchan contra la trata de personas. Todos los participantes co</w:t>
      </w:r>
      <w:r>
        <w:t>n</w:t>
      </w:r>
      <w:r>
        <w:t>sideraron que la mesa redonda había sido un éxito y que debería continuar celebrá</w:t>
      </w:r>
      <w:r>
        <w:t>n</w:t>
      </w:r>
      <w:r>
        <w:t>dose ese tipo de reuniones</w:t>
      </w:r>
      <w:r>
        <w:rPr>
          <w:color w:val="FF0000"/>
        </w:rPr>
        <w:t xml:space="preserve">. </w:t>
      </w:r>
      <w:r>
        <w:t>Como actividad complementaria, todos los miembros de la mesa siguieron intercambiando información, principalmente por medio del correo electr</w:t>
      </w:r>
      <w:r>
        <w:t>ó</w:t>
      </w:r>
      <w:r>
        <w:t>nico.</w:t>
      </w:r>
    </w:p>
    <w:p w:rsidR="00000000" w:rsidRDefault="00000000">
      <w:pPr>
        <w:pStyle w:val="SingleTxt"/>
      </w:pPr>
      <w:r>
        <w:tab/>
        <w:t>La oficina de la OIM en Estonia invitó a los miembros de la mesa redonda y a otros organismos que participan en la lucha contra la trata de personas (ministerios, ONG) a reunirse nuevamente en noviembre de 2004. Los participantes de la mesa presentaron las medidas que habían adoptado y las medidas que se proponían poner en prá</w:t>
      </w:r>
      <w:r>
        <w:t>c</w:t>
      </w:r>
      <w:r>
        <w:t>tica para luchar contra este problema.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de Estonia en las actividades de lucha contra la trata de personas en la región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uppressAutoHyphens/>
      </w:pPr>
      <w:r>
        <w:tab/>
        <w:t>Estonia participa activamente en la lucha contra la trata de personas en las regiones nórdica y báltica. Se ha creado el Grupo de Tareas sobre la delincuencia organizada del Consejo de Estados del Mar Báltico. El Ministerio de Relaciones Exteriores r</w:t>
      </w:r>
      <w:r>
        <w:t>e</w:t>
      </w:r>
      <w:r>
        <w:t>presenta a Estonia en el Grupo de Tareas.</w:t>
      </w:r>
    </w:p>
    <w:p w:rsidR="00000000" w:rsidRDefault="00000000">
      <w:pPr>
        <w:pStyle w:val="SingleTxt"/>
      </w:pPr>
      <w:r>
        <w:tab/>
        <w:t>El objetivo principal del Grupo de Tareas es coordinar y controlar las activid</w:t>
      </w:r>
      <w:r>
        <w:t>a</w:t>
      </w:r>
      <w:r>
        <w:t>des contra la trata de personas en la región y que los países participantes sigan asi</w:t>
      </w:r>
      <w:r>
        <w:t>g</w:t>
      </w:r>
      <w:r>
        <w:t>na</w:t>
      </w:r>
      <w:r>
        <w:t>n</w:t>
      </w:r>
      <w:r>
        <w:t>do prioridad al tema en sus programas políticos.</w:t>
      </w:r>
    </w:p>
    <w:p w:rsidR="00000000" w:rsidRDefault="00000000">
      <w:pPr>
        <w:pStyle w:val="SingleTxt"/>
        <w:suppressAutoHyphens/>
      </w:pPr>
      <w:r>
        <w:tab/>
        <w:t>En 2005 el Grupo de Tareas tiene previsto ejecutar un proyecto destinado a garantizar que las víctimas puedan regresar en condiciones de seguridad a sus países de origen y asistirlas en su país de destino.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ab/>
        <w:t xml:space="preserve">Los Estados partes tomarán todas las medidas apropiadas para eliminar la discriminación contra la mujer en la vida política y pública del país y, en particular, garantizarán </w:t>
      </w:r>
      <w:r>
        <w:rPr>
          <w:i/>
          <w:spacing w:val="2"/>
          <w:w w:val="101"/>
        </w:rPr>
        <w:t>a las mujeres, en igualdad de condiciones con los hombres, el derecho a:</w:t>
      </w:r>
    </w:p>
    <w:p w:rsidR="00000000" w:rsidRDefault="00000000">
      <w:pPr>
        <w:pStyle w:val="SingleTxt"/>
        <w:rPr>
          <w:i/>
        </w:rPr>
      </w:pPr>
      <w:r>
        <w:rPr>
          <w:i/>
        </w:rPr>
        <w:tab/>
        <w:t>a)</w:t>
      </w:r>
      <w:r>
        <w:rPr>
          <w:i/>
        </w:rPr>
        <w:tab/>
        <w:t>Votar en todas las elecciones y referéndum públicos y ser elegible para todos los organismos cuyos miembros sean objeto de elecciones públicas;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Además de la información suministrada en el informe anterior sobre las med</w:t>
      </w:r>
      <w:r>
        <w:t>i</w:t>
      </w:r>
      <w:r>
        <w:t>das legislativas nacionales a este respecto, en relación con la adhesión de Estonia a la Unión Europea se promulgó la nueva Ley sobre elecciones al Parlamento Europeo que entró en vigor el 23 de enero de 2003. La Ley estipula que las elecciones deben ser libres, generales, uniformes y directas, Cada votante tiene un voto. Los result</w:t>
      </w:r>
      <w:r>
        <w:t>a</w:t>
      </w:r>
      <w:r>
        <w:t>dos de las elecciones se basan en el principio de la proporcionalidad.</w:t>
      </w:r>
    </w:p>
    <w:p w:rsidR="00000000" w:rsidRDefault="00000000">
      <w:pPr>
        <w:pStyle w:val="SingleTxt"/>
      </w:pPr>
      <w:r>
        <w:tab/>
        <w:t>Un ciudadano estonio tiene derecho a votar si a la fecha de las elecciones cumplió los 18 años. Además, un ciudadano de la Unión Europea que no es de n</w:t>
      </w:r>
      <w:r>
        <w:t>a</w:t>
      </w:r>
      <w:r>
        <w:t>cionalidad estonia tiene derecho a votar si a la fecha de las elecciones cumplió los 18 años, tiene residencia permanente en Estonia, es decir, si los datos de su reside</w:t>
      </w:r>
      <w:r>
        <w:t>n</w:t>
      </w:r>
      <w:r>
        <w:t>cia han sido ingresados en el registro de población de Estonia, y no se le ha quitado el derecho a votar en su Estado miembro de origen. Una persona que ha sido desp</w:t>
      </w:r>
      <w:r>
        <w:t>o</w:t>
      </w:r>
      <w:r>
        <w:t>jada de su personería jurídica activa por un tribunal o ha sido condenada por un tr</w:t>
      </w:r>
      <w:r>
        <w:t>i</w:t>
      </w:r>
      <w:r>
        <w:t>bunal y está cumpliendo una sentencia en una institución penitenciaria no tiene d</w:t>
      </w:r>
      <w:r>
        <w:t>e</w:t>
      </w:r>
      <w:r>
        <w:t>recho a votar.</w:t>
      </w:r>
    </w:p>
    <w:p w:rsidR="00000000" w:rsidRDefault="00000000">
      <w:pPr>
        <w:pStyle w:val="SingleTxt"/>
      </w:pPr>
      <w:r>
        <w:tab/>
        <w:t>Un ciudadano estonio que a la fecha de las elecciones cumplió 21 años tiene derecho a presentarse como candidato. Un ciudadano de la Unión Europea también tiene derecho a presentarse como candidato si a la fecha de las elecciones cumplió 21 años; si tiene residencia permanente en Estonia, es decir, si los datos de su res</w:t>
      </w:r>
      <w:r>
        <w:t>i</w:t>
      </w:r>
      <w:r>
        <w:t>dencia han sido ingresados en el registro de población, y no se le ha quitado el der</w:t>
      </w:r>
      <w:r>
        <w:t>e</w:t>
      </w:r>
      <w:r>
        <w:t>cho a votar en su Estado miembro de origen. Las personas que han sido despojadas de su personería jurídica activa por un tribunal o han sido condenadas por un delito por un tribunal y están cumpliendo una sentencia en una prisión o son miembros permanentes de las Fuerzas de Defensa no pueden presentarse como candidatos en las elecciones al Parlamento Europeo.</w:t>
      </w:r>
    </w:p>
    <w:p w:rsidR="00000000" w:rsidRDefault="00000000">
      <w:pPr>
        <w:pStyle w:val="SingleTxt"/>
      </w:pPr>
      <w:r>
        <w:tab/>
        <w:t>Seis de los miembros del Parlamento Europeo son nacionales estonios, de los cuales actualmente dos son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el Parlamento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El Parlamento estonio tiene 101 miembros de los cuales actualmente 18 son mujeres. Por lo tanto, la proporción de mujeres en el Parlamento es del 18,8%. En comparación con las dos últimas elecciones, la proporción de mujeres no ha variado significativamente. En el cuadro 7.1 puede observarse que la proporción de mujeres en el </w:t>
      </w:r>
      <w:r>
        <w:rPr>
          <w:spacing w:val="2"/>
          <w:w w:val="101"/>
        </w:rPr>
        <w:t>Parlamento elegidas en 1999 fue del 17,8%. Sin embargo, también es importante observar que en 2003 se eligió a una mujer (Ene Ergma) Presidente del Parl</w:t>
      </w:r>
      <w:r>
        <w:rPr>
          <w:spacing w:val="2"/>
          <w:w w:val="101"/>
        </w:rPr>
        <w:t>a</w:t>
      </w:r>
      <w:r>
        <w:rPr>
          <w:spacing w:val="2"/>
          <w:w w:val="101"/>
        </w:rPr>
        <w:t>mento.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los concejos gubernamentales locales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proporción de candidatas en las elecciones a los concejos gubernamentales locales es más elevada que en las elecciones parlamentarias. La proporción de muj</w:t>
      </w:r>
      <w:r>
        <w:t>e</w:t>
      </w:r>
      <w:r>
        <w:t>res que han sido elegidas también es más alta comparada con las elecciones parl</w:t>
      </w:r>
      <w:r>
        <w:t>a</w:t>
      </w:r>
      <w:r>
        <w:t>mentarias. En las dos últimas elecciones celebradas en 1999 y 2002, el 28,3% de las mujeres que se presentaron como candidatas fueron elegidas a los concejos gube</w:t>
      </w:r>
      <w:r>
        <w:t>r</w:t>
      </w:r>
      <w:r>
        <w:t>name</w:t>
      </w:r>
      <w:r>
        <w:t>n</w:t>
      </w:r>
      <w:r>
        <w:t>tales locales (véase el cuadro 7.1).</w:t>
      </w:r>
    </w:p>
    <w:p w:rsidR="00000000" w:rsidRDefault="00000000">
      <w:pPr>
        <w:pStyle w:val="SingleTxt"/>
      </w:pPr>
      <w:r>
        <w:tab/>
        <w:t>Sin embargo, no hay muchas mujeres entre los dirigentes de los concejos g</w:t>
      </w:r>
      <w:r>
        <w:t>u</w:t>
      </w:r>
      <w:r>
        <w:t>bernamentales locales: el 15,4% de los presidentes de los ayuntamientos y el 12,4% de los presidentes de los concejos municipales rurales son mujeres (al 15 de enero de 2003). Una mujer preside el ayuntamiento de Tallin, la capital de Estonia. As</w:t>
      </w:r>
      <w:r>
        <w:t>i</w:t>
      </w:r>
      <w:r>
        <w:t xml:space="preserve">mismo, </w:t>
      </w:r>
      <w:r>
        <w:rPr>
          <w:spacing w:val="2"/>
          <w:w w:val="101"/>
        </w:rPr>
        <w:t>Tartu, la segunda ciudad más grande de Estonia, también tiene una alcald</w:t>
      </w:r>
      <w:r>
        <w:rPr>
          <w:spacing w:val="2"/>
          <w:w w:val="101"/>
        </w:rPr>
        <w:t>e</w:t>
      </w:r>
      <w:r>
        <w:rPr>
          <w:spacing w:val="2"/>
          <w:w w:val="101"/>
        </w:rPr>
        <w:t>sa.</w:t>
      </w:r>
    </w:p>
    <w:p w:rsidR="00000000" w:rsidRDefault="00000000">
      <w:pPr>
        <w:pStyle w:val="SingleTxt"/>
      </w:pPr>
      <w:r>
        <w:tab/>
        <w:t xml:space="preserve">El aumento del número de candidatas tanto en elecciones parlamentarias como en elecciones de los concejos gubernamentales locales es una tendencia positiva. Las mujeres están cada vez más interesadas en la política, aunque su éxito electoral es menor que el de los hombres (Tiina Raitviir, </w:t>
      </w:r>
      <w:r>
        <w:rPr>
          <w:i/>
        </w:rPr>
        <w:t>Eesti naised võimu juures 1992-2003</w:t>
      </w:r>
      <w:r>
        <w:t xml:space="preserve"> [La mujer estonia en el poder, 1992-2003], </w:t>
      </w:r>
      <w:r>
        <w:rPr>
          <w:i/>
        </w:rPr>
        <w:t>Riigikogu Toimetised</w:t>
      </w:r>
      <w:r>
        <w:t>, 7/2003). Las m</w:t>
      </w:r>
      <w:r>
        <w:t>u</w:t>
      </w:r>
      <w:r>
        <w:t>jeres tienen más dificultades para ser elegidas, pues generalmente carecen de los contactos sociales y el círculo de apoyo que tienen los hombres, su situación ec</w:t>
      </w:r>
      <w:r>
        <w:t>o</w:t>
      </w:r>
      <w:r>
        <w:t>nómica es peor y suelen no contar con el apoyo de otras mujeres.</w:t>
      </w:r>
    </w:p>
    <w:p w:rsidR="00000000" w:rsidRDefault="00000000">
      <w:pPr>
        <w:pStyle w:val="SingleTxt"/>
      </w:pPr>
      <w:r>
        <w:tab/>
        <w:t>Una de las razones por las que no se eligen mujeres con frecuencia es también que, debido al sistema electoral estonio, no se las ubica en los primeros lugares de las listas de candidatos. Aunque haya mujeres en los partidos políticos, pocas se presentan como candidatas en las elecciones.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7.1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490" w:hanging="1267"/>
      </w:pPr>
      <w:r>
        <w:tab/>
      </w:r>
      <w:r>
        <w:tab/>
        <w:t>Candidatas y proporción de mujeres elegidas en las elecciones en Est</w:t>
      </w:r>
      <w:r>
        <w:t>o</w:t>
      </w:r>
      <w:r>
        <w:t>nia, 1999-2004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340"/>
        <w:gridCol w:w="990"/>
        <w:gridCol w:w="875"/>
        <w:gridCol w:w="875"/>
        <w:gridCol w:w="876"/>
        <w:gridCol w:w="875"/>
        <w:gridCol w:w="875"/>
        <w:gridCol w:w="876"/>
      </w:tblGrid>
      <w:tr w:rsidR="00000000">
        <w:tblPrEx>
          <w:tblCellMar>
            <w:top w:w="0" w:type="dxa"/>
            <w:left w:w="0" w:type="dxa"/>
            <w:bottom w:w="0" w:type="dxa"/>
            <w:right w:w="0" w:type="dxa"/>
          </w:tblCellMar>
        </w:tblPrEx>
        <w:trPr>
          <w:cantSplit/>
          <w:tblHeader/>
        </w:trPr>
        <w:tc>
          <w:tcPr>
            <w:tcW w:w="23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75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Candidatos</w:t>
            </w:r>
          </w:p>
        </w:tc>
        <w:tc>
          <w:tcPr>
            <w:tcW w:w="87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875"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w:t>
            </w:r>
            <w:r>
              <w:rPr>
                <w:i/>
                <w:sz w:val="14"/>
              </w:rPr>
              <w:br/>
              <w:t xml:space="preserve"> total de cargos</w:t>
            </w:r>
          </w:p>
        </w:tc>
        <w:tc>
          <w:tcPr>
            <w:tcW w:w="875"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 de mujeres elegidas</w:t>
            </w:r>
          </w:p>
        </w:tc>
        <w:tc>
          <w:tcPr>
            <w:tcW w:w="87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r>
      <w:tr w:rsidR="00000000">
        <w:tblPrEx>
          <w:tblCellMar>
            <w:top w:w="0" w:type="dxa"/>
            <w:left w:w="0" w:type="dxa"/>
            <w:bottom w:w="0" w:type="dxa"/>
            <w:right w:w="0" w:type="dxa"/>
          </w:tblCellMar>
        </w:tblPrEx>
        <w:trPr>
          <w:cantSplit/>
          <w:tblHeader/>
        </w:trPr>
        <w:tc>
          <w:tcPr>
            <w:tcW w:w="234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Elecciones</w:t>
            </w:r>
          </w:p>
        </w:tc>
        <w:tc>
          <w:tcPr>
            <w:tcW w:w="99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Fecha</w:t>
            </w:r>
          </w:p>
        </w:tc>
        <w:tc>
          <w:tcPr>
            <w:tcW w:w="87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87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w:t>
            </w:r>
            <w:r>
              <w:rPr>
                <w:i/>
                <w:sz w:val="14"/>
              </w:rPr>
              <w:br/>
              <w:t xml:space="preserve"> de mujeres</w:t>
            </w:r>
          </w:p>
        </w:tc>
        <w:tc>
          <w:tcPr>
            <w:tcW w:w="87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t>
            </w:r>
          </w:p>
        </w:tc>
        <w:tc>
          <w:tcPr>
            <w:tcW w:w="875"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875"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87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Elecciones parlamentarias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Riigikogu</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07/03/1999</w:t>
            </w: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1 884</w:t>
            </w: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508</w:t>
            </w:r>
          </w:p>
        </w:tc>
        <w:tc>
          <w:tcPr>
            <w:tcW w:w="8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27,0</w:t>
            </w: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8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Riigikogu</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02/03/2003</w:t>
            </w: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963</w:t>
            </w: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w:t>
            </w:r>
          </w:p>
        </w:tc>
        <w:tc>
          <w:tcPr>
            <w:tcW w:w="8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21,4</w:t>
            </w: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8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18,8</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Elecciones parlamentarias europeas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13/06/2004</w:t>
            </w: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8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24,2</w:t>
            </w: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Elecciones de los concejos gubernamentales locales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Concejos gubernamentales locales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17/10/1999</w:t>
            </w: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12 802</w:t>
            </w: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4 562</w:t>
            </w:r>
          </w:p>
        </w:tc>
        <w:tc>
          <w:tcPr>
            <w:tcW w:w="8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35,6</w:t>
            </w: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3 355</w:t>
            </w:r>
          </w:p>
        </w:tc>
        <w:tc>
          <w:tcPr>
            <w:tcW w:w="8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951</w:t>
            </w:r>
          </w:p>
        </w:tc>
        <w:tc>
          <w:tcPr>
            <w:tcW w:w="8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28,3</w:t>
            </w:r>
          </w:p>
        </w:tc>
      </w:tr>
      <w:tr w:rsidR="00000000">
        <w:tblPrEx>
          <w:tblCellMar>
            <w:top w:w="0" w:type="dxa"/>
            <w:left w:w="0" w:type="dxa"/>
            <w:bottom w:w="0" w:type="dxa"/>
            <w:right w:w="0" w:type="dxa"/>
          </w:tblCellMar>
        </w:tblPrEx>
        <w:tc>
          <w:tcPr>
            <w:tcW w:w="23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Concejos gubernamentales locales</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20/10/2002</w:t>
            </w:r>
          </w:p>
        </w:tc>
        <w:tc>
          <w:tcPr>
            <w:tcW w:w="87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15 181</w:t>
            </w:r>
          </w:p>
        </w:tc>
        <w:tc>
          <w:tcPr>
            <w:tcW w:w="87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5 727</w:t>
            </w:r>
          </w:p>
        </w:tc>
        <w:tc>
          <w:tcPr>
            <w:tcW w:w="87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37,7</w:t>
            </w:r>
          </w:p>
        </w:tc>
        <w:tc>
          <w:tcPr>
            <w:tcW w:w="87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3 273</w:t>
            </w:r>
          </w:p>
        </w:tc>
        <w:tc>
          <w:tcPr>
            <w:tcW w:w="87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923</w:t>
            </w:r>
          </w:p>
        </w:tc>
        <w:tc>
          <w:tcPr>
            <w:tcW w:w="87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xml:space="preserve">: Comité Electoral de la República de Estonia. </w:t>
      </w:r>
      <w:hyperlink r:id="rId14" w:history="1">
        <w:r>
          <w:rPr>
            <w:rStyle w:val="Hyperlink"/>
          </w:rPr>
          <w:t>www.e-riik/valimiskomisjon.ee/</w:t>
        </w:r>
      </w:hyperlink>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las elecciones al Parlamento Europeo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 fines de 2003 las organizaciones de mujeres hicieron un llamamiento públ</w:t>
      </w:r>
      <w:r>
        <w:t>i</w:t>
      </w:r>
      <w:r>
        <w:t>co, pidiendo a los partidos políticos que ubicaran a las mujeres en los primeros lug</w:t>
      </w:r>
      <w:r>
        <w:t>a</w:t>
      </w:r>
      <w:r>
        <w:t>res de las listas de candidatos al Parlamento Europeo. Doscientos dos mujeres de 98 organizaciones de mujeres instaron a la población a que en las elecciones votara por candidatas mujeres.</w:t>
      </w:r>
    </w:p>
    <w:p w:rsidR="00000000" w:rsidRDefault="00000000">
      <w:pPr>
        <w:pStyle w:val="SingleTxt"/>
      </w:pPr>
      <w:r>
        <w:tab/>
        <w:t>Dos mujeres fueron elegidas al Parlamento Europeo (Siiri Oviir y Marianne Mikko) y actualmente una de ellas (Marianne Mikko) es presidenta de la delegación del Parlamento Europeo en la República de Moldova.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Proporción de mujeres en los principales partidos políticos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Existe una notable diferencia entre la proporción de hombres y de mujeres miembros ordinarios y dirigentes de los partidos. Al 1º de enero de 2002, en prom</w:t>
      </w:r>
      <w:r>
        <w:t>e</w:t>
      </w:r>
      <w:r>
        <w:t>dio el 48% de los miembros de los partidos políticos con representación en el Pa</w:t>
      </w:r>
      <w:r>
        <w:t>r</w:t>
      </w:r>
      <w:r>
        <w:t>lamento eran mujeres. En los partidos políticos conservadores había menos mujeres que en los partidos políticos liberales, y en promedio había un número más elevado de mujeres entre los miembros jóvenes de los partidos políticos que entre los mie</w:t>
      </w:r>
      <w:r>
        <w:t>m</w:t>
      </w:r>
      <w:r>
        <w:t>bros de los partidos políticos en general. Sin embargo, la jerarquía interna de los partidos revela un desequilibrio entre hombres y mujeres; en promedio, el 16% de los miembros de juntas de partidos políticos eran mujeres; en 4 de 19 juntas de pa</w:t>
      </w:r>
      <w:r>
        <w:t>r</w:t>
      </w:r>
      <w:r>
        <w:t xml:space="preserve">tidos políticos no había mujeres y en 5 había solamente una mujer (datos al 4 de marzo de 2002, Tiina Raitviir, </w:t>
      </w:r>
      <w:r>
        <w:rPr>
          <w:i/>
        </w:rPr>
        <w:t xml:space="preserve">Eesti naised poliitilise võimu juures </w:t>
      </w:r>
      <w:r>
        <w:t>[Las mujeres estonias en el poder pol</w:t>
      </w:r>
      <w:r>
        <w:t>í</w:t>
      </w:r>
      <w:r>
        <w:t xml:space="preserve">tico], </w:t>
      </w:r>
      <w:r>
        <w:rPr>
          <w:i/>
        </w:rPr>
        <w:t>Ariadne Lõng</w:t>
      </w:r>
      <w:r>
        <w:t>, 1/2, 2002).</w:t>
      </w:r>
    </w:p>
    <w:p w:rsidR="00000000" w:rsidRDefault="00000000">
      <w:pPr>
        <w:pStyle w:val="SingleTxt"/>
      </w:pPr>
      <w:r>
        <w:tab/>
        <w:t>Además, había pocas mujeres entre los dirigentes de departamentos y asoci</w:t>
      </w:r>
      <w:r>
        <w:t>a</w:t>
      </w:r>
      <w:r>
        <w:t>ciones regionales de los partidos políticos. Sólo un jefe de partido político en Est</w:t>
      </w:r>
      <w:r>
        <w:t>o</w:t>
      </w:r>
      <w:r>
        <w:t>nia, el Partido Estonio de Izquierda, es una mujer. Habida cuenta de que hay pocas mujeres dirigentes de partidos políticos, su participación en el proceso de toma de decisiones importantes está limitada, por ejemplo, en la elaboración de listas de candidatos para las elecciones. Sin embargo, algunos partidos han hecho un llam</w:t>
      </w:r>
      <w:r>
        <w:t>a</w:t>
      </w:r>
      <w:r>
        <w:t>miento especialmente dirigido a las mujeres para que se afilien al partido (por eje</w:t>
      </w:r>
      <w:r>
        <w:t>m</w:t>
      </w:r>
      <w:r>
        <w:t>plo, el Partido Estonio Centrista y el Partido Social Democrático).</w:t>
      </w:r>
    </w:p>
    <w:p w:rsidR="00000000" w:rsidRDefault="00000000">
      <w:pPr>
        <w:pStyle w:val="SingleTxt"/>
        <w:suppressAutoHyphens/>
      </w:pPr>
      <w:r>
        <w:tab/>
        <w:t>Los principales partidos políticos (la Unión Pro Patria, el Partido Reformista, el Partido Popular Unido, el Partido Social Democrático y el Partido Centrista) tienen asociaciones de mujeres.</w:t>
      </w:r>
    </w:p>
    <w:p w:rsidR="00000000" w:rsidRDefault="00000000">
      <w:pPr>
        <w:pStyle w:val="SingleTxt"/>
      </w:pPr>
      <w:r>
        <w:tab/>
        <w:t>Hasta la fecha ningún partido político en Estonia ha declarado que la igualdad de trato entre el hombre y la mujer, y que garantizar una sociedad caracterizada por el equilibrio entre los géneros sería uno de los temas claves de su programa. Solo algunos partidos mencionan la necesidad de la igualdad de género en sus programas. Sin embargo, los programas y las medidas adoptadas por los partidos no siempre son coherentes: algunas veces los partidos políticos cuyas actividades políticas se des</w:t>
      </w:r>
      <w:r>
        <w:t>a</w:t>
      </w:r>
      <w:r>
        <w:t>rrollan mayormente con grupos de liderazgo integrados principalmente por hombres destacan la necesidad de la igualdad entre los géneros (el Partido Popular Unido y Res Pública). Por otra parte, algunos partidos que han puesto a la mujer en cargos políticos de alto nivel (por ejemplo, el Partido Centrista) ni siquiera mencionan las cuestiones relacionadas con el género en sus programas.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b)</w:t>
      </w:r>
      <w:r>
        <w:rPr>
          <w:i/>
        </w:rPr>
        <w:tab/>
        <w:t>Participar en la formulación de las políticas gubernamentales y en la ejecución de éstas, y ocupar cargos públicos y ejercer todas las funciones públicas en todos los planos gubern</w:t>
      </w:r>
      <w:r>
        <w:rPr>
          <w:i/>
        </w:rPr>
        <w:t>a</w:t>
      </w:r>
      <w:r>
        <w:rPr>
          <w:i/>
        </w:rPr>
        <w:t>mentales;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proporción de mujeres en el Gobierno de Estonia ha variado, pero en pr</w:t>
      </w:r>
      <w:r>
        <w:t>o</w:t>
      </w:r>
      <w:r>
        <w:t>medio las mujeres representan el 12,5% de los integrantes del Gobierno (véase el cuadro 7.2). Después de las elecciones de 2003 inicialmente había una ministra (la Ministra de Relaciones Exteriores) en el Gobierno (el 7,1% de los miembros), y un año después había dos ministras (la Ministra de Relaciones Exteriores y la Ministra de Agricultura) (el 14,2%). Sin embargo, cabe destacar que estas ministras ocupan carteras importantes.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7.2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integrantes del Gobierno en Estonia, 1999-2004</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620"/>
        <w:gridCol w:w="1530"/>
        <w:gridCol w:w="1042"/>
        <w:gridCol w:w="1043"/>
        <w:gridCol w:w="885"/>
        <w:gridCol w:w="1200"/>
      </w:tblGrid>
      <w:tr w:rsidR="00000000">
        <w:tblPrEx>
          <w:tblCellMar>
            <w:top w:w="0" w:type="dxa"/>
            <w:left w:w="0" w:type="dxa"/>
            <w:bottom w:w="0" w:type="dxa"/>
            <w:right w:w="0" w:type="dxa"/>
          </w:tblCellMar>
        </w:tblPrEx>
        <w:trPr>
          <w:cantSplit/>
          <w:tblHeader/>
        </w:trPr>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08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Integrantes</w:t>
            </w:r>
          </w:p>
        </w:tc>
        <w:tc>
          <w:tcPr>
            <w:tcW w:w="885"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w:t>
            </w:r>
            <w:r>
              <w:rPr>
                <w:i/>
                <w:sz w:val="14"/>
              </w:rPr>
              <w:br/>
              <w:t xml:space="preserve"> de mujeres</w:t>
            </w:r>
          </w:p>
        </w:tc>
        <w:tc>
          <w:tcPr>
            <w:tcW w:w="120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Función de</w:t>
            </w:r>
            <w:r>
              <w:rPr>
                <w:i/>
                <w:sz w:val="14"/>
              </w:rPr>
              <w:br/>
              <w:t xml:space="preserve"> las ministras*</w:t>
            </w:r>
          </w:p>
        </w:tc>
      </w:tr>
      <w:tr w:rsidR="00000000">
        <w:tblPrEx>
          <w:tblCellMar>
            <w:top w:w="0" w:type="dxa"/>
            <w:left w:w="0" w:type="dxa"/>
            <w:bottom w:w="0" w:type="dxa"/>
            <w:right w:w="0" w:type="dxa"/>
          </w:tblCellMar>
        </w:tblPrEx>
        <w:trPr>
          <w:cantSplit/>
          <w:tblHeader/>
        </w:trPr>
        <w:tc>
          <w:tcPr>
            <w:tcW w:w="162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Gobierno</w:t>
            </w:r>
          </w:p>
        </w:tc>
        <w:tc>
          <w:tcPr>
            <w:tcW w:w="153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Período</w:t>
            </w:r>
          </w:p>
        </w:tc>
        <w:tc>
          <w:tcPr>
            <w:tcW w:w="1042"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104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 de mujeres</w:t>
            </w:r>
          </w:p>
        </w:tc>
        <w:tc>
          <w:tcPr>
            <w:tcW w:w="885"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200"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4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Mart Laar, segundo gobierno</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Desde el 25/03/99 hasta el 28/01/02</w:t>
            </w: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0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S; S</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Siim Kallas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Desde el 28/01/02 hasta el 10/04/03</w:t>
            </w: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0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35,7</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B; E/I; S; S; S</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Juhan Parts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Desde el 10/04/03</w:t>
            </w: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0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B</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Desde el 05/04/04</w:t>
            </w:r>
          </w:p>
        </w:tc>
        <w:tc>
          <w:tcPr>
            <w:tcW w:w="10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0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B; E</w:t>
            </w:r>
          </w:p>
        </w:tc>
      </w:tr>
      <w:tr w:rsidR="00000000">
        <w:tblPrEx>
          <w:tblCellMar>
            <w:top w:w="0" w:type="dxa"/>
            <w:left w:w="0" w:type="dxa"/>
            <w:bottom w:w="0" w:type="dxa"/>
            <w:right w:w="0" w:type="dxa"/>
          </w:tblCellMar>
        </w:tblPrEx>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Total/promedio</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w:t>
            </w:r>
          </w:p>
        </w:tc>
        <w:tc>
          <w:tcPr>
            <w:tcW w:w="104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8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12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spacing w:after="0" w:line="120" w:lineRule="exact"/>
        <w:rPr>
          <w:b/>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Gobierno de Estonia, </w:t>
      </w:r>
      <w:hyperlink r:id="rId15" w:history="1">
        <w:r>
          <w:rPr>
            <w:rStyle w:val="Hyperlink"/>
          </w:rPr>
          <w:t>www.e-riik/valitsus.ee/</w:t>
        </w:r>
      </w:hyperlink>
      <w:r>
        <w:t>.</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Se utiliza la tipología BEIS, según la cual:</w:t>
      </w:r>
    </w:p>
    <w:p w:rsidR="00000000" w:rsidRDefault="00000000">
      <w:pPr>
        <w:pStyle w:val="FootnoteText"/>
        <w:tabs>
          <w:tab w:val="clear" w:pos="418"/>
          <w:tab w:val="right" w:pos="1476"/>
          <w:tab w:val="left" w:pos="1548"/>
          <w:tab w:val="right" w:pos="1836"/>
          <w:tab w:val="left" w:pos="1908"/>
        </w:tabs>
        <w:ind w:left="1548" w:right="1267" w:hanging="288"/>
      </w:pPr>
      <w:r>
        <w:tab/>
      </w:r>
      <w:r>
        <w:tab/>
        <w:t>Función-B o funciones básicas, desempeñadas por los Ministros de Relaciones Exteriores, del Interior, de Defensa y Justicia y algunas veces también el Ministro de F</w:t>
      </w:r>
      <w:r>
        <w:t>i</w:t>
      </w:r>
      <w:r>
        <w:t>nanzas;</w:t>
      </w:r>
    </w:p>
    <w:p w:rsidR="00000000" w:rsidRDefault="00000000">
      <w:pPr>
        <w:pStyle w:val="FootnoteText"/>
        <w:tabs>
          <w:tab w:val="clear" w:pos="418"/>
          <w:tab w:val="right" w:pos="1476"/>
          <w:tab w:val="left" w:pos="1548"/>
          <w:tab w:val="right" w:pos="1836"/>
          <w:tab w:val="left" w:pos="1908"/>
        </w:tabs>
        <w:ind w:left="1548" w:right="1267" w:hanging="288"/>
      </w:pPr>
      <w:r>
        <w:tab/>
      </w:r>
      <w:r>
        <w:tab/>
        <w:t>Función-E o ministros encargados de las actividades económicas: Ministros de Finanzas, de Comercio, de Industria y de Agricultura;</w:t>
      </w:r>
    </w:p>
    <w:p w:rsidR="00000000" w:rsidRDefault="00000000">
      <w:pPr>
        <w:pStyle w:val="FootnoteText"/>
        <w:tabs>
          <w:tab w:val="clear" w:pos="418"/>
          <w:tab w:val="right" w:pos="1476"/>
          <w:tab w:val="left" w:pos="1548"/>
          <w:tab w:val="right" w:pos="1836"/>
          <w:tab w:val="left" w:pos="1908"/>
        </w:tabs>
        <w:ind w:left="1548" w:right="1267" w:hanging="288"/>
      </w:pPr>
      <w:r>
        <w:tab/>
      </w:r>
      <w:r>
        <w:tab/>
        <w:t>Función-I o ministros encargados de la infraestructura: Ministros de Comunicaciones, del Interior, de Información y de Medio Ambiente;</w:t>
      </w:r>
    </w:p>
    <w:p w:rsidR="00000000" w:rsidRDefault="00000000">
      <w:pPr>
        <w:pStyle w:val="FootnoteText"/>
        <w:tabs>
          <w:tab w:val="clear" w:pos="418"/>
          <w:tab w:val="right" w:pos="1476"/>
          <w:tab w:val="left" w:pos="1548"/>
          <w:tab w:val="right" w:pos="1836"/>
          <w:tab w:val="left" w:pos="1908"/>
        </w:tabs>
        <w:ind w:left="1548" w:right="1267" w:hanging="288"/>
      </w:pPr>
      <w:r>
        <w:tab/>
      </w:r>
      <w:r>
        <w:tab/>
        <w:t>Función-S o función sociocultural: Ministros de Asuntos Sociales (o de Trabajo, Salud, Población, Familia, Niños y Jubilados), de Cultura y de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Entre los dirigentes de los gobiernos locales hay aún menos mujeres que en el gobierno central: el 12,8% de los alcaldes son mujeres (5 de los 39 alcaldes son mujeres) y el 13,4% de los alcaldes de los municipios rurales (27 de los 202 alcaldes de municipios rurales) son mujeres (diciembre de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la administración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mayoría de los funcionarios de la administración pública son mujeres, lo que también debería promover el progreso de la mujer a puestos de liderazgo. M</w:t>
      </w:r>
      <w:r>
        <w:t>u</w:t>
      </w:r>
      <w:r>
        <w:t>chas mujeres trabajan en subdivisiones que organizan el trabajo técnico del Parl</w:t>
      </w:r>
      <w:r>
        <w:t>a</w:t>
      </w:r>
      <w:r>
        <w:t>mento y el Gobierno (departamento de reuniones gubernamentales, departamento de sistemas de información y gestión de documentos, departamento de contaduría). Aunque más de una tercera parte de los gerentes y funcionarios superiores son muj</w:t>
      </w:r>
      <w:r>
        <w:t>e</w:t>
      </w:r>
      <w:r>
        <w:t>res, éstas ocupan menos de una quinta parte de los puestos de liderazgo superiores. Para poder llegar a puestos superiores, las mujeres deben superar los prejuicios de la sociedad y estar dispuestas a asumir responsabilidades. También es importante que cuenten con el apoyo de su familia.</w:t>
      </w:r>
    </w:p>
    <w:p w:rsidR="00000000" w:rsidRDefault="00000000">
      <w:pPr>
        <w:pStyle w:val="SingleTxt"/>
      </w:pPr>
      <w:r>
        <w:tab/>
        <w:t>En comparación con democracias europeas más antiguas, tradicionalmente Estonia tiene un elevado número de juezas, incluidas presidentas de tribunales. Por otra parte, los hombres siguen ocupando puestos de liderazgo en instituciones ab</w:t>
      </w:r>
      <w:r>
        <w:t>o</w:t>
      </w:r>
      <w:r>
        <w:t>cadas al examen de la constitucionalidad y la legalidad, como el Canciller de Just</w:t>
      </w:r>
      <w:r>
        <w:t>i</w:t>
      </w:r>
      <w:r>
        <w:t>cia, el Auditor General, el Fiscal Público Jefe y el Presidente de la Corte Suprema, el Secretario de Estado, el Director de la Cancillería del Estado. Hasta 2003 una mujer ocupó el puesto de Secretario de Estado.</w:t>
      </w:r>
    </w:p>
    <w:p w:rsidR="00000000" w:rsidRDefault="00000000">
      <w:pPr>
        <w:pStyle w:val="SingleTxt"/>
        <w:rPr>
          <w:i/>
        </w:rPr>
      </w:pPr>
      <w:r>
        <w:rPr>
          <w:i/>
        </w:rPr>
        <w:tab/>
        <w:t>c)</w:t>
      </w:r>
      <w:r>
        <w:rPr>
          <w:i/>
        </w:rPr>
        <w:tab/>
        <w:t>Participar en organizaciones y asociaciones no gubernamentales que se oc</w:t>
      </w:r>
      <w:r>
        <w:rPr>
          <w:i/>
        </w:rPr>
        <w:t>u</w:t>
      </w:r>
      <w:r>
        <w:rPr>
          <w:i/>
        </w:rPr>
        <w:t>pen de la vida pública y política del país.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ab/>
        <w:t>Las organizaciones de mujeres y las asociaciones de mujeres de los partidos políticos han ejercido considerable influencia sobre las políticas de los partidos. Las asociaciones de mujeres de los partidos políticos organizan actividades de capacit</w:t>
      </w:r>
      <w:r>
        <w:t>a</w:t>
      </w:r>
      <w:r>
        <w:t>ción y por lo tanto brindan una oportunidad para el desarrollo y la realización pe</w:t>
      </w:r>
      <w:r>
        <w:t>r</w:t>
      </w:r>
      <w:r>
        <w:t>sonales, ayudan a las políticas mujeres a definir su identidad, a adquirir confianza en sí mismas y a establecer nuevos contactos. En circunstancias favorables estas asociaciones también pueden ejercer influencia sobre la junta directiva y el líder del partido, entre otras cosas en la confección de las listas de candidatos para las ele</w:t>
      </w:r>
      <w:r>
        <w:t>c</w:t>
      </w:r>
      <w:r>
        <w:t xml:space="preserve">ciones. La asociación de mujeres del Parlamento tiene gran potencial en relación con la protección de los intereses de la mujer. Actualmente una de las cuestiones principales </w:t>
      </w:r>
      <w:r>
        <w:rPr>
          <w:spacing w:val="2"/>
          <w:w w:val="101"/>
        </w:rPr>
        <w:t>es contribuir a fomentar la elección de más mujeres a organismos represe</w:t>
      </w:r>
      <w:r>
        <w:rPr>
          <w:spacing w:val="2"/>
          <w:w w:val="101"/>
        </w:rPr>
        <w:t>n</w:t>
      </w:r>
      <w:r>
        <w:rPr>
          <w:spacing w:val="2"/>
          <w:w w:val="101"/>
        </w:rPr>
        <w:t>tat</w:t>
      </w:r>
      <w:r>
        <w:rPr>
          <w:spacing w:val="2"/>
          <w:w w:val="101"/>
        </w:rPr>
        <w:t>i</w:t>
      </w:r>
      <w:r>
        <w:rPr>
          <w:spacing w:val="2"/>
          <w:w w:val="101"/>
        </w:rPr>
        <w:t>vos.</w:t>
      </w:r>
    </w:p>
    <w:p w:rsidR="00000000" w:rsidRDefault="00000000">
      <w:pPr>
        <w:pStyle w:val="SingleTxt"/>
      </w:pPr>
      <w:r>
        <w:tab/>
        <w:t>El 4 de agosto de 2003 se creó la Cadena de Cooperación de la Mujer Estonia, una organización coordinadora de varias organizaciones políticas de mujeres. Los miembros fundadores de la Cadena de Cooperación son la Unión de Mujeres Est</w:t>
      </w:r>
      <w:r>
        <w:t>o</w:t>
      </w:r>
      <w:r>
        <w:t>nias, la Unión Estonia de Mujeres Discapacitadas, la asociación de mujeres del Pa</w:t>
      </w:r>
      <w:r>
        <w:t>r</w:t>
      </w:r>
      <w:r>
        <w:t>tido Popular Unido de Estonia, la EPP (la asociación de mujeres de la Unión Pop</w:t>
      </w:r>
      <w:r>
        <w:t>u</w:t>
      </w:r>
      <w:r>
        <w:t>lar Estonia), la asociación de mujeres de la Unión Pro Patria, la asociación de muj</w:t>
      </w:r>
      <w:r>
        <w:t>e</w:t>
      </w:r>
      <w:r>
        <w:t>res del Partido Centrista KENA, Valor Cívico (la mesa redonda de asociaciones de m</w:t>
      </w:r>
      <w:r>
        <w:t>u</w:t>
      </w:r>
      <w:r>
        <w:t>jeres de la ciudad de Pärnu) y el Club de Reforma de Mujeres</w:t>
      </w:r>
      <w:r>
        <w:rPr>
          <w:i/>
        </w:rPr>
        <w:t xml:space="preserve"> NaiRe</w:t>
      </w:r>
      <w:r>
        <w:t>.</w:t>
      </w:r>
    </w:p>
    <w:p w:rsidR="00000000" w:rsidRDefault="00000000">
      <w:pPr>
        <w:pStyle w:val="SingleTxt"/>
      </w:pPr>
      <w:r>
        <w:tab/>
        <w:t>La Cadena de Cooperación se basa en el principio de la democracia y brinda mayores posibilidades de defender los derechos de la mujer. El objetivo de la Cad</w:t>
      </w:r>
      <w:r>
        <w:t>e</w:t>
      </w:r>
      <w:r>
        <w:t>na de Cooperación es servir de vínculo para que las mujeres estonias participen en actividades de cooperación nacional e internacional, apoyar la participación de la mujer en la sociedad y la política, mejorar el clima político interno de la sociedad y garantizar la aplicación del principio de igualdad entre el hombre y la mujer en la legisl</w:t>
      </w:r>
      <w:r>
        <w:t>a</w:t>
      </w:r>
      <w:r>
        <w:t>ción, la política y la vida cotidiana de Estonia.</w:t>
      </w:r>
    </w:p>
    <w:p w:rsidR="00000000" w:rsidRDefault="00000000">
      <w:pPr>
        <w:pStyle w:val="SingleTxt"/>
      </w:pPr>
      <w:r>
        <w:tab/>
        <w:t>Aunque todavía falta casi un año para las próximas elecciones de gobierno l</w:t>
      </w:r>
      <w:r>
        <w:t>o</w:t>
      </w:r>
      <w:r>
        <w:t>cal, las asociaciones de mujeres de los partidos políticos ya están preparando a sus miembros para presentarse como candidatas. En noviembre de 2004 el foro de org</w:t>
      </w:r>
      <w:r>
        <w:t>a</w:t>
      </w:r>
      <w:r>
        <w:t>nizaciones de mujeres aprobó la declaración de la Cadena de Cooperación de la Mujer Estonia en la que se instó a los partidos políticos a ubicar a mujeres comp</w:t>
      </w:r>
      <w:r>
        <w:t>e</w:t>
      </w:r>
      <w:r>
        <w:t>tentes y respetadas en los primeros lugares de las listas de candidatos, y a los v</w:t>
      </w:r>
      <w:r>
        <w:t>o</w:t>
      </w:r>
      <w:r>
        <w:t>tantes a ap</w:t>
      </w:r>
      <w:r>
        <w:t>o</w:t>
      </w:r>
      <w:r>
        <w:t>yar a las candidatas.</w:t>
      </w:r>
    </w:p>
    <w:p w:rsidR="00000000" w:rsidRDefault="00000000">
      <w:pPr>
        <w:pStyle w:val="SingleTxt"/>
      </w:pPr>
      <w:r>
        <w:tab/>
        <w:t>En 14 de los 15 condados de Estonia se han formado mesas redondas region</w:t>
      </w:r>
      <w:r>
        <w:t>a</w:t>
      </w:r>
      <w:r>
        <w:t>les de mujeres, que reúnen un elevado número de organizaciones de mujeres de los condados y a mujeres representantes de otras organizaciones. El objetivo de la mesa redonda es transformar las actitudes y las ideas de las mujeres en propuestas y pr</w:t>
      </w:r>
      <w:r>
        <w:t>e</w:t>
      </w:r>
      <w:r>
        <w:t>sentarlas a los encargados de la formulación de políticas, los gobiernos locales, el Gobierno de la República, el Parlamento y los partidos políticos. Las mesas redo</w:t>
      </w:r>
      <w:r>
        <w:t>n</w:t>
      </w:r>
      <w:r>
        <w:t>das regionales han presentado periódicamente propuestas a las uniones regionales de gobiernos locales, las autoridades de condado, el Gobierno y el Parlamento a fin de ejercer influencia sobre las decisiones y la legislación en diferentes ámbitos. Cua</w:t>
      </w:r>
      <w:r>
        <w:t>n</w:t>
      </w:r>
      <w:r>
        <w:t>do el Parlamento debatió la Ley sobre la igualdad de género, se organizó una ca</w:t>
      </w:r>
      <w:r>
        <w:t>m</w:t>
      </w:r>
      <w:r>
        <w:t>paña para enviar cartas a los miembros del Parlamento, y otra análoga para poner en práctica medidas de lucha contra la prostitución.</w:t>
      </w:r>
    </w:p>
    <w:p w:rsidR="00000000" w:rsidRDefault="00000000">
      <w:pPr>
        <w:pStyle w:val="SingleTxt"/>
      </w:pPr>
      <w:r>
        <w:tab/>
        <w:t>En julio de 2003 se formó la Mesa Redonda de Asociaciones de Mujeres Est</w:t>
      </w:r>
      <w:r>
        <w:t>o</w:t>
      </w:r>
      <w:r>
        <w:t>nias, en cooperación con organizaciones de mujeres y organizaciones de derechos humanos. El objetivo de la mesa redonda es fortalecer la sociedad civil, promover la igualdad entre el hombre y la mujer, y apoyar la red de cooperación de mujeres. La Mesa Redonda de Asociaciones de Mujeres Estonias también es la coordinadora n</w:t>
      </w:r>
      <w:r>
        <w:t>a</w:t>
      </w:r>
      <w:r>
        <w:t>cional estonia en el Lobby Europeo de Mujeres. Uno de sus desafíos es garantizar que la mujer esté representada en todos los comités y consejos nacionales.</w:t>
      </w:r>
    </w:p>
    <w:p w:rsidR="00000000" w:rsidRDefault="00000000">
      <w:pPr>
        <w:pStyle w:val="SingleTxt"/>
      </w:pPr>
      <w:r>
        <w:tab/>
        <w:t>En 2002 Formación Cívica, una asociación sin fines de lucro, organizó un foro preelectoral en el que participaron 300 personas a favor de las mujeres que se pr</w:t>
      </w:r>
      <w:r>
        <w:t>e</w:t>
      </w:r>
      <w:r>
        <w:t>sent</w:t>
      </w:r>
      <w:r>
        <w:t>a</w:t>
      </w:r>
      <w:r>
        <w:t>ban como candidatas en las elecciones a los concejos gubernamentales locales.</w:t>
      </w:r>
    </w:p>
    <w:p w:rsidR="00000000" w:rsidRDefault="00000000">
      <w:pPr>
        <w:pStyle w:val="SingleTxt"/>
      </w:pPr>
      <w:r>
        <w:tab/>
        <w:t>El 6 de septiembre, antes del referéndum sobre la adhesión a la Unión Eur</w:t>
      </w:r>
      <w:r>
        <w:t>o</w:t>
      </w:r>
      <w:r>
        <w:t>pea, se celebró el foro de mujeres “Las mujeres deciden – 2003” en el que particip</w:t>
      </w:r>
      <w:r>
        <w:t>a</w:t>
      </w:r>
      <w:r>
        <w:t>ron miembros de las principales organizaciones políticas y no políticas de mujeres de Estonia. En total, unas 300 mujeres participaron en la labor del foro. La asamblea general aprobó la declaración final del foro en la que se instó a las mujeres estonias a votar en el referéndum sobre la Unión Europea.</w:t>
      </w:r>
    </w:p>
    <w:p w:rsidR="00000000" w:rsidRDefault="00000000">
      <w:pPr>
        <w:pStyle w:val="SingleTxt"/>
      </w:pPr>
      <w:r>
        <w:tab/>
        <w:t>Asimismo, se organizó el foro “Las mujeres deciden – 2004” a fin de dar c</w:t>
      </w:r>
      <w:r>
        <w:t>o</w:t>
      </w:r>
      <w:r>
        <w:t>mienzo a los preparativos para las elecciones siguientes de gobierno local. El hecho de que el foro se haya convertido en un acontecimiento anual demuestra el interés de la mujer en participar en actividades políticas.</w:t>
      </w:r>
    </w:p>
    <w:p w:rsidR="00000000" w:rsidRDefault="00000000">
      <w:pPr>
        <w:pStyle w:val="SingleTxt"/>
        <w:suppressAutoHyphens/>
      </w:pPr>
      <w:r>
        <w:tab/>
        <w:t>La conferencia del Centro de Estudios y Recursos sobre la Mujer Estonia, en la que participan organizaciones de asociaciones de mujeres, también se ha convertido en un acontecimiento anual que se ocupa de temas importantes para la mujer en Estonia.</w:t>
      </w:r>
    </w:p>
    <w:p w:rsidR="00000000" w:rsidRDefault="00000000">
      <w:pPr>
        <w:pStyle w:val="SingleTxt"/>
      </w:pPr>
      <w:r>
        <w:tab/>
        <w:t>En el período de diciembre de 2003 a marzo de 2004 la ONG Instituto Estonio de Derechos Humanos ejecutó el proyecto “Participación equilibrada de hombres y mujeres en el proceso político y público de toma de decisiones en Estonia”. En el marco del proyecto, se elaboró una perspectiva general de la situación en Estonia que sirvió de base para la organización de mesas redondas en Jõhvi y Tallin en f</w:t>
      </w:r>
      <w:r>
        <w:t>e</w:t>
      </w:r>
      <w:r>
        <w:t>brero de 2004. Las propuestas de las mesas redondas se enviaron a todos los bloques políticos del Parlamento, las Comisiones de Asuntos Constitucionales, Sociales y Jurídicos del Parlamento, la Oficina del Ministro de Población, los Ministerios de Justicia y de Asuntos Sociales, y varios concejos de gobierno local y ONG.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Sindicatos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virtud de la Ley de sindicatos, las personas tienen derecho a establecer si</w:t>
      </w:r>
      <w:r>
        <w:t>n</w:t>
      </w:r>
      <w:r>
        <w:t>dicatos libremente, sin autorización previa, y a afiliarse o no, a éstos. Los miembros de las Fuerzas Armadas que prestan servicio activo en las Fuerzas de Defensa no pueden establecer sindicatos ni afiliarse a ellos.</w:t>
      </w:r>
    </w:p>
    <w:p w:rsidR="00000000" w:rsidRDefault="00000000">
      <w:pPr>
        <w:pStyle w:val="SingleTxt"/>
      </w:pPr>
      <w:r>
        <w:tab/>
        <w:t>En comparación con la situación imperante al final del período que abarca el informe anterior, ha disminuido el número de organizaciones que integran la Unión Central Sindical de Estonia (EAKL), pero esto se debe a la fusión de varias organ</w:t>
      </w:r>
      <w:r>
        <w:t>i</w:t>
      </w:r>
      <w:r>
        <w:t>zaciones que la integran. Sin embargo, el número total de miembros de la EAKL también disminuyó de 65.000 a 48.467. En cambio, el número y porcentaje de muj</w:t>
      </w:r>
      <w:r>
        <w:t>e</w:t>
      </w:r>
      <w:r>
        <w:t>res afiliadas ha aumentado. Al final del período que abarca el informe anterior había 25.600 mujeres afiliadas, el 42,7% del número total de afiliados de la organización. En octubre de 2004 el número de mujeres afiliadas era 27.482, el 56,7% del total de afiliados. En el ámbito de la EAKL se ha establecido la Comisión de igualdad int</w:t>
      </w:r>
      <w:r>
        <w:t>e</w:t>
      </w:r>
      <w:r>
        <w:t>grada por 10 miembros, que participa en la labor del Comité de Mujeres de la Co</w:t>
      </w:r>
      <w:r>
        <w:t>n</w:t>
      </w:r>
      <w:r>
        <w:t>federación Internacional de Organizaciones Sindicales Libres (CIOSL). El Comité ha organizado seminarios sobre sindicalismo para las mujeres que pertenecen a las organizaciones afiliadas, en las que participaron representantes de la EAKL.</w:t>
      </w:r>
    </w:p>
    <w:p w:rsidR="00000000" w:rsidRDefault="00000000">
      <w:pPr>
        <w:pStyle w:val="SingleTxt"/>
      </w:pPr>
      <w:r>
        <w:tab/>
        <w:t>Otra organización importante que agrupa sindicatos es la Organización de Si</w:t>
      </w:r>
      <w:r>
        <w:t>n</w:t>
      </w:r>
      <w:r>
        <w:t>dicatos de Empleados de Estonia (TALO). La TALO está integrada por 13 organiz</w:t>
      </w:r>
      <w:r>
        <w:t>a</w:t>
      </w:r>
      <w:r>
        <w:t>ciones, pero el número de afiliados es 32.000, de los que alrededor del 60% son mujeres. La TALO también tiene una comisión de mujeres pero actualmente está inactiva. Los empleados afiliados a la TALO participan periódicamente en activid</w:t>
      </w:r>
      <w:r>
        <w:t>a</w:t>
      </w:r>
      <w:r>
        <w:t>des destinadas a fomentar la igualdad entre los géneros (seminarios, cursos de cap</w:t>
      </w:r>
      <w:r>
        <w:t>a</w:t>
      </w:r>
      <w:r>
        <w:t>citación, etc.). El Comité expresó su preocupación respecto de la escasa represent</w:t>
      </w:r>
      <w:r>
        <w:t>a</w:t>
      </w:r>
      <w:r>
        <w:t>ción de la mujer en los organismos que participan en el proceso de toma de decisi</w:t>
      </w:r>
      <w:r>
        <w:t>o</w:t>
      </w:r>
      <w:r>
        <w:t>nes. Ha aumentado el interés de la mujer en los sindicatos y el número de mujeres afiliadas a éstos, así como su participación en actividades de capacitación.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ab/>
        <w:t>Los Estados partes tomarán todas las medidas apropiadas para garantizar a la mujer, en igualdad de condiciones con el hombre y sin discriminación alguna, la oportunidad de representar a su gobierno en el plano internacional y de participar en la labor de las organizaciones intern</w:t>
      </w:r>
      <w:r>
        <w:rPr>
          <w:i/>
        </w:rPr>
        <w:t>a</w:t>
      </w:r>
      <w:r>
        <w:rPr>
          <w:i/>
        </w:rPr>
        <w:t>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tab/>
        <w:t>Como se señaló en el informe anterior, la Ley del servicio exterior establece los requisitos de contratación para el servicio diplomático. Todas las personas tienen d</w:t>
      </w:r>
      <w:r>
        <w:t>e</w:t>
      </w:r>
      <w:r>
        <w:t>recho a ser empleadas en el servicio exterior, independientemente de su género.</w:t>
      </w:r>
    </w:p>
    <w:p w:rsidR="00000000" w:rsidRDefault="00000000">
      <w:pPr>
        <w:pStyle w:val="SingleTxt"/>
      </w:pPr>
      <w:r>
        <w:tab/>
        <w:t>Si el cónyuge de un diplomático le acompaña durante el ejercicio de sus fu</w:t>
      </w:r>
      <w:r>
        <w:t>n</w:t>
      </w:r>
      <w:r>
        <w:t>ciones en el extranjero, la prestación por servicio exterior que corresponde al dipl</w:t>
      </w:r>
      <w:r>
        <w:t>o</w:t>
      </w:r>
      <w:r>
        <w:t>mático aumenta en un 35% y el tiempo que el cónyuge permanece en la misión en el exterior se considera parte de su antigüedad en el empleo. Si el cónyuge del dipl</w:t>
      </w:r>
      <w:r>
        <w:t>o</w:t>
      </w:r>
      <w:r>
        <w:t>mático trabaja en una misión en el extranjero, no se aumenta la prestación por serv</w:t>
      </w:r>
      <w:r>
        <w:t>i</w:t>
      </w:r>
      <w:r>
        <w:t>cio exterior del diplomático. El cónyuge de un diplomático está cubierto por un s</w:t>
      </w:r>
      <w:r>
        <w:t>e</w:t>
      </w:r>
      <w:r>
        <w:t>guro m</w:t>
      </w:r>
      <w:r>
        <w:t>é</w:t>
      </w:r>
      <w:r>
        <w:t>dico.</w:t>
      </w:r>
    </w:p>
    <w:p w:rsidR="00000000" w:rsidRDefault="00000000">
      <w:pPr>
        <w:pStyle w:val="SingleTxt"/>
      </w:pPr>
      <w:r>
        <w:tab/>
        <w:t>Los cuadros siguientes muestran la proporción de mujeres en puestos dipl</w:t>
      </w:r>
      <w:r>
        <w:t>o</w:t>
      </w:r>
      <w:r>
        <w:t>máticos y la proporción de mujeres que trabajan en el Ministerio de Relaciones E</w:t>
      </w:r>
      <w:r>
        <w:t>x</w:t>
      </w:r>
      <w:r>
        <w:t>teriores y en las embajadas.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8.1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Proporción de mujeres en puestos diplomáticos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150"/>
        <w:gridCol w:w="834"/>
        <w:gridCol w:w="834"/>
        <w:gridCol w:w="834"/>
        <w:gridCol w:w="834"/>
        <w:gridCol w:w="834"/>
      </w:tblGrid>
      <w:tr w:rsidR="00000000">
        <w:tblPrEx>
          <w:tblCellMar>
            <w:top w:w="0" w:type="dxa"/>
            <w:left w:w="0" w:type="dxa"/>
            <w:bottom w:w="0" w:type="dxa"/>
            <w:right w:w="0" w:type="dxa"/>
          </w:tblCellMar>
        </w:tblPrEx>
        <w:trPr>
          <w:tblHeader/>
        </w:trPr>
        <w:tc>
          <w:tcPr>
            <w:tcW w:w="31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Proporción de mujeres en puestos diplomáticos</w:t>
            </w:r>
          </w:p>
        </w:tc>
        <w:tc>
          <w:tcPr>
            <w:tcW w:w="83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83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83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c>
          <w:tcPr>
            <w:tcW w:w="83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2003</w:t>
            </w:r>
          </w:p>
        </w:tc>
        <w:tc>
          <w:tcPr>
            <w:tcW w:w="83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2004</w:t>
            </w:r>
          </w:p>
        </w:tc>
      </w:tr>
      <w:tr w:rsidR="00000000">
        <w:tblPrEx>
          <w:tblCellMar>
            <w:top w:w="0" w:type="dxa"/>
            <w:left w:w="0" w:type="dxa"/>
            <w:bottom w:w="0" w:type="dxa"/>
            <w:right w:w="0" w:type="dxa"/>
          </w:tblCellMar>
        </w:tblPrEx>
        <w:trPr>
          <w:trHeight w:hRule="exact" w:val="115"/>
          <w:tblHeader/>
        </w:trPr>
        <w:tc>
          <w:tcPr>
            <w:tcW w:w="31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3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de puestos diplomáticos</w:t>
            </w:r>
          </w:p>
        </w:tc>
        <w:tc>
          <w:tcPr>
            <w:tcW w:w="83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254</w:t>
            </w:r>
          </w:p>
        </w:tc>
        <w:tc>
          <w:tcPr>
            <w:tcW w:w="83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292</w:t>
            </w:r>
          </w:p>
        </w:tc>
        <w:tc>
          <w:tcPr>
            <w:tcW w:w="83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309</w:t>
            </w:r>
          </w:p>
        </w:tc>
        <w:tc>
          <w:tcPr>
            <w:tcW w:w="83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329</w:t>
            </w:r>
          </w:p>
        </w:tc>
        <w:tc>
          <w:tcPr>
            <w:tcW w:w="83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349</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83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83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w:t>
            </w:r>
          </w:p>
        </w:tc>
        <w:tc>
          <w:tcPr>
            <w:tcW w:w="83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171</w:t>
            </w:r>
          </w:p>
        </w:tc>
        <w:tc>
          <w:tcPr>
            <w:tcW w:w="83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c>
          <w:tcPr>
            <w:tcW w:w="83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mujeres</w:t>
            </w:r>
          </w:p>
        </w:tc>
        <w:tc>
          <w:tcPr>
            <w:tcW w:w="83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83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83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83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83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r>
      <w:tr w:rsidR="00000000">
        <w:tblPrEx>
          <w:tblCellMar>
            <w:top w:w="0" w:type="dxa"/>
            <w:left w:w="0" w:type="dxa"/>
            <w:bottom w:w="0" w:type="dxa"/>
            <w:right w:w="0" w:type="dxa"/>
          </w:tblCellMar>
        </w:tblPrEx>
        <w:tc>
          <w:tcPr>
            <w:tcW w:w="31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Matrimonios en que ambos cónyuges ocupan puestos diplomáticos</w:t>
            </w:r>
          </w:p>
        </w:tc>
        <w:tc>
          <w:tcPr>
            <w:tcW w:w="83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83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83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3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3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Relaciones Exteriores.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cuadro muestra el aumento de la proporción de mujeres en puestos dipl</w:t>
      </w:r>
      <w:r>
        <w:t>o</w:t>
      </w:r>
      <w:r>
        <w:t>máticos durante el período 2000-2004. En 2000, 128 mujeres ocupaban puestos d</w:t>
      </w:r>
      <w:r>
        <w:t>i</w:t>
      </w:r>
      <w:r>
        <w:t>plomáticos, es decir, el 50% del total. En 2002 la proporción de mujeres ya era del 55% y ha permanecido constante hasta 2004. Desde 2002 hay en el servicio exterior de Est</w:t>
      </w:r>
      <w:r>
        <w:t>o</w:t>
      </w:r>
      <w:r>
        <w:t>nia seis matrimonios en que ambos cónyuges ocupan puestos diplomáticos.</w:t>
      </w:r>
    </w:p>
    <w:p w:rsidR="00000000" w:rsidRDefault="00000000">
      <w:pPr>
        <w:pStyle w:val="SingleTxt"/>
      </w:pPr>
      <w:r>
        <w:tab/>
        <w:t>En octubre de 2004, 590 personas trabajaban en el Ministerio de Relaciones Exteriores, de las cuales 360 eran mujeres y 230 hombres; de 343 diplomáticos, 188 eran mujeres. Las mujeres representan el 61% del total de empleados del Ministerio de Relaciones Exteriores. Es importante destacar, empero, que cuánto más impo</w:t>
      </w:r>
      <w:r>
        <w:t>r</w:t>
      </w:r>
      <w:r>
        <w:t>tante es el puesto, menor es el número de mujeres empleadas. En el Ministerio de Relaciones Exteriores trabajan junto a la Ministra y el Subsecretario Permanente de Relaciones Exteriores tres subsecretarias adjuntas (de un total de seis), cinco dire</w:t>
      </w:r>
      <w:r>
        <w:t>c</w:t>
      </w:r>
      <w:r>
        <w:t>toras generales de departamento (de un total de 17) y 32 directoras de división (de un total de 47).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rPr>
          <w:b w:val="0"/>
        </w:rPr>
        <w:t>Cuadro 8.2</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Proporción de mujeres que trabajan en la sede del Ministerio de Relaciones Exteriores en Tallin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530"/>
        <w:gridCol w:w="415"/>
        <w:gridCol w:w="416"/>
        <w:gridCol w:w="416"/>
        <w:gridCol w:w="416"/>
        <w:gridCol w:w="47"/>
        <w:gridCol w:w="369"/>
        <w:gridCol w:w="416"/>
        <w:gridCol w:w="416"/>
        <w:gridCol w:w="416"/>
        <w:gridCol w:w="93"/>
        <w:gridCol w:w="323"/>
        <w:gridCol w:w="416"/>
        <w:gridCol w:w="416"/>
        <w:gridCol w:w="416"/>
        <w:gridCol w:w="49"/>
        <w:gridCol w:w="367"/>
        <w:gridCol w:w="416"/>
        <w:gridCol w:w="416"/>
        <w:gridCol w:w="416"/>
        <w:gridCol w:w="95"/>
        <w:gridCol w:w="321"/>
        <w:gridCol w:w="416"/>
        <w:gridCol w:w="416"/>
        <w:gridCol w:w="416"/>
      </w:tblGrid>
      <w:tr w:rsidR="00000000">
        <w:tblPrEx>
          <w:tblCellMar>
            <w:top w:w="0" w:type="dxa"/>
            <w:left w:w="0" w:type="dxa"/>
            <w:bottom w:w="0" w:type="dxa"/>
            <w:right w:w="0" w:type="dxa"/>
          </w:tblCellMar>
        </w:tblPrEx>
        <w:trPr>
          <w:cantSplit/>
          <w:tblHeader/>
        </w:trPr>
        <w:tc>
          <w:tcPr>
            <w:tcW w:w="1530" w:type="dxa"/>
            <w:vMerge w:val="restart"/>
            <w:tcBorders>
              <w:top w:val="single" w:sz="4" w:space="0" w:color="auto"/>
            </w:tcBorders>
            <w:vAlign w:val="bottom"/>
          </w:tcPr>
          <w:p w:rsidR="00000000" w:rsidRDefault="00000000">
            <w:pPr>
              <w:spacing w:after="80" w:line="160" w:lineRule="exact"/>
              <w:ind w:right="40"/>
              <w:rPr>
                <w:i/>
                <w:sz w:val="14"/>
              </w:rPr>
            </w:pPr>
            <w:r>
              <w:rPr>
                <w:i/>
                <w:sz w:val="14"/>
              </w:rPr>
              <w:t>Por rango diplomático y servicio</w:t>
            </w:r>
          </w:p>
        </w:tc>
        <w:tc>
          <w:tcPr>
            <w:tcW w:w="8319" w:type="dxa"/>
            <w:gridSpan w:val="24"/>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Proporción de mujeres que trabajan en la sede del Ministerio de Relaciones Exteriores en Tallin</w:t>
            </w:r>
          </w:p>
        </w:tc>
      </w:tr>
      <w:tr w:rsidR="00000000">
        <w:tblPrEx>
          <w:tblCellMar>
            <w:top w:w="0" w:type="dxa"/>
            <w:left w:w="0" w:type="dxa"/>
            <w:bottom w:w="0" w:type="dxa"/>
            <w:right w:w="0" w:type="dxa"/>
          </w:tblCellMar>
        </w:tblPrEx>
        <w:trPr>
          <w:cantSplit/>
          <w:tblHeader/>
        </w:trPr>
        <w:tc>
          <w:tcPr>
            <w:tcW w:w="1530" w:type="dxa"/>
            <w:vMerge/>
            <w:vAlign w:val="bottom"/>
          </w:tcPr>
          <w:p w:rsidR="00000000" w:rsidRDefault="00000000">
            <w:pPr>
              <w:spacing w:after="80" w:line="160" w:lineRule="exact"/>
              <w:ind w:right="40"/>
              <w:rPr>
                <w:i/>
                <w:sz w:val="14"/>
              </w:rPr>
            </w:pPr>
          </w:p>
        </w:tc>
        <w:tc>
          <w:tcPr>
            <w:tcW w:w="1663" w:type="dxa"/>
            <w:gridSpan w:val="4"/>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2000</w:t>
            </w:r>
          </w:p>
        </w:tc>
        <w:tc>
          <w:tcPr>
            <w:tcW w:w="47" w:type="dxa"/>
            <w:tcBorders>
              <w:top w:val="single" w:sz="4" w:space="0" w:color="auto"/>
            </w:tcBorders>
            <w:vAlign w:val="bottom"/>
          </w:tcPr>
          <w:p w:rsidR="00000000" w:rsidRDefault="00000000">
            <w:pPr>
              <w:spacing w:after="80" w:line="160" w:lineRule="exact"/>
              <w:ind w:right="40"/>
              <w:jc w:val="right"/>
              <w:rPr>
                <w:i/>
                <w:sz w:val="14"/>
              </w:rPr>
            </w:pPr>
          </w:p>
        </w:tc>
        <w:tc>
          <w:tcPr>
            <w:tcW w:w="1617" w:type="dxa"/>
            <w:gridSpan w:val="4"/>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2001</w:t>
            </w:r>
          </w:p>
        </w:tc>
        <w:tc>
          <w:tcPr>
            <w:tcW w:w="93" w:type="dxa"/>
            <w:tcBorders>
              <w:top w:val="single" w:sz="4" w:space="0" w:color="auto"/>
            </w:tcBorders>
            <w:vAlign w:val="bottom"/>
          </w:tcPr>
          <w:p w:rsidR="00000000" w:rsidRDefault="00000000">
            <w:pPr>
              <w:spacing w:after="80" w:line="160" w:lineRule="exact"/>
              <w:ind w:right="40"/>
              <w:jc w:val="right"/>
              <w:rPr>
                <w:i/>
                <w:sz w:val="14"/>
              </w:rPr>
            </w:pPr>
          </w:p>
        </w:tc>
        <w:tc>
          <w:tcPr>
            <w:tcW w:w="1571" w:type="dxa"/>
            <w:gridSpan w:val="4"/>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2002</w:t>
            </w:r>
          </w:p>
        </w:tc>
        <w:tc>
          <w:tcPr>
            <w:tcW w:w="49" w:type="dxa"/>
            <w:tcBorders>
              <w:top w:val="single" w:sz="4" w:space="0" w:color="auto"/>
            </w:tcBorders>
            <w:vAlign w:val="bottom"/>
          </w:tcPr>
          <w:p w:rsidR="00000000" w:rsidRDefault="00000000">
            <w:pPr>
              <w:spacing w:after="80" w:line="160" w:lineRule="exact"/>
              <w:ind w:right="40"/>
              <w:jc w:val="right"/>
              <w:rPr>
                <w:i/>
                <w:sz w:val="14"/>
              </w:rPr>
            </w:pPr>
          </w:p>
        </w:tc>
        <w:tc>
          <w:tcPr>
            <w:tcW w:w="1615" w:type="dxa"/>
            <w:gridSpan w:val="4"/>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2003</w:t>
            </w:r>
          </w:p>
        </w:tc>
        <w:tc>
          <w:tcPr>
            <w:tcW w:w="95" w:type="dxa"/>
            <w:tcBorders>
              <w:top w:val="single" w:sz="4" w:space="0" w:color="auto"/>
            </w:tcBorders>
            <w:vAlign w:val="bottom"/>
          </w:tcPr>
          <w:p w:rsidR="00000000" w:rsidRDefault="00000000">
            <w:pPr>
              <w:spacing w:after="80" w:line="160" w:lineRule="exact"/>
              <w:ind w:right="40"/>
              <w:jc w:val="right"/>
              <w:rPr>
                <w:i/>
                <w:sz w:val="14"/>
              </w:rPr>
            </w:pPr>
          </w:p>
        </w:tc>
        <w:tc>
          <w:tcPr>
            <w:tcW w:w="1569" w:type="dxa"/>
            <w:gridSpan w:val="4"/>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2004</w:t>
            </w:r>
          </w:p>
        </w:tc>
      </w:tr>
      <w:tr w:rsidR="00000000">
        <w:tblPrEx>
          <w:tblCellMar>
            <w:top w:w="0" w:type="dxa"/>
            <w:left w:w="0" w:type="dxa"/>
            <w:bottom w:w="0" w:type="dxa"/>
            <w:right w:w="0" w:type="dxa"/>
          </w:tblCellMar>
        </w:tblPrEx>
        <w:trPr>
          <w:cantSplit/>
          <w:trHeight w:val="876"/>
          <w:tblHeader/>
        </w:trPr>
        <w:tc>
          <w:tcPr>
            <w:tcW w:w="1530" w:type="dxa"/>
            <w:vMerge/>
            <w:vAlign w:val="bottom"/>
          </w:tcPr>
          <w:p w:rsidR="00000000" w:rsidRDefault="00000000">
            <w:pPr>
              <w:spacing w:after="80" w:line="160" w:lineRule="exact"/>
              <w:ind w:right="40"/>
              <w:rPr>
                <w:i/>
                <w:sz w:val="14"/>
              </w:rPr>
            </w:pPr>
          </w:p>
        </w:tc>
        <w:tc>
          <w:tcPr>
            <w:tcW w:w="415" w:type="dxa"/>
            <w:tcBorders>
              <w:top w:val="single" w:sz="4" w:space="0" w:color="auto"/>
            </w:tcBorders>
            <w:textDirection w:val="btLr"/>
            <w:vAlign w:val="bottom"/>
          </w:tcPr>
          <w:p w:rsidR="00000000" w:rsidRDefault="00000000">
            <w:pPr>
              <w:spacing w:after="80" w:line="160" w:lineRule="exact"/>
              <w:ind w:left="113" w:right="40"/>
              <w:rPr>
                <w:i/>
                <w:sz w:val="14"/>
              </w:rPr>
            </w:pPr>
            <w:r>
              <w:rPr>
                <w:i/>
                <w:sz w:val="14"/>
              </w:rPr>
              <w:t>Total</w:t>
            </w:r>
          </w:p>
        </w:tc>
        <w:tc>
          <w:tcPr>
            <w:tcW w:w="416" w:type="dxa"/>
            <w:tcBorders>
              <w:top w:val="single" w:sz="4" w:space="0" w:color="auto"/>
            </w:tcBorders>
            <w:textDirection w:val="btLr"/>
            <w:vAlign w:val="bottom"/>
          </w:tcPr>
          <w:p w:rsidR="00000000" w:rsidRDefault="00000000">
            <w:pPr>
              <w:spacing w:after="80" w:line="160" w:lineRule="exact"/>
              <w:ind w:left="113" w:right="40"/>
              <w:rPr>
                <w:i/>
                <w:sz w:val="14"/>
              </w:rPr>
            </w:pPr>
            <w:r>
              <w:rPr>
                <w:i/>
                <w:sz w:val="14"/>
              </w:rPr>
              <w:t>Hombres</w:t>
            </w:r>
          </w:p>
        </w:tc>
        <w:tc>
          <w:tcPr>
            <w:tcW w:w="416" w:type="dxa"/>
            <w:tcBorders>
              <w:top w:val="single" w:sz="4" w:space="0" w:color="auto"/>
            </w:tcBorders>
            <w:textDirection w:val="btLr"/>
            <w:vAlign w:val="bottom"/>
          </w:tcPr>
          <w:p w:rsidR="00000000" w:rsidRDefault="00000000">
            <w:pPr>
              <w:spacing w:after="80" w:line="160" w:lineRule="exact"/>
              <w:ind w:left="113" w:right="40"/>
              <w:rPr>
                <w:i/>
                <w:sz w:val="14"/>
              </w:rPr>
            </w:pPr>
            <w:r>
              <w:rPr>
                <w:i/>
                <w:sz w:val="14"/>
              </w:rPr>
              <w:t>Mujeres</w:t>
            </w:r>
          </w:p>
        </w:tc>
        <w:tc>
          <w:tcPr>
            <w:tcW w:w="416" w:type="dxa"/>
            <w:tcBorders>
              <w:top w:val="single" w:sz="4" w:space="0" w:color="auto"/>
            </w:tcBorders>
            <w:textDirection w:val="btLr"/>
            <w:vAlign w:val="bottom"/>
          </w:tcPr>
          <w:p w:rsidR="00000000" w:rsidRDefault="00000000">
            <w:pPr>
              <w:spacing w:after="80" w:line="160" w:lineRule="exact"/>
              <w:ind w:left="113" w:right="40"/>
              <w:rPr>
                <w:i/>
                <w:sz w:val="14"/>
              </w:rPr>
            </w:pPr>
            <w:r>
              <w:rPr>
                <w:i/>
                <w:sz w:val="14"/>
              </w:rPr>
              <w:t>% mujeres</w:t>
            </w:r>
          </w:p>
        </w:tc>
        <w:tc>
          <w:tcPr>
            <w:tcW w:w="416" w:type="dxa"/>
            <w:gridSpan w:val="2"/>
            <w:textDirection w:val="btLr"/>
            <w:vAlign w:val="bottom"/>
          </w:tcPr>
          <w:p w:rsidR="00000000" w:rsidRDefault="00000000">
            <w:pPr>
              <w:spacing w:after="80" w:line="160" w:lineRule="exact"/>
              <w:ind w:left="113" w:right="40"/>
              <w:rPr>
                <w:i/>
                <w:sz w:val="14"/>
              </w:rPr>
            </w:pPr>
            <w:r>
              <w:rPr>
                <w:i/>
                <w:sz w:val="14"/>
              </w:rPr>
              <w:t>Total</w:t>
            </w:r>
          </w:p>
        </w:tc>
        <w:tc>
          <w:tcPr>
            <w:tcW w:w="416" w:type="dxa"/>
            <w:tcBorders>
              <w:top w:val="single" w:sz="4" w:space="0" w:color="auto"/>
            </w:tcBorders>
            <w:textDirection w:val="btLr"/>
            <w:vAlign w:val="bottom"/>
          </w:tcPr>
          <w:p w:rsidR="00000000" w:rsidRDefault="00000000">
            <w:pPr>
              <w:spacing w:after="80" w:line="160" w:lineRule="exact"/>
              <w:ind w:left="113" w:right="40"/>
              <w:rPr>
                <w:i/>
                <w:sz w:val="14"/>
              </w:rPr>
            </w:pPr>
            <w:r>
              <w:rPr>
                <w:i/>
                <w:sz w:val="14"/>
              </w:rPr>
              <w:t>Hombres</w:t>
            </w:r>
          </w:p>
        </w:tc>
        <w:tc>
          <w:tcPr>
            <w:tcW w:w="416" w:type="dxa"/>
            <w:tcBorders>
              <w:top w:val="single" w:sz="4" w:space="0" w:color="auto"/>
            </w:tcBorders>
            <w:textDirection w:val="btLr"/>
            <w:vAlign w:val="bottom"/>
          </w:tcPr>
          <w:p w:rsidR="00000000" w:rsidRDefault="00000000">
            <w:pPr>
              <w:spacing w:after="80" w:line="160" w:lineRule="exact"/>
              <w:ind w:left="113" w:right="40"/>
              <w:rPr>
                <w:i/>
                <w:sz w:val="14"/>
              </w:rPr>
            </w:pPr>
            <w:r>
              <w:rPr>
                <w:i/>
                <w:sz w:val="14"/>
              </w:rPr>
              <w:t>Mujeres</w:t>
            </w:r>
          </w:p>
        </w:tc>
        <w:tc>
          <w:tcPr>
            <w:tcW w:w="416" w:type="dxa"/>
            <w:tcBorders>
              <w:top w:val="single" w:sz="4" w:space="0" w:color="auto"/>
            </w:tcBorders>
            <w:textDirection w:val="btLr"/>
            <w:vAlign w:val="bottom"/>
          </w:tcPr>
          <w:p w:rsidR="00000000" w:rsidRDefault="00000000">
            <w:pPr>
              <w:spacing w:after="80" w:line="160" w:lineRule="exact"/>
              <w:ind w:left="113" w:right="40"/>
              <w:rPr>
                <w:i/>
                <w:sz w:val="14"/>
              </w:rPr>
            </w:pPr>
            <w:r>
              <w:rPr>
                <w:i/>
                <w:sz w:val="14"/>
              </w:rPr>
              <w:t>% mujeres</w:t>
            </w:r>
          </w:p>
        </w:tc>
        <w:tc>
          <w:tcPr>
            <w:tcW w:w="416" w:type="dxa"/>
            <w:gridSpan w:val="2"/>
            <w:textDirection w:val="btLr"/>
            <w:vAlign w:val="bottom"/>
          </w:tcPr>
          <w:p w:rsidR="00000000" w:rsidRDefault="00000000">
            <w:pPr>
              <w:spacing w:after="80" w:line="160" w:lineRule="exact"/>
              <w:ind w:left="113" w:right="40"/>
              <w:rPr>
                <w:i/>
                <w:sz w:val="14"/>
              </w:rPr>
            </w:pPr>
            <w:r>
              <w:rPr>
                <w:i/>
                <w:sz w:val="14"/>
              </w:rPr>
              <w:t>Total</w:t>
            </w:r>
          </w:p>
        </w:tc>
        <w:tc>
          <w:tcPr>
            <w:tcW w:w="416" w:type="dxa"/>
            <w:tcBorders>
              <w:top w:val="single" w:sz="4" w:space="0" w:color="auto"/>
            </w:tcBorders>
            <w:textDirection w:val="btLr"/>
            <w:vAlign w:val="bottom"/>
          </w:tcPr>
          <w:p w:rsidR="00000000" w:rsidRDefault="00000000">
            <w:pPr>
              <w:spacing w:after="80" w:line="160" w:lineRule="exact"/>
              <w:ind w:left="113" w:right="40"/>
              <w:rPr>
                <w:i/>
                <w:sz w:val="14"/>
              </w:rPr>
            </w:pPr>
            <w:r>
              <w:rPr>
                <w:i/>
                <w:sz w:val="14"/>
              </w:rPr>
              <w:t>Hombres</w:t>
            </w:r>
          </w:p>
        </w:tc>
        <w:tc>
          <w:tcPr>
            <w:tcW w:w="416" w:type="dxa"/>
            <w:tcBorders>
              <w:top w:val="single" w:sz="4" w:space="0" w:color="auto"/>
            </w:tcBorders>
            <w:textDirection w:val="btLr"/>
            <w:vAlign w:val="bottom"/>
          </w:tcPr>
          <w:p w:rsidR="00000000" w:rsidRDefault="00000000">
            <w:pPr>
              <w:spacing w:after="80" w:line="160" w:lineRule="exact"/>
              <w:ind w:left="113" w:right="40"/>
              <w:rPr>
                <w:i/>
                <w:sz w:val="14"/>
              </w:rPr>
            </w:pPr>
            <w:r>
              <w:rPr>
                <w:i/>
                <w:sz w:val="14"/>
              </w:rPr>
              <w:t>Mujeres</w:t>
            </w:r>
          </w:p>
        </w:tc>
        <w:tc>
          <w:tcPr>
            <w:tcW w:w="416" w:type="dxa"/>
            <w:tcBorders>
              <w:top w:val="single" w:sz="4" w:space="0" w:color="auto"/>
            </w:tcBorders>
            <w:textDirection w:val="btLr"/>
            <w:vAlign w:val="bottom"/>
          </w:tcPr>
          <w:p w:rsidR="00000000" w:rsidRDefault="00000000">
            <w:pPr>
              <w:spacing w:after="80" w:line="160" w:lineRule="exact"/>
              <w:ind w:left="113" w:right="40"/>
              <w:rPr>
                <w:i/>
                <w:sz w:val="14"/>
              </w:rPr>
            </w:pPr>
            <w:r>
              <w:rPr>
                <w:i/>
                <w:sz w:val="14"/>
              </w:rPr>
              <w:t>% mujeres</w:t>
            </w:r>
          </w:p>
        </w:tc>
        <w:tc>
          <w:tcPr>
            <w:tcW w:w="416" w:type="dxa"/>
            <w:gridSpan w:val="2"/>
            <w:textDirection w:val="btLr"/>
            <w:vAlign w:val="bottom"/>
          </w:tcPr>
          <w:p w:rsidR="00000000" w:rsidRDefault="00000000">
            <w:pPr>
              <w:spacing w:after="80" w:line="160" w:lineRule="exact"/>
              <w:ind w:left="113" w:right="40"/>
              <w:rPr>
                <w:i/>
                <w:sz w:val="14"/>
              </w:rPr>
            </w:pPr>
            <w:r>
              <w:rPr>
                <w:i/>
                <w:sz w:val="14"/>
              </w:rPr>
              <w:t>Total</w:t>
            </w:r>
          </w:p>
        </w:tc>
        <w:tc>
          <w:tcPr>
            <w:tcW w:w="416" w:type="dxa"/>
            <w:tcBorders>
              <w:top w:val="single" w:sz="4" w:space="0" w:color="auto"/>
            </w:tcBorders>
            <w:textDirection w:val="btLr"/>
            <w:vAlign w:val="bottom"/>
          </w:tcPr>
          <w:p w:rsidR="00000000" w:rsidRDefault="00000000">
            <w:pPr>
              <w:spacing w:after="80" w:line="160" w:lineRule="exact"/>
              <w:ind w:left="113" w:right="40"/>
              <w:rPr>
                <w:i/>
                <w:sz w:val="14"/>
              </w:rPr>
            </w:pPr>
            <w:r>
              <w:rPr>
                <w:i/>
                <w:sz w:val="14"/>
              </w:rPr>
              <w:t>Hombres</w:t>
            </w:r>
          </w:p>
        </w:tc>
        <w:tc>
          <w:tcPr>
            <w:tcW w:w="416" w:type="dxa"/>
            <w:tcBorders>
              <w:top w:val="single" w:sz="4" w:space="0" w:color="auto"/>
            </w:tcBorders>
            <w:textDirection w:val="btLr"/>
            <w:vAlign w:val="bottom"/>
          </w:tcPr>
          <w:p w:rsidR="00000000" w:rsidRDefault="00000000">
            <w:pPr>
              <w:spacing w:after="80" w:line="160" w:lineRule="exact"/>
              <w:ind w:left="113" w:right="40"/>
              <w:rPr>
                <w:i/>
                <w:sz w:val="14"/>
              </w:rPr>
            </w:pPr>
            <w:r>
              <w:rPr>
                <w:i/>
                <w:sz w:val="14"/>
              </w:rPr>
              <w:t>Mujeres</w:t>
            </w:r>
          </w:p>
        </w:tc>
        <w:tc>
          <w:tcPr>
            <w:tcW w:w="416" w:type="dxa"/>
            <w:tcBorders>
              <w:top w:val="single" w:sz="4" w:space="0" w:color="auto"/>
            </w:tcBorders>
            <w:textDirection w:val="btLr"/>
            <w:vAlign w:val="bottom"/>
          </w:tcPr>
          <w:p w:rsidR="00000000" w:rsidRDefault="00000000">
            <w:pPr>
              <w:spacing w:after="80" w:line="160" w:lineRule="exact"/>
              <w:ind w:left="113" w:right="40"/>
              <w:rPr>
                <w:i/>
                <w:sz w:val="14"/>
              </w:rPr>
            </w:pPr>
            <w:r>
              <w:rPr>
                <w:i/>
                <w:sz w:val="14"/>
              </w:rPr>
              <w:t>% mujeres</w:t>
            </w:r>
          </w:p>
        </w:tc>
        <w:tc>
          <w:tcPr>
            <w:tcW w:w="416" w:type="dxa"/>
            <w:gridSpan w:val="2"/>
            <w:textDirection w:val="btLr"/>
            <w:vAlign w:val="bottom"/>
          </w:tcPr>
          <w:p w:rsidR="00000000" w:rsidRDefault="00000000">
            <w:pPr>
              <w:spacing w:after="80" w:line="160" w:lineRule="exact"/>
              <w:ind w:left="113" w:right="40"/>
              <w:rPr>
                <w:i/>
                <w:sz w:val="14"/>
              </w:rPr>
            </w:pPr>
            <w:r>
              <w:rPr>
                <w:i/>
                <w:sz w:val="14"/>
              </w:rPr>
              <w:t>Total</w:t>
            </w:r>
          </w:p>
        </w:tc>
        <w:tc>
          <w:tcPr>
            <w:tcW w:w="416" w:type="dxa"/>
            <w:tcBorders>
              <w:top w:val="single" w:sz="4" w:space="0" w:color="auto"/>
            </w:tcBorders>
            <w:textDirection w:val="btLr"/>
            <w:vAlign w:val="bottom"/>
          </w:tcPr>
          <w:p w:rsidR="00000000" w:rsidRDefault="00000000">
            <w:pPr>
              <w:spacing w:after="80" w:line="160" w:lineRule="exact"/>
              <w:ind w:left="113" w:right="40"/>
              <w:rPr>
                <w:i/>
                <w:sz w:val="14"/>
              </w:rPr>
            </w:pPr>
            <w:r>
              <w:rPr>
                <w:i/>
                <w:sz w:val="14"/>
              </w:rPr>
              <w:t>Hombres</w:t>
            </w:r>
          </w:p>
        </w:tc>
        <w:tc>
          <w:tcPr>
            <w:tcW w:w="416" w:type="dxa"/>
            <w:tcBorders>
              <w:top w:val="single" w:sz="4" w:space="0" w:color="auto"/>
            </w:tcBorders>
            <w:textDirection w:val="btLr"/>
            <w:vAlign w:val="bottom"/>
          </w:tcPr>
          <w:p w:rsidR="00000000" w:rsidRDefault="00000000">
            <w:pPr>
              <w:spacing w:after="80" w:line="160" w:lineRule="exact"/>
              <w:ind w:left="113" w:right="40"/>
              <w:rPr>
                <w:i/>
                <w:sz w:val="14"/>
              </w:rPr>
            </w:pPr>
            <w:r>
              <w:rPr>
                <w:i/>
                <w:sz w:val="14"/>
              </w:rPr>
              <w:t>Mujeres</w:t>
            </w:r>
          </w:p>
        </w:tc>
        <w:tc>
          <w:tcPr>
            <w:tcW w:w="416" w:type="dxa"/>
            <w:tcBorders>
              <w:top w:val="single" w:sz="4" w:space="0" w:color="auto"/>
            </w:tcBorders>
            <w:textDirection w:val="btLr"/>
            <w:vAlign w:val="bottom"/>
          </w:tcPr>
          <w:p w:rsidR="00000000" w:rsidRDefault="00000000">
            <w:pPr>
              <w:spacing w:after="80" w:line="160" w:lineRule="exact"/>
              <w:ind w:left="113" w:right="40"/>
              <w:rPr>
                <w:i/>
                <w:sz w:val="14"/>
              </w:rPr>
            </w:pPr>
            <w:r>
              <w:rPr>
                <w:i/>
                <w:sz w:val="14"/>
              </w:rPr>
              <w:t>% mujeres</w:t>
            </w:r>
          </w:p>
        </w:tc>
      </w:tr>
      <w:tr w:rsidR="00000000">
        <w:tblPrEx>
          <w:tblCellMar>
            <w:top w:w="0" w:type="dxa"/>
            <w:left w:w="0" w:type="dxa"/>
            <w:bottom w:w="0" w:type="dxa"/>
            <w:right w:w="0" w:type="dxa"/>
          </w:tblCellMar>
        </w:tblPrEx>
        <w:trPr>
          <w:trHeight w:hRule="exact" w:val="115"/>
          <w:tblHeader/>
        </w:trPr>
        <w:tc>
          <w:tcPr>
            <w:tcW w:w="1530" w:type="dxa"/>
            <w:tcBorders>
              <w:top w:val="single" w:sz="12" w:space="0" w:color="auto"/>
            </w:tcBorders>
            <w:vAlign w:val="bottom"/>
          </w:tcPr>
          <w:p w:rsidR="00000000" w:rsidRDefault="00000000">
            <w:pPr>
              <w:spacing w:before="40" w:after="40" w:line="210" w:lineRule="exact"/>
              <w:ind w:right="40"/>
              <w:rPr>
                <w:sz w:val="17"/>
              </w:rPr>
            </w:pPr>
          </w:p>
        </w:tc>
        <w:tc>
          <w:tcPr>
            <w:tcW w:w="415" w:type="dxa"/>
            <w:tcBorders>
              <w:top w:val="single" w:sz="12" w:space="0" w:color="auto"/>
            </w:tcBorders>
            <w:vAlign w:val="bottom"/>
          </w:tcPr>
          <w:p w:rsidR="00000000" w:rsidRDefault="00000000">
            <w:pPr>
              <w:spacing w:before="40" w:after="40" w:line="210" w:lineRule="exact"/>
              <w:ind w:right="40"/>
              <w:jc w:val="right"/>
              <w:rPr>
                <w:sz w:val="17"/>
              </w:rPr>
            </w:pPr>
          </w:p>
        </w:tc>
        <w:tc>
          <w:tcPr>
            <w:tcW w:w="416" w:type="dxa"/>
            <w:tcBorders>
              <w:top w:val="single" w:sz="12" w:space="0" w:color="auto"/>
            </w:tcBorders>
            <w:vAlign w:val="bottom"/>
          </w:tcPr>
          <w:p w:rsidR="00000000" w:rsidRDefault="00000000">
            <w:pPr>
              <w:spacing w:before="40" w:after="40" w:line="210" w:lineRule="exact"/>
              <w:ind w:right="40"/>
              <w:jc w:val="right"/>
              <w:rPr>
                <w:sz w:val="17"/>
              </w:rPr>
            </w:pPr>
          </w:p>
        </w:tc>
        <w:tc>
          <w:tcPr>
            <w:tcW w:w="416" w:type="dxa"/>
            <w:tcBorders>
              <w:top w:val="single" w:sz="12" w:space="0" w:color="auto"/>
            </w:tcBorders>
            <w:vAlign w:val="bottom"/>
          </w:tcPr>
          <w:p w:rsidR="00000000" w:rsidRDefault="00000000">
            <w:pPr>
              <w:spacing w:before="40" w:after="40" w:line="210" w:lineRule="exact"/>
              <w:ind w:right="40"/>
              <w:jc w:val="right"/>
              <w:rPr>
                <w:sz w:val="17"/>
              </w:rPr>
            </w:pPr>
          </w:p>
        </w:tc>
        <w:tc>
          <w:tcPr>
            <w:tcW w:w="416" w:type="dxa"/>
            <w:tcBorders>
              <w:top w:val="single" w:sz="12" w:space="0" w:color="auto"/>
            </w:tcBorders>
            <w:vAlign w:val="bottom"/>
          </w:tcPr>
          <w:p w:rsidR="00000000" w:rsidRDefault="00000000">
            <w:pPr>
              <w:spacing w:before="40" w:after="40" w:line="210" w:lineRule="exact"/>
              <w:ind w:right="40"/>
              <w:jc w:val="right"/>
              <w:rPr>
                <w:sz w:val="17"/>
              </w:rPr>
            </w:pPr>
          </w:p>
        </w:tc>
        <w:tc>
          <w:tcPr>
            <w:tcW w:w="416"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416" w:type="dxa"/>
            <w:tcBorders>
              <w:top w:val="single" w:sz="12" w:space="0" w:color="auto"/>
            </w:tcBorders>
            <w:vAlign w:val="bottom"/>
          </w:tcPr>
          <w:p w:rsidR="00000000" w:rsidRDefault="00000000">
            <w:pPr>
              <w:spacing w:before="40" w:after="40" w:line="210" w:lineRule="exact"/>
              <w:ind w:right="40"/>
              <w:jc w:val="right"/>
              <w:rPr>
                <w:sz w:val="17"/>
              </w:rPr>
            </w:pPr>
          </w:p>
        </w:tc>
        <w:tc>
          <w:tcPr>
            <w:tcW w:w="416" w:type="dxa"/>
            <w:tcBorders>
              <w:top w:val="single" w:sz="12" w:space="0" w:color="auto"/>
            </w:tcBorders>
            <w:vAlign w:val="bottom"/>
          </w:tcPr>
          <w:p w:rsidR="00000000" w:rsidRDefault="00000000">
            <w:pPr>
              <w:spacing w:before="40" w:after="40" w:line="210" w:lineRule="exact"/>
              <w:ind w:right="40"/>
              <w:jc w:val="right"/>
              <w:rPr>
                <w:sz w:val="17"/>
              </w:rPr>
            </w:pPr>
          </w:p>
        </w:tc>
        <w:tc>
          <w:tcPr>
            <w:tcW w:w="416" w:type="dxa"/>
            <w:tcBorders>
              <w:top w:val="single" w:sz="12" w:space="0" w:color="auto"/>
            </w:tcBorders>
            <w:vAlign w:val="bottom"/>
          </w:tcPr>
          <w:p w:rsidR="00000000" w:rsidRDefault="00000000">
            <w:pPr>
              <w:spacing w:before="40" w:after="40" w:line="210" w:lineRule="exact"/>
              <w:ind w:right="40"/>
              <w:jc w:val="right"/>
              <w:rPr>
                <w:sz w:val="17"/>
              </w:rPr>
            </w:pPr>
          </w:p>
        </w:tc>
        <w:tc>
          <w:tcPr>
            <w:tcW w:w="416"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416" w:type="dxa"/>
            <w:tcBorders>
              <w:top w:val="single" w:sz="12" w:space="0" w:color="auto"/>
            </w:tcBorders>
            <w:vAlign w:val="bottom"/>
          </w:tcPr>
          <w:p w:rsidR="00000000" w:rsidRDefault="00000000">
            <w:pPr>
              <w:spacing w:before="40" w:after="40" w:line="210" w:lineRule="exact"/>
              <w:ind w:right="40"/>
              <w:jc w:val="right"/>
              <w:rPr>
                <w:sz w:val="17"/>
              </w:rPr>
            </w:pPr>
          </w:p>
        </w:tc>
        <w:tc>
          <w:tcPr>
            <w:tcW w:w="416" w:type="dxa"/>
            <w:tcBorders>
              <w:top w:val="single" w:sz="12" w:space="0" w:color="auto"/>
            </w:tcBorders>
            <w:vAlign w:val="bottom"/>
          </w:tcPr>
          <w:p w:rsidR="00000000" w:rsidRDefault="00000000">
            <w:pPr>
              <w:spacing w:before="40" w:after="40" w:line="210" w:lineRule="exact"/>
              <w:ind w:right="40"/>
              <w:jc w:val="right"/>
              <w:rPr>
                <w:sz w:val="17"/>
              </w:rPr>
            </w:pPr>
          </w:p>
        </w:tc>
        <w:tc>
          <w:tcPr>
            <w:tcW w:w="416" w:type="dxa"/>
            <w:tcBorders>
              <w:top w:val="single" w:sz="12" w:space="0" w:color="auto"/>
            </w:tcBorders>
            <w:vAlign w:val="bottom"/>
          </w:tcPr>
          <w:p w:rsidR="00000000" w:rsidRDefault="00000000">
            <w:pPr>
              <w:spacing w:before="40" w:after="40" w:line="210" w:lineRule="exact"/>
              <w:ind w:right="40"/>
              <w:jc w:val="right"/>
              <w:rPr>
                <w:sz w:val="17"/>
              </w:rPr>
            </w:pPr>
          </w:p>
        </w:tc>
        <w:tc>
          <w:tcPr>
            <w:tcW w:w="416"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416" w:type="dxa"/>
            <w:tcBorders>
              <w:top w:val="single" w:sz="12" w:space="0" w:color="auto"/>
            </w:tcBorders>
            <w:vAlign w:val="bottom"/>
          </w:tcPr>
          <w:p w:rsidR="00000000" w:rsidRDefault="00000000">
            <w:pPr>
              <w:spacing w:before="40" w:after="40" w:line="210" w:lineRule="exact"/>
              <w:ind w:right="40"/>
              <w:jc w:val="right"/>
              <w:rPr>
                <w:sz w:val="17"/>
              </w:rPr>
            </w:pPr>
          </w:p>
        </w:tc>
        <w:tc>
          <w:tcPr>
            <w:tcW w:w="416" w:type="dxa"/>
            <w:tcBorders>
              <w:top w:val="single" w:sz="12" w:space="0" w:color="auto"/>
            </w:tcBorders>
            <w:vAlign w:val="bottom"/>
          </w:tcPr>
          <w:p w:rsidR="00000000" w:rsidRDefault="00000000">
            <w:pPr>
              <w:spacing w:before="40" w:after="40" w:line="210" w:lineRule="exact"/>
              <w:ind w:right="40"/>
              <w:jc w:val="right"/>
              <w:rPr>
                <w:sz w:val="17"/>
              </w:rPr>
            </w:pPr>
          </w:p>
        </w:tc>
        <w:tc>
          <w:tcPr>
            <w:tcW w:w="416" w:type="dxa"/>
            <w:tcBorders>
              <w:top w:val="single" w:sz="12" w:space="0" w:color="auto"/>
            </w:tcBorders>
            <w:vAlign w:val="bottom"/>
          </w:tcPr>
          <w:p w:rsidR="00000000" w:rsidRDefault="00000000">
            <w:pPr>
              <w:spacing w:before="40" w:after="40" w:line="210" w:lineRule="exact"/>
              <w:ind w:right="40"/>
              <w:jc w:val="right"/>
              <w:rPr>
                <w:sz w:val="17"/>
              </w:rPr>
            </w:pPr>
          </w:p>
        </w:tc>
        <w:tc>
          <w:tcPr>
            <w:tcW w:w="416"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416" w:type="dxa"/>
            <w:tcBorders>
              <w:top w:val="single" w:sz="12" w:space="0" w:color="auto"/>
            </w:tcBorders>
            <w:vAlign w:val="bottom"/>
          </w:tcPr>
          <w:p w:rsidR="00000000" w:rsidRDefault="00000000">
            <w:pPr>
              <w:spacing w:before="40" w:after="40" w:line="210" w:lineRule="exact"/>
              <w:ind w:right="40"/>
              <w:jc w:val="right"/>
              <w:rPr>
                <w:sz w:val="17"/>
              </w:rPr>
            </w:pPr>
          </w:p>
        </w:tc>
        <w:tc>
          <w:tcPr>
            <w:tcW w:w="416" w:type="dxa"/>
            <w:tcBorders>
              <w:top w:val="single" w:sz="12" w:space="0" w:color="auto"/>
            </w:tcBorders>
            <w:vAlign w:val="bottom"/>
          </w:tcPr>
          <w:p w:rsidR="00000000" w:rsidRDefault="00000000">
            <w:pPr>
              <w:spacing w:before="40" w:after="40" w:line="210" w:lineRule="exact"/>
              <w:ind w:right="40"/>
              <w:jc w:val="right"/>
              <w:rPr>
                <w:sz w:val="17"/>
              </w:rPr>
            </w:pPr>
          </w:p>
        </w:tc>
        <w:tc>
          <w:tcPr>
            <w:tcW w:w="416"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Consejero</w:t>
            </w:r>
          </w:p>
        </w:tc>
        <w:tc>
          <w:tcPr>
            <w:tcW w:w="4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Primer Secretario</w:t>
            </w:r>
          </w:p>
        </w:tc>
        <w:tc>
          <w:tcPr>
            <w:tcW w:w="4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Segundo Secretario</w:t>
            </w:r>
          </w:p>
        </w:tc>
        <w:tc>
          <w:tcPr>
            <w:tcW w:w="4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Tercer Secretario</w:t>
            </w:r>
          </w:p>
        </w:tc>
        <w:tc>
          <w:tcPr>
            <w:tcW w:w="4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Agregado</w:t>
            </w:r>
          </w:p>
        </w:tc>
        <w:tc>
          <w:tcPr>
            <w:tcW w:w="4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Por rango oficial</w:t>
            </w:r>
          </w:p>
        </w:tc>
        <w:tc>
          <w:tcPr>
            <w:tcW w:w="4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Subsecretario Permanente</w:t>
            </w:r>
          </w:p>
        </w:tc>
        <w:tc>
          <w:tcPr>
            <w:tcW w:w="4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Subsecretario Permanente Adjunto</w:t>
            </w:r>
          </w:p>
        </w:tc>
        <w:tc>
          <w:tcPr>
            <w:tcW w:w="4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General de Departamento</w:t>
            </w:r>
          </w:p>
        </w:tc>
        <w:tc>
          <w:tcPr>
            <w:tcW w:w="4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r>
      <w:tr w:rsidR="00000000">
        <w:tblPrEx>
          <w:tblCellMar>
            <w:top w:w="0" w:type="dxa"/>
            <w:left w:w="0" w:type="dxa"/>
            <w:bottom w:w="0" w:type="dxa"/>
            <w:right w:w="0" w:type="dxa"/>
          </w:tblCellMar>
        </w:tblPrEx>
        <w:tc>
          <w:tcPr>
            <w:tcW w:w="15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 de División</w:t>
            </w:r>
          </w:p>
        </w:tc>
        <w:tc>
          <w:tcPr>
            <w:tcW w:w="4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4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4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4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41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4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4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4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41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4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4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4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41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4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4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4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41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4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4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4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r>
    </w:tbl>
    <w:p w:rsidR="00000000" w:rsidRDefault="00000000">
      <w:pPr>
        <w:pStyle w:val="Dual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Ministerio de Relaciones Exteriores.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Cuadro 8.3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Proporción de mujeres diplomáticas que trabajan en embajadas, por puesto</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530"/>
        <w:gridCol w:w="415"/>
        <w:gridCol w:w="416"/>
        <w:gridCol w:w="416"/>
        <w:gridCol w:w="416"/>
        <w:gridCol w:w="47"/>
        <w:gridCol w:w="369"/>
        <w:gridCol w:w="416"/>
        <w:gridCol w:w="416"/>
        <w:gridCol w:w="416"/>
        <w:gridCol w:w="93"/>
        <w:gridCol w:w="323"/>
        <w:gridCol w:w="416"/>
        <w:gridCol w:w="416"/>
        <w:gridCol w:w="416"/>
        <w:gridCol w:w="49"/>
        <w:gridCol w:w="367"/>
        <w:gridCol w:w="416"/>
        <w:gridCol w:w="416"/>
        <w:gridCol w:w="416"/>
        <w:gridCol w:w="95"/>
        <w:gridCol w:w="321"/>
        <w:gridCol w:w="416"/>
        <w:gridCol w:w="416"/>
        <w:gridCol w:w="416"/>
      </w:tblGrid>
      <w:tr w:rsidR="00000000">
        <w:tblPrEx>
          <w:tblCellMar>
            <w:top w:w="0" w:type="dxa"/>
            <w:left w:w="0" w:type="dxa"/>
            <w:bottom w:w="0" w:type="dxa"/>
            <w:right w:w="0" w:type="dxa"/>
          </w:tblCellMar>
        </w:tblPrEx>
        <w:trPr>
          <w:cantSplit/>
          <w:tblHeader/>
        </w:trPr>
        <w:tc>
          <w:tcPr>
            <w:tcW w:w="1530" w:type="dxa"/>
            <w:vMerge w:val="restart"/>
            <w:tcBorders>
              <w:top w:val="single" w:sz="4" w:space="0" w:color="auto"/>
            </w:tcBorders>
            <w:vAlign w:val="bottom"/>
          </w:tcPr>
          <w:p w:rsidR="00000000" w:rsidRDefault="00000000">
            <w:pPr>
              <w:spacing w:after="80" w:line="160" w:lineRule="exact"/>
              <w:ind w:right="40"/>
              <w:rPr>
                <w:i/>
                <w:sz w:val="14"/>
              </w:rPr>
            </w:pPr>
            <w:r>
              <w:rPr>
                <w:i/>
                <w:sz w:val="14"/>
              </w:rPr>
              <w:t>Por rango diplomático y servicio</w:t>
            </w:r>
          </w:p>
        </w:tc>
        <w:tc>
          <w:tcPr>
            <w:tcW w:w="8319" w:type="dxa"/>
            <w:gridSpan w:val="24"/>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Proporción de mujeres diplomáticas que trabajan en embajadas, por puesto</w:t>
            </w:r>
          </w:p>
        </w:tc>
      </w:tr>
      <w:tr w:rsidR="00000000">
        <w:tblPrEx>
          <w:tblCellMar>
            <w:top w:w="0" w:type="dxa"/>
            <w:left w:w="0" w:type="dxa"/>
            <w:bottom w:w="0" w:type="dxa"/>
            <w:right w:w="0" w:type="dxa"/>
          </w:tblCellMar>
        </w:tblPrEx>
        <w:trPr>
          <w:cantSplit/>
          <w:tblHeader/>
        </w:trPr>
        <w:tc>
          <w:tcPr>
            <w:tcW w:w="1530" w:type="dxa"/>
            <w:vMerge/>
            <w:vAlign w:val="bottom"/>
          </w:tcPr>
          <w:p w:rsidR="00000000" w:rsidRDefault="00000000">
            <w:pPr>
              <w:spacing w:after="80" w:line="160" w:lineRule="exact"/>
              <w:ind w:right="40"/>
              <w:rPr>
                <w:i/>
                <w:sz w:val="14"/>
              </w:rPr>
            </w:pPr>
          </w:p>
        </w:tc>
        <w:tc>
          <w:tcPr>
            <w:tcW w:w="1663" w:type="dxa"/>
            <w:gridSpan w:val="4"/>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2000</w:t>
            </w:r>
          </w:p>
        </w:tc>
        <w:tc>
          <w:tcPr>
            <w:tcW w:w="47" w:type="dxa"/>
            <w:tcBorders>
              <w:top w:val="single" w:sz="4" w:space="0" w:color="auto"/>
            </w:tcBorders>
            <w:vAlign w:val="bottom"/>
          </w:tcPr>
          <w:p w:rsidR="00000000" w:rsidRDefault="00000000">
            <w:pPr>
              <w:spacing w:after="80" w:line="160" w:lineRule="exact"/>
              <w:ind w:right="40"/>
              <w:jc w:val="right"/>
              <w:rPr>
                <w:i/>
                <w:sz w:val="14"/>
              </w:rPr>
            </w:pPr>
          </w:p>
        </w:tc>
        <w:tc>
          <w:tcPr>
            <w:tcW w:w="1617" w:type="dxa"/>
            <w:gridSpan w:val="4"/>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2001</w:t>
            </w:r>
          </w:p>
        </w:tc>
        <w:tc>
          <w:tcPr>
            <w:tcW w:w="93" w:type="dxa"/>
            <w:tcBorders>
              <w:top w:val="single" w:sz="4" w:space="0" w:color="auto"/>
            </w:tcBorders>
            <w:vAlign w:val="bottom"/>
          </w:tcPr>
          <w:p w:rsidR="00000000" w:rsidRDefault="00000000">
            <w:pPr>
              <w:spacing w:after="80" w:line="160" w:lineRule="exact"/>
              <w:ind w:right="40"/>
              <w:jc w:val="right"/>
              <w:rPr>
                <w:i/>
                <w:sz w:val="14"/>
              </w:rPr>
            </w:pPr>
          </w:p>
        </w:tc>
        <w:tc>
          <w:tcPr>
            <w:tcW w:w="1571" w:type="dxa"/>
            <w:gridSpan w:val="4"/>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2002</w:t>
            </w:r>
          </w:p>
        </w:tc>
        <w:tc>
          <w:tcPr>
            <w:tcW w:w="49" w:type="dxa"/>
            <w:tcBorders>
              <w:top w:val="single" w:sz="4" w:space="0" w:color="auto"/>
            </w:tcBorders>
            <w:vAlign w:val="bottom"/>
          </w:tcPr>
          <w:p w:rsidR="00000000" w:rsidRDefault="00000000">
            <w:pPr>
              <w:spacing w:after="80" w:line="160" w:lineRule="exact"/>
              <w:ind w:right="40"/>
              <w:jc w:val="right"/>
              <w:rPr>
                <w:i/>
                <w:sz w:val="14"/>
              </w:rPr>
            </w:pPr>
          </w:p>
        </w:tc>
        <w:tc>
          <w:tcPr>
            <w:tcW w:w="1615" w:type="dxa"/>
            <w:gridSpan w:val="4"/>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2003</w:t>
            </w:r>
          </w:p>
        </w:tc>
        <w:tc>
          <w:tcPr>
            <w:tcW w:w="95" w:type="dxa"/>
            <w:tcBorders>
              <w:top w:val="single" w:sz="4" w:space="0" w:color="auto"/>
            </w:tcBorders>
            <w:vAlign w:val="bottom"/>
          </w:tcPr>
          <w:p w:rsidR="00000000" w:rsidRDefault="00000000">
            <w:pPr>
              <w:spacing w:after="80" w:line="160" w:lineRule="exact"/>
              <w:ind w:right="40"/>
              <w:jc w:val="right"/>
              <w:rPr>
                <w:i/>
                <w:sz w:val="14"/>
              </w:rPr>
            </w:pPr>
          </w:p>
        </w:tc>
        <w:tc>
          <w:tcPr>
            <w:tcW w:w="1569" w:type="dxa"/>
            <w:gridSpan w:val="4"/>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2004</w:t>
            </w:r>
          </w:p>
        </w:tc>
      </w:tr>
      <w:tr w:rsidR="00000000">
        <w:tblPrEx>
          <w:tblCellMar>
            <w:top w:w="0" w:type="dxa"/>
            <w:left w:w="0" w:type="dxa"/>
            <w:bottom w:w="0" w:type="dxa"/>
            <w:right w:w="0" w:type="dxa"/>
          </w:tblCellMar>
        </w:tblPrEx>
        <w:trPr>
          <w:cantSplit/>
          <w:trHeight w:val="849"/>
          <w:tblHeader/>
        </w:trPr>
        <w:tc>
          <w:tcPr>
            <w:tcW w:w="1530" w:type="dxa"/>
            <w:vMerge/>
            <w:vAlign w:val="bottom"/>
          </w:tcPr>
          <w:p w:rsidR="00000000" w:rsidRDefault="00000000">
            <w:pPr>
              <w:spacing w:after="80" w:line="160" w:lineRule="exact"/>
              <w:ind w:right="40"/>
              <w:rPr>
                <w:i/>
                <w:sz w:val="14"/>
              </w:rPr>
            </w:pPr>
          </w:p>
        </w:tc>
        <w:tc>
          <w:tcPr>
            <w:tcW w:w="415" w:type="dxa"/>
            <w:tcBorders>
              <w:top w:val="single" w:sz="4" w:space="0" w:color="auto"/>
            </w:tcBorders>
            <w:textDirection w:val="btLr"/>
            <w:vAlign w:val="bottom"/>
          </w:tcPr>
          <w:p w:rsidR="00000000" w:rsidRDefault="00000000">
            <w:pPr>
              <w:spacing w:after="80" w:line="160" w:lineRule="exact"/>
              <w:ind w:left="113" w:right="40"/>
              <w:rPr>
                <w:i/>
                <w:sz w:val="14"/>
              </w:rPr>
            </w:pPr>
            <w:r>
              <w:rPr>
                <w:i/>
                <w:sz w:val="14"/>
              </w:rPr>
              <w:t>Total</w:t>
            </w:r>
          </w:p>
        </w:tc>
        <w:tc>
          <w:tcPr>
            <w:tcW w:w="416" w:type="dxa"/>
            <w:tcBorders>
              <w:top w:val="single" w:sz="4" w:space="0" w:color="auto"/>
            </w:tcBorders>
            <w:textDirection w:val="btLr"/>
            <w:vAlign w:val="bottom"/>
          </w:tcPr>
          <w:p w:rsidR="00000000" w:rsidRDefault="00000000">
            <w:pPr>
              <w:spacing w:after="80" w:line="160" w:lineRule="exact"/>
              <w:ind w:left="113" w:right="40"/>
              <w:rPr>
                <w:i/>
                <w:sz w:val="14"/>
              </w:rPr>
            </w:pPr>
            <w:r>
              <w:rPr>
                <w:i/>
                <w:sz w:val="14"/>
              </w:rPr>
              <w:t>Hombres</w:t>
            </w:r>
          </w:p>
        </w:tc>
        <w:tc>
          <w:tcPr>
            <w:tcW w:w="416" w:type="dxa"/>
            <w:tcBorders>
              <w:top w:val="single" w:sz="4" w:space="0" w:color="auto"/>
            </w:tcBorders>
            <w:textDirection w:val="btLr"/>
            <w:vAlign w:val="bottom"/>
          </w:tcPr>
          <w:p w:rsidR="00000000" w:rsidRDefault="00000000">
            <w:pPr>
              <w:spacing w:after="80" w:line="160" w:lineRule="exact"/>
              <w:ind w:left="113" w:right="40"/>
              <w:rPr>
                <w:i/>
                <w:sz w:val="14"/>
              </w:rPr>
            </w:pPr>
            <w:r>
              <w:rPr>
                <w:i/>
                <w:sz w:val="14"/>
              </w:rPr>
              <w:t>Mujeres</w:t>
            </w:r>
          </w:p>
        </w:tc>
        <w:tc>
          <w:tcPr>
            <w:tcW w:w="416" w:type="dxa"/>
            <w:tcBorders>
              <w:top w:val="single" w:sz="4" w:space="0" w:color="auto"/>
            </w:tcBorders>
            <w:textDirection w:val="btLr"/>
            <w:vAlign w:val="bottom"/>
          </w:tcPr>
          <w:p w:rsidR="00000000" w:rsidRDefault="00000000">
            <w:pPr>
              <w:spacing w:after="80" w:line="160" w:lineRule="exact"/>
              <w:ind w:left="113" w:right="40"/>
              <w:rPr>
                <w:i/>
                <w:sz w:val="14"/>
              </w:rPr>
            </w:pPr>
            <w:r>
              <w:rPr>
                <w:i/>
                <w:sz w:val="14"/>
              </w:rPr>
              <w:t>% mujeres</w:t>
            </w:r>
          </w:p>
        </w:tc>
        <w:tc>
          <w:tcPr>
            <w:tcW w:w="416" w:type="dxa"/>
            <w:gridSpan w:val="2"/>
            <w:textDirection w:val="btLr"/>
            <w:vAlign w:val="bottom"/>
          </w:tcPr>
          <w:p w:rsidR="00000000" w:rsidRDefault="00000000">
            <w:pPr>
              <w:spacing w:after="80" w:line="160" w:lineRule="exact"/>
              <w:ind w:left="113" w:right="40"/>
              <w:rPr>
                <w:i/>
                <w:sz w:val="14"/>
              </w:rPr>
            </w:pPr>
            <w:r>
              <w:rPr>
                <w:i/>
                <w:sz w:val="14"/>
              </w:rPr>
              <w:t>Total</w:t>
            </w:r>
          </w:p>
        </w:tc>
        <w:tc>
          <w:tcPr>
            <w:tcW w:w="416" w:type="dxa"/>
            <w:tcBorders>
              <w:top w:val="single" w:sz="4" w:space="0" w:color="auto"/>
            </w:tcBorders>
            <w:textDirection w:val="btLr"/>
            <w:vAlign w:val="bottom"/>
          </w:tcPr>
          <w:p w:rsidR="00000000" w:rsidRDefault="00000000">
            <w:pPr>
              <w:spacing w:after="80" w:line="160" w:lineRule="exact"/>
              <w:ind w:left="113" w:right="40"/>
              <w:rPr>
                <w:i/>
                <w:sz w:val="14"/>
              </w:rPr>
            </w:pPr>
            <w:r>
              <w:rPr>
                <w:i/>
                <w:sz w:val="14"/>
              </w:rPr>
              <w:t>Hombres</w:t>
            </w:r>
          </w:p>
        </w:tc>
        <w:tc>
          <w:tcPr>
            <w:tcW w:w="416" w:type="dxa"/>
            <w:tcBorders>
              <w:top w:val="single" w:sz="4" w:space="0" w:color="auto"/>
            </w:tcBorders>
            <w:textDirection w:val="btLr"/>
            <w:vAlign w:val="bottom"/>
          </w:tcPr>
          <w:p w:rsidR="00000000" w:rsidRDefault="00000000">
            <w:pPr>
              <w:spacing w:after="80" w:line="160" w:lineRule="exact"/>
              <w:ind w:left="113" w:right="40"/>
              <w:rPr>
                <w:i/>
                <w:sz w:val="14"/>
              </w:rPr>
            </w:pPr>
            <w:r>
              <w:rPr>
                <w:i/>
                <w:sz w:val="14"/>
              </w:rPr>
              <w:t>Mujeres</w:t>
            </w:r>
          </w:p>
        </w:tc>
        <w:tc>
          <w:tcPr>
            <w:tcW w:w="416" w:type="dxa"/>
            <w:tcBorders>
              <w:top w:val="single" w:sz="4" w:space="0" w:color="auto"/>
            </w:tcBorders>
            <w:textDirection w:val="btLr"/>
            <w:vAlign w:val="bottom"/>
          </w:tcPr>
          <w:p w:rsidR="00000000" w:rsidRDefault="00000000">
            <w:pPr>
              <w:spacing w:after="80" w:line="160" w:lineRule="exact"/>
              <w:ind w:left="113" w:right="40"/>
              <w:rPr>
                <w:i/>
                <w:sz w:val="14"/>
              </w:rPr>
            </w:pPr>
            <w:r>
              <w:rPr>
                <w:i/>
                <w:sz w:val="14"/>
              </w:rPr>
              <w:t>% mujeres</w:t>
            </w:r>
          </w:p>
        </w:tc>
        <w:tc>
          <w:tcPr>
            <w:tcW w:w="416" w:type="dxa"/>
            <w:gridSpan w:val="2"/>
            <w:textDirection w:val="btLr"/>
            <w:vAlign w:val="bottom"/>
          </w:tcPr>
          <w:p w:rsidR="00000000" w:rsidRDefault="00000000">
            <w:pPr>
              <w:spacing w:after="80" w:line="160" w:lineRule="exact"/>
              <w:ind w:left="113" w:right="40"/>
              <w:rPr>
                <w:i/>
                <w:sz w:val="14"/>
              </w:rPr>
            </w:pPr>
            <w:r>
              <w:rPr>
                <w:i/>
                <w:sz w:val="14"/>
              </w:rPr>
              <w:t>Total</w:t>
            </w:r>
          </w:p>
        </w:tc>
        <w:tc>
          <w:tcPr>
            <w:tcW w:w="416" w:type="dxa"/>
            <w:tcBorders>
              <w:top w:val="single" w:sz="4" w:space="0" w:color="auto"/>
            </w:tcBorders>
            <w:textDirection w:val="btLr"/>
            <w:vAlign w:val="bottom"/>
          </w:tcPr>
          <w:p w:rsidR="00000000" w:rsidRDefault="00000000">
            <w:pPr>
              <w:spacing w:after="80" w:line="160" w:lineRule="exact"/>
              <w:ind w:left="113" w:right="40"/>
              <w:rPr>
                <w:i/>
                <w:sz w:val="14"/>
              </w:rPr>
            </w:pPr>
            <w:r>
              <w:rPr>
                <w:i/>
                <w:sz w:val="14"/>
              </w:rPr>
              <w:t>Hombres</w:t>
            </w:r>
          </w:p>
        </w:tc>
        <w:tc>
          <w:tcPr>
            <w:tcW w:w="416" w:type="dxa"/>
            <w:tcBorders>
              <w:top w:val="single" w:sz="4" w:space="0" w:color="auto"/>
            </w:tcBorders>
            <w:textDirection w:val="btLr"/>
            <w:vAlign w:val="bottom"/>
          </w:tcPr>
          <w:p w:rsidR="00000000" w:rsidRDefault="00000000">
            <w:pPr>
              <w:spacing w:after="80" w:line="160" w:lineRule="exact"/>
              <w:ind w:left="113" w:right="40"/>
              <w:rPr>
                <w:i/>
                <w:sz w:val="14"/>
              </w:rPr>
            </w:pPr>
            <w:r>
              <w:rPr>
                <w:i/>
                <w:sz w:val="14"/>
              </w:rPr>
              <w:t>Mujeres</w:t>
            </w:r>
          </w:p>
        </w:tc>
        <w:tc>
          <w:tcPr>
            <w:tcW w:w="416" w:type="dxa"/>
            <w:tcBorders>
              <w:top w:val="single" w:sz="4" w:space="0" w:color="auto"/>
            </w:tcBorders>
            <w:textDirection w:val="btLr"/>
            <w:vAlign w:val="bottom"/>
          </w:tcPr>
          <w:p w:rsidR="00000000" w:rsidRDefault="00000000">
            <w:pPr>
              <w:spacing w:after="80" w:line="160" w:lineRule="exact"/>
              <w:ind w:left="113" w:right="40"/>
              <w:rPr>
                <w:i/>
                <w:sz w:val="14"/>
              </w:rPr>
            </w:pPr>
            <w:r>
              <w:rPr>
                <w:i/>
                <w:sz w:val="14"/>
              </w:rPr>
              <w:t>% mujeres</w:t>
            </w:r>
          </w:p>
        </w:tc>
        <w:tc>
          <w:tcPr>
            <w:tcW w:w="416" w:type="dxa"/>
            <w:gridSpan w:val="2"/>
            <w:textDirection w:val="btLr"/>
            <w:vAlign w:val="bottom"/>
          </w:tcPr>
          <w:p w:rsidR="00000000" w:rsidRDefault="00000000">
            <w:pPr>
              <w:spacing w:after="80" w:line="160" w:lineRule="exact"/>
              <w:ind w:left="113" w:right="40"/>
              <w:rPr>
                <w:i/>
                <w:sz w:val="14"/>
              </w:rPr>
            </w:pPr>
            <w:r>
              <w:rPr>
                <w:i/>
                <w:sz w:val="14"/>
              </w:rPr>
              <w:t>Total</w:t>
            </w:r>
          </w:p>
        </w:tc>
        <w:tc>
          <w:tcPr>
            <w:tcW w:w="416" w:type="dxa"/>
            <w:tcBorders>
              <w:top w:val="single" w:sz="4" w:space="0" w:color="auto"/>
            </w:tcBorders>
            <w:textDirection w:val="btLr"/>
            <w:vAlign w:val="bottom"/>
          </w:tcPr>
          <w:p w:rsidR="00000000" w:rsidRDefault="00000000">
            <w:pPr>
              <w:spacing w:after="80" w:line="160" w:lineRule="exact"/>
              <w:ind w:left="113" w:right="40"/>
              <w:rPr>
                <w:i/>
                <w:sz w:val="14"/>
              </w:rPr>
            </w:pPr>
            <w:r>
              <w:rPr>
                <w:i/>
                <w:sz w:val="14"/>
              </w:rPr>
              <w:t>Hombres</w:t>
            </w:r>
          </w:p>
        </w:tc>
        <w:tc>
          <w:tcPr>
            <w:tcW w:w="416" w:type="dxa"/>
            <w:tcBorders>
              <w:top w:val="single" w:sz="4" w:space="0" w:color="auto"/>
            </w:tcBorders>
            <w:textDirection w:val="btLr"/>
            <w:vAlign w:val="bottom"/>
          </w:tcPr>
          <w:p w:rsidR="00000000" w:rsidRDefault="00000000">
            <w:pPr>
              <w:spacing w:after="80" w:line="160" w:lineRule="exact"/>
              <w:ind w:left="113" w:right="40"/>
              <w:rPr>
                <w:i/>
                <w:sz w:val="14"/>
              </w:rPr>
            </w:pPr>
            <w:r>
              <w:rPr>
                <w:i/>
                <w:sz w:val="14"/>
              </w:rPr>
              <w:t>Mujeres</w:t>
            </w:r>
          </w:p>
        </w:tc>
        <w:tc>
          <w:tcPr>
            <w:tcW w:w="416" w:type="dxa"/>
            <w:tcBorders>
              <w:top w:val="single" w:sz="4" w:space="0" w:color="auto"/>
            </w:tcBorders>
            <w:textDirection w:val="btLr"/>
            <w:vAlign w:val="bottom"/>
          </w:tcPr>
          <w:p w:rsidR="00000000" w:rsidRDefault="00000000">
            <w:pPr>
              <w:spacing w:after="80" w:line="160" w:lineRule="exact"/>
              <w:ind w:left="113" w:right="40"/>
              <w:rPr>
                <w:i/>
                <w:sz w:val="14"/>
              </w:rPr>
            </w:pPr>
            <w:r>
              <w:rPr>
                <w:i/>
                <w:sz w:val="14"/>
              </w:rPr>
              <w:t>% mujeres</w:t>
            </w:r>
          </w:p>
        </w:tc>
        <w:tc>
          <w:tcPr>
            <w:tcW w:w="416" w:type="dxa"/>
            <w:gridSpan w:val="2"/>
            <w:textDirection w:val="btLr"/>
            <w:vAlign w:val="bottom"/>
          </w:tcPr>
          <w:p w:rsidR="00000000" w:rsidRDefault="00000000">
            <w:pPr>
              <w:spacing w:after="80" w:line="160" w:lineRule="exact"/>
              <w:ind w:left="113" w:right="40"/>
              <w:rPr>
                <w:i/>
                <w:sz w:val="14"/>
              </w:rPr>
            </w:pPr>
            <w:r>
              <w:rPr>
                <w:i/>
                <w:sz w:val="14"/>
              </w:rPr>
              <w:t>Total</w:t>
            </w:r>
          </w:p>
        </w:tc>
        <w:tc>
          <w:tcPr>
            <w:tcW w:w="416" w:type="dxa"/>
            <w:tcBorders>
              <w:top w:val="single" w:sz="4" w:space="0" w:color="auto"/>
            </w:tcBorders>
            <w:textDirection w:val="btLr"/>
            <w:vAlign w:val="bottom"/>
          </w:tcPr>
          <w:p w:rsidR="00000000" w:rsidRDefault="00000000">
            <w:pPr>
              <w:spacing w:after="80" w:line="160" w:lineRule="exact"/>
              <w:ind w:left="113" w:right="40"/>
              <w:rPr>
                <w:i/>
                <w:sz w:val="14"/>
              </w:rPr>
            </w:pPr>
            <w:r>
              <w:rPr>
                <w:i/>
                <w:sz w:val="14"/>
              </w:rPr>
              <w:t>Hombres</w:t>
            </w:r>
          </w:p>
        </w:tc>
        <w:tc>
          <w:tcPr>
            <w:tcW w:w="416" w:type="dxa"/>
            <w:tcBorders>
              <w:top w:val="single" w:sz="4" w:space="0" w:color="auto"/>
            </w:tcBorders>
            <w:textDirection w:val="btLr"/>
            <w:vAlign w:val="bottom"/>
          </w:tcPr>
          <w:p w:rsidR="00000000" w:rsidRDefault="00000000">
            <w:pPr>
              <w:spacing w:after="80" w:line="160" w:lineRule="exact"/>
              <w:ind w:left="113" w:right="40"/>
              <w:rPr>
                <w:i/>
                <w:sz w:val="14"/>
              </w:rPr>
            </w:pPr>
            <w:r>
              <w:rPr>
                <w:i/>
                <w:sz w:val="14"/>
              </w:rPr>
              <w:t>Mujeres</w:t>
            </w:r>
          </w:p>
        </w:tc>
        <w:tc>
          <w:tcPr>
            <w:tcW w:w="416" w:type="dxa"/>
            <w:tcBorders>
              <w:top w:val="single" w:sz="4" w:space="0" w:color="auto"/>
            </w:tcBorders>
            <w:textDirection w:val="btLr"/>
            <w:vAlign w:val="bottom"/>
          </w:tcPr>
          <w:p w:rsidR="00000000" w:rsidRDefault="00000000">
            <w:pPr>
              <w:spacing w:after="80" w:line="160" w:lineRule="exact"/>
              <w:ind w:left="113" w:right="40"/>
              <w:rPr>
                <w:i/>
                <w:sz w:val="14"/>
              </w:rPr>
            </w:pPr>
            <w:r>
              <w:rPr>
                <w:i/>
                <w:sz w:val="14"/>
              </w:rPr>
              <w:t>% mujeres</w:t>
            </w:r>
          </w:p>
        </w:tc>
      </w:tr>
      <w:tr w:rsidR="00000000">
        <w:tblPrEx>
          <w:tblCellMar>
            <w:top w:w="0" w:type="dxa"/>
            <w:left w:w="0" w:type="dxa"/>
            <w:bottom w:w="0" w:type="dxa"/>
            <w:right w:w="0" w:type="dxa"/>
          </w:tblCellMar>
        </w:tblPrEx>
        <w:trPr>
          <w:trHeight w:hRule="exact" w:val="115"/>
          <w:tblHeader/>
        </w:trPr>
        <w:tc>
          <w:tcPr>
            <w:tcW w:w="1530" w:type="dxa"/>
            <w:tcBorders>
              <w:top w:val="single" w:sz="12" w:space="0" w:color="auto"/>
            </w:tcBorders>
            <w:vAlign w:val="bottom"/>
          </w:tcPr>
          <w:p w:rsidR="00000000" w:rsidRDefault="00000000">
            <w:pPr>
              <w:spacing w:before="40" w:after="40" w:line="210" w:lineRule="exact"/>
              <w:ind w:right="40"/>
              <w:rPr>
                <w:sz w:val="17"/>
              </w:rPr>
            </w:pPr>
          </w:p>
        </w:tc>
        <w:tc>
          <w:tcPr>
            <w:tcW w:w="415" w:type="dxa"/>
            <w:tcBorders>
              <w:top w:val="single" w:sz="12" w:space="0" w:color="auto"/>
            </w:tcBorders>
            <w:vAlign w:val="bottom"/>
          </w:tcPr>
          <w:p w:rsidR="00000000" w:rsidRDefault="00000000">
            <w:pPr>
              <w:spacing w:before="40" w:after="40" w:line="210" w:lineRule="exact"/>
              <w:ind w:right="40"/>
              <w:jc w:val="right"/>
              <w:rPr>
                <w:sz w:val="17"/>
              </w:rPr>
            </w:pPr>
          </w:p>
        </w:tc>
        <w:tc>
          <w:tcPr>
            <w:tcW w:w="416" w:type="dxa"/>
            <w:tcBorders>
              <w:top w:val="single" w:sz="12" w:space="0" w:color="auto"/>
            </w:tcBorders>
            <w:vAlign w:val="bottom"/>
          </w:tcPr>
          <w:p w:rsidR="00000000" w:rsidRDefault="00000000">
            <w:pPr>
              <w:spacing w:before="40" w:after="40" w:line="210" w:lineRule="exact"/>
              <w:ind w:right="40"/>
              <w:jc w:val="right"/>
              <w:rPr>
                <w:sz w:val="17"/>
              </w:rPr>
            </w:pPr>
          </w:p>
        </w:tc>
        <w:tc>
          <w:tcPr>
            <w:tcW w:w="416" w:type="dxa"/>
            <w:tcBorders>
              <w:top w:val="single" w:sz="12" w:space="0" w:color="auto"/>
            </w:tcBorders>
            <w:vAlign w:val="bottom"/>
          </w:tcPr>
          <w:p w:rsidR="00000000" w:rsidRDefault="00000000">
            <w:pPr>
              <w:spacing w:before="40" w:after="40" w:line="210" w:lineRule="exact"/>
              <w:ind w:right="40"/>
              <w:jc w:val="right"/>
              <w:rPr>
                <w:sz w:val="17"/>
              </w:rPr>
            </w:pPr>
          </w:p>
        </w:tc>
        <w:tc>
          <w:tcPr>
            <w:tcW w:w="416" w:type="dxa"/>
            <w:tcBorders>
              <w:top w:val="single" w:sz="12" w:space="0" w:color="auto"/>
            </w:tcBorders>
            <w:vAlign w:val="bottom"/>
          </w:tcPr>
          <w:p w:rsidR="00000000" w:rsidRDefault="00000000">
            <w:pPr>
              <w:spacing w:before="40" w:after="40" w:line="210" w:lineRule="exact"/>
              <w:ind w:right="40"/>
              <w:jc w:val="right"/>
              <w:rPr>
                <w:sz w:val="17"/>
              </w:rPr>
            </w:pPr>
          </w:p>
        </w:tc>
        <w:tc>
          <w:tcPr>
            <w:tcW w:w="416"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416" w:type="dxa"/>
            <w:tcBorders>
              <w:top w:val="single" w:sz="12" w:space="0" w:color="auto"/>
            </w:tcBorders>
            <w:vAlign w:val="bottom"/>
          </w:tcPr>
          <w:p w:rsidR="00000000" w:rsidRDefault="00000000">
            <w:pPr>
              <w:spacing w:before="40" w:after="40" w:line="210" w:lineRule="exact"/>
              <w:ind w:right="40"/>
              <w:jc w:val="right"/>
              <w:rPr>
                <w:sz w:val="17"/>
              </w:rPr>
            </w:pPr>
          </w:p>
        </w:tc>
        <w:tc>
          <w:tcPr>
            <w:tcW w:w="416" w:type="dxa"/>
            <w:tcBorders>
              <w:top w:val="single" w:sz="12" w:space="0" w:color="auto"/>
            </w:tcBorders>
            <w:vAlign w:val="bottom"/>
          </w:tcPr>
          <w:p w:rsidR="00000000" w:rsidRDefault="00000000">
            <w:pPr>
              <w:spacing w:before="40" w:after="40" w:line="210" w:lineRule="exact"/>
              <w:ind w:right="40"/>
              <w:jc w:val="right"/>
              <w:rPr>
                <w:sz w:val="17"/>
              </w:rPr>
            </w:pPr>
          </w:p>
        </w:tc>
        <w:tc>
          <w:tcPr>
            <w:tcW w:w="416" w:type="dxa"/>
            <w:tcBorders>
              <w:top w:val="single" w:sz="12" w:space="0" w:color="auto"/>
            </w:tcBorders>
            <w:vAlign w:val="bottom"/>
          </w:tcPr>
          <w:p w:rsidR="00000000" w:rsidRDefault="00000000">
            <w:pPr>
              <w:spacing w:before="40" w:after="40" w:line="210" w:lineRule="exact"/>
              <w:ind w:right="40"/>
              <w:jc w:val="right"/>
              <w:rPr>
                <w:sz w:val="17"/>
              </w:rPr>
            </w:pPr>
          </w:p>
        </w:tc>
        <w:tc>
          <w:tcPr>
            <w:tcW w:w="416"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416" w:type="dxa"/>
            <w:tcBorders>
              <w:top w:val="single" w:sz="12" w:space="0" w:color="auto"/>
            </w:tcBorders>
            <w:vAlign w:val="bottom"/>
          </w:tcPr>
          <w:p w:rsidR="00000000" w:rsidRDefault="00000000">
            <w:pPr>
              <w:spacing w:before="40" w:after="40" w:line="210" w:lineRule="exact"/>
              <w:ind w:right="40"/>
              <w:jc w:val="right"/>
              <w:rPr>
                <w:sz w:val="17"/>
              </w:rPr>
            </w:pPr>
          </w:p>
        </w:tc>
        <w:tc>
          <w:tcPr>
            <w:tcW w:w="416" w:type="dxa"/>
            <w:tcBorders>
              <w:top w:val="single" w:sz="12" w:space="0" w:color="auto"/>
            </w:tcBorders>
            <w:vAlign w:val="bottom"/>
          </w:tcPr>
          <w:p w:rsidR="00000000" w:rsidRDefault="00000000">
            <w:pPr>
              <w:spacing w:before="40" w:after="40" w:line="210" w:lineRule="exact"/>
              <w:ind w:right="40"/>
              <w:jc w:val="right"/>
              <w:rPr>
                <w:sz w:val="17"/>
              </w:rPr>
            </w:pPr>
          </w:p>
        </w:tc>
        <w:tc>
          <w:tcPr>
            <w:tcW w:w="416" w:type="dxa"/>
            <w:tcBorders>
              <w:top w:val="single" w:sz="12" w:space="0" w:color="auto"/>
            </w:tcBorders>
            <w:vAlign w:val="bottom"/>
          </w:tcPr>
          <w:p w:rsidR="00000000" w:rsidRDefault="00000000">
            <w:pPr>
              <w:spacing w:before="40" w:after="40" w:line="210" w:lineRule="exact"/>
              <w:ind w:right="40"/>
              <w:jc w:val="right"/>
              <w:rPr>
                <w:sz w:val="17"/>
              </w:rPr>
            </w:pPr>
          </w:p>
        </w:tc>
        <w:tc>
          <w:tcPr>
            <w:tcW w:w="416"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416" w:type="dxa"/>
            <w:tcBorders>
              <w:top w:val="single" w:sz="12" w:space="0" w:color="auto"/>
            </w:tcBorders>
            <w:vAlign w:val="bottom"/>
          </w:tcPr>
          <w:p w:rsidR="00000000" w:rsidRDefault="00000000">
            <w:pPr>
              <w:spacing w:before="40" w:after="40" w:line="210" w:lineRule="exact"/>
              <w:ind w:right="40"/>
              <w:jc w:val="right"/>
              <w:rPr>
                <w:sz w:val="17"/>
              </w:rPr>
            </w:pPr>
          </w:p>
        </w:tc>
        <w:tc>
          <w:tcPr>
            <w:tcW w:w="416" w:type="dxa"/>
            <w:tcBorders>
              <w:top w:val="single" w:sz="12" w:space="0" w:color="auto"/>
            </w:tcBorders>
            <w:vAlign w:val="bottom"/>
          </w:tcPr>
          <w:p w:rsidR="00000000" w:rsidRDefault="00000000">
            <w:pPr>
              <w:spacing w:before="40" w:after="40" w:line="210" w:lineRule="exact"/>
              <w:ind w:right="40"/>
              <w:jc w:val="right"/>
              <w:rPr>
                <w:sz w:val="17"/>
              </w:rPr>
            </w:pPr>
          </w:p>
        </w:tc>
        <w:tc>
          <w:tcPr>
            <w:tcW w:w="416" w:type="dxa"/>
            <w:tcBorders>
              <w:top w:val="single" w:sz="12" w:space="0" w:color="auto"/>
            </w:tcBorders>
            <w:vAlign w:val="bottom"/>
          </w:tcPr>
          <w:p w:rsidR="00000000" w:rsidRDefault="00000000">
            <w:pPr>
              <w:spacing w:before="40" w:after="40" w:line="210" w:lineRule="exact"/>
              <w:ind w:right="40"/>
              <w:jc w:val="right"/>
              <w:rPr>
                <w:sz w:val="17"/>
              </w:rPr>
            </w:pPr>
          </w:p>
        </w:tc>
        <w:tc>
          <w:tcPr>
            <w:tcW w:w="416"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416" w:type="dxa"/>
            <w:tcBorders>
              <w:top w:val="single" w:sz="12" w:space="0" w:color="auto"/>
            </w:tcBorders>
            <w:vAlign w:val="bottom"/>
          </w:tcPr>
          <w:p w:rsidR="00000000" w:rsidRDefault="00000000">
            <w:pPr>
              <w:spacing w:before="40" w:after="40" w:line="210" w:lineRule="exact"/>
              <w:ind w:right="40"/>
              <w:jc w:val="right"/>
              <w:rPr>
                <w:sz w:val="17"/>
              </w:rPr>
            </w:pPr>
          </w:p>
        </w:tc>
        <w:tc>
          <w:tcPr>
            <w:tcW w:w="416" w:type="dxa"/>
            <w:tcBorders>
              <w:top w:val="single" w:sz="12" w:space="0" w:color="auto"/>
            </w:tcBorders>
            <w:vAlign w:val="bottom"/>
          </w:tcPr>
          <w:p w:rsidR="00000000" w:rsidRDefault="00000000">
            <w:pPr>
              <w:spacing w:before="40" w:after="40" w:line="210" w:lineRule="exact"/>
              <w:ind w:right="40"/>
              <w:jc w:val="right"/>
              <w:rPr>
                <w:sz w:val="17"/>
              </w:rPr>
            </w:pPr>
          </w:p>
        </w:tc>
        <w:tc>
          <w:tcPr>
            <w:tcW w:w="416"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Embajador extraordinario y plenipotenciario</w:t>
            </w:r>
          </w:p>
        </w:tc>
        <w:tc>
          <w:tcPr>
            <w:tcW w:w="4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Ministro Consejero</w:t>
            </w:r>
          </w:p>
        </w:tc>
        <w:tc>
          <w:tcPr>
            <w:tcW w:w="4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Cónsul y Cónsul General</w:t>
            </w:r>
          </w:p>
        </w:tc>
        <w:tc>
          <w:tcPr>
            <w:tcW w:w="4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Consejero</w:t>
            </w:r>
          </w:p>
        </w:tc>
        <w:tc>
          <w:tcPr>
            <w:tcW w:w="4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Primer Secretario</w:t>
            </w:r>
          </w:p>
        </w:tc>
        <w:tc>
          <w:tcPr>
            <w:tcW w:w="4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Segundo Secretario</w:t>
            </w:r>
          </w:p>
        </w:tc>
        <w:tc>
          <w:tcPr>
            <w:tcW w:w="4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4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4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r>
      <w:tr w:rsidR="00000000">
        <w:tblPrEx>
          <w:tblCellMar>
            <w:top w:w="0" w:type="dxa"/>
            <w:left w:w="0" w:type="dxa"/>
            <w:bottom w:w="0" w:type="dxa"/>
            <w:right w:w="0" w:type="dxa"/>
          </w:tblCellMar>
        </w:tblPrEx>
        <w:tc>
          <w:tcPr>
            <w:tcW w:w="15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Tercer Secretario</w:t>
            </w:r>
          </w:p>
        </w:tc>
        <w:tc>
          <w:tcPr>
            <w:tcW w:w="4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4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4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4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41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4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4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4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41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4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4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4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41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4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4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4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41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4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4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4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r>
    </w:tbl>
    <w:p w:rsidR="00000000" w:rsidRDefault="00000000">
      <w:pPr>
        <w:pStyle w:val="BodyText3"/>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Ministerio de Relaciones Exteriores.</w:t>
      </w:r>
    </w:p>
    <w:p w:rsidR="00000000" w:rsidRDefault="00000000">
      <w:pPr>
        <w:pStyle w:val="SingleTxt"/>
      </w:pPr>
      <w:r>
        <w:tab/>
        <w:t>La mayoría de las mujeres ocupan puestos de agregado, tercer y segundo s</w:t>
      </w:r>
      <w:r>
        <w:t>e</w:t>
      </w:r>
      <w:r>
        <w:t>cretario, aunque que el número de mujeres consejeras ha aumentado en 2003 y 2004.</w:t>
      </w:r>
    </w:p>
    <w:p w:rsidR="00000000" w:rsidRDefault="00000000">
      <w:pPr>
        <w:pStyle w:val="SingleTxt"/>
      </w:pPr>
      <w:r>
        <w:tab/>
        <w:t>Estonia tiene 27 embajadas, en 6 de las cuales una mujer ocupa el puesto de embajadora (Austria [también acreditada ante organizaciones internacionales], Bé</w:t>
      </w:r>
      <w:r>
        <w:t>l</w:t>
      </w:r>
      <w:r>
        <w:t>gica, la Federación de Rusia, Portugal, el Reino Unido y la República Checa). Est</w:t>
      </w:r>
      <w:r>
        <w:t>o</w:t>
      </w:r>
      <w:r>
        <w:t>nia, por ser un país pequeño, habitualmente acredita embajadores ante varios países simultáneamente, por ejemplo, la embajadora residente en Austria también esta acreditada como embajadora ante Eslovaquia, Eslovenia y Suiza.</w:t>
      </w:r>
    </w:p>
    <w:p w:rsidR="00000000" w:rsidRDefault="00000000">
      <w:pPr>
        <w:pStyle w:val="SingleTxt"/>
      </w:pPr>
      <w:r>
        <w:tab/>
        <w:t>Estonia tiene 10 misiones permanentes ante organizaciones internacionales; en dos de ellas hay embajadoras (ante la Organización para la Seguridad y la Cooper</w:t>
      </w:r>
      <w:r>
        <w:t>a</w:t>
      </w:r>
      <w:r>
        <w:t>ción en Europa (OSCE), y ante el Organismo Internacional de Energía Atómica (OIEA) y la Sede de las Naciones Unidas en Viena).</w:t>
      </w:r>
    </w:p>
    <w:p w:rsidR="00000000" w:rsidRDefault="00000000">
      <w:pPr>
        <w:pStyle w:val="SingleTxt"/>
      </w:pPr>
      <w:r>
        <w:tab/>
        <w:t>Estonia tiene tres embajadores no residentes; uno es una mujer, acreditada ante I</w:t>
      </w:r>
      <w:r>
        <w:t>s</w:t>
      </w:r>
      <w:r>
        <w:t>rael.</w:t>
      </w:r>
    </w:p>
    <w:p w:rsidR="00000000" w:rsidRDefault="00000000">
      <w:pPr>
        <w:pStyle w:val="SingleTxt"/>
      </w:pPr>
      <w:r>
        <w:tab/>
        <w:t>Cuando el Ministerio de Relaciones Exteriores envía representantes para que participen en foros internacionales, generalmente la delegación está integrada por una mujer y un hombre, con el objeto de dar un buen ejemplo ante los demás org</w:t>
      </w:r>
      <w:r>
        <w:t>a</w:t>
      </w:r>
      <w:r>
        <w:t>nismos y organizaciones estatales.</w:t>
      </w:r>
    </w:p>
    <w:p w:rsidR="00000000" w:rsidRDefault="00000000">
      <w:pPr>
        <w:pStyle w:val="SingleTxt"/>
      </w:pPr>
      <w:r>
        <w:tab/>
        <w:t>En junio de 2004 la Ministra de Relaciones Exteriores de Estonia se postuló como candidata para el puesto de Secretario General del Consejo Europeo. En se</w:t>
      </w:r>
      <w:r>
        <w:t>p</w:t>
      </w:r>
      <w:r>
        <w:t>tiembre de 2004 las Ministras de Relaciones Exteriores de Estonia y Suecia fueron elegidas jefas de un grupo oficioso de ministras de relaciones exteriores.</w:t>
      </w:r>
    </w:p>
    <w:p w:rsidR="00000000" w:rsidRDefault="00000000">
      <w:pPr>
        <w:pStyle w:val="SingleTxt"/>
        <w:spacing w:after="0" w:line="120" w:lineRule="exact"/>
        <w:rPr>
          <w:sz w:val="10"/>
          <w:u w:val="single"/>
        </w:rPr>
      </w:pPr>
    </w:p>
    <w:p w:rsidR="00000000" w:rsidRDefault="00000000">
      <w:pPr>
        <w:pStyle w:val="SingleTxt"/>
        <w:spacing w:after="0" w:line="120" w:lineRule="exact"/>
        <w:rPr>
          <w:sz w:val="10"/>
          <w:u w:val="single"/>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las organizaciones internacionales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Dos mujeres estonias trabajan en la </w:t>
      </w:r>
      <w:r>
        <w:rPr>
          <w:lang w:val="es-AR"/>
        </w:rPr>
        <w:t>Comisión Económica para Europa</w:t>
      </w:r>
      <w:r>
        <w:t xml:space="preserve"> de las Naci</w:t>
      </w:r>
      <w:r>
        <w:t>o</w:t>
      </w:r>
      <w:r>
        <w:t>nes Unidas.</w:t>
      </w:r>
    </w:p>
    <w:p w:rsidR="00000000" w:rsidRDefault="00000000">
      <w:pPr>
        <w:pStyle w:val="SingleTxt"/>
      </w:pPr>
      <w:r>
        <w:tab/>
        <w:t>El representante de Estonia en el órgano directivo de la Organización Mundial de la Salud (OMS) es una mujer. Cuatro ciudadanos estonios trabajan en esta org</w:t>
      </w:r>
      <w:r>
        <w:t>a</w:t>
      </w:r>
      <w:r>
        <w:t>nización; dos de ellos son mujeres. En la delegación de la OMS en Estonia uno de los dos empleados es mujer.</w:t>
      </w:r>
    </w:p>
    <w:p w:rsidR="00000000" w:rsidRDefault="00000000">
      <w:pPr>
        <w:pStyle w:val="SingleTxt"/>
      </w:pPr>
      <w:r>
        <w:tab/>
        <w:t>Dos mujeres trabajan en el Consejo Europeo (y tres hombres, incluido un juez), y dos mujeres en la oficina de información del Consejo Europeo en Tallin.</w:t>
      </w:r>
    </w:p>
    <w:p w:rsidR="00000000" w:rsidRDefault="00000000">
      <w:pPr>
        <w:pStyle w:val="SingleTxt"/>
        <w:spacing w:after="0" w:line="120" w:lineRule="exact"/>
        <w:rPr>
          <w:b/>
          <w:sz w:val="10"/>
        </w:rPr>
      </w:pPr>
      <w:bookmarkStart w:id="41" w:name="_Toc103503118"/>
    </w:p>
    <w:p w:rsidR="00000000" w:rsidRDefault="00000000">
      <w:pPr>
        <w:pStyle w:val="SingleTxt"/>
        <w:spacing w:after="0" w:line="120" w:lineRule="exact"/>
        <w:rPr>
          <w:b/>
          <w:sz w:val="10"/>
        </w:rPr>
      </w:pPr>
    </w:p>
    <w:bookmarkEnd w:id="41"/>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1.</w:t>
      </w:r>
      <w:r>
        <w:rPr>
          <w:i/>
        </w:rPr>
        <w:tab/>
        <w:t>Los Estados partes otorgarán a las mujeres iguales derechos que a los hombres para adquirir, cambiar o conservar su nacionalidad. Garantizarán, en particular, que ni el matrimonio con un extranjero ni el cambio de nacionalidad del marido durante el matrimonio cambien automáticamente la nacionalidad de la e</w:t>
      </w:r>
      <w:r>
        <w:rPr>
          <w:i/>
        </w:rPr>
        <w:t>s</w:t>
      </w:r>
      <w:r>
        <w:rPr>
          <w:i/>
        </w:rPr>
        <w:t xml:space="preserve">posa, la conviertan en apátrida o la </w:t>
      </w:r>
      <w:r>
        <w:rPr>
          <w:i/>
          <w:spacing w:val="2"/>
          <w:w w:val="101"/>
        </w:rPr>
        <w:t>obliguen a adoptar la nacionalidad del cóny</w:t>
      </w:r>
      <w:r>
        <w:rPr>
          <w:i/>
          <w:spacing w:val="2"/>
          <w:w w:val="101"/>
        </w:rPr>
        <w:t>u</w:t>
      </w:r>
      <w:r>
        <w:rPr>
          <w:i/>
          <w:spacing w:val="2"/>
          <w:w w:val="101"/>
        </w:rPr>
        <w:t>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condiciones y los procedimientos para la adquisición, pérdida o restaur</w:t>
      </w:r>
      <w:r>
        <w:t>a</w:t>
      </w:r>
      <w:r>
        <w:t>ción de la ciudadanía estonia están previstas en la Ley de ciudadanía. La adquisición o restauración de la ciudadanía no depende del género; los hombres y las mujeres pueden solicitar la ciudadanía estonia con sujeción a las mismas reglas. La pérdida de la ciudadanía que haya sufrido uno de los cónyuges no supone automáticamente el cambio de ciudadanía del otro cónyuge.</w:t>
      </w:r>
    </w:p>
    <w:p w:rsidR="00000000" w:rsidRDefault="00000000">
      <w:pPr>
        <w:pStyle w:val="SingleTxt"/>
      </w:pPr>
      <w:r>
        <w:tab/>
        <w:t>El 20 de marzo de 2004 entraron en vigor las disposiciones por las cuales se enmendó la Ley de ciudadanía con el objeto de acelerar el trámite de solicitud de la ciudadanía y reducir el número de personas apátridas. El período de tramitación de la solicitud de ciudadanía por la Junta de Ciudadanía y Migración se redujo de seis a tres meses.</w:t>
      </w:r>
    </w:p>
    <w:p w:rsidR="00000000" w:rsidRDefault="00000000">
      <w:pPr>
        <w:pStyle w:val="SingleTxt"/>
      </w:pPr>
      <w:r>
        <w:tab/>
        <w:t>En total 149.251 personas han adquirido la nacionalidad estonia por natural</w:t>
      </w:r>
      <w:r>
        <w:t>i</w:t>
      </w:r>
      <w:r>
        <w:t>zación; 65.418 hombres y 83.833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2.</w:t>
      </w:r>
      <w:r>
        <w:rPr>
          <w:i/>
        </w:rPr>
        <w:tab/>
        <w:t>Los Estados partes otorgarán a la mujer los mismos derechos que al hombre con respecto a la nacionalidad de sus hijos.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ab/>
        <w:t>Los niños que nacieron después de 1992 y cuyos padres son apátridas pueden obtener la ciudadanía por medio de un procedimiento simplificado basado en una sol</w:t>
      </w:r>
      <w:r>
        <w:t>i</w:t>
      </w:r>
      <w:r>
        <w:t>citud presentada por los padres.</w:t>
      </w:r>
    </w:p>
    <w:p w:rsidR="00000000" w:rsidRDefault="00000000">
      <w:pPr>
        <w:pStyle w:val="SingleTxt"/>
      </w:pPr>
      <w:r>
        <w:tab/>
        <w:t>En 2004 se redujo la duración del procedimiento de otorgamiento de la ciud</w:t>
      </w:r>
      <w:r>
        <w:t>a</w:t>
      </w:r>
      <w:r>
        <w:t>danía; a partir de mayo de 2004 la tramitación de la solicitud de ciudadanía de niños pasó de seis a tres meses.</w:t>
      </w:r>
    </w:p>
    <w:p w:rsidR="00000000" w:rsidRDefault="00000000">
      <w:pPr>
        <w:pStyle w:val="SingleTxt"/>
      </w:pPr>
      <w:r>
        <w:tab/>
        <w:t>Desde 2002 todas las personas tienen un documento de viaje y los datos pers</w:t>
      </w:r>
      <w:r>
        <w:t>o</w:t>
      </w:r>
      <w:r>
        <w:t>nales de los niños ya no constan en los documentos de uno de los progenitores, pri</w:t>
      </w:r>
      <w:r>
        <w:t>n</w:t>
      </w:r>
      <w:r>
        <w:t>cipalmente para proteger los intereses del niño y reducir las posibilidades de que se fals</w:t>
      </w:r>
      <w:r>
        <w:t>i</w:t>
      </w:r>
      <w:r>
        <w:t>fiquen los datos en los documentos.</w:t>
      </w:r>
    </w:p>
    <w:p w:rsidR="00000000" w:rsidRDefault="00000000">
      <w:pPr>
        <w:pStyle w:val="SingleTxt"/>
      </w:pPr>
      <w:r>
        <w:tab/>
        <w:t>El número de niños menores de 15 años que obtuvieron la ciudadanía por nat</w:t>
      </w:r>
      <w:r>
        <w:t>u</w:t>
      </w:r>
      <w:r>
        <w:t>ralización ha aumentado del 10% en 1996 al 50% en 2004. Durante los primeros nueve meses de 2004 se recibieron 2.283 solicitudes de ciudadanía de niños men</w:t>
      </w:r>
      <w:r>
        <w:t>o</w:t>
      </w:r>
      <w:r>
        <w:t>res de 15 años, el 60% más que en 2003.</w:t>
      </w:r>
    </w:p>
    <w:p w:rsidR="00000000" w:rsidRDefault="00000000">
      <w:pPr>
        <w:pStyle w:val="SingleTxt"/>
      </w:pPr>
      <w:r>
        <w:tab/>
        <w:t>En total, 4.907 hijos de padres apátridas nacidos después de 1992 obtuvieron la ciudadanía por naturalización, lo que r</w:t>
      </w:r>
      <w:r>
        <w:t>e</w:t>
      </w:r>
      <w:r>
        <w:t>presenta el 18,5% del total de niños.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10</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ab/>
        <w:t>Los Estados partes adoptarán todas las medidas apropiadas para eliminar la discriminación contra la mujer, a fin de asegurarle la igualdad de derechos con el hombre en la esfera de la educación y en particular para asegurar, en condiciones de igua</w:t>
      </w:r>
      <w:r>
        <w:rPr>
          <w:i/>
        </w:rPr>
        <w:t>l</w:t>
      </w:r>
      <w:r>
        <w:rPr>
          <w:i/>
        </w:rPr>
        <w:t>dad entre hombres y mujeres:</w:t>
      </w:r>
    </w:p>
    <w:p w:rsidR="00000000" w:rsidRDefault="00000000">
      <w:pPr>
        <w:pStyle w:val="SingleTxt"/>
        <w:rPr>
          <w:i/>
        </w:rPr>
      </w:pPr>
      <w:r>
        <w:rPr>
          <w:i/>
        </w:rPr>
        <w:tab/>
        <w:t>a)</w:t>
      </w:r>
      <w:r>
        <w:rPr>
          <w:i/>
        </w:rPr>
        <w:tab/>
        <w:t>Las mismas condiciones de orientación en materia de carreras y cap</w:t>
      </w:r>
      <w:r>
        <w:rPr>
          <w:i/>
        </w:rPr>
        <w:t>a</w:t>
      </w:r>
      <w:r>
        <w:rPr>
          <w:i/>
        </w:rPr>
        <w:t>citación profesional, acceso a los estudios y obtención de diplomas en las instit</w:t>
      </w:r>
      <w:r>
        <w:rPr>
          <w:i/>
        </w:rPr>
        <w:t>u</w:t>
      </w:r>
      <w:r>
        <w:rPr>
          <w:i/>
        </w:rPr>
        <w:t>ciones de enseñanza de todas las categorías, tanto en zonas rurales como urbanas; esta igualdad deberá asegurarse en la enseñanza preescolar, general, técnica, pr</w:t>
      </w:r>
      <w:r>
        <w:rPr>
          <w:i/>
        </w:rPr>
        <w:t>o</w:t>
      </w:r>
      <w:r>
        <w:rPr>
          <w:i/>
        </w:rPr>
        <w:t>fesional y técnica superior, así como en todos los tipos de capacitación pr</w:t>
      </w:r>
      <w:r>
        <w:rPr>
          <w:i/>
        </w:rPr>
        <w:t>o</w:t>
      </w:r>
      <w:r>
        <w:rPr>
          <w:i/>
        </w:rPr>
        <w:t>fesional;</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ab/>
        <w:t>De conformidad con la Ley sobre la igualdad de género, las instituciones de enseñanza y de investigación, así como las que imparten educación y capacitación deben garantizar la igualdad de trato entre el hombre y la mujer en la esfera de la orientación profesional, la educación, el perfeccionamiento profesional y técnico, y el readiestramiento. Los programas de estudio, el material didáctico utilizado y las investigaciones que se llevan a cabo deben contribuir a la eliminación de la discr</w:t>
      </w:r>
      <w:r>
        <w:t>i</w:t>
      </w:r>
      <w:r>
        <w:t>min</w:t>
      </w:r>
      <w:r>
        <w:t>a</w:t>
      </w:r>
      <w:r>
        <w:t>ción entre el hombre y la mujer y promover la igualdad.</w:t>
      </w:r>
    </w:p>
    <w:p w:rsidR="00000000" w:rsidRDefault="00000000">
      <w:pPr>
        <w:pStyle w:val="SingleTxt"/>
      </w:pPr>
      <w:r>
        <w:tab/>
        <w:t>Está prohibido impartir enseñanza y capacitación dirigidas a un solo género. No obstante, esto no es considerado discriminatorio en los casos en que, en función de la naturaleza de las actividades profesionales o el contexto en que se llevan a c</w:t>
      </w:r>
      <w:r>
        <w:t>a</w:t>
      </w:r>
      <w:r>
        <w:t>bo, se trate de una exigencia profesional genuina y fundamental. Tampoco existe discriminación si el objetivo del trato diferencial es legítimo y el requisito propo</w:t>
      </w:r>
      <w:r>
        <w:t>r</w:t>
      </w:r>
      <w:r>
        <w:t>cional, o si la capacitación puede considerarse una medida especial que promueve la igualdad entre los géneros y otorga ventajas al género menos representado o reduce la desigualdad en razón del género.</w:t>
      </w:r>
    </w:p>
    <w:p w:rsidR="00000000" w:rsidRDefault="00000000">
      <w:pPr>
        <w:pStyle w:val="SingleTxt"/>
      </w:pPr>
      <w:r>
        <w:tab/>
        <w:t>Durante el año lectivo 2003/2004, había 627 instituciones educacionales de jornada completa dedicadas a la enseñanza general, 38 instituciones que ofrecían cursos nocturnos o educación a distancia y 71 instituciones dedicadas a la educación técnica, la educación técnica superior o la enseñanza secu</w:t>
      </w:r>
      <w:r>
        <w:t>n</w:t>
      </w:r>
      <w:r>
        <w:t>daria especializada.</w:t>
      </w:r>
    </w:p>
    <w:p w:rsidR="00000000" w:rsidRDefault="00000000">
      <w:pPr>
        <w:pStyle w:val="SingleTxt"/>
      </w:pPr>
      <w:r>
        <w:tab/>
        <w:t>El número total de estudiantes ha disminuido de 305.795 en el año lectivo 2000/2001 a 292.926 en 2003/2004.</w:t>
      </w:r>
    </w:p>
    <w:p w:rsidR="00000000" w:rsidRDefault="00000000">
      <w:pPr>
        <w:pStyle w:val="SingleTxt"/>
      </w:pPr>
      <w:r>
        <w:tab/>
        <w:t>La proporción de estudiantes mujeres se ha mantenido constante durante varios años (véase también el cuadro 10.1). La proporción de mujeres es mayor entre los graduados del ciclo superior de la escuela secundaria, pero también entre los est</w:t>
      </w:r>
      <w:r>
        <w:t>u</w:t>
      </w:r>
      <w:r>
        <w:t xml:space="preserve">diantes de cursos de diploma, bachillerato y maestrías. La proporción de estudiantes </w:t>
      </w:r>
      <w:r>
        <w:rPr>
          <w:spacing w:val="2"/>
          <w:w w:val="101"/>
        </w:rPr>
        <w:t>mujeres a nivel de doctorado ha comenzado a disminuir, aunque todavía supera el 50%.</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10.1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 de mujeres del total de estudiantes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230"/>
        <w:gridCol w:w="1030"/>
        <w:gridCol w:w="1030"/>
        <w:gridCol w:w="1030"/>
      </w:tblGrid>
      <w:tr w:rsidR="00000000">
        <w:tblPrEx>
          <w:tblCellMar>
            <w:top w:w="0" w:type="dxa"/>
            <w:left w:w="0" w:type="dxa"/>
            <w:bottom w:w="0" w:type="dxa"/>
            <w:right w:w="0" w:type="dxa"/>
          </w:tblCellMar>
        </w:tblPrEx>
        <w:trPr>
          <w:tblHeader/>
        </w:trPr>
        <w:tc>
          <w:tcPr>
            <w:tcW w:w="42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Nivel educacional</w:t>
            </w:r>
          </w:p>
        </w:tc>
        <w:tc>
          <w:tcPr>
            <w:tcW w:w="10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2000/2001</w:t>
            </w:r>
          </w:p>
        </w:tc>
        <w:tc>
          <w:tcPr>
            <w:tcW w:w="10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2002/2003</w:t>
            </w:r>
          </w:p>
        </w:tc>
        <w:tc>
          <w:tcPr>
            <w:tcW w:w="10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2003/2004</w:t>
            </w:r>
          </w:p>
        </w:tc>
      </w:tr>
      <w:tr w:rsidR="00000000">
        <w:tblPrEx>
          <w:tblCellMar>
            <w:top w:w="0" w:type="dxa"/>
            <w:left w:w="0" w:type="dxa"/>
            <w:bottom w:w="0" w:type="dxa"/>
            <w:right w:w="0" w:type="dxa"/>
          </w:tblCellMar>
        </w:tblPrEx>
        <w:trPr>
          <w:trHeight w:hRule="exact" w:val="115"/>
          <w:tblHeader/>
        </w:trPr>
        <w:tc>
          <w:tcPr>
            <w:tcW w:w="42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 Educación General</w:t>
            </w:r>
          </w:p>
        </w:tc>
        <w:tc>
          <w:tcPr>
            <w:tcW w:w="10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49,8</w:t>
            </w:r>
          </w:p>
        </w:tc>
        <w:tc>
          <w:tcPr>
            <w:tcW w:w="10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w:t>
            </w:r>
          </w:p>
        </w:tc>
        <w:tc>
          <w:tcPr>
            <w:tcW w:w="10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 Estudios técnicos y estudios secundarios técnicos</w:t>
            </w:r>
          </w:p>
        </w:tc>
        <w:tc>
          <w:tcPr>
            <w:tcW w:w="10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46,1</w:t>
            </w:r>
          </w:p>
        </w:tc>
        <w:tc>
          <w:tcPr>
            <w:tcW w:w="10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45,6</w:t>
            </w:r>
          </w:p>
        </w:tc>
        <w:tc>
          <w:tcPr>
            <w:tcW w:w="10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44,5</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 Educación superior</w:t>
            </w:r>
          </w:p>
        </w:tc>
        <w:tc>
          <w:tcPr>
            <w:tcW w:w="10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60,4</w:t>
            </w:r>
          </w:p>
        </w:tc>
        <w:tc>
          <w:tcPr>
            <w:tcW w:w="10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61,5</w:t>
            </w:r>
          </w:p>
        </w:tc>
        <w:tc>
          <w:tcPr>
            <w:tcW w:w="10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61,8</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 Cursos de diploma</w:t>
            </w:r>
          </w:p>
        </w:tc>
        <w:tc>
          <w:tcPr>
            <w:tcW w:w="10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59,5</w:t>
            </w:r>
          </w:p>
        </w:tc>
        <w:tc>
          <w:tcPr>
            <w:tcW w:w="10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60,1</w:t>
            </w:r>
          </w:p>
        </w:tc>
        <w:tc>
          <w:tcPr>
            <w:tcW w:w="10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58,7</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 Cursos de bachillerato</w:t>
            </w:r>
          </w:p>
        </w:tc>
        <w:tc>
          <w:tcPr>
            <w:tcW w:w="10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56,7</w:t>
            </w:r>
          </w:p>
        </w:tc>
        <w:tc>
          <w:tcPr>
            <w:tcW w:w="10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59,2</w:t>
            </w:r>
          </w:p>
        </w:tc>
        <w:tc>
          <w:tcPr>
            <w:tcW w:w="10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60,7</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 Cursos de maestría</w:t>
            </w:r>
          </w:p>
        </w:tc>
        <w:tc>
          <w:tcPr>
            <w:tcW w:w="10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60,4</w:t>
            </w:r>
          </w:p>
        </w:tc>
        <w:tc>
          <w:tcPr>
            <w:tcW w:w="10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63,3</w:t>
            </w:r>
          </w:p>
        </w:tc>
        <w:tc>
          <w:tcPr>
            <w:tcW w:w="10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64,7</w:t>
            </w:r>
          </w:p>
        </w:tc>
      </w:tr>
      <w:tr w:rsidR="00000000">
        <w:tblPrEx>
          <w:tblCellMar>
            <w:top w:w="0" w:type="dxa"/>
            <w:left w:w="0" w:type="dxa"/>
            <w:bottom w:w="0" w:type="dxa"/>
            <w:right w:w="0" w:type="dxa"/>
          </w:tblCellMar>
        </w:tblPrEx>
        <w:tc>
          <w:tcPr>
            <w:tcW w:w="42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 Cursros de doctorado</w:t>
            </w:r>
          </w:p>
        </w:tc>
        <w:tc>
          <w:tcPr>
            <w:tcW w:w="10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56,1</w:t>
            </w:r>
          </w:p>
        </w:tc>
        <w:tc>
          <w:tcPr>
            <w:tcW w:w="10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55,0</w:t>
            </w:r>
          </w:p>
        </w:tc>
        <w:tc>
          <w:tcPr>
            <w:tcW w:w="10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53,5</w:t>
            </w:r>
          </w:p>
        </w:tc>
      </w:tr>
    </w:tbl>
    <w:p w:rsidR="00000000" w:rsidRDefault="00000000">
      <w:pPr>
        <w:pStyle w:val="SingleTxt"/>
        <w:spacing w:after="0" w:line="120" w:lineRule="exact"/>
        <w:rPr>
          <w:b/>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La educación en 2003/2004. Tallin,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Cada vez más estudiantes cursan estudios secundarios generales al finalizar los nueve años de educación básica. En el año lectivo 2002/2003, el 70,8% de los est</w:t>
      </w:r>
      <w:r>
        <w:t>u</w:t>
      </w:r>
      <w:r>
        <w:t>diantes que habían finalizado nueve años de educación básica comenzaron a cursar estudios secundarios generales; el 81,3% eran mujeres. En 2003/2004, 5.798 muj</w:t>
      </w:r>
      <w:r>
        <w:t>e</w:t>
      </w:r>
      <w:r>
        <w:t>res y 11.322 hombres cursaban estudios secundarios técnicos.</w:t>
      </w:r>
    </w:p>
    <w:p w:rsidR="00000000" w:rsidRDefault="00000000">
      <w:pPr>
        <w:pStyle w:val="SingleTxt"/>
      </w:pPr>
      <w:r>
        <w:tab/>
        <w:t>Aunque todavía hay diferencias en las elecciones que hacen los jóvenes y las jóvenes en relación con la educación técnica, también hay mujeres jóvenes que el</w:t>
      </w:r>
      <w:r>
        <w:t>i</w:t>
      </w:r>
      <w:r>
        <w:t>gen profesiones tradicionalmente “masculinas”, excepto las que están prohibidas por la Ley de salud y seguridad profesionales (el trabajo en minas subterráneas, algunas profesiones marítimas, etc.). Para ser admitidos, los estudiantes deben haber final</w:t>
      </w:r>
      <w:r>
        <w:t>i</w:t>
      </w:r>
      <w:r>
        <w:t>zado los estudios básicos y aprobado el examen de aptitud técnica.</w:t>
      </w:r>
    </w:p>
    <w:p w:rsidR="00000000" w:rsidRDefault="00000000">
      <w:pPr>
        <w:pStyle w:val="SingleTxt"/>
      </w:pPr>
      <w:r>
        <w:tab/>
        <w:t>La diferencia tradicional en las elecciones educacionales se caracteriza por un mayor porcentaje de mujeres en las esferas de la pedagogía, el arte y las humanid</w:t>
      </w:r>
      <w:r>
        <w:t>a</w:t>
      </w:r>
      <w:r>
        <w:t>des. La proporción de estudiantes mujeres que cursan los niveles inferiores en las instituciones de educación superior es mayor en la esfera de la economía, el der</w:t>
      </w:r>
      <w:r>
        <w:t>e</w:t>
      </w:r>
      <w:r>
        <w:t>cho, los estudios sobre el medio ambiente y el periodismo.</w:t>
      </w:r>
    </w:p>
    <w:p w:rsidR="00000000" w:rsidRDefault="00000000">
      <w:pPr>
        <w:pStyle w:val="SingleTxt"/>
      </w:pPr>
      <w:r>
        <w:tab/>
        <w:t>A nivel de doctorado las esferas en las que predominan las mujeres son la p</w:t>
      </w:r>
      <w:r>
        <w:t>e</w:t>
      </w:r>
      <w:r>
        <w:t xml:space="preserve">dagogía (el 82%), la medicina (el 77%), el periodismo (el 70%), la asistencia social (el 64%) y la filología estonia (el 64%). La participación de hombres y mujeres en la mayoría de las especialidades a nivel de doctorado es más pareja. </w:t>
      </w:r>
      <w:r>
        <w:tab/>
      </w:r>
    </w:p>
    <w:p w:rsidR="00000000" w:rsidRDefault="00000000">
      <w:pPr>
        <w:pStyle w:val="SingleTxt"/>
      </w:pPr>
      <w:r>
        <w:tab/>
        <w:t>Como se indica el cuadro 10.2, entre 2001 y 2004 el número de mujeres entre el personal académico se mantuvo con</w:t>
      </w:r>
      <w:r>
        <w:t>s</w:t>
      </w:r>
      <w:r>
        <w:t>tante.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10.2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mujeres entre el personal académico en los años lectivos 2001/2002 a 2003/2004</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980"/>
        <w:gridCol w:w="890"/>
        <w:gridCol w:w="890"/>
        <w:gridCol w:w="110"/>
        <w:gridCol w:w="781"/>
        <w:gridCol w:w="890"/>
        <w:gridCol w:w="129"/>
        <w:gridCol w:w="761"/>
        <w:gridCol w:w="891"/>
      </w:tblGrid>
      <w:tr w:rsidR="00000000">
        <w:tblPrEx>
          <w:tblCellMar>
            <w:top w:w="0" w:type="dxa"/>
            <w:left w:w="0" w:type="dxa"/>
            <w:bottom w:w="0" w:type="dxa"/>
            <w:right w:w="0" w:type="dxa"/>
          </w:tblCellMar>
        </w:tblPrEx>
        <w:trPr>
          <w:cantSplit/>
          <w:tblHeader/>
        </w:trPr>
        <w:tc>
          <w:tcPr>
            <w:tcW w:w="19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78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2001/2002</w:t>
            </w:r>
          </w:p>
        </w:tc>
        <w:tc>
          <w:tcPr>
            <w:tcW w:w="1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67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2002/2003</w:t>
            </w:r>
          </w:p>
        </w:tc>
        <w:tc>
          <w:tcPr>
            <w:tcW w:w="12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65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2003/2004</w:t>
            </w:r>
          </w:p>
        </w:tc>
      </w:tr>
      <w:tr w:rsidR="00000000">
        <w:tblPrEx>
          <w:tblCellMar>
            <w:top w:w="0" w:type="dxa"/>
            <w:left w:w="0" w:type="dxa"/>
            <w:bottom w:w="0" w:type="dxa"/>
            <w:right w:w="0" w:type="dxa"/>
          </w:tblCellMar>
        </w:tblPrEx>
        <w:trPr>
          <w:tblHeader/>
        </w:trPr>
        <w:tc>
          <w:tcPr>
            <w:tcW w:w="198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Puesto oficial</w:t>
            </w:r>
          </w:p>
        </w:tc>
        <w:tc>
          <w:tcPr>
            <w:tcW w:w="89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89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891"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89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89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891"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Profesor</w:t>
            </w:r>
          </w:p>
        </w:tc>
        <w:tc>
          <w:tcPr>
            <w:tcW w:w="8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480</w:t>
            </w:r>
          </w:p>
        </w:tc>
        <w:tc>
          <w:tcPr>
            <w:tcW w:w="8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8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486</w:t>
            </w:r>
          </w:p>
        </w:tc>
        <w:tc>
          <w:tcPr>
            <w:tcW w:w="8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8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467</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Profesor extraordinario</w:t>
            </w:r>
          </w:p>
        </w:tc>
        <w:tc>
          <w:tcPr>
            <w:tcW w:w="8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8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8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8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8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Docente</w:t>
            </w:r>
          </w:p>
        </w:tc>
        <w:tc>
          <w:tcPr>
            <w:tcW w:w="8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726</w:t>
            </w:r>
          </w:p>
        </w:tc>
        <w:tc>
          <w:tcPr>
            <w:tcW w:w="8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w:t>
            </w:r>
          </w:p>
        </w:tc>
        <w:tc>
          <w:tcPr>
            <w:tcW w:w="8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756</w:t>
            </w:r>
          </w:p>
        </w:tc>
        <w:tc>
          <w:tcPr>
            <w:tcW w:w="8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245</w:t>
            </w:r>
          </w:p>
        </w:tc>
        <w:tc>
          <w:tcPr>
            <w:tcW w:w="8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680</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242</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Profesor invitado</w:t>
            </w:r>
          </w:p>
        </w:tc>
        <w:tc>
          <w:tcPr>
            <w:tcW w:w="8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1 000</w:t>
            </w:r>
          </w:p>
        </w:tc>
        <w:tc>
          <w:tcPr>
            <w:tcW w:w="8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520</w:t>
            </w:r>
          </w:p>
        </w:tc>
        <w:tc>
          <w:tcPr>
            <w:tcW w:w="8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1 022</w:t>
            </w:r>
          </w:p>
        </w:tc>
        <w:tc>
          <w:tcPr>
            <w:tcW w:w="8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556</w:t>
            </w:r>
          </w:p>
        </w:tc>
        <w:tc>
          <w:tcPr>
            <w:tcW w:w="8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1 046</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579</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Maestro superior</w:t>
            </w:r>
          </w:p>
        </w:tc>
        <w:tc>
          <w:tcPr>
            <w:tcW w:w="8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8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89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c>
          <w:tcPr>
            <w:tcW w:w="8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c>
          <w:tcPr>
            <w:tcW w:w="8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r>
      <w:tr w:rsidR="00000000">
        <w:tblPrEx>
          <w:tblCellMar>
            <w:top w:w="0" w:type="dxa"/>
            <w:left w:w="0" w:type="dxa"/>
            <w:bottom w:w="0" w:type="dxa"/>
            <w:right w:w="0" w:type="dxa"/>
          </w:tblCellMar>
        </w:tblPrEx>
        <w:tc>
          <w:tcPr>
            <w:tcW w:w="19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Maestro</w:t>
            </w:r>
          </w:p>
        </w:tc>
        <w:tc>
          <w:tcPr>
            <w:tcW w:w="8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242</w:t>
            </w:r>
          </w:p>
        </w:tc>
        <w:tc>
          <w:tcPr>
            <w:tcW w:w="8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c>
          <w:tcPr>
            <w:tcW w:w="891"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514</w:t>
            </w:r>
          </w:p>
        </w:tc>
        <w:tc>
          <w:tcPr>
            <w:tcW w:w="8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373</w:t>
            </w:r>
          </w:p>
        </w:tc>
        <w:tc>
          <w:tcPr>
            <w:tcW w:w="89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434</w:t>
            </w:r>
          </w:p>
        </w:tc>
        <w:tc>
          <w:tcPr>
            <w:tcW w:w="89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337</w:t>
            </w:r>
          </w:p>
        </w:tc>
      </w:tr>
    </w:tbl>
    <w:p w:rsidR="00000000" w:rsidRDefault="00000000">
      <w:pPr>
        <w:pStyle w:val="SingleTxt"/>
        <w:spacing w:after="0" w:line="120" w:lineRule="exact"/>
        <w:rPr>
          <w:b/>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La educación en 2003/2004. Tallin, 2004; La educación en 2001/2002. Tallin 2002; La educación en 2002/2003. Tallin, 2003.</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ab/>
        <w:t>b)</w:t>
      </w:r>
      <w:r>
        <w:rPr>
          <w:i/>
        </w:rPr>
        <w:tab/>
        <w:t>Acceso a los mismos programas de estudios, a los mismos exámenes, a personal docente del mismo nivel profesional y a locales y equipos escolares de la misma calidad;</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ab/>
        <w:t>De conformidad con el plan de estudio nacional para las escuelas secundarias básicas y del ciclo superior (los principios en que se basa la elaboración del plan de estudio, los objetivos de la enseñanza y la educación, las capacidades a las que se aspira, la organización de los estudios) y el procedimiento de admisión de estudia</w:t>
      </w:r>
      <w:r>
        <w:t>n</w:t>
      </w:r>
      <w:r>
        <w:t>tes a los institutos de educación técnica, no se tendrán en cuenta ni se destacarán las dif</w:t>
      </w:r>
      <w:r>
        <w:t>e</w:t>
      </w:r>
      <w:r>
        <w:t>rencias de género.</w:t>
      </w:r>
    </w:p>
    <w:p w:rsidR="00000000" w:rsidRDefault="00000000">
      <w:pPr>
        <w:pStyle w:val="SingleTxt"/>
      </w:pPr>
      <w:r>
        <w:tab/>
        <w:t>Por ejemplo, a partir de una reclamación, el Canciller de Justicia investigó el cumplimiento del principio de igualdad de trato en la Escuela Secundaria Técnica de Tallin (TTG). Dado que la TTG promueve la educación técnica y de economía, fu</w:t>
      </w:r>
      <w:r>
        <w:t>n</w:t>
      </w:r>
      <w:r>
        <w:t>ciona como una especie de escuela preparatoria para la Universidad Técnica de T</w:t>
      </w:r>
      <w:r>
        <w:t>a</w:t>
      </w:r>
      <w:r>
        <w:t>llin. Mediante exámenes y entrevistas los estudiantes de la TTG se dividen en tres grupos; dos de varones y uno de mujeres. En el marco de su investigación, el Ca</w:t>
      </w:r>
      <w:r>
        <w:t>n</w:t>
      </w:r>
      <w:r>
        <w:t>ciller de Justicia analizó si dicha práctica era compatible con la prohibición de di</w:t>
      </w:r>
      <w:r>
        <w:t>s</w:t>
      </w:r>
      <w:r>
        <w:t>criminación consagrada en la Constitución y la Ley sobre la igualdad de género. El Canciller de Justicia presentó una solicitud a la TTG a fin de que considerara la p</w:t>
      </w:r>
      <w:r>
        <w:t>o</w:t>
      </w:r>
      <w:r>
        <w:t>sibilidad de abandonar esta práctica que viola el principio de la igualdad de trato en la composición de los cursos de la escuela secundaria. Además, el Canciller de Ju</w:t>
      </w:r>
      <w:r>
        <w:t>s</w:t>
      </w:r>
      <w:r>
        <w:t>ticia destacó que en relación con la igualdad y la igualdad de trato, no es justo que en esta escuela sólo los varones tengan la posibilidad de especializarse en ingeniería eléctrica y en defensa nacional. El Canciller de Justicia señaló que ambos géneros deben tener la oportunidad de cursar estas asignat</w:t>
      </w:r>
      <w:r>
        <w:t>u</w:t>
      </w:r>
      <w:r>
        <w:t>ras.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keepNext/>
        <w:keepLines/>
        <w:rPr>
          <w:i/>
        </w:rPr>
      </w:pPr>
      <w:r>
        <w:rPr>
          <w:i/>
        </w:rPr>
        <w:tab/>
        <w:t>c)</w:t>
      </w:r>
      <w:r>
        <w:rPr>
          <w:i/>
        </w:rPr>
        <w:tab/>
        <w:t>La eliminación de todo concepto estereotipado de los papeles masculino y femenino en todos los niveles y en todas las formas de enseñanza, mediante el e</w:t>
      </w:r>
      <w:r>
        <w:rPr>
          <w:i/>
        </w:rPr>
        <w:t>s</w:t>
      </w:r>
      <w:r>
        <w:rPr>
          <w:i/>
        </w:rPr>
        <w:t>tímulo de la educación mixta y de otros tipos de educación que contribuyan a lograr este objetivo y, en particular, mediante la modificación de los libros y programas escolares y la adaptación de los métodos de enseñanza;</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rPr>
          <w:spacing w:val="2"/>
          <w:w w:val="101"/>
        </w:rPr>
      </w:pPr>
      <w:r>
        <w:tab/>
      </w:r>
      <w:r>
        <w:rPr>
          <w:spacing w:val="2"/>
          <w:w w:val="101"/>
        </w:rPr>
        <w:t>En 2002 los investigadores de la Universidad de Tartu estudiaron los papeles asignados en razón del género que reflejan los libros de texto. Como resultado del an</w:t>
      </w:r>
      <w:r>
        <w:rPr>
          <w:spacing w:val="2"/>
          <w:w w:val="101"/>
        </w:rPr>
        <w:t>á</w:t>
      </w:r>
      <w:r>
        <w:rPr>
          <w:spacing w:val="2"/>
          <w:w w:val="101"/>
        </w:rPr>
        <w:t>lisis del contenido de los libros de texto de historia, educación cívica, educación para la vida en familia y los libros de lectura, se determinó que los libros de texto sobre dif</w:t>
      </w:r>
      <w:r>
        <w:rPr>
          <w:spacing w:val="2"/>
          <w:w w:val="101"/>
        </w:rPr>
        <w:t>e</w:t>
      </w:r>
      <w:r>
        <w:rPr>
          <w:spacing w:val="2"/>
          <w:w w:val="101"/>
        </w:rPr>
        <w:t>rentes temas y de varios niveles consolidaban y apoyaban los estereotipos de género, no reflejaban las experiencias de hombres y mujeres por igual y no enseñaban la ideología contemporánea de los derechos humanos y la distribución de las funciones entre ho</w:t>
      </w:r>
      <w:r>
        <w:rPr>
          <w:spacing w:val="2"/>
          <w:w w:val="101"/>
        </w:rPr>
        <w:t>m</w:t>
      </w:r>
      <w:r>
        <w:rPr>
          <w:spacing w:val="2"/>
          <w:w w:val="101"/>
        </w:rPr>
        <w:t>bres y mujeres. Los resultados de la investigación se han publicado y también están di</w:t>
      </w:r>
      <w:r>
        <w:rPr>
          <w:spacing w:val="2"/>
          <w:w w:val="101"/>
        </w:rPr>
        <w:t>s</w:t>
      </w:r>
      <w:r>
        <w:rPr>
          <w:spacing w:val="2"/>
          <w:w w:val="101"/>
        </w:rPr>
        <w:t>pon</w:t>
      </w:r>
      <w:r>
        <w:rPr>
          <w:spacing w:val="2"/>
          <w:w w:val="101"/>
        </w:rPr>
        <w:t>i</w:t>
      </w:r>
      <w:r>
        <w:rPr>
          <w:spacing w:val="2"/>
          <w:w w:val="101"/>
        </w:rPr>
        <w:t>bles en formato electrónico (</w:t>
      </w:r>
      <w:hyperlink r:id="rId16" w:history="1">
        <w:r>
          <w:rPr>
            <w:rStyle w:val="Hyperlink"/>
            <w:spacing w:val="2"/>
            <w:w w:val="101"/>
          </w:rPr>
          <w:t>http://www.enut.ee/lisa/soorollid.pdf</w:t>
        </w:r>
      </w:hyperlink>
      <w:r>
        <w:rPr>
          <w:spacing w:val="2"/>
          <w:w w:val="101"/>
        </w:rPr>
        <w:t>).</w:t>
      </w:r>
    </w:p>
    <w:p w:rsidR="00000000" w:rsidRDefault="00000000">
      <w:pPr>
        <w:pStyle w:val="SingleTxt"/>
        <w:rPr>
          <w:b/>
        </w:rPr>
      </w:pPr>
      <w:r>
        <w:tab/>
        <w:t>El sitio de enseñanza virtual “Miksike” (</w:t>
      </w:r>
      <w:hyperlink r:id="rId17" w:history="1">
        <w:r>
          <w:rPr>
            <w:rStyle w:val="Hyperlink"/>
          </w:rPr>
          <w:t>www.miksike.ee</w:t>
        </w:r>
      </w:hyperlink>
      <w:r>
        <w:t>) ofrece un curso s</w:t>
      </w:r>
      <w:r>
        <w:t>o</w:t>
      </w:r>
      <w:r>
        <w:t>bre derechos humanos para jóvenes que contiene un capítulo especialmente dedic</w:t>
      </w:r>
      <w:r>
        <w:t>a</w:t>
      </w:r>
      <w:r>
        <w:t>do a los derechos de la mujer y la segreg</w:t>
      </w:r>
      <w:r>
        <w:t>a</w:t>
      </w:r>
      <w:r>
        <w:t>ción basada en el género en la sociedad.</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ab/>
        <w:t>e)</w:t>
      </w:r>
      <w:r>
        <w:rPr>
          <w:i/>
        </w:rPr>
        <w:tab/>
        <w:t>Las mismas oportunidades de acceso a los programas de educación pe</w:t>
      </w:r>
      <w:r>
        <w:rPr>
          <w:i/>
        </w:rPr>
        <w:t>r</w:t>
      </w:r>
      <w:r>
        <w:rPr>
          <w:i/>
        </w:rPr>
        <w:t>manente, incluidos los programas de alfabetización funcional y de adultos, con m</w:t>
      </w:r>
      <w:r>
        <w:rPr>
          <w:i/>
        </w:rPr>
        <w:t>i</w:t>
      </w:r>
      <w:r>
        <w:rPr>
          <w:i/>
        </w:rPr>
        <w:t>ras en particular a reducir lo antes posible toda diferencia de conocimientos que exista entre hombres y m</w:t>
      </w:r>
      <w:r>
        <w:rPr>
          <w:i/>
        </w:rPr>
        <w:t>u</w:t>
      </w:r>
      <w:r>
        <w:rPr>
          <w:i/>
        </w:rPr>
        <w:t>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Entre 2002 y 2004 se ejecutó el proyecto “Mirar@mundo” mediante el cual 102.697 personas (el 10% de la población adulta de Estonia) adquirieron conoc</w:t>
      </w:r>
      <w:r>
        <w:t>i</w:t>
      </w:r>
      <w:r>
        <w:t>mientos básicos de computación. El 71% de los participantes en el programa fueron mujeres.</w:t>
      </w:r>
    </w:p>
    <w:p w:rsidR="00000000" w:rsidRDefault="00000000">
      <w:pPr>
        <w:pStyle w:val="SingleTxt"/>
      </w:pPr>
      <w:r>
        <w:tab/>
        <w:t>En 2001 se llevó a cabo una encuesta entre 1.008 personas a fin de obtener i</w:t>
      </w:r>
      <w:r>
        <w:t>n</w:t>
      </w:r>
      <w:r>
        <w:t>formación sobre las necesidades y posibil</w:t>
      </w:r>
      <w:r>
        <w:t>i</w:t>
      </w:r>
      <w:r>
        <w:t>dades educacionales de los adultos.</w:t>
      </w:r>
    </w:p>
    <w:p w:rsidR="00000000" w:rsidRDefault="00000000">
      <w:pPr>
        <w:pStyle w:val="SingleTxt"/>
        <w:rPr>
          <w:spacing w:val="2"/>
          <w:w w:val="101"/>
        </w:rPr>
      </w:pPr>
      <w:r>
        <w:tab/>
        <w:t>Según los resultados de la encuesta la razón principal por la cual las mujeres comienzan a estudiar es el deseo de superarse (el 64%), en tanto que para los ho</w:t>
      </w:r>
      <w:r>
        <w:t>m</w:t>
      </w:r>
      <w:r>
        <w:t>bres la principal razón es mejorar su competencia profesional (el 45%). En comp</w:t>
      </w:r>
      <w:r>
        <w:t>a</w:t>
      </w:r>
      <w:r>
        <w:t xml:space="preserve">ración con los hombres, que muchas veces sacrifican sus vacaciones para estudiar </w:t>
      </w:r>
      <w:r>
        <w:rPr>
          <w:spacing w:val="2"/>
          <w:w w:val="101"/>
        </w:rPr>
        <w:t>(el 20%), las mujeres generalmente combinan trabajo y estudios (el 89%) y eligen los cursos en los que quieren participar (el 50% de las mujeres y el 34% de los ho</w:t>
      </w:r>
      <w:r>
        <w:rPr>
          <w:spacing w:val="2"/>
          <w:w w:val="101"/>
        </w:rPr>
        <w:t>m</w:t>
      </w:r>
      <w:r>
        <w:rPr>
          <w:spacing w:val="2"/>
          <w:w w:val="101"/>
        </w:rPr>
        <w:t>bres).</w:t>
      </w:r>
    </w:p>
    <w:p w:rsidR="00000000" w:rsidRDefault="00000000">
      <w:pPr>
        <w:pStyle w:val="SingleTxt"/>
      </w:pPr>
      <w:r>
        <w:tab/>
        <w:t>La actitud tanto de los hombres como de las mujeres respecto de la educación permanente es positiva; el 40% de los hombres y las mujeres tenían previsto cont</w:t>
      </w:r>
      <w:r>
        <w:t>i</w:t>
      </w:r>
      <w:r>
        <w:t>nuar sus estudios el año siguiente. El 34% de los hombres desearía continuar sus estudios en las esferas de la industria, la ingeniería eléctrica y la construcción, en comparación con el 4% de las mujeres. Las mujeres eligieron principalmente la c</w:t>
      </w:r>
      <w:r>
        <w:t>a</w:t>
      </w:r>
      <w:r>
        <w:t>pacitación en las esferas de los servicios (el 19%), los negocios y las empresas (el 19%) y la contad</w:t>
      </w:r>
      <w:r>
        <w:t>u</w:t>
      </w:r>
      <w:r>
        <w:t>ría (el 18%).</w:t>
      </w:r>
    </w:p>
    <w:p w:rsidR="00000000" w:rsidRDefault="00000000">
      <w:pPr>
        <w:pStyle w:val="SingleTxt"/>
      </w:pPr>
      <w:r>
        <w:tab/>
        <w:t>La información que se consigna más arriba demuestra que las necesidades de capacitación reflejan la segregación basada en el género que caracteriza el mercado lab</w:t>
      </w:r>
      <w:r>
        <w:t>o</w:t>
      </w:r>
      <w:r>
        <w:t>ral.</w:t>
      </w:r>
    </w:p>
    <w:p w:rsidR="00000000" w:rsidRDefault="00000000">
      <w:pPr>
        <w:pStyle w:val="SingleTxt"/>
      </w:pPr>
      <w:r>
        <w:tab/>
        <w:t>El Comité expresó su preocupación respecto de las diferencias basadas en el género que persisten en relación con las decisiones educacionales de los muchachos y las muchachas. En cierta medida, estas diferencias están condicionadas por la op</w:t>
      </w:r>
      <w:r>
        <w:t>i</w:t>
      </w:r>
      <w:r>
        <w:t>nión que aún predomina en la sociedad sobre los empleos “apropiados” para ho</w:t>
      </w:r>
      <w:r>
        <w:t>m</w:t>
      </w:r>
      <w:r>
        <w:t>bres y mujeres.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ab/>
        <w:t>f)</w:t>
      </w:r>
      <w:r>
        <w:rPr>
          <w:i/>
        </w:rPr>
        <w:tab/>
        <w:t>La reducción de la tasa de abandono femenino de los estudios y la org</w:t>
      </w:r>
      <w:r>
        <w:rPr>
          <w:i/>
        </w:rPr>
        <w:t>a</w:t>
      </w:r>
      <w:r>
        <w:rPr>
          <w:i/>
        </w:rPr>
        <w:t>nización de programas para aquellas jóvenes y mujeres que hayan dejado los est</w:t>
      </w:r>
      <w:r>
        <w:rPr>
          <w:i/>
        </w:rPr>
        <w:t>u</w:t>
      </w:r>
      <w:r>
        <w:rPr>
          <w:i/>
        </w:rPr>
        <w:t>dios prematuramente;</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ab/>
        <w:t>La tasa de abandono en las escuelas de educación general se ha mantenido r</w:t>
      </w:r>
      <w:r>
        <w:t>e</w:t>
      </w:r>
      <w:r>
        <w:t>lativamente constante. El cuadro 10.3 muestra el aumento del número de personas que abandonaron los estudios en 2002/2003, pero estos resultados reflejan la defin</w:t>
      </w:r>
      <w:r>
        <w:t>i</w:t>
      </w:r>
      <w:r>
        <w:t>ción de personas que interrumpen los estudios. La tasa de abandono masculino de los estudios en escuelas primarias y escuelas secundarias de ciclo superior es más alta (cuadro 10.3).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10.3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Tasas de abandono de la enseñanza básica y secundaria del ciclo superior de 2000/2001 a 2002/2003</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1046"/>
        <w:gridCol w:w="136"/>
        <w:gridCol w:w="910"/>
        <w:gridCol w:w="1046"/>
        <w:gridCol w:w="1046"/>
      </w:tblGrid>
      <w:tr w:rsidR="00000000">
        <w:tblPrEx>
          <w:tblCellMar>
            <w:top w:w="0" w:type="dxa"/>
            <w:left w:w="0" w:type="dxa"/>
            <w:bottom w:w="0" w:type="dxa"/>
            <w:right w:w="0" w:type="dxa"/>
          </w:tblCellMar>
        </w:tblPrEx>
        <w:trPr>
          <w:cantSplit/>
          <w:tblHeader/>
        </w:trPr>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138"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Enseñanza básica</w:t>
            </w:r>
          </w:p>
        </w:tc>
        <w:tc>
          <w:tcPr>
            <w:tcW w:w="13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300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Enseñanza secundaria del ciclo superior</w:t>
            </w:r>
          </w:p>
        </w:tc>
      </w:tr>
      <w:tr w:rsidR="00000000">
        <w:tblPrEx>
          <w:tblCellMar>
            <w:top w:w="0" w:type="dxa"/>
            <w:left w:w="0" w:type="dxa"/>
            <w:bottom w:w="0" w:type="dxa"/>
            <w:right w:w="0" w:type="dxa"/>
          </w:tblCellMar>
        </w:tblPrEx>
        <w:trPr>
          <w:tblHeader/>
        </w:trPr>
        <w:tc>
          <w:tcPr>
            <w:tcW w:w="1046"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Muchachas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Muchachos</w:t>
            </w:r>
          </w:p>
        </w:tc>
        <w:tc>
          <w:tcPr>
            <w:tcW w:w="1046"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Muchachas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Muchachos</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1 025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762</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434</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2001/2002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907</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673</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707</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366</w:t>
            </w:r>
          </w:p>
        </w:tc>
      </w:tr>
      <w:tr w:rsidR="00000000">
        <w:tblPrEx>
          <w:tblCellMar>
            <w:top w:w="0" w:type="dxa"/>
            <w:left w:w="0" w:type="dxa"/>
            <w:bottom w:w="0" w:type="dxa"/>
            <w:right w:w="0" w:type="dxa"/>
          </w:tblCellMar>
        </w:tblPrEx>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2002/2003</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1 145</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293</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852</w:t>
            </w:r>
          </w:p>
        </w:tc>
        <w:tc>
          <w:tcPr>
            <w:tcW w:w="104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1 038</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528</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Educación e Investigación.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Existen varios motivos por los cuales no se completan los estudios: salir de Estonia; llegar a la edad en la que ya no es obligatorio asistir a la escuela; ser expu</w:t>
      </w:r>
      <w:r>
        <w:t>l</w:t>
      </w:r>
      <w:r>
        <w:t>sado de la escuela; razones financieras, f</w:t>
      </w:r>
      <w:r>
        <w:t>a</w:t>
      </w:r>
      <w:r>
        <w:t>llecimiento, motivos familiares y otros.</w:t>
      </w:r>
    </w:p>
    <w:p w:rsidR="00000000" w:rsidRDefault="00000000">
      <w:pPr>
        <w:pStyle w:val="SingleTxt"/>
      </w:pPr>
      <w:r>
        <w:tab/>
        <w:t>Las estadísticas sobre educación no reflejan la frecuencia con que se aband</w:t>
      </w:r>
      <w:r>
        <w:t>o</w:t>
      </w:r>
      <w:r>
        <w:t>nan los estudios a causa del embarazo. A fin de continuar sus estudios, las madres jóvenes tienen la posibilidad de elegir entre los estudios diurnos y la enseñanza a distancia.</w:t>
      </w:r>
    </w:p>
    <w:p w:rsidR="00000000" w:rsidRDefault="00000000">
      <w:pPr>
        <w:pStyle w:val="SingleTxt"/>
      </w:pPr>
      <w:r>
        <w:tab/>
        <w:t>Se cree que una de las principales causas de la elevada tasa de abandono e</w:t>
      </w:r>
      <w:r>
        <w:t>s</w:t>
      </w:r>
      <w:r>
        <w:t>colar de los muchachos es su falta de motiv</w:t>
      </w:r>
      <w:r>
        <w:t>a</w:t>
      </w:r>
      <w:r>
        <w:t>ción.</w:t>
      </w:r>
    </w:p>
    <w:p w:rsidR="00000000" w:rsidRDefault="00000000">
      <w:pPr>
        <w:pStyle w:val="SingleTxt"/>
      </w:pPr>
      <w:r>
        <w:tab/>
        <w:t>A fin de mejorar la capacidad de los maestros respecto de las cuestiones rel</w:t>
      </w:r>
      <w:r>
        <w:t>a</w:t>
      </w:r>
      <w:r>
        <w:t>cionadas con el género, el Ministerio de Educación e Investigación apoyó la tradu</w:t>
      </w:r>
      <w:r>
        <w:t>c</w:t>
      </w:r>
      <w:r>
        <w:t>ción y publicación del manual “Los muchachos y las muchachas estudian de forma diferente” (de M. Guriani y A. C. Ballew). El manual se publicó en estonio en n</w:t>
      </w:r>
      <w:r>
        <w:t>o</w:t>
      </w:r>
      <w:r>
        <w:t>vie</w:t>
      </w:r>
      <w:r>
        <w:t>m</w:t>
      </w:r>
      <w:r>
        <w:t>bre de 2004.</w:t>
      </w:r>
    </w:p>
    <w:p w:rsidR="00000000" w:rsidRDefault="00000000">
      <w:pPr>
        <w:pStyle w:val="SingleTxt"/>
      </w:pPr>
      <w:r>
        <w:tab/>
        <w:t>El Ministerio de Educación e Investigación ha encomendado la realización de estudios a fin de establecer las causas de las dificultades de aprendizaje y la dese</w:t>
      </w:r>
      <w:r>
        <w:t>r</w:t>
      </w:r>
      <w:r>
        <w:rPr>
          <w:spacing w:val="2"/>
          <w:w w:val="101"/>
        </w:rPr>
        <w:t>ción escolar. Cabe mencionar a modo de ejemplo un estudio realizado por el Instituto</w:t>
      </w:r>
      <w:r>
        <w:t xml:space="preserve"> de Investigación de Pedagogía Social en 2004. Se trató de una encuesta integral entre los estudiantes de 8º y 9º grados, sus padres y los maestros, y se analizarán los datos obtenidos principalmente en relación con el género, a fin de adoptar medidas para prevenir las dificultades de aprendizaje en muchachos y muchachas y reducir la tasa de abandono de los estudios.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ab/>
        <w:t>g)</w:t>
      </w:r>
      <w:r>
        <w:rPr>
          <w:i/>
        </w:rPr>
        <w:tab/>
        <w:t>Las mismas oportunidades para participar activamente en el deporte y la educación f</w:t>
      </w:r>
      <w:r>
        <w:rPr>
          <w:i/>
        </w:rPr>
        <w:t>í</w:t>
      </w:r>
      <w:r>
        <w:rPr>
          <w:i/>
        </w:rPr>
        <w:t>sica;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ab/>
        <w:t>El Ministerio de Cultura se encarga de la aptitud física y el deporte.</w:t>
      </w:r>
    </w:p>
    <w:p w:rsidR="00000000" w:rsidRDefault="00000000">
      <w:pPr>
        <w:pStyle w:val="SingleTxt"/>
      </w:pPr>
      <w:r>
        <w:tab/>
        <w:t>El Ministerio de Educación e Investigación se ocupa de la organización de las clases de educación física en las escuelas, el entrenamiento de los deportistas y el desarrollo de la ciencia del deporte. El Ministerio de Asuntos Sociales se encarga de la creación de más oportunidades para que las personas discapacitadas puedan part</w:t>
      </w:r>
      <w:r>
        <w:t>i</w:t>
      </w:r>
      <w:r>
        <w:t>cipar en el deporte de recreación y de competencia, y de resolver otras cuestiones sociales relacionadas con el deporte.</w:t>
      </w:r>
    </w:p>
    <w:p w:rsidR="00000000" w:rsidRDefault="00000000">
      <w:pPr>
        <w:pStyle w:val="SingleTxt"/>
      </w:pPr>
      <w:r>
        <w:tab/>
        <w:t>La Ley de deporte establece la organización general y los fundamentos juríd</w:t>
      </w:r>
      <w:r>
        <w:t>i</w:t>
      </w:r>
      <w:r>
        <w:t>cos para la organización y la promoción del deporte, la relación entre las organiz</w:t>
      </w:r>
      <w:r>
        <w:t>a</w:t>
      </w:r>
      <w:r>
        <w:t>ciones deportivas y los organismos gubernamentales estatales y locales, las princ</w:t>
      </w:r>
      <w:r>
        <w:t>i</w:t>
      </w:r>
      <w:r>
        <w:t>pales actividades de promoción del deporte, los fundamentos para financiar el d</w:t>
      </w:r>
      <w:r>
        <w:t>e</w:t>
      </w:r>
      <w:r>
        <w:t>porte y los principios de participación en el movimiento deportivo internacional.</w:t>
      </w:r>
    </w:p>
    <w:p w:rsidR="00000000" w:rsidRDefault="00000000">
      <w:pPr>
        <w:pStyle w:val="SingleTxt"/>
      </w:pPr>
      <w:r>
        <w:tab/>
        <w:t>Tanto el número de clubes deportivos como el de personas que participan en deportes recreativos, incluidas las mujeres, ha aumentado año tras año. Por ejemplo, en 1998 las mujeres representaban el 25% de las personas que participaban en d</w:t>
      </w:r>
      <w:r>
        <w:t>e</w:t>
      </w:r>
      <w:r>
        <w:t>portes recreativos, en 1999 el 24,4% y en 2000 el 28,7%.</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ab/>
        <w:t>h)</w:t>
      </w:r>
      <w:r>
        <w:rPr>
          <w:i/>
        </w:rPr>
        <w:tab/>
        <w:t>Acceso al material informativo específico que contribuya a asegurar la salud y el bienestar de la familia, incluida la información y el asesoramiento sobre planificación de la familia.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ab/>
        <w:t>El Comité recomendó la introducción de programas de educación sexual para paliar el problema del embarazo adolescente. Para el período 2002-2006 se tiene previsto prestar servicios de asesoramiento sobre salud reproductiva a personas j</w:t>
      </w:r>
      <w:r>
        <w:t>ó</w:t>
      </w:r>
      <w:r>
        <w:t>venes en todos los condados.</w:t>
      </w:r>
    </w:p>
    <w:p w:rsidR="00000000" w:rsidRDefault="00000000">
      <w:pPr>
        <w:pStyle w:val="SingleTxt"/>
        <w:suppressAutoHyphens/>
      </w:pPr>
      <w:r>
        <w:tab/>
        <w:t>La Unión Estonia de Planificación de la Familia organiza seminarios y publica boletines sobre salud reproductiva y sexual, y planificación de la familia para asistentes sociales y personas que trabajan en el ámbito de la atención de la salud y la educación. La Unión Estonia de Planificación de la Familia y varias organiza-ciones no gubernamentales promueven el empleo de métodos anticonceptivos modernos y de buena calidad, con el objeto de que el público en general tenga acce-so a los antico</w:t>
      </w:r>
      <w:r>
        <w:t>n</w:t>
      </w:r>
      <w:r>
        <w:t>ceptivos.</w:t>
      </w:r>
    </w:p>
    <w:p w:rsidR="00000000" w:rsidRDefault="00000000">
      <w:pPr>
        <w:pStyle w:val="SingleTxt"/>
      </w:pPr>
      <w:r>
        <w:tab/>
        <w:t>Como resultado de esta iniciativa, está disminuyendo el número de embarazos y alumbramientos entre las mujeres de 16 y 17 años (véase también el cuadro 10.4).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10.4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Edad de las mujeres de menos de 18 años que dan a luz</w:t>
      </w:r>
    </w:p>
    <w:p w:rsidR="00000000" w:rsidRDefault="00000000">
      <w:pPr>
        <w:pStyle w:val="SingleTxt"/>
        <w:keepNext/>
        <w:keepLines/>
        <w:spacing w:after="0" w:line="120" w:lineRule="exact"/>
        <w:rPr>
          <w:b/>
          <w:sz w:val="10"/>
        </w:rPr>
      </w:pPr>
    </w:p>
    <w:p w:rsidR="00000000" w:rsidRDefault="00000000">
      <w:pPr>
        <w:pStyle w:val="SingleTxt"/>
        <w:keepNext/>
        <w:keepLines/>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Edad de las mujeres al dar a luz</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13 años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14 años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 años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16 años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17 años</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196</w:t>
            </w:r>
          </w:p>
        </w:tc>
      </w:tr>
    </w:tbl>
    <w:p w:rsidR="00000000" w:rsidRDefault="00000000">
      <w:pPr>
        <w:pStyle w:val="SingleTxt"/>
        <w:keepNext/>
        <w:keepLines/>
        <w:spacing w:after="0" w:line="120" w:lineRule="exact"/>
        <w:rPr>
          <w:b/>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Asuntos Sociales.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spacing w:val="2"/>
          <w:w w:val="101"/>
        </w:rPr>
      </w:pPr>
      <w:r>
        <w:rPr>
          <w:i/>
        </w:rPr>
        <w:tab/>
        <w:t>1.</w:t>
      </w:r>
      <w:r>
        <w:rPr>
          <w:i/>
        </w:rPr>
        <w:tab/>
        <w:t>Los Estados partes adoptarán todas las medidas apropiadas para elim</w:t>
      </w:r>
      <w:r>
        <w:rPr>
          <w:i/>
        </w:rPr>
        <w:t>i</w:t>
      </w:r>
      <w:r>
        <w:rPr>
          <w:i/>
        </w:rPr>
        <w:t xml:space="preserve">nar la discriminación contra la mujer en la esfera del empleo a fin de asegurar a la </w:t>
      </w:r>
      <w:r>
        <w:rPr>
          <w:i/>
          <w:spacing w:val="2"/>
          <w:w w:val="101"/>
        </w:rPr>
        <w:t>mujer, en condiciones de igualdad con los hombres, los mismos derechos, en part</w:t>
      </w:r>
      <w:r>
        <w:rPr>
          <w:i/>
          <w:spacing w:val="2"/>
          <w:w w:val="101"/>
        </w:rPr>
        <w:t>i</w:t>
      </w:r>
      <w:r>
        <w:rPr>
          <w:i/>
          <w:spacing w:val="2"/>
          <w:w w:val="101"/>
        </w:rPr>
        <w:t>cular:</w:t>
      </w:r>
    </w:p>
    <w:p w:rsidR="00000000" w:rsidRDefault="00000000">
      <w:pPr>
        <w:pStyle w:val="SingleTxt"/>
        <w:rPr>
          <w:i/>
        </w:rPr>
      </w:pPr>
      <w:r>
        <w:rPr>
          <w:i/>
        </w:rPr>
        <w:tab/>
        <w:t>a)</w:t>
      </w:r>
      <w:r>
        <w:rPr>
          <w:i/>
        </w:rPr>
        <w:tab/>
        <w:t>El derecho al trabajo como derecho inalienable de todo ser humano;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ab/>
        <w:t>La prestación de los siguientes servicios de empleo para todas las personas está reglamentada a nivel estatal: informar sobre la situación del mercado laboral y sobre las posibilidades de recibir capacitación para el empleo; la intermediación l</w:t>
      </w:r>
      <w:r>
        <w:t>a</w:t>
      </w:r>
      <w:r>
        <w:t>boral; la formación profesional; el asesoramiento profesional; los subsidios de e</w:t>
      </w:r>
      <w:r>
        <w:t>m</w:t>
      </w:r>
      <w:r>
        <w:t>pleo para nuevos negocios y el empleo en la comunidad.</w:t>
      </w:r>
    </w:p>
    <w:p w:rsidR="00000000" w:rsidRDefault="00000000">
      <w:pPr>
        <w:pStyle w:val="SingleTxt"/>
      </w:pPr>
      <w:r>
        <w:tab/>
        <w:t>De conformidad con La ley sobre la igualdad de género, está prohibido impa</w:t>
      </w:r>
      <w:r>
        <w:t>r</w:t>
      </w:r>
      <w:r>
        <w:t>tir enseñanza y capacitación dirigidas a un solo género, a no ser que, en función de la naturaleza de las actividades profesionales o el contexto en que se llevan a cabo, se trate de una exigencia profesional genuina y fundamental, si el objetivo del trato diferencial es legítimo y el requ</w:t>
      </w:r>
      <w:r>
        <w:t>i</w:t>
      </w:r>
      <w:r>
        <w:t>sito proporcional.</w:t>
      </w:r>
    </w:p>
    <w:p w:rsidR="00000000" w:rsidRDefault="00000000">
      <w:pPr>
        <w:pStyle w:val="SingleTxt"/>
      </w:pPr>
      <w:r>
        <w:tab/>
        <w:t>Actualmente en Estonia las mujeres están tan interesadas como los hombres en su carrera profesional, no solo por la retribución económica, sino también por la realización personal que conlleva. En 2003, el 23% de las mujeres afirmaron que les gustaría dejar de trabajar por completo y permanecer en el hogar si su situación ec</w:t>
      </w:r>
      <w:r>
        <w:t>o</w:t>
      </w:r>
      <w:r>
        <w:t>nómica lo permitiera. El porcentaje de hombres era levemente más alto.</w:t>
      </w:r>
    </w:p>
    <w:p w:rsidR="00000000" w:rsidRDefault="00000000">
      <w:pPr>
        <w:pStyle w:val="SingleTxt"/>
      </w:pPr>
      <w:r>
        <w:tab/>
        <w:t>La proporción de mujeres en el mercado laboral era del 48% (en 2002), y alr</w:t>
      </w:r>
      <w:r>
        <w:t>e</w:t>
      </w:r>
      <w:r>
        <w:t xml:space="preserve">dedor del </w:t>
      </w:r>
      <w:r>
        <w:rPr>
          <w:spacing w:val="2"/>
          <w:w w:val="101"/>
        </w:rPr>
        <w:t>52% del las mujeres formaban parte de la población económicamente act</w:t>
      </w:r>
      <w:r>
        <w:rPr>
          <w:spacing w:val="2"/>
          <w:w w:val="101"/>
        </w:rPr>
        <w:t>i</w:t>
      </w:r>
      <w:r>
        <w:rPr>
          <w:spacing w:val="2"/>
          <w:w w:val="101"/>
        </w:rPr>
        <w:t>va.</w:t>
      </w:r>
    </w:p>
    <w:p w:rsidR="00000000" w:rsidRDefault="00000000">
      <w:pPr>
        <w:pStyle w:val="SingleTxt"/>
      </w:pPr>
      <w:r>
        <w:tab/>
        <w:t>En 2003 la tasa de empleo promedio de la población estonia (de 15 a 64 años) era del 62,6%. La tasa de empleo de los hombres era del 66,7% y la de las mujeres del 58,8%.</w:t>
      </w:r>
    </w:p>
    <w:p w:rsidR="00000000" w:rsidRDefault="00000000">
      <w:pPr>
        <w:pStyle w:val="SingleTxt"/>
      </w:pPr>
      <w:r>
        <w:tab/>
        <w:t>La tasa de desempleo era del 10%. Aunque la tasa de empleo de los hombres es más elevada que la de las mujeres, la tasa de desempleo de los hombres (el 10,2%) es más elevada que la de las mujeres (9,9%). En 2003 la tasa de desempleo de los hombres jóvenes (de 15 a 24 años) era del 16,9%, y la de las mujeres jóvenes del 26%.</w:t>
      </w:r>
    </w:p>
    <w:p w:rsidR="00000000" w:rsidRDefault="00000000">
      <w:pPr>
        <w:pStyle w:val="SingleTxt"/>
      </w:pPr>
      <w:r>
        <w:tab/>
        <w:t>Según una encuesta realizada en 2003 por los sociólogos de la Universidad Pedagógica de Tallin, el 10% de las mujeres y el 5% de los hombres trabajaban a tiempo parcial por voluntad propia y el 8% y el 6%, respectivamente, trabajaban a tie</w:t>
      </w:r>
      <w:r>
        <w:t>m</w:t>
      </w:r>
      <w:r>
        <w:t>po parcial por voluntad de su empleador (Hansson, 2004).</w:t>
      </w:r>
    </w:p>
    <w:p w:rsidR="00000000" w:rsidRDefault="00000000">
      <w:pPr>
        <w:pStyle w:val="SingleTxt"/>
      </w:pPr>
      <w:r>
        <w:tab/>
        <w:t>A fin de aumentar la concienciación de los empleadores y los empleados, se ha traducido al estonio la publicación de la OIT “ABC de los derechos de las trabajad</w:t>
      </w:r>
      <w:r>
        <w:t>o</w:t>
      </w:r>
      <w:r>
        <w:t>ras y la igualdad de género”.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ab/>
        <w:t>b)</w:t>
      </w:r>
      <w:r>
        <w:rPr>
          <w:i/>
        </w:rPr>
        <w:tab/>
        <w:t>El derecho a las mismas oportunidades de empleo, inclusive a la aplic</w:t>
      </w:r>
      <w:r>
        <w:rPr>
          <w:i/>
        </w:rPr>
        <w:t>a</w:t>
      </w:r>
      <w:r>
        <w:rPr>
          <w:i/>
        </w:rPr>
        <w:t>ción de los mismos criterios de selección en cuestiones de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ley sobre la igualdad de género establece el derecho a las mismas condici</w:t>
      </w:r>
      <w:r>
        <w:t>o</w:t>
      </w:r>
      <w:r>
        <w:t>nes de empleo y a la aplicación de los mismos criterios de selección para hombres y muj</w:t>
      </w:r>
      <w:r>
        <w:t>e</w:t>
      </w:r>
      <w:r>
        <w:t>res.</w:t>
      </w:r>
    </w:p>
    <w:p w:rsidR="00000000" w:rsidRDefault="00000000">
      <w:pPr>
        <w:pStyle w:val="SingleTxt"/>
      </w:pPr>
      <w:r>
        <w:tab/>
        <w:t>Con arreglo a la Ley sobre la igualdad de género, se considera que existe di</w:t>
      </w:r>
      <w:r>
        <w:t>s</w:t>
      </w:r>
      <w:r>
        <w:t>criminación en los casos en que un empleador selecciona para un trabajo o un puesto, contrata o selecciona para formación práctica, asciende, selecciona para r</w:t>
      </w:r>
      <w:r>
        <w:t>e</w:t>
      </w:r>
      <w:r>
        <w:t>cibir capacitación o llevar a cabo una tarea, o envía a cursos de capacitación a una persona de un sexo en detrimento de otra mejor calificada del sexo opuesto, a menos que existan razones sólidas que justifiquen la decisión del empleador o se trate de una decisión basada en circunstancias no relacionadas con el género.</w:t>
      </w:r>
    </w:p>
    <w:p w:rsidR="00000000" w:rsidRDefault="00000000">
      <w:pPr>
        <w:pStyle w:val="SingleTxt"/>
      </w:pPr>
      <w:r>
        <w:tab/>
        <w:t>La Ley aclara expresamente que también se considerarán discriminatorias las actividades del empleador si, en el momento de contratar a una persona, establece condiciones que colocan a una persona de un género en desventaja respecto de otras del otro, o no tiene en cuenta a una persona debido al embarazo, el alumbramiento u otras circunstancias relacionadas con el género. De conformidad con esta dispos</w:t>
      </w:r>
      <w:r>
        <w:t>i</w:t>
      </w:r>
      <w:r>
        <w:t>ción, también pueden establecerse los casos de discriminación mediante la compar</w:t>
      </w:r>
      <w:r>
        <w:t>a</w:t>
      </w:r>
      <w:r>
        <w:t>ción con otras mujeres.</w:t>
      </w:r>
    </w:p>
    <w:p w:rsidR="00000000" w:rsidRDefault="00000000">
      <w:pPr>
        <w:pStyle w:val="SingleTxt"/>
      </w:pPr>
      <w:r>
        <w:tab/>
        <w:t>Cuando una persona supone que ha sido víctima de discriminación, puede ex</w:t>
      </w:r>
      <w:r>
        <w:t>i</w:t>
      </w:r>
      <w:r>
        <w:t>gir al empleador por medio de una solicitud escrita que presente una explicación también por escrito, dentro de un plazo de diez días laborales a partir del momento de la presentación de dicha solicitud. En la explicación el empleador debe presentar información sobre la persona seleccionada, como su antigüedad en el puesto, educ</w:t>
      </w:r>
      <w:r>
        <w:t>a</w:t>
      </w:r>
      <w:r>
        <w:t>ción, experiencia laboral y otras competencias necesarias para el puesto, así como otras a</w:t>
      </w:r>
      <w:r>
        <w:t>p</w:t>
      </w:r>
      <w:r>
        <w:t>titudes o motivos que dan ventaja inequívoca a la persona, u otras razones.</w:t>
      </w:r>
    </w:p>
    <w:p w:rsidR="00000000" w:rsidRDefault="00000000">
      <w:pPr>
        <w:pStyle w:val="SingleTxt"/>
      </w:pPr>
      <w:r>
        <w:tab/>
        <w:t>La Ley de contratos de empleo también prohíbe la discriminación directa e i</w:t>
      </w:r>
      <w:r>
        <w:t>n</w:t>
      </w:r>
      <w:r>
        <w:t>directa en razón del g</w:t>
      </w:r>
      <w:r>
        <w:t>é</w:t>
      </w:r>
      <w:r>
        <w:t>nero.</w:t>
      </w:r>
    </w:p>
    <w:p w:rsidR="00000000" w:rsidRDefault="00000000">
      <w:pPr>
        <w:pStyle w:val="SingleTxt"/>
      </w:pPr>
      <w:r>
        <w:tab/>
        <w:t>La Ley de contratos de empleo prohíbe a los empleadores, al contratar o cel</w:t>
      </w:r>
      <w:r>
        <w:t>e</w:t>
      </w:r>
      <w:r>
        <w:t>brar contratos de trabajo, discriminar contra las personas que solicitan empleo. Tampoco se permite a los empleadores discriminar contra los empleados en las rel</w:t>
      </w:r>
      <w:r>
        <w:t>a</w:t>
      </w:r>
      <w:r>
        <w:t>ciones laborales, por ejemplo, en relación con la remuneración, los ascensos, la fo</w:t>
      </w:r>
      <w:r>
        <w:t>r</w:t>
      </w:r>
      <w:r>
        <w:t xml:space="preserve">ma de dar instrucciones, la rescisión de los contratos de empleo, el acceso al </w:t>
      </w:r>
      <w:r>
        <w:rPr>
          <w:color w:val="000000"/>
        </w:rPr>
        <w:t>re</w:t>
      </w:r>
      <w:r>
        <w:rPr>
          <w:color w:val="000000"/>
        </w:rPr>
        <w:t>a</w:t>
      </w:r>
      <w:r>
        <w:rPr>
          <w:color w:val="000000"/>
        </w:rPr>
        <w:t>diestramiento o</w:t>
      </w:r>
      <w:r>
        <w:t xml:space="preserve"> los cursos de perfeccionamiento en el empleo.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keepNext/>
        <w:keepLines/>
        <w:rPr>
          <w:i/>
        </w:rPr>
      </w:pPr>
      <w:r>
        <w:rPr>
          <w:i/>
        </w:rPr>
        <w:tab/>
        <w:t>c)</w:t>
      </w:r>
      <w:r>
        <w:rPr>
          <w:i/>
        </w:rPr>
        <w:tab/>
        <w:t>El derecho a elegir libremente profesión y empleo, el derecho al ascenso, a la estabilidad en el empleo y a todas las prestaciones y otras condiciones de se</w:t>
      </w:r>
      <w:r>
        <w:rPr>
          <w:i/>
        </w:rPr>
        <w:t>r</w:t>
      </w:r>
      <w:r>
        <w:rPr>
          <w:i/>
        </w:rPr>
        <w:t>vicio, y el derecho a la formación profesional y al readiestramiento, incluido el aprendizaje, la formación profesional superior y el adiestramiento periódico;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ab/>
        <w:t>De conformidad con la Ley sobre la igualdad de género, una persona puede proteger sus derechos en los casos en que el empleador dirija el trabajo, distribuya las tareas o establezca condiciones de trabajo de modo que las personas de un gén</w:t>
      </w:r>
      <w:r>
        <w:t>e</w:t>
      </w:r>
      <w:r>
        <w:t>ro estén en desventaja respecto de las personas del otro. La ley prohíbe al empleador limitar la duración o el alcance del trabajo debido al embarazo, el parto u otras ci</w:t>
      </w:r>
      <w:r>
        <w:t>r</w:t>
      </w:r>
      <w:r>
        <w:t>cunstancias relacionadas con el género.</w:t>
      </w:r>
    </w:p>
    <w:p w:rsidR="00000000" w:rsidRDefault="00000000">
      <w:pPr>
        <w:pStyle w:val="SingleTxt"/>
      </w:pPr>
      <w:r>
        <w:tab/>
        <w:t>La ley exige a los empleadores reunir datos estadísticos sobre el empleo bas</w:t>
      </w:r>
      <w:r>
        <w:t>a</w:t>
      </w:r>
      <w:r>
        <w:t>dos en el género y que permitan, de ser necesario, a las instituciones pertinentes y los empleadores supervisar y evaluar si se cumple el principio de la igualdad de trato en las relaciones laborales.</w:t>
      </w:r>
    </w:p>
    <w:p w:rsidR="00000000" w:rsidRDefault="00000000">
      <w:pPr>
        <w:pStyle w:val="SingleTxt"/>
      </w:pPr>
      <w:r>
        <w:tab/>
        <w:t>Los empleadores deben informar a los empleados sobre los derechos garant</w:t>
      </w:r>
      <w:r>
        <w:t>i</w:t>
      </w:r>
      <w:r>
        <w:t>zados por la Ley sobre la igualdad de género e informar periódicamente a los e</w:t>
      </w:r>
      <w:r>
        <w:t>m</w:t>
      </w:r>
      <w:r>
        <w:t>pleados y a sus representantes sobre la igualdad de trato entre hombres y mujeres en la organ</w:t>
      </w:r>
      <w:r>
        <w:t>i</w:t>
      </w:r>
      <w:r>
        <w:t>zación, y las medidas adoptadas para promover la igualdad.</w:t>
      </w:r>
    </w:p>
    <w:p w:rsidR="00000000" w:rsidRDefault="00000000">
      <w:pPr>
        <w:pStyle w:val="SingleTxt"/>
      </w:pPr>
      <w:r>
        <w:tab/>
        <w:t>La Ley sobre la igualdad de género también protege contra la aplicación de r</w:t>
      </w:r>
      <w:r>
        <w:t>e</w:t>
      </w:r>
      <w:r>
        <w:t>pres</w:t>
      </w:r>
      <w:r>
        <w:t>a</w:t>
      </w:r>
      <w:r>
        <w:t>lias por parte del empleador.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Segregación horizontal y vertical en el mercado laboral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segregación de género horizontal y vertical no ha disminuido desde la pr</w:t>
      </w:r>
      <w:r>
        <w:t>e</w:t>
      </w:r>
      <w:r>
        <w:t>sentación del informe anterior. La segregación puede estar causada por las elecci</w:t>
      </w:r>
      <w:r>
        <w:t>o</w:t>
      </w:r>
      <w:r>
        <w:t>nes conscientes de las personas, en función de sus posibilidades de empleo, así c</w:t>
      </w:r>
      <w:r>
        <w:t>o</w:t>
      </w:r>
      <w:r>
        <w:t>mo por el comportamiento influenciado por los papeles asignados por la sociedad en función del género.</w:t>
      </w:r>
    </w:p>
    <w:p w:rsidR="00000000" w:rsidRDefault="00000000">
      <w:pPr>
        <w:pStyle w:val="SingleTxt"/>
      </w:pPr>
      <w:r>
        <w:tab/>
        <w:t>El análisis de los parámetros de empleo por esfera de ocupación y profesión indica que existe segregación tanto vertical como horizontal. En comparación con las mujeres, los hombres generalmente trabajan como obreros calificados, artesanos y operadores de dispositivos técnicos y maquinaria. Casi la mitad de los hombres se dedica a este tipo de profesiones (el 48,7%), en comparación con sólo el 13% de las mujeres. Además, más hombres ocupan puestos directivos (legisladores, funcion</w:t>
      </w:r>
      <w:r>
        <w:t>a</w:t>
      </w:r>
      <w:r>
        <w:t>rios superiores y directores). La mayoría de las mujeres son especialistas de categ</w:t>
      </w:r>
      <w:r>
        <w:t>o</w:t>
      </w:r>
      <w:r>
        <w:t>ría superior o media. En comparación con los hombres, una proporción más elevada de mujeres se desempeñan como funcionarias o en las esferas de los servicios o las ventas. En otros ámbitos de la economía, los hombres generalmente trabajan en los sectores de la agricultura, la construcción y la logística y las mujeres en la educ</w:t>
      </w:r>
      <w:r>
        <w:t>a</w:t>
      </w:r>
      <w:r>
        <w:t>ción, el cuidado de la salud y el comercio.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la vida empresarial</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La participación de las mujeres en la vida empresarial depende en gran medida de su iniciativa y la confianza en sí mismas, pero también de los estereotipos bas</w:t>
      </w:r>
      <w:r>
        <w:t>a</w:t>
      </w:r>
      <w:r>
        <w:t>dos en el género dentro de la sociedad. La opinión pública no favorece a las dir</w:t>
      </w:r>
      <w:r>
        <w:t>i</w:t>
      </w:r>
      <w:r>
        <w:t>gentes mujeres. Se considera que las cualidades que debe tener un líder —ser aut</w:t>
      </w:r>
      <w:r>
        <w:t>o</w:t>
      </w:r>
      <w:r>
        <w:t>ritario, racional, responsable, digno, decidido, con una perspectiva general, capaz de aprender, etc.— son mayormente masculinas e impropias de las mujeres. Sólo el 18% de los hombres y las mujeres opinan que el número de mujeres directoras deb</w:t>
      </w:r>
      <w:r>
        <w:t>e</w:t>
      </w:r>
      <w:r>
        <w:t>ría ser mayor de lo que es actualmente, en tanto que el 51% piensa que no es una cuestión en absoluto importante. Una dirigente mujer fuerte e independiente es un fenómeno nuevo en la sociedad estonia que representa nuevos valores y rompe los patrones de comport</w:t>
      </w:r>
      <w:r>
        <w:t>a</w:t>
      </w:r>
      <w:r>
        <w:t>miento establecidos.</w:t>
      </w:r>
    </w:p>
    <w:p w:rsidR="00000000" w:rsidRDefault="00000000">
      <w:pPr>
        <w:pStyle w:val="SingleTxt"/>
      </w:pPr>
      <w:r>
        <w:tab/>
        <w:t xml:space="preserve">En comparación con los hombres, en las empresas todavía muy pocas mujeres ocupan puestos ejecutivos. En el catálogo de las empresas de mayor éxito de 2001 sólo representan entre el 4% y el 6% del número total de directores; en empresas a nivel de condado entre el 5% y el 10%; en empresas pequeñas alrededor del 11% y en otras empresas alrededor del 14% en promedio (el análisis se basa en varias listas de las empresas de mayor éxito publicadas en el diario de economía y finanzas </w:t>
      </w:r>
      <w:r>
        <w:br/>
      </w:r>
      <w:r>
        <w:rPr>
          <w:i/>
        </w:rPr>
        <w:t xml:space="preserve">Äripäev </w:t>
      </w:r>
      <w:r>
        <w:t>en 2002; Raitviir, 2003b). Las directoras mujeres generalmente trabajan en empresas que pertenecen sólo a mujeres o en las que el grupo de propietarios incl</w:t>
      </w:r>
      <w:r>
        <w:t>u</w:t>
      </w:r>
      <w:r>
        <w:t>ye mujeres. Generalmente la propietaria mayoritaria ocupa el puesto de directora de la empresa. Prácticamente no hay mujeres directoras en empresas de propiedad de hombres. El sector comercial está sumamente segregado en razón del género. Gen</w:t>
      </w:r>
      <w:r>
        <w:t>e</w:t>
      </w:r>
      <w:r>
        <w:t>ralmente hay mujeres en puestos directivos en empresas de auditoría, turismo, cap</w:t>
      </w:r>
      <w:r>
        <w:t>a</w:t>
      </w:r>
      <w:r>
        <w:t>citación, indumentaria, gastronomía, hostelería y la industria editorial (entre el 21% y el 54%). Sin embargo, casi no participan en las empresas madereras y de materi</w:t>
      </w:r>
      <w:r>
        <w:t>a</w:t>
      </w:r>
      <w:r>
        <w:t>les de construcción, la venta de automóviles y el transporte automotor y marítimo (entre el 0% y el 5%).</w:t>
      </w:r>
    </w:p>
    <w:p w:rsidR="00000000" w:rsidRDefault="00000000">
      <w:pPr>
        <w:pStyle w:val="SingleTxt"/>
      </w:pPr>
      <w:r>
        <w:tab/>
        <w:t>Una encuesta realizada en 2002 indica que alrededor de una tercera parte de los empresarios son mujeres. Frecuentemente las mujeres son o bien empresarias pequeñas o propietarias únicas. La directora mujer promedio tiene entre 30 y 45 años, está c</w:t>
      </w:r>
      <w:r>
        <w:t>a</w:t>
      </w:r>
      <w:r>
        <w:t>sada y tiene dos hijos.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ab/>
        <w:t>d)</w:t>
      </w:r>
      <w:r>
        <w:rPr>
          <w:i/>
        </w:rPr>
        <w:tab/>
        <w:t>El derecho a igual remuneración, inclusive prestaciones, y a igualdad de trato con respecto a un trabajo de igual valor, así como a igualdad de trato con re</w:t>
      </w:r>
      <w:r>
        <w:rPr>
          <w:i/>
        </w:rPr>
        <w:t>s</w:t>
      </w:r>
      <w:r>
        <w:rPr>
          <w:i/>
        </w:rPr>
        <w:t>pecto a la evaluación de la calidad del trabajo;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Ley de salarios establece el principio de igual remuneración por un trabajo de igual valor para hombres y mujeres.</w:t>
      </w:r>
    </w:p>
    <w:p w:rsidR="00000000" w:rsidRDefault="00000000">
      <w:pPr>
        <w:pStyle w:val="SingleTxt"/>
      </w:pPr>
      <w:r>
        <w:tab/>
        <w:t>En virtud de la Ley sobre la igualdad de género, el empleador no debe establ</w:t>
      </w:r>
      <w:r>
        <w:t>e</w:t>
      </w:r>
      <w:r>
        <w:t>cer condiciones de remuneración u otras condiciones menos favorables para un e</w:t>
      </w:r>
      <w:r>
        <w:t>m</w:t>
      </w:r>
      <w:r>
        <w:t>pleado de un género respecto de un empleado del otro que realiza el mismo trabajo o un trabajo de igual valor. En la Ley se establece una base para comparar los salarios de hombres y mujeres que realizan el mismo trabajo o un trabajo de igual valor. La Ley puede aplicarse para eliminar la discriminación causada por diferentes sistemas de remuneración, clasificación de puestos o criterios de evaluación del trabajo.</w:t>
      </w:r>
    </w:p>
    <w:p w:rsidR="00000000" w:rsidRDefault="00000000">
      <w:pPr>
        <w:pStyle w:val="SingleTxt"/>
      </w:pPr>
      <w:r>
        <w:tab/>
        <w:t>El empleado tiene derecho a exigir que el empleador explique los fundamentos sobre los que se calculan los salarios, y si considera que ha sido víctima de discr</w:t>
      </w:r>
      <w:r>
        <w:t>i</w:t>
      </w:r>
      <w:r>
        <w:t>minación, a recibir una explicación por escrito de parte del empleador acerca de sus act</w:t>
      </w:r>
      <w:r>
        <w:t>i</w:t>
      </w:r>
      <w:r>
        <w:t>vidades dentro de un plazo de 15 días laborales.</w:t>
      </w:r>
    </w:p>
    <w:p w:rsidR="00000000" w:rsidRDefault="00000000">
      <w:pPr>
        <w:pStyle w:val="SingleTxt"/>
      </w:pPr>
      <w:r>
        <w:tab/>
        <w:t>La información suministrada por los inspectores de trabajo, hasta ahora sólo ha permitido emitir dos decisiones sobre la remuneración desigual por el mismo trabajo o un trabajo de igual valor. En 2002, se emitió una decisión respecto de una empresa que pagaba salarios diferentes a trabajadores hombres y mujeres por el mismo tr</w:t>
      </w:r>
      <w:r>
        <w:t>a</w:t>
      </w:r>
      <w:r>
        <w:t>bajo; 25 coronas estonias por hora más bonificaciones, a los hombres y 15 a las mujeres por el mismo trabajo, aunque las descripciones de las funciones del hombre y la mujer eran las mismas. Después de esta decisión, el empleador comenzó a pagar a los hombres 15 coronas estonias por hora; sin embargo, la bonificación por trab</w:t>
      </w:r>
      <w:r>
        <w:t>a</w:t>
      </w:r>
      <w:r>
        <w:t>jos complementarios garantizaba a los hombres sus ingresos ant</w:t>
      </w:r>
      <w:r>
        <w:t>e</w:t>
      </w:r>
      <w:r>
        <w:t>riores.</w:t>
      </w:r>
    </w:p>
    <w:p w:rsidR="00000000" w:rsidRDefault="00000000">
      <w:pPr>
        <w:pStyle w:val="SingleTxt"/>
      </w:pPr>
      <w:r>
        <w:tab/>
        <w:t>En 2003 se emitió otra decisión respecto de una empresa de otro condado, en la que se pagaba a las vendedoras y las empleadas 100 coronas estonias menos por semana que a los trabajadores del transporte, que eran todos hombres. El represe</w:t>
      </w:r>
      <w:r>
        <w:t>n</w:t>
      </w:r>
      <w:r>
        <w:t>tante del empleador alegó que los hombres se negaban a trabajar por un salario más bajo, lo que también demostró que se trataba de un caso de discriminación directa.</w:t>
      </w:r>
    </w:p>
    <w:p w:rsidR="00000000" w:rsidRDefault="00000000">
      <w:pPr>
        <w:pStyle w:val="SingleTxt"/>
      </w:pPr>
      <w:r>
        <w:tab/>
        <w:t>En los últimos años, la sociedad ha reconocido el problema de la remuneración d</w:t>
      </w:r>
      <w:r>
        <w:t>e</w:t>
      </w:r>
      <w:r>
        <w:t>sigual para hombres y mujeres, y se ha entablado un debate sobre la cuestión.</w:t>
      </w:r>
    </w:p>
    <w:p w:rsidR="00000000" w:rsidRDefault="00000000">
      <w:pPr>
        <w:pStyle w:val="SingleTxt"/>
      </w:pPr>
      <w:r>
        <w:tab/>
        <w:t>En 2004 el Centro de Estudios de Políticas PRAXIS realizó un estudio sobre las diferencias salariales sobre la base de datos de la fuerza laboral estonia entre 1998 y 2000. En ese período los salarios de las mujeres representaban el 72,7% de los sal</w:t>
      </w:r>
      <w:r>
        <w:t>a</w:t>
      </w:r>
      <w:r>
        <w:t>rios de los hombres.</w:t>
      </w:r>
    </w:p>
    <w:p w:rsidR="00000000" w:rsidRDefault="00000000">
      <w:pPr>
        <w:pStyle w:val="SingleTxt"/>
      </w:pPr>
      <w:r>
        <w:tab/>
        <w:t>El estudio demostró que cuando se tienen en cuenta las diferencias de la cal</w:t>
      </w:r>
      <w:r>
        <w:t>i</w:t>
      </w:r>
      <w:r>
        <w:t>dad y las elecciones personales de las profesiones, los salarios de los hombres, en promedio, eran un 23% más elevados que los de las mujeres. Por lo tanto, 4,3 puntos porcentuales de la diferencia media inicial de 27,4% pueden atribuirse a las difere</w:t>
      </w:r>
      <w:r>
        <w:t>n</w:t>
      </w:r>
      <w:r>
        <w:t>cias del capital humano de hombres y mujeres y a otros factores observ</w:t>
      </w:r>
      <w:r>
        <w:t>a</w:t>
      </w:r>
      <w:r>
        <w:t>bles.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ab/>
        <w:t>e)</w:t>
      </w:r>
      <w:r>
        <w:rPr>
          <w:i/>
        </w:rPr>
        <w:tab/>
        <w:t>El derecho a la seguridad social, en particular en casos de jubilación, desempleo, enfermedad, invalidez, vejez u otra incapacidad para trabajar, así como el derecho a vacaciones pagadas;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ab/>
        <w:t>La Ley de protección social de los desempleados reglamenta la inscripción oficial de las personas desempleadas y el pago de las prestaciones estatales de d</w:t>
      </w:r>
      <w:r>
        <w:t>e</w:t>
      </w:r>
      <w:r>
        <w:t>sempleo, prestaciones únicas y subsidios para personas desempleadas, por conducto de las oficinas de empleo.</w:t>
      </w:r>
    </w:p>
    <w:p w:rsidR="00000000" w:rsidRDefault="00000000">
      <w:pPr>
        <w:pStyle w:val="SingleTxt"/>
      </w:pPr>
      <w:r>
        <w:tab/>
        <w:t>Las personas que habían estado empleadas o que habían desarrollado una act</w:t>
      </w:r>
      <w:r>
        <w:t>i</w:t>
      </w:r>
      <w:r>
        <w:t>vidad equivalente durante un período de por lo menos 180 días en los 12 meses pr</w:t>
      </w:r>
      <w:r>
        <w:t>e</w:t>
      </w:r>
      <w:r>
        <w:t>vios a su inscripción como desempleados tienen derecho a recibir la prestación e</w:t>
      </w:r>
      <w:r>
        <w:t>s</w:t>
      </w:r>
      <w:r>
        <w:t>tatal de desempleo. Las excepciones se consignan en la Ley de protección social de los d</w:t>
      </w:r>
      <w:r>
        <w:t>e</w:t>
      </w:r>
      <w:r>
        <w:t>sempleados.</w:t>
      </w:r>
    </w:p>
    <w:p w:rsidR="00000000" w:rsidRDefault="00000000">
      <w:pPr>
        <w:pStyle w:val="SingleTxt"/>
        <w:keepNext/>
        <w:keepLines/>
      </w:pPr>
      <w:r>
        <w:tab/>
        <w:t>Las prestaciones generalmente se pagan hasta 270 días durante el período en que la persona está inscripta como desempleada. Una mujer desempleada tiene der</w:t>
      </w:r>
      <w:r>
        <w:t>e</w:t>
      </w:r>
      <w:r>
        <w:t>cho a continuar recibiendo la prestación estatal luego del período mencionado hasta el alumbramiento, si un médico certifica que la fecha estimada del parto está dentro de los 70 días civiles.</w:t>
      </w:r>
    </w:p>
    <w:p w:rsidR="00000000" w:rsidRDefault="00000000">
      <w:pPr>
        <w:pStyle w:val="SingleTxt"/>
      </w:pPr>
      <w:r>
        <w:tab/>
        <w:t>La Ley de seguro de desempleo, que entró en vigor en 2001, garantiza prest</w:t>
      </w:r>
      <w:r>
        <w:t>a</w:t>
      </w:r>
      <w:r>
        <w:t>ciones en caso de desempleo, el cese colectivo de contratos de trabajo y la insolve</w:t>
      </w:r>
      <w:r>
        <w:t>n</w:t>
      </w:r>
      <w:r>
        <w:t>cia de los empleadores.</w:t>
      </w:r>
    </w:p>
    <w:p w:rsidR="00000000" w:rsidRDefault="00000000">
      <w:pPr>
        <w:pStyle w:val="SingleTxt"/>
      </w:pPr>
      <w:r>
        <w:tab/>
        <w:t>La pensión de jubilación media ha aumentado de 1.551 coronas estonias en 2000 a 2.072 coronas e</w:t>
      </w:r>
      <w:r>
        <w:t>s</w:t>
      </w:r>
      <w:r>
        <w:t>tonias en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rPr>
          <w:b w:val="0"/>
        </w:rPr>
        <w:t>Cuadro 11.1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Número de jubilados por género y edad en 2003</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890"/>
        <w:gridCol w:w="663"/>
        <w:gridCol w:w="664"/>
        <w:gridCol w:w="664"/>
        <w:gridCol w:w="663"/>
        <w:gridCol w:w="664"/>
        <w:gridCol w:w="664"/>
        <w:gridCol w:w="663"/>
        <w:gridCol w:w="664"/>
        <w:gridCol w:w="664"/>
        <w:gridCol w:w="663"/>
        <w:gridCol w:w="664"/>
        <w:gridCol w:w="664"/>
      </w:tblGrid>
      <w:tr w:rsidR="00000000">
        <w:tblPrEx>
          <w:tblCellMar>
            <w:top w:w="0" w:type="dxa"/>
            <w:left w:w="0" w:type="dxa"/>
            <w:bottom w:w="0" w:type="dxa"/>
            <w:right w:w="0" w:type="dxa"/>
          </w:tblCellMar>
        </w:tblPrEx>
        <w:trPr>
          <w:cantSplit/>
          <w:tblHeader/>
        </w:trPr>
        <w:tc>
          <w:tcPr>
            <w:tcW w:w="1890" w:type="dxa"/>
            <w:tcBorders>
              <w:top w:val="single" w:sz="4" w:space="0" w:color="auto"/>
            </w:tcBorders>
            <w:vAlign w:val="bottom"/>
          </w:tcPr>
          <w:p w:rsidR="00000000" w:rsidRDefault="00000000">
            <w:pPr>
              <w:spacing w:before="80" w:after="80" w:line="160" w:lineRule="exact"/>
              <w:ind w:right="40"/>
              <w:rPr>
                <w:i/>
                <w:sz w:val="14"/>
              </w:rPr>
            </w:pPr>
          </w:p>
        </w:tc>
        <w:tc>
          <w:tcPr>
            <w:tcW w:w="7964" w:type="dxa"/>
            <w:gridSpan w:val="1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Grupo de edad</w:t>
            </w:r>
          </w:p>
        </w:tc>
      </w:tr>
      <w:tr w:rsidR="00000000">
        <w:tblPrEx>
          <w:tblCellMar>
            <w:top w:w="0" w:type="dxa"/>
            <w:left w:w="0" w:type="dxa"/>
            <w:bottom w:w="0" w:type="dxa"/>
            <w:right w:w="0" w:type="dxa"/>
          </w:tblCellMar>
        </w:tblPrEx>
        <w:trPr>
          <w:tblHeader/>
        </w:trPr>
        <w:tc>
          <w:tcPr>
            <w:tcW w:w="1890" w:type="dxa"/>
            <w:vAlign w:val="bottom"/>
          </w:tcPr>
          <w:p w:rsidR="00000000" w:rsidRDefault="00000000">
            <w:pPr>
              <w:spacing w:after="80" w:line="160" w:lineRule="exact"/>
              <w:ind w:right="40"/>
              <w:rPr>
                <w:i/>
                <w:sz w:val="14"/>
              </w:rPr>
            </w:pPr>
            <w:r>
              <w:rPr>
                <w:i/>
                <w:sz w:val="14"/>
              </w:rPr>
              <w:t>Causa</w:t>
            </w:r>
          </w:p>
        </w:tc>
        <w:tc>
          <w:tcPr>
            <w:tcW w:w="663" w:type="dxa"/>
            <w:tcBorders>
              <w:top w:val="single" w:sz="4" w:space="0" w:color="auto"/>
            </w:tcBorders>
            <w:vAlign w:val="bottom"/>
          </w:tcPr>
          <w:p w:rsidR="00000000" w:rsidRDefault="00000000">
            <w:pPr>
              <w:spacing w:after="80" w:line="160" w:lineRule="exact"/>
              <w:ind w:right="40"/>
              <w:jc w:val="right"/>
              <w:rPr>
                <w:i/>
                <w:sz w:val="14"/>
              </w:rPr>
            </w:pPr>
            <w:r>
              <w:rPr>
                <w:i/>
                <w:sz w:val="14"/>
              </w:rPr>
              <w:t>Total</w:t>
            </w:r>
          </w:p>
        </w:tc>
        <w:tc>
          <w:tcPr>
            <w:tcW w:w="664" w:type="dxa"/>
            <w:tcBorders>
              <w:top w:val="single" w:sz="4" w:space="0" w:color="auto"/>
            </w:tcBorders>
            <w:vAlign w:val="bottom"/>
          </w:tcPr>
          <w:p w:rsidR="00000000" w:rsidRDefault="00000000">
            <w:pPr>
              <w:spacing w:after="80" w:line="160" w:lineRule="exact"/>
              <w:ind w:right="40"/>
              <w:jc w:val="right"/>
              <w:rPr>
                <w:i/>
                <w:sz w:val="14"/>
              </w:rPr>
            </w:pPr>
            <w:r>
              <w:rPr>
                <w:i/>
                <w:sz w:val="14"/>
              </w:rPr>
              <w:t>Menos de 18 años</w:t>
            </w:r>
          </w:p>
        </w:tc>
        <w:tc>
          <w:tcPr>
            <w:tcW w:w="664" w:type="dxa"/>
            <w:tcBorders>
              <w:top w:val="single" w:sz="4" w:space="0" w:color="auto"/>
            </w:tcBorders>
            <w:vAlign w:val="bottom"/>
          </w:tcPr>
          <w:p w:rsidR="00000000" w:rsidRDefault="00000000">
            <w:pPr>
              <w:spacing w:after="80" w:line="160" w:lineRule="exact"/>
              <w:ind w:right="40"/>
              <w:jc w:val="right"/>
              <w:rPr>
                <w:i/>
                <w:sz w:val="14"/>
              </w:rPr>
            </w:pPr>
            <w:r>
              <w:rPr>
                <w:i/>
                <w:sz w:val="14"/>
              </w:rPr>
              <w:t>18 a 24 años</w:t>
            </w:r>
          </w:p>
        </w:tc>
        <w:tc>
          <w:tcPr>
            <w:tcW w:w="663" w:type="dxa"/>
            <w:tcBorders>
              <w:top w:val="single" w:sz="4" w:space="0" w:color="auto"/>
            </w:tcBorders>
            <w:vAlign w:val="bottom"/>
          </w:tcPr>
          <w:p w:rsidR="00000000" w:rsidRDefault="00000000">
            <w:pPr>
              <w:spacing w:after="80" w:line="160" w:lineRule="exact"/>
              <w:ind w:right="40"/>
              <w:jc w:val="right"/>
              <w:rPr>
                <w:i/>
                <w:sz w:val="14"/>
              </w:rPr>
            </w:pPr>
            <w:r>
              <w:rPr>
                <w:i/>
                <w:sz w:val="14"/>
              </w:rPr>
              <w:t>25 a 39 años</w:t>
            </w:r>
          </w:p>
        </w:tc>
        <w:tc>
          <w:tcPr>
            <w:tcW w:w="664" w:type="dxa"/>
            <w:tcBorders>
              <w:top w:val="single" w:sz="4" w:space="0" w:color="auto"/>
            </w:tcBorders>
            <w:vAlign w:val="bottom"/>
          </w:tcPr>
          <w:p w:rsidR="00000000" w:rsidRDefault="00000000">
            <w:pPr>
              <w:spacing w:after="80" w:line="160" w:lineRule="exact"/>
              <w:ind w:right="40"/>
              <w:jc w:val="right"/>
              <w:rPr>
                <w:i/>
                <w:sz w:val="14"/>
              </w:rPr>
            </w:pPr>
            <w:r>
              <w:rPr>
                <w:i/>
                <w:sz w:val="14"/>
              </w:rPr>
              <w:t>40 a 54 años</w:t>
            </w:r>
          </w:p>
        </w:tc>
        <w:tc>
          <w:tcPr>
            <w:tcW w:w="664" w:type="dxa"/>
            <w:tcBorders>
              <w:top w:val="single" w:sz="4" w:space="0" w:color="auto"/>
            </w:tcBorders>
            <w:vAlign w:val="bottom"/>
          </w:tcPr>
          <w:p w:rsidR="00000000" w:rsidRDefault="00000000">
            <w:pPr>
              <w:spacing w:after="80" w:line="160" w:lineRule="exact"/>
              <w:ind w:right="40"/>
              <w:jc w:val="right"/>
              <w:rPr>
                <w:i/>
                <w:sz w:val="14"/>
              </w:rPr>
            </w:pPr>
            <w:r>
              <w:rPr>
                <w:i/>
                <w:sz w:val="14"/>
              </w:rPr>
              <w:t>55 a 59 años</w:t>
            </w:r>
          </w:p>
        </w:tc>
        <w:tc>
          <w:tcPr>
            <w:tcW w:w="663" w:type="dxa"/>
            <w:tcBorders>
              <w:top w:val="single" w:sz="4" w:space="0" w:color="auto"/>
            </w:tcBorders>
            <w:vAlign w:val="bottom"/>
          </w:tcPr>
          <w:p w:rsidR="00000000" w:rsidRDefault="00000000">
            <w:pPr>
              <w:spacing w:after="80" w:line="160" w:lineRule="exact"/>
              <w:ind w:right="40"/>
              <w:jc w:val="right"/>
              <w:rPr>
                <w:i/>
                <w:sz w:val="14"/>
              </w:rPr>
            </w:pPr>
            <w:r>
              <w:rPr>
                <w:i/>
                <w:sz w:val="14"/>
              </w:rPr>
              <w:t>60 a 62 años</w:t>
            </w:r>
          </w:p>
        </w:tc>
        <w:tc>
          <w:tcPr>
            <w:tcW w:w="664" w:type="dxa"/>
            <w:tcBorders>
              <w:top w:val="single" w:sz="4" w:space="0" w:color="auto"/>
            </w:tcBorders>
            <w:vAlign w:val="bottom"/>
          </w:tcPr>
          <w:p w:rsidR="00000000" w:rsidRDefault="00000000">
            <w:pPr>
              <w:spacing w:after="80" w:line="160" w:lineRule="exact"/>
              <w:ind w:right="40"/>
              <w:jc w:val="right"/>
              <w:rPr>
                <w:i/>
                <w:sz w:val="14"/>
              </w:rPr>
            </w:pPr>
            <w:r>
              <w:rPr>
                <w:i/>
                <w:sz w:val="14"/>
              </w:rPr>
              <w:t>63 a 64 años</w:t>
            </w:r>
          </w:p>
        </w:tc>
        <w:tc>
          <w:tcPr>
            <w:tcW w:w="664" w:type="dxa"/>
            <w:tcBorders>
              <w:top w:val="single" w:sz="4" w:space="0" w:color="auto"/>
            </w:tcBorders>
            <w:vAlign w:val="bottom"/>
          </w:tcPr>
          <w:p w:rsidR="00000000" w:rsidRDefault="00000000">
            <w:pPr>
              <w:spacing w:after="80" w:line="160" w:lineRule="exact"/>
              <w:ind w:right="40"/>
              <w:jc w:val="right"/>
              <w:rPr>
                <w:i/>
                <w:sz w:val="14"/>
              </w:rPr>
            </w:pPr>
            <w:r>
              <w:rPr>
                <w:i/>
                <w:sz w:val="14"/>
              </w:rPr>
              <w:t>65 a 69 años</w:t>
            </w:r>
          </w:p>
        </w:tc>
        <w:tc>
          <w:tcPr>
            <w:tcW w:w="663" w:type="dxa"/>
            <w:tcBorders>
              <w:top w:val="single" w:sz="4" w:space="0" w:color="auto"/>
            </w:tcBorders>
            <w:vAlign w:val="bottom"/>
          </w:tcPr>
          <w:p w:rsidR="00000000" w:rsidRDefault="00000000">
            <w:pPr>
              <w:spacing w:after="80" w:line="160" w:lineRule="exact"/>
              <w:ind w:right="40"/>
              <w:jc w:val="right"/>
              <w:rPr>
                <w:i/>
                <w:sz w:val="14"/>
              </w:rPr>
            </w:pPr>
            <w:r>
              <w:rPr>
                <w:i/>
                <w:sz w:val="14"/>
              </w:rPr>
              <w:t>70 a 74 años</w:t>
            </w:r>
          </w:p>
        </w:tc>
        <w:tc>
          <w:tcPr>
            <w:tcW w:w="664" w:type="dxa"/>
            <w:tcBorders>
              <w:top w:val="single" w:sz="4" w:space="0" w:color="auto"/>
            </w:tcBorders>
            <w:vAlign w:val="bottom"/>
          </w:tcPr>
          <w:p w:rsidR="00000000" w:rsidRDefault="00000000">
            <w:pPr>
              <w:spacing w:after="80" w:line="160" w:lineRule="exact"/>
              <w:ind w:right="40"/>
              <w:jc w:val="right"/>
              <w:rPr>
                <w:i/>
                <w:sz w:val="14"/>
              </w:rPr>
            </w:pPr>
            <w:r>
              <w:rPr>
                <w:i/>
                <w:sz w:val="14"/>
              </w:rPr>
              <w:t>75 a 79 años</w:t>
            </w:r>
          </w:p>
        </w:tc>
        <w:tc>
          <w:tcPr>
            <w:tcW w:w="664" w:type="dxa"/>
            <w:tcBorders>
              <w:top w:val="single" w:sz="4" w:space="0" w:color="auto"/>
            </w:tcBorders>
            <w:vAlign w:val="bottom"/>
          </w:tcPr>
          <w:p w:rsidR="00000000" w:rsidRDefault="00000000">
            <w:pPr>
              <w:spacing w:after="80" w:line="160" w:lineRule="exact"/>
              <w:ind w:right="40"/>
              <w:jc w:val="right"/>
              <w:rPr>
                <w:i/>
                <w:sz w:val="14"/>
              </w:rPr>
            </w:pPr>
            <w:r>
              <w:rPr>
                <w:i/>
                <w:sz w:val="14"/>
              </w:rPr>
              <w:t>80 años</w:t>
            </w:r>
            <w:r>
              <w:rPr>
                <w:i/>
                <w:sz w:val="14"/>
              </w:rPr>
              <w:br/>
              <w:t xml:space="preserve"> o más</w:t>
            </w:r>
          </w:p>
        </w:tc>
      </w:tr>
      <w:tr w:rsidR="00000000">
        <w:tblPrEx>
          <w:tblCellMar>
            <w:top w:w="0" w:type="dxa"/>
            <w:left w:w="0" w:type="dxa"/>
            <w:bottom w:w="0" w:type="dxa"/>
            <w:right w:w="0" w:type="dxa"/>
          </w:tblCellMar>
        </w:tblPrEx>
        <w:trPr>
          <w:trHeight w:hRule="exact" w:val="115"/>
          <w:tblHeader/>
        </w:trPr>
        <w:tc>
          <w:tcPr>
            <w:tcW w:w="1890" w:type="dxa"/>
            <w:tcBorders>
              <w:top w:val="single" w:sz="12" w:space="0" w:color="auto"/>
            </w:tcBorders>
            <w:vAlign w:val="bottom"/>
          </w:tcPr>
          <w:p w:rsidR="00000000" w:rsidRDefault="00000000">
            <w:pPr>
              <w:spacing w:before="40" w:after="40" w:line="210" w:lineRule="exact"/>
              <w:ind w:right="40"/>
              <w:rPr>
                <w:sz w:val="17"/>
              </w:rPr>
            </w:pPr>
          </w:p>
        </w:tc>
        <w:tc>
          <w:tcPr>
            <w:tcW w:w="663" w:type="dxa"/>
            <w:tcBorders>
              <w:top w:val="single" w:sz="12" w:space="0" w:color="auto"/>
            </w:tcBorders>
            <w:vAlign w:val="bottom"/>
          </w:tcPr>
          <w:p w:rsidR="00000000" w:rsidRDefault="00000000">
            <w:pPr>
              <w:spacing w:before="40" w:after="40" w:line="210" w:lineRule="exact"/>
              <w:ind w:right="40"/>
              <w:jc w:val="right"/>
              <w:rPr>
                <w:sz w:val="17"/>
              </w:rPr>
            </w:pPr>
          </w:p>
        </w:tc>
        <w:tc>
          <w:tcPr>
            <w:tcW w:w="664" w:type="dxa"/>
            <w:tcBorders>
              <w:top w:val="single" w:sz="12" w:space="0" w:color="auto"/>
            </w:tcBorders>
            <w:vAlign w:val="bottom"/>
          </w:tcPr>
          <w:p w:rsidR="00000000" w:rsidRDefault="00000000">
            <w:pPr>
              <w:spacing w:before="40" w:after="40" w:line="210" w:lineRule="exact"/>
              <w:ind w:right="40"/>
              <w:jc w:val="right"/>
              <w:rPr>
                <w:sz w:val="17"/>
              </w:rPr>
            </w:pPr>
          </w:p>
        </w:tc>
        <w:tc>
          <w:tcPr>
            <w:tcW w:w="664" w:type="dxa"/>
            <w:tcBorders>
              <w:top w:val="single" w:sz="12" w:space="0" w:color="auto"/>
            </w:tcBorders>
            <w:vAlign w:val="bottom"/>
          </w:tcPr>
          <w:p w:rsidR="00000000" w:rsidRDefault="00000000">
            <w:pPr>
              <w:spacing w:before="40" w:after="40" w:line="210" w:lineRule="exact"/>
              <w:ind w:right="40"/>
              <w:jc w:val="right"/>
              <w:rPr>
                <w:sz w:val="17"/>
              </w:rPr>
            </w:pPr>
          </w:p>
        </w:tc>
        <w:tc>
          <w:tcPr>
            <w:tcW w:w="663" w:type="dxa"/>
            <w:tcBorders>
              <w:top w:val="single" w:sz="12" w:space="0" w:color="auto"/>
            </w:tcBorders>
            <w:vAlign w:val="bottom"/>
          </w:tcPr>
          <w:p w:rsidR="00000000" w:rsidRDefault="00000000">
            <w:pPr>
              <w:spacing w:before="40" w:after="40" w:line="210" w:lineRule="exact"/>
              <w:ind w:right="40"/>
              <w:jc w:val="right"/>
              <w:rPr>
                <w:sz w:val="17"/>
              </w:rPr>
            </w:pPr>
          </w:p>
        </w:tc>
        <w:tc>
          <w:tcPr>
            <w:tcW w:w="664" w:type="dxa"/>
            <w:tcBorders>
              <w:top w:val="single" w:sz="12" w:space="0" w:color="auto"/>
            </w:tcBorders>
            <w:vAlign w:val="bottom"/>
          </w:tcPr>
          <w:p w:rsidR="00000000" w:rsidRDefault="00000000">
            <w:pPr>
              <w:spacing w:before="40" w:after="40" w:line="210" w:lineRule="exact"/>
              <w:ind w:right="40"/>
              <w:jc w:val="right"/>
              <w:rPr>
                <w:sz w:val="17"/>
              </w:rPr>
            </w:pPr>
          </w:p>
        </w:tc>
        <w:tc>
          <w:tcPr>
            <w:tcW w:w="664" w:type="dxa"/>
            <w:tcBorders>
              <w:top w:val="single" w:sz="12" w:space="0" w:color="auto"/>
            </w:tcBorders>
            <w:vAlign w:val="bottom"/>
          </w:tcPr>
          <w:p w:rsidR="00000000" w:rsidRDefault="00000000">
            <w:pPr>
              <w:spacing w:before="40" w:after="40" w:line="210" w:lineRule="exact"/>
              <w:ind w:right="40"/>
              <w:jc w:val="right"/>
              <w:rPr>
                <w:sz w:val="17"/>
              </w:rPr>
            </w:pPr>
          </w:p>
        </w:tc>
        <w:tc>
          <w:tcPr>
            <w:tcW w:w="663" w:type="dxa"/>
            <w:tcBorders>
              <w:top w:val="single" w:sz="12" w:space="0" w:color="auto"/>
            </w:tcBorders>
            <w:vAlign w:val="bottom"/>
          </w:tcPr>
          <w:p w:rsidR="00000000" w:rsidRDefault="00000000">
            <w:pPr>
              <w:spacing w:before="40" w:after="40" w:line="210" w:lineRule="exact"/>
              <w:ind w:right="40"/>
              <w:jc w:val="right"/>
              <w:rPr>
                <w:sz w:val="17"/>
              </w:rPr>
            </w:pPr>
          </w:p>
        </w:tc>
        <w:tc>
          <w:tcPr>
            <w:tcW w:w="664" w:type="dxa"/>
            <w:tcBorders>
              <w:top w:val="single" w:sz="12" w:space="0" w:color="auto"/>
            </w:tcBorders>
            <w:vAlign w:val="bottom"/>
          </w:tcPr>
          <w:p w:rsidR="00000000" w:rsidRDefault="00000000">
            <w:pPr>
              <w:spacing w:before="40" w:after="40" w:line="210" w:lineRule="exact"/>
              <w:ind w:right="40"/>
              <w:jc w:val="right"/>
              <w:rPr>
                <w:sz w:val="17"/>
              </w:rPr>
            </w:pPr>
          </w:p>
        </w:tc>
        <w:tc>
          <w:tcPr>
            <w:tcW w:w="664" w:type="dxa"/>
            <w:tcBorders>
              <w:top w:val="single" w:sz="12" w:space="0" w:color="auto"/>
            </w:tcBorders>
            <w:vAlign w:val="bottom"/>
          </w:tcPr>
          <w:p w:rsidR="00000000" w:rsidRDefault="00000000">
            <w:pPr>
              <w:spacing w:before="40" w:after="40" w:line="210" w:lineRule="exact"/>
              <w:ind w:right="40"/>
              <w:jc w:val="right"/>
              <w:rPr>
                <w:sz w:val="17"/>
              </w:rPr>
            </w:pPr>
          </w:p>
        </w:tc>
        <w:tc>
          <w:tcPr>
            <w:tcW w:w="663" w:type="dxa"/>
            <w:tcBorders>
              <w:top w:val="single" w:sz="12" w:space="0" w:color="auto"/>
            </w:tcBorders>
            <w:vAlign w:val="bottom"/>
          </w:tcPr>
          <w:p w:rsidR="00000000" w:rsidRDefault="00000000">
            <w:pPr>
              <w:spacing w:before="40" w:after="40" w:line="210" w:lineRule="exact"/>
              <w:ind w:right="40"/>
              <w:jc w:val="right"/>
              <w:rPr>
                <w:sz w:val="17"/>
              </w:rPr>
            </w:pPr>
          </w:p>
        </w:tc>
        <w:tc>
          <w:tcPr>
            <w:tcW w:w="664" w:type="dxa"/>
            <w:tcBorders>
              <w:top w:val="single" w:sz="12" w:space="0" w:color="auto"/>
            </w:tcBorders>
            <w:vAlign w:val="bottom"/>
          </w:tcPr>
          <w:p w:rsidR="00000000" w:rsidRDefault="00000000">
            <w:pPr>
              <w:spacing w:before="40" w:after="40" w:line="210" w:lineRule="exact"/>
              <w:ind w:right="40"/>
              <w:jc w:val="right"/>
              <w:rPr>
                <w:sz w:val="17"/>
              </w:rPr>
            </w:pPr>
          </w:p>
        </w:tc>
        <w:tc>
          <w:tcPr>
            <w:tcW w:w="664"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Personas que reciben la pensión de vejez</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294 063</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1 503</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15 447</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31 508</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30 883</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70 803</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60 227</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45 114</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38 578</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91 427</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696</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2 531</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6 368</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12 454</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27 014</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21 104</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12 754</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8 508</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202 636</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807</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12 916</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25 140</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18 429</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43 789</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39 123</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32 360</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30 072</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Personas que reciben la pensión de jubilación</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2 820</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1 430</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965</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219</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2 183</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1 243</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543</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627</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422</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Personas que reciben prestaciones por discapacidad</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55 480</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905</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3 724</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9 794</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25 700</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11 536</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3 821</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30 897</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512</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2 162</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5 527</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12 703</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6 172</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3 821</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24 583</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393</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1 562</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4 267</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12 997</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5 364</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Personas que reciben prestaciones de familiares supérstites</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11 613</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7 455</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3 584</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265</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5 348</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3 854</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1 467</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6 265</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3 601</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2 117</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258</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Personas que reciben la pensión nacional (o prestaciones de familiares supérstites)</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13 367</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5 210</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1 778</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1 257</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1 284</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304</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247</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605</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568</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665</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1 287</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6 083</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2 717</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756</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694</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827</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288</w:t>
            </w:r>
          </w:p>
        </w:tc>
        <w:tc>
          <w:tcPr>
            <w:tcW w:w="6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r>
      <w:tr w:rsidR="00000000">
        <w:tblPrEx>
          <w:tblCellMar>
            <w:top w:w="0" w:type="dxa"/>
            <w:left w:w="0" w:type="dxa"/>
            <w:bottom w:w="0" w:type="dxa"/>
            <w:right w:w="0" w:type="dxa"/>
          </w:tblCellMar>
        </w:tblPrEx>
        <w:tc>
          <w:tcPr>
            <w:tcW w:w="18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66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7 284</w:t>
            </w:r>
          </w:p>
        </w:tc>
        <w:tc>
          <w:tcPr>
            <w:tcW w:w="6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2 493</w:t>
            </w:r>
          </w:p>
        </w:tc>
        <w:tc>
          <w:tcPr>
            <w:tcW w:w="6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1 022</w:t>
            </w:r>
          </w:p>
        </w:tc>
        <w:tc>
          <w:tcPr>
            <w:tcW w:w="66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563</w:t>
            </w:r>
          </w:p>
        </w:tc>
        <w:tc>
          <w:tcPr>
            <w:tcW w:w="6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457</w:t>
            </w:r>
          </w:p>
        </w:tc>
        <w:tc>
          <w:tcPr>
            <w:tcW w:w="6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66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6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6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317</w:t>
            </w:r>
          </w:p>
        </w:tc>
        <w:tc>
          <w:tcPr>
            <w:tcW w:w="66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401</w:t>
            </w:r>
          </w:p>
        </w:tc>
        <w:tc>
          <w:tcPr>
            <w:tcW w:w="6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540</w:t>
            </w:r>
          </w:p>
        </w:tc>
        <w:tc>
          <w:tcPr>
            <w:tcW w:w="6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1 200</w:t>
            </w:r>
          </w:p>
        </w:tc>
      </w:tr>
    </w:tbl>
    <w:p w:rsidR="00000000" w:rsidRDefault="00000000">
      <w:pPr>
        <w:pStyle w:val="Dual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xml:space="preserve">: Consejo de Seguridad Social, </w:t>
      </w:r>
      <w:hyperlink r:id="rId18" w:history="1">
        <w:r>
          <w:rPr>
            <w:rStyle w:val="Hyperlink"/>
          </w:rPr>
          <w:t>www.ensib.ee</w:t>
        </w:r>
      </w:hyperlink>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br w:type="page"/>
      </w:r>
      <w:r>
        <w:tab/>
        <w:t>Además de la Ley del seguro de pensión estatal, en 2004 entró en vigor la Ley de fondos de pensiones, con el objeto de que las personas que ingresan aportes en un fondo de pensiones tengan la posibilidad de recibir ingresos complementarios ad</w:t>
      </w:r>
      <w:r>
        <w:t>e</w:t>
      </w:r>
      <w:r>
        <w:t>más de la pensión estatal luego de alcanzar la edad de jubilación.</w:t>
      </w:r>
    </w:p>
    <w:p w:rsidR="00000000" w:rsidRDefault="00000000">
      <w:pPr>
        <w:pStyle w:val="SingleTxt"/>
      </w:pPr>
      <w:r>
        <w:tab/>
        <w:t>De conformidad con la Ley existen dos tipos de fondos de pensiones: el fondo de pensiones obligatorio y el fondo de pensiones complementario (Componentes I y II). El fondo de pensiones obligatorio es una prestación periódica garantizada por ley, en virtud de la cual se adquieren unidades de un fondo con arreglo a la Ley de fondos de pensiones y la Ley del impuesto social y que se paga por conducto del fondo de pensiones o una aseguradora.</w:t>
      </w:r>
    </w:p>
    <w:p w:rsidR="00000000" w:rsidRDefault="00000000">
      <w:pPr>
        <w:pStyle w:val="SingleTxt"/>
      </w:pPr>
      <w:r>
        <w:tab/>
        <w:t>Fundamentalmente, se trata de un plan de ahorro individual, en que la magn</w:t>
      </w:r>
      <w:r>
        <w:t>i</w:t>
      </w:r>
      <w:r>
        <w:t>tud de la pensión depende de la contribución total de pagos y la rentabilidad del fondo de pensiones. Las personas nacidas de 1983 en adelante deben hacer aportes a un fondo de pensiones obligatorio. Las personas nacidas antes de 1983 pueden adh</w:t>
      </w:r>
      <w:r>
        <w:t>e</w:t>
      </w:r>
      <w:r>
        <w:t>rirse al fondo si lo desean.</w:t>
      </w:r>
    </w:p>
    <w:p w:rsidR="00000000" w:rsidRDefault="00000000">
      <w:pPr>
        <w:pStyle w:val="SingleTxt"/>
      </w:pPr>
      <w:r>
        <w:tab/>
        <w:t>A noviembre de 2003, el 44,6% de las personas que se habían adherido a un fondo eran hombres y el 55,4% mujeres. Si se tiene en cuenta el número total de h</w:t>
      </w:r>
      <w:r>
        <w:t>a</w:t>
      </w:r>
      <w:r>
        <w:t>bitantes, la mayoría de las personas que se habían adherido a un fondo tenían entre 18 y 20 años de edad (más del 90%). De las personas de 42 a 46 años, lo habían h</w:t>
      </w:r>
      <w:r>
        <w:t>e</w:t>
      </w:r>
      <w:r>
        <w:t>cho el 65% de los hombres y el 50% de las mujeres. De las personas de 21 a 41 años, casi la mitad de las mujeres y poco más del 40% de los hombres se habían a</w:t>
      </w:r>
      <w:r>
        <w:t>d</w:t>
      </w:r>
      <w:r>
        <w:t>herido a un fondo.</w:t>
      </w:r>
    </w:p>
    <w:p w:rsidR="00000000" w:rsidRDefault="00000000">
      <w:pPr>
        <w:pStyle w:val="SingleTxt"/>
      </w:pPr>
      <w:r>
        <w:tab/>
        <w:t>Un fondo de pensiones complementario es una prestación que depende de las unidades adquiridas voluntariamente en un fondo o un seguro de pensiones co</w:t>
      </w:r>
      <w:r>
        <w:t>m</w:t>
      </w:r>
      <w:r>
        <w:t>plementario. La proporción de mujeres que se han adherido a un fondo de pensiones complementario es del 54% (58.248 personas en el pr</w:t>
      </w:r>
      <w:r>
        <w:t>i</w:t>
      </w:r>
      <w:r>
        <w:t>mer trimestre de 2004).</w:t>
      </w:r>
    </w:p>
    <w:p w:rsidR="00000000" w:rsidRDefault="00000000">
      <w:pPr>
        <w:pStyle w:val="SingleTxt"/>
      </w:pPr>
      <w:r>
        <w:tab/>
        <w:t>La Ley de vacaciones, que entró en vigor el 1º de enero de 2002, incluye v</w:t>
      </w:r>
      <w:r>
        <w:t>a</w:t>
      </w:r>
      <w:r>
        <w:t>rias enmiendas que benefician a las familias. Los empleadores deben otorgar las v</w:t>
      </w:r>
      <w:r>
        <w:t>a</w:t>
      </w:r>
      <w:r>
        <w:t>caciones en el período solicitado por los padres de niños de hasta 7 años, y si así lo desean, los padres que cuidan a niños de 7 a 10 años pueden tomarse vacaciones d</w:t>
      </w:r>
      <w:r>
        <w:t>u</w:t>
      </w:r>
      <w:r>
        <w:t>rante el receso escolar del niño. La ley de vacaciones también prevé la posibilidad de tomar la llamada licencia de paternidad. Un padre tiene derecho a tomar una l</w:t>
      </w:r>
      <w:r>
        <w:t>i</w:t>
      </w:r>
      <w:r>
        <w:t>cencia de paternidad adicional de 14 días civiles durante la licencia de embarazo o la licencia de maternidad de la madre o durante los dos meses posteriores al nac</w:t>
      </w:r>
      <w:r>
        <w:t>i</w:t>
      </w:r>
      <w:r>
        <w:t>miento del niño.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f)</w:t>
      </w:r>
      <w:r>
        <w:rPr>
          <w:i/>
        </w:rPr>
        <w:tab/>
        <w:t>El derecho a la protección de la salud y a la seguridad en las condici</w:t>
      </w:r>
      <w:r>
        <w:rPr>
          <w:i/>
        </w:rPr>
        <w:t>o</w:t>
      </w:r>
      <w:r>
        <w:rPr>
          <w:i/>
        </w:rPr>
        <w:t>nes de trabajo, incluso la salvaguardia de la función de reproducción.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la Ley de salud y seguridad profesionales y la enmienda de la Ley de seg</w:t>
      </w:r>
      <w:r>
        <w:t>u</w:t>
      </w:r>
      <w:r>
        <w:t>ridad de los productos de consumo se establecen los requisitos para la salud y la s</w:t>
      </w:r>
      <w:r>
        <w:t>e</w:t>
      </w:r>
      <w:r>
        <w:t>guridad en el empleo; las obligaciones de los empleadores y los trabajadores para el establecimiento y la garantía de un entorno laboral seguro para la salud; la organiz</w:t>
      </w:r>
      <w:r>
        <w:t>a</w:t>
      </w:r>
      <w:r>
        <w:t>ción de la salud y la seguridad profesionales en la empresas y a nivel estatal; el pr</w:t>
      </w:r>
      <w:r>
        <w:t>o</w:t>
      </w:r>
      <w:r>
        <w:t>cedimiento para la organización y las actuaciones del sistema contencioso admini</w:t>
      </w:r>
      <w:r>
        <w:t>s</w:t>
      </w:r>
      <w:r>
        <w:t>trativo; y la responsabilidad respecto de la violación de los requisitos de salud y s</w:t>
      </w:r>
      <w:r>
        <w:t>e</w:t>
      </w:r>
      <w:r>
        <w:t>gur</w:t>
      </w:r>
      <w:r>
        <w:t>i</w:t>
      </w:r>
      <w:r>
        <w:t>dad profesionales.</w:t>
      </w:r>
    </w:p>
    <w:p w:rsidR="00000000" w:rsidRDefault="00000000">
      <w:pPr>
        <w:pStyle w:val="SingleTxt"/>
      </w:pPr>
      <w:r>
        <w:tab/>
        <w:t>La Inspección de Trabajo ejerce la supervisión estatal del cumplimiento de los r</w:t>
      </w:r>
      <w:r>
        <w:t>e</w:t>
      </w:r>
      <w:r>
        <w:t>quisitos de salud y seguridad profesionales.</w:t>
      </w:r>
    </w:p>
    <w:p w:rsidR="00000000" w:rsidRDefault="00000000">
      <w:pPr>
        <w:pStyle w:val="SingleTxt"/>
      </w:pPr>
      <w:r>
        <w:tab/>
        <w:t>En virtud de la Ley sobre la igualdad de género los empleadores tienen la obl</w:t>
      </w:r>
      <w:r>
        <w:t>i</w:t>
      </w:r>
      <w:r>
        <w:t>gación de crear condiciones laborales apropiadas tanto para mujeres como para hombres y apoyar la conciliación de la vida laboral y familiar, teniendo en cuenta las necesid</w:t>
      </w:r>
      <w:r>
        <w:t>a</w:t>
      </w:r>
      <w:r>
        <w:t>des de los empleados.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ab/>
        <w:t>2.</w:t>
      </w:r>
      <w:r>
        <w:rPr>
          <w:i/>
        </w:rPr>
        <w:tab/>
        <w:t>A fin de impedir la discriminación contra la mujer por razones de m</w:t>
      </w:r>
      <w:r>
        <w:rPr>
          <w:i/>
        </w:rPr>
        <w:t>a</w:t>
      </w:r>
      <w:r>
        <w:rPr>
          <w:i/>
        </w:rPr>
        <w:t>trimonio o maternidad y asegurar la efectividad de su derecho a trabajar, los Est</w:t>
      </w:r>
      <w:r>
        <w:rPr>
          <w:i/>
        </w:rPr>
        <w:t>a</w:t>
      </w:r>
      <w:r>
        <w:rPr>
          <w:i/>
        </w:rPr>
        <w:t>dos partes tomarán medidas adecuadas para:</w:t>
      </w:r>
    </w:p>
    <w:p w:rsidR="00000000" w:rsidRDefault="00000000">
      <w:pPr>
        <w:pStyle w:val="SingleTxt"/>
        <w:rPr>
          <w:i/>
        </w:rPr>
      </w:pPr>
      <w:r>
        <w:rPr>
          <w:i/>
        </w:rPr>
        <w:tab/>
        <w:t>a)</w:t>
      </w:r>
      <w:r>
        <w:rPr>
          <w:i/>
        </w:rPr>
        <w:tab/>
        <w:t>Prohibir, bajo pena de sanciones, el despido por motivo de embarazo o licencia de maternidad y la discriminación en los despidos sobre la base del estado civil;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normas jurídicas que se describen en el informe anterior siguen en vigor.</w:t>
      </w:r>
    </w:p>
    <w:p w:rsidR="00000000" w:rsidRDefault="00000000">
      <w:pPr>
        <w:pStyle w:val="SingleTxt"/>
      </w:pPr>
      <w:r>
        <w:tab/>
        <w:t>Se considerará discriminatorio que el empleador, ya sea por razones económ</w:t>
      </w:r>
      <w:r>
        <w:t>i</w:t>
      </w:r>
      <w:r>
        <w:t>cas o relacionadas con la producción, despida u obligue a tomar vacaciones a las personas que en el pasado reciente han gozado de licencia para el cuidado del niño o han t</w:t>
      </w:r>
      <w:r>
        <w:t>o</w:t>
      </w:r>
      <w:r>
        <w:t>mado vacaciones por razones familiares.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ab/>
        <w:t>b)</w:t>
      </w:r>
      <w:r>
        <w:rPr>
          <w:i/>
        </w:rPr>
        <w:tab/>
        <w:t>Implantar la licencia de maternidad con sueldo pagado o con prestaci</w:t>
      </w:r>
      <w:r>
        <w:rPr>
          <w:i/>
        </w:rPr>
        <w:t>o</w:t>
      </w:r>
      <w:r>
        <w:rPr>
          <w:i/>
        </w:rPr>
        <w:t>nes sociales comparables sin pérdida del empleo previo, la antigüedad o los benef</w:t>
      </w:r>
      <w:r>
        <w:rPr>
          <w:i/>
        </w:rPr>
        <w:t>i</w:t>
      </w:r>
      <w:r>
        <w:rPr>
          <w:i/>
        </w:rPr>
        <w:t>cios sociales;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Con arreglo a la Ley de vacaciones, en vigor desde 2001, la madre o el padre podrán gozar de licencia parental, si así lo solicitan, para dedicarse al cuidado de un hijo de hasta 3 años de edad. Durante la licencia parental, el contrato de trabajo o la relación de servicios quedarán suspendidos y el empleado percibirá una prestación con arreglo a la Ley de subsidio parental, o una prestación para el cuidado del hijo con arreglo a la Ley de subsidios familiares del Estado.</w:t>
      </w:r>
    </w:p>
    <w:p w:rsidR="00000000" w:rsidRDefault="00000000">
      <w:pPr>
        <w:pStyle w:val="SingleTxt"/>
      </w:pPr>
      <w:r>
        <w:tab/>
        <w:t>Desde 2002, las prestaciones de licencia por embarazo y maternidad, y pare</w:t>
      </w:r>
      <w:r>
        <w:t>n</w:t>
      </w:r>
      <w:r>
        <w:t>tal se calculan sobre la base del ingreso percibido durante el año anterior y están sujetos al impuesto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c)</w:t>
      </w:r>
      <w:r>
        <w:rPr>
          <w:i/>
        </w:rPr>
        <w:tab/>
        <w:t>Alentar el suministro de los servicios sociales de apoyo necesarios para permitir que los padres combinen las obligaciones para con la familia con las re</w:t>
      </w:r>
      <w:r>
        <w:rPr>
          <w:i/>
        </w:rPr>
        <w:t>s</w:t>
      </w:r>
      <w:r>
        <w:rPr>
          <w:i/>
        </w:rPr>
        <w:t>ponsabilidades del trabajo y la participación en la vida pública, especialmente m</w:t>
      </w:r>
      <w:r>
        <w:rPr>
          <w:i/>
        </w:rPr>
        <w:t>e</w:t>
      </w:r>
      <w:r>
        <w:rPr>
          <w:i/>
        </w:rPr>
        <w:t>diante el fomento de la creación y desarrollo de una red de servicios destinados al cuidado de los niños;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servicios de guardería son uno de los más importantes para las familias con hijos pequeños puesto que permiten a ambos padres participar en la vida lab</w:t>
      </w:r>
      <w:r>
        <w:t>o</w:t>
      </w:r>
      <w:r>
        <w:t>ral.</w:t>
      </w:r>
    </w:p>
    <w:p w:rsidR="00000000" w:rsidRDefault="00000000">
      <w:pPr>
        <w:pStyle w:val="SingleTxt"/>
      </w:pPr>
      <w:r>
        <w:tab/>
        <w:t>Los gobiernos de los condados y las ciudades tienen la obligación de brindar en sus territorios administrativos, la posibilidad de que todos los niños de hasta 7 </w:t>
      </w:r>
      <w:r>
        <w:rPr>
          <w:spacing w:val="2"/>
          <w:w w:val="101"/>
        </w:rPr>
        <w:t>años de edad asistan a una guardería (en el marco de los servicios de la instit</w:t>
      </w:r>
      <w:r>
        <w:rPr>
          <w:spacing w:val="2"/>
          <w:w w:val="101"/>
        </w:rPr>
        <w:t>u</w:t>
      </w:r>
      <w:r>
        <w:rPr>
          <w:spacing w:val="2"/>
          <w:w w:val="101"/>
        </w:rPr>
        <w:t>ción).</w:t>
      </w:r>
    </w:p>
    <w:p w:rsidR="00000000" w:rsidRDefault="00000000">
      <w:pPr>
        <w:pStyle w:val="SingleTxt"/>
      </w:pPr>
      <w:r>
        <w:tab/>
        <w:t>Los gobiernos locales tienen bases de datos sobre los niños que asisten a gua</w:t>
      </w:r>
      <w:r>
        <w:t>r</w:t>
      </w:r>
      <w:r>
        <w:t>derías e información acerca de los nacimientos. El número de nacimientos registr</w:t>
      </w:r>
      <w:r>
        <w:t>a</w:t>
      </w:r>
      <w:r>
        <w:t>dos y el registro de datos demográficos sirven de base para prever el número de pl</w:t>
      </w:r>
      <w:r>
        <w:t>a</w:t>
      </w:r>
      <w:r>
        <w:t>zas que se necesitarán.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11.2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Tipo de institución de cuidado del niño al 1º de enero de 2002</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520"/>
        <w:gridCol w:w="1200"/>
        <w:gridCol w:w="1200"/>
        <w:gridCol w:w="1200"/>
        <w:gridCol w:w="1200"/>
      </w:tblGrid>
      <w:tr w:rsidR="00000000">
        <w:tblPrEx>
          <w:tblCellMar>
            <w:top w:w="0" w:type="dxa"/>
            <w:left w:w="0" w:type="dxa"/>
            <w:bottom w:w="0" w:type="dxa"/>
            <w:right w:w="0" w:type="dxa"/>
          </w:tblCellMar>
        </w:tblPrEx>
        <w:trPr>
          <w:tblHeader/>
        </w:trPr>
        <w:tc>
          <w:tcPr>
            <w:tcW w:w="25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Institución de ciudado del niño</w:t>
            </w:r>
          </w:p>
        </w:tc>
        <w:tc>
          <w:tcPr>
            <w:tcW w:w="12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 instituciones de cuidado del niño</w:t>
            </w:r>
          </w:p>
        </w:tc>
        <w:tc>
          <w:tcPr>
            <w:tcW w:w="12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w:t>
            </w:r>
            <w:r>
              <w:rPr>
                <w:i/>
                <w:sz w:val="14"/>
              </w:rPr>
              <w:br/>
              <w:t xml:space="preserve"> de plazas</w:t>
            </w:r>
          </w:p>
        </w:tc>
        <w:tc>
          <w:tcPr>
            <w:tcW w:w="12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w:t>
            </w:r>
            <w:r>
              <w:rPr>
                <w:i/>
                <w:sz w:val="14"/>
              </w:rPr>
              <w:br/>
              <w:t xml:space="preserve"> de niños</w:t>
            </w:r>
          </w:p>
        </w:tc>
        <w:tc>
          <w:tcPr>
            <w:tcW w:w="12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Niños</w:t>
            </w:r>
            <w:r>
              <w:rPr>
                <w:i/>
                <w:sz w:val="14"/>
              </w:rPr>
              <w:br/>
              <w:t xml:space="preserve"> por cada</w:t>
            </w:r>
            <w:r>
              <w:rPr>
                <w:i/>
                <w:sz w:val="14"/>
              </w:rPr>
              <w:br/>
              <w:t xml:space="preserve"> 100 plazas</w:t>
            </w:r>
          </w:p>
        </w:tc>
      </w:tr>
      <w:tr w:rsidR="00000000">
        <w:tblPrEx>
          <w:tblCellMar>
            <w:top w:w="0" w:type="dxa"/>
            <w:left w:w="0" w:type="dxa"/>
            <w:bottom w:w="0" w:type="dxa"/>
            <w:right w:w="0" w:type="dxa"/>
          </w:tblCellMar>
        </w:tblPrEx>
        <w:trPr>
          <w:trHeight w:hRule="exact" w:val="115"/>
          <w:tblHeader/>
        </w:trPr>
        <w:tc>
          <w:tcPr>
            <w:tcW w:w="25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Casas cuna</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406</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473</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Guarderías infantiles</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533</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45 412</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45 956</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Guarderías para niños con necesidades especiales</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253</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Centros para niños</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151</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Guarderías – escuelas primarias</w:t>
            </w:r>
          </w:p>
        </w:tc>
        <w:tc>
          <w:tcPr>
            <w:tcW w:w="12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74</w:t>
            </w:r>
          </w:p>
        </w:tc>
        <w:tc>
          <w:tcPr>
            <w:tcW w:w="12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3 155</w:t>
            </w:r>
          </w:p>
        </w:tc>
        <w:tc>
          <w:tcPr>
            <w:tcW w:w="12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3 019</w:t>
            </w:r>
          </w:p>
        </w:tc>
        <w:tc>
          <w:tcPr>
            <w:tcW w:w="12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96</w:t>
            </w:r>
          </w:p>
        </w:tc>
      </w:tr>
      <w:tr w:rsidR="00000000">
        <w:tblPrEx>
          <w:tblCellMar>
            <w:top w:w="0" w:type="dxa"/>
            <w:left w:w="0" w:type="dxa"/>
            <w:bottom w:w="0" w:type="dxa"/>
            <w:right w:w="0" w:type="dxa"/>
          </w:tblCellMar>
        </w:tblPrEx>
        <w:tc>
          <w:tcPr>
            <w:tcW w:w="25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2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624</w:t>
            </w:r>
          </w:p>
        </w:tc>
        <w:tc>
          <w:tcPr>
            <w:tcW w:w="12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49 417</w:t>
            </w:r>
          </w:p>
        </w:tc>
        <w:tc>
          <w:tcPr>
            <w:tcW w:w="12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49 852</w:t>
            </w:r>
          </w:p>
        </w:tc>
        <w:tc>
          <w:tcPr>
            <w:tcW w:w="12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101</w:t>
            </w:r>
          </w:p>
        </w:tc>
      </w:tr>
    </w:tbl>
    <w:p w:rsidR="00000000" w:rsidRDefault="00000000">
      <w:pPr>
        <w:pStyle w:val="SingleTxt"/>
        <w:spacing w:after="0" w:line="120" w:lineRule="exact"/>
        <w:rPr>
          <w:b/>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Asuntos Sociales.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Además de las guarderías infantiles municipales, en Estonia había 34 guard</w:t>
      </w:r>
      <w:r>
        <w:t>e</w:t>
      </w:r>
      <w:r>
        <w:t>rías pr</w:t>
      </w:r>
      <w:r>
        <w:t>i</w:t>
      </w:r>
      <w:r>
        <w:t>vadas registradas (con licencia para impartir educación).</w:t>
      </w:r>
    </w:p>
    <w:p w:rsidR="00000000" w:rsidRDefault="00000000">
      <w:pPr>
        <w:pStyle w:val="SingleTxt"/>
      </w:pPr>
      <w:r>
        <w:tab/>
        <w:t>En las instituciones de enseñanza preescolar hay un número muy elevado de niños de 5 a 6 años de edad: el 83% de los niños de ese grupo de edad. En Estonia el 31,8% de los niños de 1 y 2 años y el 74,6% de los niños de 3 años utilizan servicios de guardería (según los datos de la Oficina de Estadística de 2002). Aunque se paga un subsidio para el cuidado del niño a los padres dedicados al cuidado de uno o más niños de hasta 3 años, un número elevado de familias envían a sus hijos a guarderías antes de los 3 años. Esto obedece al hecho de que las madres retornan al trabajo, ya sea porque el subsidio no alcanza para que la madre pueda permanecer en el hogar con el niño o porque ésta teme perder su competencia profesional.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11.3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Proporción de niños que asisten a guarderías por grupo de edad (con excepción de alumnos internos) al 1º de enero de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70"/>
        <w:gridCol w:w="750"/>
        <w:gridCol w:w="750"/>
        <w:gridCol w:w="750"/>
        <w:gridCol w:w="750"/>
        <w:gridCol w:w="750"/>
        <w:gridCol w:w="750"/>
        <w:gridCol w:w="750"/>
      </w:tblGrid>
      <w:tr w:rsidR="00000000">
        <w:tblPrEx>
          <w:tblCellMar>
            <w:top w:w="0" w:type="dxa"/>
            <w:left w:w="0" w:type="dxa"/>
            <w:bottom w:w="0" w:type="dxa"/>
            <w:right w:w="0" w:type="dxa"/>
          </w:tblCellMar>
        </w:tblPrEx>
        <w:trPr>
          <w:tblHeader/>
        </w:trPr>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7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w:t>
            </w:r>
          </w:p>
        </w:tc>
        <w:tc>
          <w:tcPr>
            <w:tcW w:w="7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w:t>
            </w:r>
          </w:p>
        </w:tc>
        <w:tc>
          <w:tcPr>
            <w:tcW w:w="7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3</w:t>
            </w:r>
          </w:p>
        </w:tc>
        <w:tc>
          <w:tcPr>
            <w:tcW w:w="7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4</w:t>
            </w:r>
          </w:p>
        </w:tc>
        <w:tc>
          <w:tcPr>
            <w:tcW w:w="7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5</w:t>
            </w:r>
          </w:p>
        </w:tc>
        <w:tc>
          <w:tcPr>
            <w:tcW w:w="7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6</w:t>
            </w:r>
          </w:p>
        </w:tc>
        <w:tc>
          <w:tcPr>
            <w:tcW w:w="7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7</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total de niños</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12 932</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12 044</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11 752</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12 082</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12 674</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12 816</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13 292</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total de niños en guarderías</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1 615</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6 321</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8 770</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9 639</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10 497</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10 680</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2 241</w:t>
            </w:r>
          </w:p>
        </w:tc>
      </w:tr>
      <w:tr w:rsidR="00000000">
        <w:tblPrEx>
          <w:tblCellMar>
            <w:top w:w="0" w:type="dxa"/>
            <w:left w:w="0" w:type="dxa"/>
            <w:bottom w:w="0" w:type="dxa"/>
            <w:right w:w="0" w:type="dxa"/>
          </w:tblCellMar>
        </w:tblPrEx>
        <w:tc>
          <w:tcPr>
            <w:tcW w:w="20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w:t>
            </w:r>
          </w:p>
        </w:tc>
        <w:tc>
          <w:tcPr>
            <w:tcW w:w="7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7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52,5</w:t>
            </w:r>
          </w:p>
        </w:tc>
        <w:tc>
          <w:tcPr>
            <w:tcW w:w="7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74,6</w:t>
            </w:r>
          </w:p>
        </w:tc>
        <w:tc>
          <w:tcPr>
            <w:tcW w:w="7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79,8</w:t>
            </w:r>
          </w:p>
        </w:tc>
        <w:tc>
          <w:tcPr>
            <w:tcW w:w="7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82,8</w:t>
            </w:r>
          </w:p>
        </w:tc>
        <w:tc>
          <w:tcPr>
            <w:tcW w:w="7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83,3</w:t>
            </w:r>
          </w:p>
        </w:tc>
        <w:tc>
          <w:tcPr>
            <w:tcW w:w="7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Asuntos Sociales.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Incluidos los niños que ya cumplieron los 7 años pero que aún no asisten a la e</w:t>
      </w:r>
      <w:r>
        <w:t>s</w:t>
      </w:r>
      <w:r>
        <w:t>cuela.</w:t>
      </w:r>
    </w:p>
    <w:p w:rsidR="00000000" w:rsidRDefault="00000000">
      <w:pPr>
        <w:pStyle w:val="SingleTxt"/>
      </w:pPr>
      <w:r>
        <w:tab/>
        <w:t xml:space="preserve">En la segunda mitad del decenio de 1990 aumentó el número de niños menores de 3 años de edad que asistían a guarderías, y se reabrieron varias casas cuna. Esto </w:t>
      </w:r>
      <w:r>
        <w:rPr>
          <w:spacing w:val="2"/>
          <w:w w:val="101"/>
        </w:rPr>
        <w:t>ha reducido el número de plazas disponibles en las guarderías para niños de 5 a 6 años</w:t>
      </w:r>
      <w:r>
        <w:t>. Los gobiernos locales han emprendido un análisis del establecimiento y la financi</w:t>
      </w:r>
      <w:r>
        <w:t>a</w:t>
      </w:r>
      <w:r>
        <w:t>ción de nuevos servicios de guardería y formas de actividad para niños menores de 3 años.</w:t>
      </w:r>
    </w:p>
    <w:p w:rsidR="00000000" w:rsidRDefault="00000000">
      <w:pPr>
        <w:pStyle w:val="SingleTxt"/>
      </w:pPr>
      <w:r>
        <w:tab/>
        <w:t>Al establecer el horario diario de atención de las guarderías se tiene en cuenta el horario de trabajo de los padres (que se determina mediante un cuestionario). También se consideran las necesidades de los padres que trabajan hasta más tarde algunos d</w:t>
      </w:r>
      <w:r>
        <w:t>í</w:t>
      </w:r>
      <w:r>
        <w:t>as.</w:t>
      </w:r>
    </w:p>
    <w:p w:rsidR="00000000" w:rsidRDefault="00000000">
      <w:pPr>
        <w:pStyle w:val="SingleTxt"/>
      </w:pPr>
      <w:r>
        <w:tab/>
        <w:t>La aplicación de los Principios de Estrategia Demográfica para 2005-2008 i</w:t>
      </w:r>
      <w:r>
        <w:t>n</w:t>
      </w:r>
      <w:r>
        <w:t>cluye medidas para fomentar la conciliación del trabajo con la vida familiar. Éstas incl</w:t>
      </w:r>
      <w:r>
        <w:t>u</w:t>
      </w:r>
      <w:r>
        <w:t>yen las siguientes actividades:</w:t>
      </w:r>
    </w:p>
    <w:p w:rsidR="00000000" w:rsidRDefault="00000000">
      <w:pPr>
        <w:pStyle w:val="SingleTxt"/>
        <w:tabs>
          <w:tab w:val="right" w:pos="1685"/>
        </w:tabs>
        <w:ind w:left="1742" w:hanging="475"/>
      </w:pPr>
      <w:r>
        <w:tab/>
        <w:t>–</w:t>
      </w:r>
      <w:r>
        <w:tab/>
        <w:t>Informar al público (incluido el desarrollo de una página en la Web) acerca de la necesidad y las posibilidades de combinar el trabajo con la vida familiar, y alentar a los hombres a participar más activamente en la vida familiar y a as</w:t>
      </w:r>
      <w:r>
        <w:t>u</w:t>
      </w:r>
      <w:r>
        <w:t>mir más respo</w:t>
      </w:r>
      <w:r>
        <w:t>n</w:t>
      </w:r>
      <w:r>
        <w:t>sabilidades;</w:t>
      </w:r>
    </w:p>
    <w:p w:rsidR="00000000" w:rsidRDefault="00000000">
      <w:pPr>
        <w:pStyle w:val="SingleTxt"/>
        <w:tabs>
          <w:tab w:val="right" w:pos="1685"/>
        </w:tabs>
        <w:suppressAutoHyphens/>
        <w:ind w:left="1742" w:hanging="475"/>
      </w:pPr>
      <w:r>
        <w:tab/>
        <w:t>–</w:t>
      </w:r>
      <w:r>
        <w:tab/>
        <w:t>Elaborar propuestas e ideas sobre distintas opciones para el cuidado del niño (salas de juego, guarderías, etc.), crear un registro de cuidadores de niños (niñeras) y amas de llaves;</w:t>
      </w:r>
    </w:p>
    <w:p w:rsidR="00000000" w:rsidRDefault="00000000">
      <w:pPr>
        <w:pStyle w:val="SingleTxt"/>
        <w:tabs>
          <w:tab w:val="right" w:pos="1685"/>
        </w:tabs>
        <w:ind w:left="1742" w:hanging="475"/>
      </w:pPr>
      <w:r>
        <w:tab/>
        <w:t>–</w:t>
      </w:r>
      <w:r>
        <w:tab/>
        <w:t>Crear un módulo de estudios sobre el cuidado del niño en el sistema de form</w:t>
      </w:r>
      <w:r>
        <w:t>a</w:t>
      </w:r>
      <w:r>
        <w:t>ción profesional y elaborar las normas profesionales pertinentes;</w:t>
      </w:r>
    </w:p>
    <w:p w:rsidR="00000000" w:rsidRDefault="00000000">
      <w:pPr>
        <w:pStyle w:val="SingleTxt"/>
        <w:tabs>
          <w:tab w:val="right" w:pos="1685"/>
        </w:tabs>
        <w:ind w:left="1742" w:hanging="475"/>
      </w:pPr>
      <w:r>
        <w:tab/>
        <w:t>–</w:t>
      </w:r>
      <w:r>
        <w:tab/>
        <w:t>Brindar posibilidades de readiestramiento profesional por conducto del Serv</w:t>
      </w:r>
      <w:r>
        <w:t>i</w:t>
      </w:r>
      <w:r>
        <w:t>cio del Mercado Laboral para formarse en la profesión de cuidador de niños (cursos de pr</w:t>
      </w:r>
      <w:r>
        <w:t>i</w:t>
      </w:r>
      <w:r>
        <w:t>meros auxilios, capacitación docente, etc.).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d)</w:t>
      </w:r>
      <w:r>
        <w:rPr>
          <w:i/>
        </w:rPr>
        <w:tab/>
        <w:t>Prestar protección especial a la mujer durante el embarazo en los tipos de trabajos que se haya probado puedan resultar perjudiciales para ella.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la reglamentación del Ministro de Asuntos Sociales de 24 de abril de 2003 se estableció el procedimiento del examen médico de los empleados, que se realiz</w:t>
      </w:r>
      <w:r>
        <w:t>a</w:t>
      </w:r>
      <w:r>
        <w:t>rá en horario de trabajo y será sufragado por el empleador. El examen médico de los empleados comienza con el reconocimiento médico inicial a los 3 meses de empleo y posteriormente continúa a intervalos establecidos por un médico de salud laboral, pero por lo menos una vez cada tres años.</w:t>
      </w:r>
    </w:p>
    <w:p w:rsidR="00000000" w:rsidRDefault="00000000">
      <w:pPr>
        <w:pStyle w:val="SingleTxt"/>
      </w:pPr>
      <w:r>
        <w:tab/>
        <w:t>En virtud de la reglamentación gubernamental de 7 de febrero de 2001 se est</w:t>
      </w:r>
      <w:r>
        <w:t>a</w:t>
      </w:r>
      <w:r>
        <w:t>blecieron los requisitos con respecto a la salud y seguridad profesionales de la mujer embarazada y la madre lactante, con el objeto de garantizarles condiciones de tr</w:t>
      </w:r>
      <w:r>
        <w:t>a</w:t>
      </w:r>
      <w:r>
        <w:t>bajo seguras. El empleador está obligado a cumplir los requisitos de salud y segur</w:t>
      </w:r>
      <w:r>
        <w:t>i</w:t>
      </w:r>
      <w:r>
        <w:t>dad establecidos en la reglamentación si una trabajadora presenta a ese efecto un certif</w:t>
      </w:r>
      <w:r>
        <w:t>i</w:t>
      </w:r>
      <w:r>
        <w:t>cado médico relativo a su condición.</w:t>
      </w:r>
    </w:p>
    <w:p w:rsidR="00000000" w:rsidRDefault="00000000">
      <w:pPr>
        <w:pStyle w:val="SingleTxt"/>
      </w:pPr>
      <w:r>
        <w:tab/>
        <w:t>Con arreglo a la reglamentación, el empleador tiene la obligación de evaluar los riesgos inherentes a todos los trabajos que puedan resultar peligrosos y que sean realizados por una mujer embarazada o una madre lactante, o a los que éstas estén expuestas (para los fines de esta reglamentación una “trabajadora” es una madre lactante). Los riesgos para la salud y seguridad de una trabajadora se evalúan en función de la naturaleza, el grado y la duración de los factores de riesgo, así como los posibles efectos nocivos sobre su embarazo o sobre la salud del niño lactante.</w:t>
      </w:r>
    </w:p>
    <w:p w:rsidR="00000000" w:rsidRDefault="00000000">
      <w:pPr>
        <w:pStyle w:val="SingleTxt"/>
      </w:pPr>
      <w:r>
        <w:tab/>
        <w:t>Al evaluar los riesgos los empleadores también deben tener en cuenta los fa</w:t>
      </w:r>
      <w:r>
        <w:t>c</w:t>
      </w:r>
      <w:r>
        <w:t>tores de riesgo biológico, que figuran en la reglamentación gubernamental de 5 de mayo de 2000, así como los procesos de producción que entrañan riesgos carcin</w:t>
      </w:r>
      <w:r>
        <w:t>ó</w:t>
      </w:r>
      <w:r>
        <w:t>genos y de mutaciones, conforme a la reglamentación gubernamental de 15 de febr</w:t>
      </w:r>
      <w:r>
        <w:t>e</w:t>
      </w:r>
      <w:r>
        <w:t>ro de 2000.</w:t>
      </w:r>
    </w:p>
    <w:p w:rsidR="00000000" w:rsidRDefault="00000000">
      <w:pPr>
        <w:pStyle w:val="SingleTxt"/>
        <w:rPr>
          <w:spacing w:val="2"/>
          <w:w w:val="101"/>
        </w:rPr>
      </w:pPr>
      <w:r>
        <w:tab/>
        <w:t>Si la evaluación demuestra que existen riesgos, el empleador debe adoptar m</w:t>
      </w:r>
      <w:r>
        <w:t>e</w:t>
      </w:r>
      <w:r>
        <w:t>didas para garantizar condiciones de trabajo seguras, celebrar consultas con el co</w:t>
      </w:r>
      <w:r>
        <w:t>n</w:t>
      </w:r>
      <w:r>
        <w:t>sejo sobre el entorno laboral y, de ser necesario, con un médico, e informar a la tr</w:t>
      </w:r>
      <w:r>
        <w:t>a</w:t>
      </w:r>
      <w:r>
        <w:t xml:space="preserve">bajadora y a un representante sobre el entorno laboral acerca de los resultados de la </w:t>
      </w:r>
      <w:r>
        <w:rPr>
          <w:spacing w:val="2"/>
          <w:w w:val="101"/>
        </w:rPr>
        <w:t>evaluación y de las medidas que deben adoptarse. Además, el empleador debe garant</w:t>
      </w:r>
      <w:r>
        <w:rPr>
          <w:spacing w:val="2"/>
          <w:w w:val="101"/>
        </w:rPr>
        <w:t>i</w:t>
      </w:r>
      <w:r>
        <w:rPr>
          <w:spacing w:val="2"/>
          <w:w w:val="101"/>
        </w:rPr>
        <w:t>zar que las mujeres embarazadas puedan disponer de una sala de descanso para reco</w:t>
      </w:r>
      <w:r>
        <w:rPr>
          <w:spacing w:val="2"/>
          <w:w w:val="101"/>
        </w:rPr>
        <w:t>s</w:t>
      </w:r>
      <w:r>
        <w:rPr>
          <w:spacing w:val="2"/>
          <w:w w:val="101"/>
        </w:rPr>
        <w:t>tarse, y debe dárseles tiempo libre para exámenes prenatales. En caso de que éstos se efectúen en horarios de trabajo, no se descontará el tiempo de sus remun</w:t>
      </w:r>
      <w:r>
        <w:rPr>
          <w:spacing w:val="2"/>
          <w:w w:val="101"/>
        </w:rPr>
        <w:t>e</w:t>
      </w:r>
      <w:r>
        <w:rPr>
          <w:spacing w:val="2"/>
          <w:w w:val="101"/>
        </w:rPr>
        <w:t>raciones.</w:t>
      </w:r>
    </w:p>
    <w:p w:rsidR="00000000" w:rsidRDefault="00000000">
      <w:pPr>
        <w:pStyle w:val="SingleTxt"/>
        <w:rPr>
          <w:spacing w:val="2"/>
          <w:w w:val="101"/>
        </w:rPr>
      </w:pPr>
      <w:r>
        <w:tab/>
        <w:t>Para garantizar a la trabajadora condiciones de trabajo seguras, el empleador puede facilitar temporalmente las condiciones de trabajo, cambiar la organización de las tareas (incluido un día de trabajo más corto y con recesos adecuados) o asignar temporalmente a la trabajadora a un trabajo diurno o vespertino. Si las medidas mencionadas no garantizan la seguridad de las condiciones de trabajo para la madre lactante, el empleador está obligado a asignar a la trabajadora temporalmente una t</w:t>
      </w:r>
      <w:r>
        <w:t>a</w:t>
      </w:r>
      <w:r>
        <w:t xml:space="preserve">rea más fácil u otra tarea, teniendo en cuenta su capacidad o experiencia profesional. Una de las medidas que puede adoptar es asignarle temporalmente un trabajo diurno o vespertino. Si el empleador no está en condiciones de ofrecer temporalmente a la </w:t>
      </w:r>
      <w:r>
        <w:rPr>
          <w:spacing w:val="2"/>
          <w:w w:val="101"/>
        </w:rPr>
        <w:t>trabajadora un trabajo más fácil u otro trabajo, debe liberarla temporalmente con el co</w:t>
      </w:r>
      <w:r>
        <w:rPr>
          <w:spacing w:val="2"/>
          <w:w w:val="101"/>
        </w:rPr>
        <w:t>n</w:t>
      </w:r>
      <w:r>
        <w:rPr>
          <w:spacing w:val="2"/>
          <w:w w:val="101"/>
        </w:rPr>
        <w:t>sentimiento del inspector laboral. El médico determinará la duración de dicha l</w:t>
      </w:r>
      <w:r>
        <w:rPr>
          <w:spacing w:val="2"/>
          <w:w w:val="101"/>
        </w:rPr>
        <w:t>i</w:t>
      </w:r>
      <w:r>
        <w:rPr>
          <w:spacing w:val="2"/>
          <w:w w:val="101"/>
        </w:rPr>
        <w:t>cencia.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3.</w:t>
      </w:r>
      <w:r>
        <w:rPr>
          <w:i/>
        </w:rPr>
        <w:tab/>
        <w:t>La legislación protectora relacionada con las cuestiones comprendidas en este artículo será examinada periódicamente a la luz de los conocimientos cie</w:t>
      </w:r>
      <w:r>
        <w:rPr>
          <w:i/>
        </w:rPr>
        <w:t>n</w:t>
      </w:r>
      <w:r>
        <w:rPr>
          <w:i/>
        </w:rPr>
        <w:t>tíficos y tecnológicos y será revisada, derogada o ampliada según c</w:t>
      </w:r>
      <w:r>
        <w:rPr>
          <w:i/>
        </w:rPr>
        <w:t>o</w:t>
      </w:r>
      <w:r>
        <w:rPr>
          <w:i/>
        </w:rPr>
        <w:t>rresponda.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virtud de una reglamentación gubernamental de 2001 se tienen en cuenta las necesidades en materia de salud y seguridad ocupacionales de las mujeres emb</w:t>
      </w:r>
      <w:r>
        <w:t>a</w:t>
      </w:r>
      <w:r>
        <w:t>raz</w:t>
      </w:r>
      <w:r>
        <w:t>a</w:t>
      </w:r>
      <w:r>
        <w:t>das y las madres lactantes.</w:t>
      </w:r>
    </w:p>
    <w:p w:rsidR="00000000" w:rsidRDefault="00000000">
      <w:pPr>
        <w:pStyle w:val="SingleTxt"/>
        <w:suppressAutoHyphens/>
      </w:pPr>
      <w:r>
        <w:tab/>
        <w:t>En dicha reglamentación se enumeran los trabajos que no puede realizar una mujer embarazada o una madre lactante. De conformidad con la reglamentación las mujeres embarazadas no pueden trabajar en atmósferas hiperbáricas, si corren riesgo de contraer el virus de la rubéola o la toxoplasmosis (a no ser que se compruebe que están debidamente vacunadas contra estos agentes); con plomo y sus compuestos tóxicos; en horario nocturno; o si deben manipular cargas. Las madres lactantes no pueden trabajar con plomo y sus compuestos tóxicos, ni en trabajos subterráneos. La reglamentación se basa en las normas europeas sobre la seguridad y la salud en el empleo (Directiva del Consejo de la Unión Europea 92/85/EEC).</w:t>
      </w:r>
    </w:p>
    <w:p w:rsidR="00000000" w:rsidRDefault="00000000">
      <w:pPr>
        <w:pStyle w:val="SingleTxt"/>
        <w:spacing w:after="0" w:line="120" w:lineRule="exact"/>
        <w:rPr>
          <w:b/>
          <w:sz w:val="10"/>
        </w:rPr>
      </w:pPr>
      <w:bookmarkStart w:id="42" w:name="_Toc103503125"/>
    </w:p>
    <w:p w:rsidR="00000000" w:rsidRDefault="00000000">
      <w:pPr>
        <w:pStyle w:val="SingleTxt"/>
        <w:spacing w:after="0" w:line="120" w:lineRule="exact"/>
        <w:rPr>
          <w:b/>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12</w:t>
      </w:r>
    </w:p>
    <w:p w:rsidR="00000000" w:rsidRDefault="00000000">
      <w:pPr>
        <w:pStyle w:val="SingleTxt"/>
        <w:spacing w:after="0" w:line="120" w:lineRule="exact"/>
        <w:rPr>
          <w:b/>
          <w:sz w:val="10"/>
          <w:lang w:val="es-ES_tradnl"/>
        </w:rPr>
      </w:pPr>
    </w:p>
    <w:p w:rsidR="00000000" w:rsidRDefault="00000000">
      <w:pPr>
        <w:pStyle w:val="SingleTxt"/>
        <w:spacing w:after="0" w:line="120" w:lineRule="exact"/>
        <w:rPr>
          <w:b/>
          <w:sz w:val="10"/>
          <w:lang w:val="es-ES_tradnl"/>
        </w:rPr>
      </w:pPr>
    </w:p>
    <w:p w:rsidR="00000000" w:rsidRDefault="00000000">
      <w:pPr>
        <w:pStyle w:val="SingleTxt"/>
        <w:rPr>
          <w:i/>
          <w:lang w:val="es-ES_tradnl"/>
        </w:rPr>
      </w:pPr>
      <w:r>
        <w:rPr>
          <w:i/>
          <w:lang w:val="es-ES_tradnl"/>
        </w:rPr>
        <w:tab/>
        <w:t>1.</w:t>
      </w:r>
      <w:r>
        <w:rPr>
          <w:i/>
          <w:lang w:val="es-ES_tradnl"/>
        </w:rPr>
        <w:tab/>
        <w:t>Los Estados partes adoptarán todas las medidas apropiadas para elim</w:t>
      </w:r>
      <w:r>
        <w:rPr>
          <w:i/>
          <w:lang w:val="es-ES_tradnl"/>
        </w:rPr>
        <w:t>i</w:t>
      </w:r>
      <w:r>
        <w:rPr>
          <w:i/>
          <w:lang w:val="es-ES_tradnl"/>
        </w:rPr>
        <w:t>nar la discriminación contra la mujer en la esfera de la atención médica a fin de asegurar, en condiciones de igualdad entre hombres y mujeres, el acceso a servicios de atención médica, inclusive los que se refieren a la planificación de la familia.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Una persona que está a cargo de su cónyuge tiene derecho a solicitar el seguro médico estatal si su cónyuge es un empleado que tiene dicha cobertura, trabaja en el sector público, integra la dirección o el órgano de control de una persona jurídica, recibe una remuneración u honorarios sobre la base de la Ley de obligaciones o está registrado como único propietario, y si cuida al menos un hijo menor de 8 años o que tiene 8 años al finalizar el primer grado, o tiene por lo menos 3 hijos menores de 16 años. La cobertura del seguro médico también alcanza a las personas que al 1° de enero de 2003 les faltaba menos de cinco años para llegar a la edad de jubilación y estaban a cargo de su cónyuge que tenía cobertura de seguro m</w:t>
      </w:r>
      <w:r>
        <w:rPr>
          <w:lang w:val="es-ES_tradnl"/>
        </w:rPr>
        <w:t>é</w:t>
      </w:r>
      <w:r>
        <w:rPr>
          <w:lang w:val="es-ES_tradnl"/>
        </w:rPr>
        <w:t>dico.</w:t>
      </w:r>
    </w:p>
    <w:p w:rsidR="00000000" w:rsidRDefault="00000000">
      <w:pPr>
        <w:pStyle w:val="SingleTxt"/>
      </w:pPr>
      <w:r>
        <w:tab/>
        <w:t>Según el estudio “Disponibilidad y utilización de la atención hospitalaria en Estonia” (realizado por el Instituto de Salud de la Universidad de Tartu), las princ</w:t>
      </w:r>
      <w:r>
        <w:t>i</w:t>
      </w:r>
      <w:r>
        <w:t>pales causas de la atención hospitalaria de mujeres del grupo de edad de 15 a 44 años son el embarazo y el parto. Cada vez más padres están presentes durante el parto y el período posterior en el hospital, que dispone de habitaciones para la fam</w:t>
      </w:r>
      <w:r>
        <w:t>i</w:t>
      </w:r>
      <w:r>
        <w:t>lia. Los hijos mayores también pueden permanecer en esas habitaciones. Las mate</w:t>
      </w:r>
      <w:r>
        <w:t>r</w:t>
      </w:r>
      <w:r>
        <w:t>nidades y los servicios de asesoramiento psicológico de mujeres tienen escuelas de capacitación familiar especiales, en las que se brinda orientación a los futuros p</w:t>
      </w:r>
      <w:r>
        <w:t>a</w:t>
      </w:r>
      <w:r>
        <w:t>dres y a las que éstos también pueden acudir tras el nacimiento de su hijo.</w:t>
      </w:r>
    </w:p>
    <w:p w:rsidR="00000000" w:rsidRDefault="00000000">
      <w:pPr>
        <w:pStyle w:val="SingleTxt"/>
      </w:pPr>
      <w:r>
        <w:tab/>
        <w:t>La causa principal de atención hospitalaria tanto de hombres como mujeres mayores de 45 años son las enfermedades cardiovasculares y los tumores, las e</w:t>
      </w:r>
      <w:r>
        <w:t>n</w:t>
      </w:r>
      <w:r>
        <w:t>fermedades relacionadas con el sistema musculoesqueletal y las enfermedades del tejido co</w:t>
      </w:r>
      <w:r>
        <w:t>n</w:t>
      </w:r>
      <w:r>
        <w:t>juntivo.</w:t>
      </w:r>
    </w:p>
    <w:p w:rsidR="00000000" w:rsidRDefault="00000000">
      <w:pPr>
        <w:pStyle w:val="SingleTxt"/>
      </w:pPr>
      <w:r>
        <w:tab/>
        <w:t>En el período 1992-2001 disminuyó significativamente la mortalidad prenatal, lo cual se debió principalmente al menor número de fallecimientos neonatales. Esto indica que la atención prenatal, especialmente la terapia intensiva de recién nacidos, ha mejorado notablemente. También disminuyó la tasa de mortinatalidad, en parte debido a mejores diagnósticos prenatales: pruebas de detección de anormalidades congénitas y la posibilidad de que la familia opte por interrumpir el embarazo antes del parto en el caso de anormalidades cromosómicas fetales.</w:t>
      </w:r>
    </w:p>
    <w:p w:rsidR="00000000" w:rsidRDefault="00000000">
      <w:pPr>
        <w:pStyle w:val="SingleTxt"/>
      </w:pPr>
      <w:r>
        <w:tab/>
        <w:t>El aumento de la edad en que las mujeres dan a luz indica que las mujeres postergan el embarazo. El porcentaje de madres adolescentes ha disminuido en una tercera parte, en 2001 una de cada 10 mujeres que dieron a luz eran adolescentes. La causa de la disminución del número de madres jóvenes está vinculada con la sens</w:t>
      </w:r>
      <w:r>
        <w:t>i</w:t>
      </w:r>
      <w:r>
        <w:t>bilización cada vez mayor de las muchachas y la disponibilidad de métodos antico</w:t>
      </w:r>
      <w:r>
        <w:t>n</w:t>
      </w:r>
      <w:r>
        <w:t>cept</w:t>
      </w:r>
      <w:r>
        <w:t>i</w:t>
      </w:r>
      <w:r>
        <w:t>vos fiables.</w:t>
      </w:r>
    </w:p>
    <w:p w:rsidR="00000000" w:rsidRDefault="00000000">
      <w:pPr>
        <w:pStyle w:val="SingleTxt"/>
      </w:pPr>
      <w:r>
        <w:tab/>
        <w:t>La finalidad del proyecto “Asesoramiento sobre salud reproductiva para jóv</w:t>
      </w:r>
      <w:r>
        <w:t>e</w:t>
      </w:r>
      <w:r>
        <w:t>nes y prevención de enfermedades de transmisión sexual 2002-2006” es velar por la salud reproductiva de la juventud estonia. Uno de los resultados del proyecto fue la disminución del número de abortos en un 25%, así como el del primer embarazo y las enfermedades de transmisión sexual (ETS) entre jóvenes de 15 a 19 años en un 10% (según la Oficina de Estadísticas Médicas de Estonia, en 1999 hubo 9.606 c</w:t>
      </w:r>
      <w:r>
        <w:t>a</w:t>
      </w:r>
      <w:r>
        <w:t>sos de primera infección de ETS). La Unión Estonia de Planificación de la Familia coord</w:t>
      </w:r>
      <w:r>
        <w:t>i</w:t>
      </w:r>
      <w:r>
        <w:t>na el proyecto.</w:t>
      </w:r>
    </w:p>
    <w:p w:rsidR="00000000" w:rsidRDefault="00000000">
      <w:pPr>
        <w:pStyle w:val="SingleTxt"/>
      </w:pPr>
      <w:r>
        <w:tab/>
        <w:t>En virtud del proyecto de salud reproductiva para jóvenes se establecieron centros de asesoramiento psicológico para jóvenes en casi todos los condados. En 2004 hubo casi 24.000 visitas a dichos centros. En éstos se realizan pruebas a jóv</w:t>
      </w:r>
      <w:r>
        <w:t>e</w:t>
      </w:r>
      <w:r>
        <w:t>nes que tienen motivo para sospechar que padecen una ETS y se brinda asesor</w:t>
      </w:r>
      <w:r>
        <w:t>a</w:t>
      </w:r>
      <w:r>
        <w:t>miento general sobre salud sexual. La mayoría de las visitas, empero, son para obt</w:t>
      </w:r>
      <w:r>
        <w:t>e</w:t>
      </w:r>
      <w:r>
        <w:t>ner anticonceptivos. En general, los hombres jóvenes no visitan los centros fr</w:t>
      </w:r>
      <w:r>
        <w:t>e</w:t>
      </w:r>
      <w:r>
        <w:t>cuentemente; representan sólo el 4% del número de visitas. En 2003 el servicio de asesoramiento se centró en la promoción entre jóvenes de habla rusa, en tanto que en 2004 se centró en la difusión de información entre hombres jóvenes.</w:t>
      </w:r>
    </w:p>
    <w:p w:rsidR="00000000" w:rsidRDefault="00000000">
      <w:pPr>
        <w:pStyle w:val="SingleTxt"/>
      </w:pPr>
      <w:r>
        <w:tab/>
        <w:t>Los jóvenes también toman conciencia de la labor de los centros de asesor</w:t>
      </w:r>
      <w:r>
        <w:t>a</w:t>
      </w:r>
      <w:r>
        <w:t>miento para jóvenes por conducto de otros proyectos de educación sexual. En el s</w:t>
      </w:r>
      <w:r>
        <w:t>i</w:t>
      </w:r>
      <w:r>
        <w:t xml:space="preserve">tio en la Web </w:t>
      </w:r>
      <w:hyperlink r:id="rId19" w:history="1">
        <w:r>
          <w:rPr>
            <w:rStyle w:val="Hyperlink"/>
          </w:rPr>
          <w:t>www.amor.ee</w:t>
        </w:r>
      </w:hyperlink>
      <w:r>
        <w:t xml:space="preserve"> se brinda la posibilidad de obtener asesoramiento en forma an</w:t>
      </w:r>
      <w:r>
        <w:t>ó</w:t>
      </w:r>
      <w:r>
        <w:t>nima.</w:t>
      </w:r>
    </w:p>
    <w:p w:rsidR="00000000" w:rsidRDefault="00000000">
      <w:pPr>
        <w:pStyle w:val="SingleTxt"/>
      </w:pPr>
      <w:r>
        <w:tab/>
        <w:t>En 2003, 22.189 jóvenes visitaron los centros de asesoramiento para jóvenes (incluidos 82 jóvenes que carecían de seguro médico), el 17% fueron primeras vis</w:t>
      </w:r>
      <w:r>
        <w:t>i</w:t>
      </w:r>
      <w:r>
        <w:t>tas. El 88% de los visitantes a los centros para jóvenes fueron estudiantes universit</w:t>
      </w:r>
      <w:r>
        <w:t>a</w:t>
      </w:r>
      <w:r>
        <w:t>rios; el 78% eran estonios y el 22% de otras nacionalidades.</w:t>
      </w:r>
    </w:p>
    <w:p w:rsidR="00000000" w:rsidRDefault="00000000">
      <w:pPr>
        <w:pStyle w:val="SingleTxt"/>
      </w:pPr>
      <w:r>
        <w:tab/>
        <w:t>En Estonia no se dispone de datos exactos y sistemáticos sobre la utilización de métodos anticonceptivos. Según las estadísticas de salud del Ministerio de Asuntos Sociales, en 2001 el 18,2% de las mujeres fecundas utilizaba métodos ant</w:t>
      </w:r>
      <w:r>
        <w:t>i</w:t>
      </w:r>
      <w:r>
        <w:t>conceptivos hormonales y el 14,5% el dispositivo intrauterino. En comparación con 1992, el número de mujeres que utilizaban métodos anticonceptivos hormonales aumentó más de cuatro veces, en tanto que el número de usuarias de dispositivos intrauterinos disminuyó; las cifras de 1992 eran 3,9% y 20,9%, respectivamente. Esta información sólo refleja el comportamiento de las mujeres que se atienden con un ginecól</w:t>
      </w:r>
      <w:r>
        <w:t>o</w:t>
      </w:r>
      <w:r>
        <w:t>go.</w:t>
      </w:r>
    </w:p>
    <w:p w:rsidR="00000000" w:rsidRDefault="00000000">
      <w:pPr>
        <w:pStyle w:val="SingleTxt"/>
      </w:pPr>
      <w:r>
        <w:tab/>
        <w:t>El número total de abortos y abortos inducidos legalmente por 1.000 mujeres en edad de procrear ha disminuido en más de la mitad en los últimos 10 años. No ob</w:t>
      </w:r>
      <w:r>
        <w:t>s</w:t>
      </w:r>
      <w:r>
        <w:t>tante, el número de abortos reiterados se ha mantenido sin cambios: en 1996-2001 el 68% de las pacientes que tuvieron un aborto ya habían tenido uno o más anterio</w:t>
      </w:r>
      <w:r>
        <w:t>r</w:t>
      </w:r>
      <w:r>
        <w:t>mente.</w:t>
      </w:r>
    </w:p>
    <w:p w:rsidR="00000000" w:rsidRDefault="00000000">
      <w:pPr>
        <w:pStyle w:val="SingleTxt"/>
      </w:pPr>
      <w:r>
        <w:tab/>
        <w:t>Se recomienda a todas las mujeres embarazadas registradas que se sometan a una prueba de detección del VIH. Desde que se realizan estas pruebas, en Estonia 140 mujeres embarazadas resultaron ser seropositivas. Algunos de estos embarazos no llegaron a término, ya sea por abortos naturales o inducidos. En 1993 se detectó por primera vez el VIH en una mujer embarazada. En 1999 por primera vez una mujer embarazada seropositiva dio a luz. Según los datos disponibles, hasta la fecha 63 mujeres seropositivas dieron a luz. En cinco casos las madres transmitieron la i</w:t>
      </w:r>
      <w:r>
        <w:t>n</w:t>
      </w:r>
      <w:r>
        <w:t>fección sus hijos. El número de embarazos de mujeres seropositivas ha aumentado en los últimos años, de 35 casos en 2001 a 55 en 2202, y 64 en 2003.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lang w:val="es-ES_tradnl"/>
        </w:rPr>
        <w:br w:type="page"/>
      </w:r>
      <w:r>
        <w:tab/>
      </w:r>
      <w:r>
        <w:tab/>
      </w:r>
      <w:r>
        <w:rPr>
          <w:b w:val="0"/>
        </w:rPr>
        <w:t>Gráfico 12.1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Personas infectadas por el VIH, por grupo de edad y género, 1999-2003</w:t>
      </w:r>
    </w:p>
    <w:p w:rsidR="00000000" w:rsidRDefault="00000000">
      <w:pPr>
        <w:pStyle w:val="SingleTxt"/>
      </w:pPr>
      <w:r>
        <w:rPr>
          <w:noProof/>
          <w:w w:val="1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51.85pt;margin-top:12.35pt;width:378pt;height:207.75pt;z-index:-3;mso-wrap-edited:f;mso-position-horizontal:absolute;mso-position-horizontal-relative:text;mso-position-vertical:absolute;mso-position-vertical-relative:text" wrapcoords="19340 858 1647 1716 1685 3821 2183 4367 1685 4835 1685 5536 2834 5848 1685 6316 1685 7096 1034 7252 843 7330 766 13256 881 13334 2834 13334 1838 13802 1685 13958 1915 15830 2183 17077 2183 17701 10877 18325 3868 18325 3830 19183 10800 19573 10072 19806 9804 20040 9804 20586 10723 20586 10800 19573 13711 19573 21102 18715 21102 18325 20872 17467 20872 16453 20374 16297 17770 15830 21026 15596 21026 14816 19379 14582 21064 13958 21102 12087 20872 11229 20872 10215 20374 10059 17770 9591 21026 9357 21026 8578 19379 8344 21064 7720 21140 3977 20604 3821 17770 3353 21102 3119 20949 2105 12447 2105 21102 1560 21026 858 19340 858" o:allowincell="f">
            <v:imagedata r:id="rId20" o:title=""/>
          </v:shape>
        </w:pic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7580"/>
        </w:tabs>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7580"/>
        </w:tabs>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2146"/>
        </w:tabs>
        <w:jc w:val="center"/>
      </w:pP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Propagación del VIH/SIDA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Si bien la mayoría de las personas infectadas por el VIH son hombres, en los últimos años ha aumentado la proporción de mujeres. En 2000 las mujeres const</w:t>
      </w:r>
      <w:r>
        <w:t>i</w:t>
      </w:r>
      <w:r>
        <w:t>tuían el 20% de todos los casos del VIH registrados; en 2002 esta proporción había aumentado al 30% y en 2003, al 28%; y según datos al 19 de agosto de 2004, la pr</w:t>
      </w:r>
      <w:r>
        <w:t>o</w:t>
      </w:r>
      <w:r>
        <w:t>porción de mujeres infectadas era del 32%.</w:t>
      </w:r>
    </w:p>
    <w:p w:rsidR="00000000" w:rsidRDefault="00000000">
      <w:pPr>
        <w:pStyle w:val="SingleTxt"/>
      </w:pPr>
      <w:r>
        <w:tab/>
        <w:t>Según una encuesta realizada entre jóvenes de 15 a 24 años por el Ministerio de Asuntos Sociales en 2003, el 54% de los encuestados no había mantenido práct</w:t>
      </w:r>
      <w:r>
        <w:t>i</w:t>
      </w:r>
      <w:r>
        <w:t>cas sexuales sin riesgo en el último año. Sólo el 53% conocía las causas de la infe</w:t>
      </w:r>
      <w:r>
        <w:t>c</w:t>
      </w:r>
      <w:r>
        <w:t>ción por el VIH.</w:t>
      </w:r>
    </w:p>
    <w:p w:rsidR="00000000" w:rsidRDefault="00000000">
      <w:pPr>
        <w:pStyle w:val="SingleTxt"/>
      </w:pPr>
      <w:r>
        <w:tab/>
        <w:t xml:space="preserve">En razón de las expectativas basadas en los papeles asignados a cada género, el comportamiento de los hombres jóvenes es más riesgoso tanto en las relaciones </w:t>
      </w:r>
      <w:r>
        <w:br/>
        <w:t>sexuales como en el consumo de estupefacientes. Los hombres que pertenecen a grupos en los que imperan las definiciones tradicionales de la masculinidad consid</w:t>
      </w:r>
      <w:r>
        <w:t>e</w:t>
      </w:r>
      <w:r>
        <w:t>ran la inyección de drogas más viril que el consumo de píldoras. Las encuestas ta</w:t>
      </w:r>
      <w:r>
        <w:t>m</w:t>
      </w:r>
      <w:r>
        <w:t>bién indican que la mitad de las mujeres jóvenes seropositivas comenzaron a dr</w:t>
      </w:r>
      <w:r>
        <w:t>o</w:t>
      </w:r>
      <w:r>
        <w:t>garse s</w:t>
      </w:r>
      <w:r>
        <w:t>i</w:t>
      </w:r>
      <w:r>
        <w:t>guiendo el ejemplo de sus amigos hombres.</w:t>
      </w:r>
    </w:p>
    <w:p w:rsidR="00000000" w:rsidRDefault="00000000">
      <w:pPr>
        <w:pStyle w:val="SingleTxt"/>
      </w:pPr>
      <w:r>
        <w:tab/>
        <w:t>Además de las diferencias biológicas que hacen que las mujeres jóvenes sean mucho más propensas a contraer la infección, la percepción que impera socialmente sobre las funciones de los géneros es igualmente importante, habida cuenta de que privil</w:t>
      </w:r>
      <w:r>
        <w:t>e</w:t>
      </w:r>
      <w:r>
        <w:t>gia la sumisión y la aceptación, y no la protección de la dignidad y la salud.</w:t>
      </w:r>
    </w:p>
    <w:p w:rsidR="00000000" w:rsidRDefault="00000000">
      <w:pPr>
        <w:pStyle w:val="SingleTxt"/>
        <w:rPr>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lang w:val="es-ES_tradnl"/>
        </w:rPr>
        <w:br w:type="page"/>
      </w:r>
      <w:r>
        <w:tab/>
      </w:r>
      <w:r>
        <w:tab/>
      </w:r>
      <w:r>
        <w:rPr>
          <w:b w:val="0"/>
        </w:rPr>
        <w:t>Gráfico 12.2.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Casos registrados de personas seropositivas, por género, 2000-2003 (porcentaje)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noProof/>
        </w:rPr>
        <w:pict>
          <v:shape id="_x0000_s2052" type="#_x0000_t75" style="position:absolute;left:0;text-align:left;margin-left:63.3pt;margin-top:4.25pt;width:358.15pt;height:166.85pt;z-index:3;mso-position-horizontal:absolute;mso-position-horizontal-relative:text;mso-position-vertical:absolute;mso-position-vertical-relative:text" o:allowincell="f">
            <v:imagedata r:id="rId21" o:title=""/>
          </v:shape>
          <o:OLEObject Type="Embed" ProgID="Excel.Chart.8" ShapeID="_x0000_s2052" DrawAspect="Content" ObjectID="_1395238211" r:id="rId22">
            <o:FieldCodes>\s</o:FieldCodes>
          </o:OLEObject>
        </w:pict>
      </w:r>
    </w:p>
    <w:p w:rsidR="00000000" w:rsidRDefault="00000000">
      <w:pPr>
        <w:pStyle w:val="SingleTxt"/>
      </w:pPr>
    </w:p>
    <w:p w:rsidR="00000000" w:rsidRDefault="00000000">
      <w:pPr>
        <w:pStyle w:val="SingleTxt"/>
        <w:rPr>
          <w:lang w:val="en-GB"/>
        </w:rPr>
      </w:pPr>
    </w:p>
    <w:p w:rsidR="00000000" w:rsidRDefault="00000000">
      <w:pPr>
        <w:pStyle w:val="SingleTxt"/>
        <w:rPr>
          <w:lang w:val="en-GB"/>
        </w:rPr>
      </w:pPr>
    </w:p>
    <w:p w:rsidR="00000000" w:rsidRDefault="00000000">
      <w:pPr>
        <w:pStyle w:val="SingleTxt"/>
        <w:rPr>
          <w:lang w:val="en-GB"/>
        </w:rPr>
      </w:pPr>
    </w:p>
    <w:p w:rsidR="00000000" w:rsidRDefault="00000000">
      <w:pPr>
        <w:pStyle w:val="SingleTxt"/>
        <w:rPr>
          <w:lang w:val="en-GB"/>
        </w:rPr>
      </w:pPr>
    </w:p>
    <w:p w:rsidR="00000000" w:rsidRDefault="00000000">
      <w:pPr>
        <w:pStyle w:val="SingleTxt"/>
        <w:rPr>
          <w:lang w:val="en-GB"/>
        </w:rPr>
      </w:pPr>
    </w:p>
    <w:p w:rsidR="00000000" w:rsidRDefault="00000000">
      <w:pPr>
        <w:pStyle w:val="SingleTxt"/>
        <w:rPr>
          <w:lang w:val="en-GB"/>
        </w:rPr>
      </w:pPr>
    </w:p>
    <w:p w:rsidR="00000000" w:rsidRDefault="00000000">
      <w:pPr>
        <w:pStyle w:val="SingleTxt"/>
        <w:rPr>
          <w:lang w:val="en-GB"/>
        </w:rPr>
      </w:pPr>
    </w:p>
    <w:p w:rsidR="00000000" w:rsidRDefault="00000000">
      <w:pPr>
        <w:pStyle w:val="SingleTxt"/>
        <w:rPr>
          <w:lang w:val="en-GB"/>
        </w:rPr>
      </w:pPr>
    </w:p>
    <w:p w:rsidR="00000000" w:rsidRDefault="00000000">
      <w:pPr>
        <w:pStyle w:val="SingleTxt"/>
        <w:rPr>
          <w:lang w:val="en-GB"/>
        </w:rPr>
      </w:pPr>
    </w:p>
    <w:p w:rsidR="00000000" w:rsidRDefault="00000000">
      <w:pPr>
        <w:pStyle w:val="SingleTxt"/>
        <w:rPr>
          <w:lang w:val="es-ES_tradnl"/>
        </w:rPr>
      </w:pPr>
      <w:r>
        <w:rPr>
          <w:lang w:val="es-ES_tradnl"/>
        </w:rPr>
        <w:tab/>
        <w:t>Al 19 de agosto de 2004, En Estonia se había diagnosticado el SIDA a 54 pe</w:t>
      </w:r>
      <w:r>
        <w:rPr>
          <w:lang w:val="es-ES_tradnl"/>
        </w:rPr>
        <w:t>r</w:t>
      </w:r>
      <w:r>
        <w:rPr>
          <w:lang w:val="es-ES_tradnl"/>
        </w:rPr>
        <w:t>sonas. A fines de 2003 habían muerto 60 personas infectadas por el VIH (a 21 de ellas se les había diagnosticado el SIDA), 19 murieron a causa del SIDA, otros a causa de sobredosis de estupefacientes, lesiones, ataques ca</w:t>
      </w:r>
      <w:r>
        <w:rPr>
          <w:lang w:val="es-ES_tradnl"/>
        </w:rPr>
        <w:t>r</w:t>
      </w:r>
      <w:r>
        <w:rPr>
          <w:lang w:val="es-ES_tradnl"/>
        </w:rPr>
        <w:t>díacos, etc.</w:t>
      </w:r>
    </w:p>
    <w:p w:rsidR="00000000" w:rsidRDefault="00000000">
      <w:pPr>
        <w:pStyle w:val="SingleTxt"/>
      </w:pPr>
      <w:r>
        <w:tab/>
        <w:t>En comparación con 2002, se diagnosticaron tres veces más casos de SIDA en 2003. En 2002 el número de personas con SIDA era 2,9 por millón, en tanto que en 2003 había aumentado a 8,1 por millón.</w:t>
      </w:r>
    </w:p>
    <w:p w:rsidR="00000000" w:rsidRDefault="00000000">
      <w:pPr>
        <w:pStyle w:val="SingleTxt"/>
        <w:suppressAutoHyphens/>
      </w:pPr>
      <w:r>
        <w:tab/>
        <w:t>En Estonia el seguimiento de la propagación de la infección por el VIH comenzó en 1987. El seguimiento se realiza mediante grupos de diagnóstico (con 25 laboratorios de pruebas de detección) en las instituciones médicas estatales más importantes y un laboratorio de referencia en Tallin. Las pruebas de detección del VIH son voluntarias y sólo pueden efectuarse con el consentimiento de la persona. Las pruebas de sangre de donantes y de órganos para transplante son obligatorias. En las oficinas de asesoramiento sobre el VIH y los centros de asesoramiento para jóvenes se realizan pruebas de detección anónimas y gratuitas (gratuitas sólo hasta los 18 años). Asimismo, se realizan pruebas de detección del VIH en donantes de sangre, presos, personal de las fuerzas armadas, mujeres embarazadas y personas que padecen tuberculosis o ETS. Los médicos generales y especialistas también pueden real</w:t>
      </w:r>
      <w:r>
        <w:t>i</w:t>
      </w:r>
      <w:r>
        <w:t>zar la prueba de detección del VIH.</w:t>
      </w:r>
    </w:p>
    <w:p w:rsidR="00000000" w:rsidRDefault="00000000">
      <w:pPr>
        <w:pStyle w:val="SingleTxt"/>
      </w:pPr>
      <w:r>
        <w:tab/>
        <w:t>La labor de prevención del VIH/SIDA se ejecuta en virtud del plan nacional de desarrollo para la prevención de VIH/SIDA para 2002-2006 (aprobado por el G</w:t>
      </w:r>
      <w:r>
        <w:t>o</w:t>
      </w:r>
      <w:r>
        <w:t>bierno el 16 de enero de 2002). En 2004 el departamento de información económica y social del Parlamento encomendó una evaluación de la labor de prevención del VIH/SIDA y se aprobaron sus recomendaciones con miras a garantizar su sostenib</w:t>
      </w:r>
      <w:r>
        <w:t>i</w:t>
      </w:r>
      <w:r>
        <w:t>lidad. En virtud de la ordenanza del Gobierno de 11 de agosto de 1998 se aprobó el programa de alcance nacional de investigación y desarrollo para 1999-2009.</w:t>
      </w:r>
    </w:p>
    <w:p w:rsidR="00000000" w:rsidRDefault="00000000">
      <w:pPr>
        <w:pStyle w:val="SingleTxt"/>
        <w:spacing w:after="0" w:line="120" w:lineRule="exact"/>
        <w:rPr>
          <w:b/>
          <w:sz w:val="10"/>
          <w:lang w:val="en-GB"/>
        </w:rPr>
      </w:pPr>
    </w:p>
    <w:p w:rsidR="00000000" w:rsidRDefault="00000000">
      <w:pPr>
        <w:pStyle w:val="SingleTxt"/>
        <w:spacing w:after="0" w:line="120" w:lineRule="exact"/>
        <w:rPr>
          <w:b/>
          <w:sz w:val="10"/>
          <w:lang w:val="en-GB"/>
        </w:rPr>
      </w:pPr>
    </w:p>
    <w:p w:rsidR="00000000" w:rsidRDefault="00000000">
      <w:pPr>
        <w:pStyle w:val="SingleTxt"/>
        <w:rPr>
          <w:i/>
          <w:lang w:val="en-GB"/>
        </w:rPr>
      </w:pPr>
      <w:r>
        <w:rPr>
          <w:i/>
          <w:lang w:val="en-GB"/>
        </w:rPr>
        <w:br w:type="page"/>
      </w:r>
      <w:r>
        <w:rPr>
          <w:i/>
          <w:lang w:val="en-GB"/>
        </w:rPr>
        <w:tab/>
        <w:t>2.</w:t>
      </w:r>
      <w:r>
        <w:rPr>
          <w:i/>
          <w:lang w:val="en-GB"/>
        </w:rPr>
        <w:tab/>
      </w:r>
      <w:r>
        <w:rPr>
          <w:i/>
          <w:lang w:val="es-ES_tradnl"/>
        </w:rPr>
        <w:t>Sin perjuicio de lo dispuesto en el párrafo 1 supra, los Estados partes garantizarán a la mujer servicios apropiados en relación con el embarazo, el parto y el período posterior al parto, proporcionando servicios gratuitos cuando fuere n</w:t>
      </w:r>
      <w:r>
        <w:rPr>
          <w:i/>
          <w:lang w:val="es-ES_tradnl"/>
        </w:rPr>
        <w:t>e</w:t>
      </w:r>
      <w:r>
        <w:rPr>
          <w:i/>
          <w:lang w:val="es-ES_tradnl"/>
        </w:rPr>
        <w:t xml:space="preserve">cesario, y le </w:t>
      </w:r>
      <w:r>
        <w:rPr>
          <w:i/>
          <w:spacing w:val="2"/>
          <w:w w:val="101"/>
          <w:lang w:val="es-ES_tradnl"/>
        </w:rPr>
        <w:t>asegurarán una nutrición adecuada durante el embarazo y la lacta</w:t>
      </w:r>
      <w:r>
        <w:rPr>
          <w:i/>
          <w:spacing w:val="2"/>
          <w:w w:val="101"/>
          <w:lang w:val="es-ES_tradnl"/>
        </w:rPr>
        <w:t>n</w:t>
      </w:r>
      <w:r>
        <w:rPr>
          <w:i/>
          <w:spacing w:val="2"/>
          <w:w w:val="101"/>
          <w:lang w:val="es-ES_tradnl"/>
        </w:rPr>
        <w:t>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número de maternidades no ha variado (hay 19 en total), de las cuales tres son de primer nivel. Las maternidades de los hospitales de condado y privadas son in</w:t>
      </w:r>
      <w:r>
        <w:t>s</w:t>
      </w:r>
      <w:r>
        <w:t>tituciones de segundo nivel.</w:t>
      </w:r>
    </w:p>
    <w:p w:rsidR="00000000" w:rsidRDefault="00000000">
      <w:pPr>
        <w:pStyle w:val="SingleTxt"/>
      </w:pPr>
      <w:r>
        <w:tab/>
        <w:t>Se han realizado importantes cambios en el seguimiento de los embarazos. En 1992 el 29,6% de las mujeres embarazadas se realizaban ecografías antes de la s</w:t>
      </w:r>
      <w:r>
        <w:t>e</w:t>
      </w:r>
      <w:r>
        <w:t>mana 21 del embarazo, en tanto que en 2001 el porcentaje había aumentado al 86,2%.</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ab/>
        <w:t>Los Estados partes adoptarán todas las medidas apropiadas para eliminar la discriminación contra la mujer en otras esferas de la vida económica y social a fin de asegurar, en condiciones de igualdad entre hombres y mujeres, los mismos der</w:t>
      </w:r>
      <w:r>
        <w:rPr>
          <w:i/>
        </w:rPr>
        <w:t>e</w:t>
      </w:r>
      <w:r>
        <w:rPr>
          <w:i/>
        </w:rPr>
        <w:t>chos, en particular:</w:t>
      </w:r>
    </w:p>
    <w:p w:rsidR="00000000" w:rsidRDefault="00000000">
      <w:pPr>
        <w:pStyle w:val="SingleTxt"/>
        <w:rPr>
          <w:i/>
        </w:rPr>
      </w:pPr>
      <w:r>
        <w:rPr>
          <w:i/>
        </w:rPr>
        <w:tab/>
        <w:t>a)</w:t>
      </w:r>
      <w:r>
        <w:rPr>
          <w:i/>
        </w:rPr>
        <w:tab/>
        <w:t>El derecho a prestaciones familiares;</w:t>
      </w:r>
    </w:p>
    <w:p w:rsidR="00000000" w:rsidRDefault="00000000">
      <w:pPr>
        <w:pStyle w:val="SingleTxt"/>
        <w:spacing w:after="0" w:line="120" w:lineRule="exact"/>
        <w:rPr>
          <w:b/>
          <w:i/>
          <w:sz w:val="10"/>
          <w:u w:val="single"/>
        </w:rPr>
      </w:pPr>
    </w:p>
    <w:p w:rsidR="00000000" w:rsidRDefault="00000000">
      <w:pPr>
        <w:pStyle w:val="SingleTxt"/>
        <w:spacing w:after="0" w:line="120" w:lineRule="exact"/>
        <w:rPr>
          <w:b/>
          <w:i/>
          <w:sz w:val="10"/>
          <w:u w:val="single"/>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Prestaciones familiares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prestaciones familiares estatales son las siguientes: prestación por el n</w:t>
      </w:r>
      <w:r>
        <w:t>a</w:t>
      </w:r>
      <w:r>
        <w:t>cimiento de un hijo, prestación por hijo, prestación para el cuidado del hijo, prest</w:t>
      </w:r>
      <w:r>
        <w:t>a</w:t>
      </w:r>
      <w:r>
        <w:t>ción por hijo de progenitor sin pareja, prestación para hijos de conscriptos, prest</w:t>
      </w:r>
      <w:r>
        <w:t>a</w:t>
      </w:r>
      <w:r>
        <w:t>ción escolar del hijo, prestación de guardería y prestación para iniciar una vida i</w:t>
      </w:r>
      <w:r>
        <w:t>n</w:t>
      </w:r>
      <w:r>
        <w:t>dependiente, prestación para familias con tres o más hijos y para familias con trill</w:t>
      </w:r>
      <w:r>
        <w:t>i</w:t>
      </w:r>
      <w:r>
        <w:t>zos, y prest</w:t>
      </w:r>
      <w:r>
        <w:t>a</w:t>
      </w:r>
      <w:r>
        <w:t>ción por adopción.</w:t>
      </w:r>
    </w:p>
    <w:p w:rsidR="00000000" w:rsidRDefault="00000000">
      <w:pPr>
        <w:pStyle w:val="SingleTxt"/>
      </w:pPr>
      <w:r>
        <w:tab/>
        <w:t>La prestación por hijo se paga desde el nacimiento de un hijo hasta que éste cumpla 16 años. Si el niño se matricula en la escuela básica, la escuela secundaria superior o una institución de enseñanza técnica, la prestación se paga hasta que el hijo cumpla 19 años.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Desgravaciones impositivas para familias con hijos</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SingleTxt"/>
        <w:rPr>
          <w:color w:val="000000"/>
        </w:rPr>
      </w:pPr>
      <w:r>
        <w:rPr>
          <w:color w:val="000000"/>
        </w:rPr>
        <w:tab/>
        <w:t>Los habitantes de Estonia pueden desgravar de su ingreso anual los gastos de educación de hijos menores de 26 años y de niños en guarda. Uno de los progenit</w:t>
      </w:r>
      <w:r>
        <w:rPr>
          <w:color w:val="000000"/>
        </w:rPr>
        <w:t>o</w:t>
      </w:r>
      <w:r>
        <w:rPr>
          <w:color w:val="000000"/>
        </w:rPr>
        <w:t>res o la persona que mantiene a un niño también puede desgravar de su ingreso anual los gastos de hijos menores de 17 años, a partir del tercer hijo.</w:t>
      </w:r>
    </w:p>
    <w:p w:rsidR="00000000" w:rsidRDefault="00000000">
      <w:pPr>
        <w:pStyle w:val="SingleTxt"/>
      </w:pPr>
      <w:r>
        <w:tab/>
        <w:t>Con el objeto de incrementar la tasa de natalidad, el Estado condona parcia</w:t>
      </w:r>
      <w:r>
        <w:t>l</w:t>
      </w:r>
      <w:r>
        <w:t>mente los préstamos estudiantiles de los padres cuyos hijos se graduaron de una institución de enseñanza superior o de formación técnica y están criando un hijo p</w:t>
      </w:r>
      <w:r>
        <w:t>e</w:t>
      </w:r>
      <w:r>
        <w:t>queño. El porcentaje del préstamo que se condona es el 50% del saldo del préstamo por hijo (y por cada nuevo nacimiento, el Estado cancela otro 50% del saldo pe</w:t>
      </w:r>
      <w:r>
        <w:t>n</w:t>
      </w:r>
      <w:r>
        <w:t>diente), el 75% en el caso de mellizos y el 100% en el caso de trillizos.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13.1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Volumen de las prestaciones en coronas estonias</w:t>
      </w:r>
    </w:p>
    <w:p w:rsidR="00000000" w:rsidRDefault="00000000">
      <w:pPr>
        <w:pStyle w:val="SingleTxt"/>
        <w:spacing w:after="0" w:line="120" w:lineRule="exact"/>
        <w:rPr>
          <w:b/>
          <w:color w:val="000000"/>
          <w:sz w:val="10"/>
          <w:lang w:eastAsia="et-EE"/>
        </w:rPr>
      </w:pPr>
    </w:p>
    <w:tbl>
      <w:tblPr>
        <w:tblW w:w="0" w:type="auto"/>
        <w:tblInd w:w="1262" w:type="dxa"/>
        <w:tblLayout w:type="fixed"/>
        <w:tblCellMar>
          <w:left w:w="0" w:type="dxa"/>
          <w:right w:w="0" w:type="dxa"/>
        </w:tblCellMar>
        <w:tblLook w:val="0000" w:firstRow="0" w:lastRow="0" w:firstColumn="0" w:lastColumn="0" w:noHBand="0" w:noVBand="0"/>
      </w:tblPr>
      <w:tblGrid>
        <w:gridCol w:w="4680"/>
        <w:gridCol w:w="2640"/>
      </w:tblGrid>
      <w:tr w:rsidR="00000000">
        <w:tblPrEx>
          <w:tblCellMar>
            <w:top w:w="0" w:type="dxa"/>
            <w:left w:w="0" w:type="dxa"/>
            <w:bottom w:w="0" w:type="dxa"/>
            <w:right w:w="0" w:type="dxa"/>
          </w:tblCellMar>
        </w:tblPrEx>
        <w:trPr>
          <w:tblHeader/>
        </w:trPr>
        <w:tc>
          <w:tcPr>
            <w:tcW w:w="46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lang w:eastAsia="et-EE"/>
              </w:rPr>
            </w:pPr>
            <w:r>
              <w:rPr>
                <w:i/>
                <w:sz w:val="14"/>
                <w:lang w:eastAsia="et-EE"/>
              </w:rPr>
              <w:t>Tipo de prestación</w:t>
            </w:r>
          </w:p>
        </w:tc>
        <w:tc>
          <w:tcPr>
            <w:tcW w:w="26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lang w:eastAsia="et-EE"/>
              </w:rPr>
            </w:pPr>
            <w:r>
              <w:rPr>
                <w:i/>
                <w:sz w:val="14"/>
                <w:lang w:eastAsia="et-EE"/>
              </w:rPr>
              <w:t xml:space="preserve">Volumen de la prestación </w:t>
            </w:r>
            <w:r>
              <w:rPr>
                <w:i/>
                <w:sz w:val="14"/>
                <w:lang w:eastAsia="et-EE"/>
              </w:rPr>
              <w:br/>
              <w:t>(coronas estonias)</w:t>
            </w:r>
          </w:p>
        </w:tc>
      </w:tr>
      <w:tr w:rsidR="00000000">
        <w:tblPrEx>
          <w:tblCellMar>
            <w:top w:w="0" w:type="dxa"/>
            <w:left w:w="0" w:type="dxa"/>
            <w:bottom w:w="0" w:type="dxa"/>
            <w:right w:w="0" w:type="dxa"/>
          </w:tblCellMar>
        </w:tblPrEx>
        <w:trPr>
          <w:trHeight w:hRule="exact" w:val="115"/>
          <w:tblHeader/>
        </w:trPr>
        <w:tc>
          <w:tcPr>
            <w:tcW w:w="4680" w:type="dxa"/>
            <w:tcBorders>
              <w:top w:val="single" w:sz="12" w:space="0" w:color="auto"/>
            </w:tcBorders>
            <w:vAlign w:val="bottom"/>
          </w:tcPr>
          <w:p w:rsidR="00000000" w:rsidRDefault="00000000">
            <w:pPr>
              <w:tabs>
                <w:tab w:val="left" w:pos="288"/>
                <w:tab w:val="left" w:pos="576"/>
                <w:tab w:val="left" w:pos="864"/>
                <w:tab w:val="left" w:pos="1152"/>
              </w:tabs>
              <w:spacing w:before="40" w:after="80"/>
              <w:ind w:right="40"/>
              <w:rPr>
                <w:lang w:eastAsia="et-EE"/>
              </w:rPr>
            </w:pPr>
          </w:p>
        </w:tc>
        <w:tc>
          <w:tcPr>
            <w:tcW w:w="2640" w:type="dxa"/>
            <w:tcBorders>
              <w:top w:val="single" w:sz="12" w:space="0" w:color="auto"/>
            </w:tcBorders>
            <w:vAlign w:val="bottom"/>
          </w:tcPr>
          <w:p w:rsidR="00000000" w:rsidRDefault="00000000">
            <w:pPr>
              <w:tabs>
                <w:tab w:val="left" w:pos="288"/>
                <w:tab w:val="left" w:pos="576"/>
                <w:tab w:val="left" w:pos="864"/>
                <w:tab w:val="left" w:pos="1152"/>
              </w:tabs>
              <w:spacing w:before="40" w:after="80"/>
              <w:ind w:right="40"/>
              <w:rPr>
                <w:lang w:eastAsia="et-EE"/>
              </w:rPr>
            </w:pPr>
          </w:p>
        </w:tc>
      </w:tr>
      <w:tr w:rsidR="00000000">
        <w:tblPrEx>
          <w:tblCellMar>
            <w:top w:w="0" w:type="dxa"/>
            <w:left w:w="0" w:type="dxa"/>
            <w:bottom w:w="0" w:type="dxa"/>
            <w:right w:w="0" w:type="dxa"/>
          </w:tblCellMar>
        </w:tblPrEx>
        <w:tc>
          <w:tcPr>
            <w:tcW w:w="4680" w:type="dxa"/>
          </w:tcPr>
          <w:p w:rsidR="00000000" w:rsidRDefault="00000000">
            <w:pPr>
              <w:tabs>
                <w:tab w:val="left" w:pos="288"/>
                <w:tab w:val="left" w:pos="576"/>
                <w:tab w:val="left" w:pos="864"/>
                <w:tab w:val="left" w:pos="1152"/>
              </w:tabs>
              <w:spacing w:before="40" w:after="40"/>
              <w:ind w:right="43"/>
              <w:rPr>
                <w:b/>
                <w:lang w:eastAsia="et-EE"/>
              </w:rPr>
            </w:pPr>
            <w:r>
              <w:rPr>
                <w:b/>
                <w:lang w:eastAsia="et-EE"/>
              </w:rPr>
              <w:t>Prestación por el nacimiento de un hijo</w:t>
            </w:r>
          </w:p>
        </w:tc>
        <w:tc>
          <w:tcPr>
            <w:tcW w:w="2640" w:type="dxa"/>
          </w:tcPr>
          <w:p w:rsidR="00000000" w:rsidRDefault="00000000">
            <w:pPr>
              <w:tabs>
                <w:tab w:val="left" w:pos="288"/>
                <w:tab w:val="left" w:pos="576"/>
                <w:tab w:val="left" w:pos="864"/>
                <w:tab w:val="left" w:pos="1152"/>
              </w:tabs>
              <w:spacing w:before="40" w:after="40"/>
              <w:ind w:right="43"/>
              <w:rPr>
                <w:lang w:eastAsia="et-EE"/>
              </w:rPr>
            </w:pPr>
            <w:r>
              <w:rPr>
                <w:lang w:eastAsia="et-EE"/>
              </w:rPr>
              <w:t>Primer hijo 3 750</w:t>
            </w:r>
            <w:r>
              <w:rPr>
                <w:lang w:eastAsia="et-EE"/>
              </w:rPr>
              <w:br/>
              <w:t>Otros hijos 3 000</w:t>
            </w:r>
          </w:p>
        </w:tc>
      </w:tr>
      <w:tr w:rsidR="00000000">
        <w:tblPrEx>
          <w:tblCellMar>
            <w:top w:w="0" w:type="dxa"/>
            <w:left w:w="0" w:type="dxa"/>
            <w:bottom w:w="0" w:type="dxa"/>
            <w:right w:w="0" w:type="dxa"/>
          </w:tblCellMar>
        </w:tblPrEx>
        <w:tc>
          <w:tcPr>
            <w:tcW w:w="4680" w:type="dxa"/>
          </w:tcPr>
          <w:p w:rsidR="00000000" w:rsidRDefault="00000000">
            <w:pPr>
              <w:tabs>
                <w:tab w:val="left" w:pos="288"/>
                <w:tab w:val="left" w:pos="576"/>
                <w:tab w:val="left" w:pos="864"/>
                <w:tab w:val="left" w:pos="1152"/>
              </w:tabs>
              <w:spacing w:before="40" w:after="40"/>
              <w:ind w:right="43"/>
              <w:rPr>
                <w:lang w:eastAsia="et-EE"/>
              </w:rPr>
            </w:pPr>
            <w:r>
              <w:rPr>
                <w:b/>
                <w:lang w:eastAsia="et-EE"/>
              </w:rPr>
              <w:t>Prestación por hijo</w:t>
            </w:r>
            <w:r>
              <w:rPr>
                <w:lang w:eastAsia="et-EE"/>
              </w:rPr>
              <w:t xml:space="preserve"> (se paga hasta que cumpla 16 años de edad o, si el niño se matricula en la escuela básica diurna o en otro tipo de enseñanza por razones médicas, hasta que cumpla 19 años o hasta el final del año lectivo en que cumple 19 años)</w:t>
            </w:r>
          </w:p>
        </w:tc>
        <w:tc>
          <w:tcPr>
            <w:tcW w:w="2640" w:type="dxa"/>
          </w:tcPr>
          <w:p w:rsidR="00000000" w:rsidRDefault="00000000">
            <w:pPr>
              <w:tabs>
                <w:tab w:val="left" w:pos="288"/>
                <w:tab w:val="left" w:pos="576"/>
                <w:tab w:val="left" w:pos="864"/>
                <w:tab w:val="left" w:pos="1152"/>
              </w:tabs>
              <w:spacing w:before="40" w:after="40"/>
              <w:ind w:right="43"/>
              <w:rPr>
                <w:lang w:eastAsia="et-EE"/>
              </w:rPr>
            </w:pPr>
          </w:p>
        </w:tc>
      </w:tr>
      <w:tr w:rsidR="00000000">
        <w:tblPrEx>
          <w:tblCellMar>
            <w:top w:w="0" w:type="dxa"/>
            <w:left w:w="0" w:type="dxa"/>
            <w:bottom w:w="0" w:type="dxa"/>
            <w:right w:w="0" w:type="dxa"/>
          </w:tblCellMar>
        </w:tblPrEx>
        <w:tc>
          <w:tcPr>
            <w:tcW w:w="4680" w:type="dxa"/>
          </w:tcPr>
          <w:p w:rsidR="00000000" w:rsidRDefault="00000000">
            <w:pPr>
              <w:tabs>
                <w:tab w:val="left" w:pos="288"/>
                <w:tab w:val="left" w:pos="576"/>
                <w:tab w:val="left" w:pos="864"/>
                <w:tab w:val="left" w:pos="1152"/>
                <w:tab w:val="right" w:pos="1685"/>
              </w:tabs>
              <w:spacing w:before="40" w:after="40"/>
              <w:ind w:right="43"/>
              <w:rPr>
                <w:lang w:eastAsia="et-EE"/>
              </w:rPr>
            </w:pPr>
            <w:r>
              <w:rPr>
                <w:lang w:eastAsia="et-EE"/>
              </w:rPr>
              <w:tab/>
              <w:t>•</w:t>
            </w:r>
            <w:r>
              <w:rPr>
                <w:lang w:eastAsia="et-EE"/>
              </w:rPr>
              <w:tab/>
              <w:t>Primer hijo</w:t>
            </w:r>
          </w:p>
        </w:tc>
        <w:tc>
          <w:tcPr>
            <w:tcW w:w="2640" w:type="dxa"/>
          </w:tcPr>
          <w:p w:rsidR="00000000" w:rsidRDefault="00000000">
            <w:pPr>
              <w:tabs>
                <w:tab w:val="left" w:pos="288"/>
                <w:tab w:val="left" w:pos="576"/>
                <w:tab w:val="left" w:pos="864"/>
                <w:tab w:val="left" w:pos="1152"/>
              </w:tabs>
              <w:spacing w:before="40" w:after="40"/>
              <w:ind w:right="43"/>
              <w:rPr>
                <w:lang w:eastAsia="et-EE"/>
              </w:rPr>
            </w:pPr>
            <w:r>
              <w:rPr>
                <w:lang w:eastAsia="et-EE"/>
              </w:rPr>
              <w:t>300</w:t>
            </w:r>
          </w:p>
        </w:tc>
      </w:tr>
      <w:tr w:rsidR="00000000">
        <w:tblPrEx>
          <w:tblCellMar>
            <w:top w:w="0" w:type="dxa"/>
            <w:left w:w="0" w:type="dxa"/>
            <w:bottom w:w="0" w:type="dxa"/>
            <w:right w:w="0" w:type="dxa"/>
          </w:tblCellMar>
        </w:tblPrEx>
        <w:tc>
          <w:tcPr>
            <w:tcW w:w="4680" w:type="dxa"/>
          </w:tcPr>
          <w:p w:rsidR="00000000" w:rsidRDefault="00000000">
            <w:pPr>
              <w:tabs>
                <w:tab w:val="left" w:pos="288"/>
                <w:tab w:val="left" w:pos="576"/>
                <w:tab w:val="left" w:pos="864"/>
                <w:tab w:val="left" w:pos="1152"/>
                <w:tab w:val="right" w:pos="1685"/>
              </w:tabs>
              <w:spacing w:before="40" w:after="40"/>
              <w:ind w:right="43"/>
              <w:rPr>
                <w:lang w:eastAsia="et-EE"/>
              </w:rPr>
            </w:pPr>
            <w:r>
              <w:rPr>
                <w:lang w:eastAsia="et-EE"/>
              </w:rPr>
              <w:tab/>
              <w:t>•</w:t>
            </w:r>
            <w:r>
              <w:rPr>
                <w:lang w:eastAsia="et-EE"/>
              </w:rPr>
              <w:tab/>
              <w:t>Segundo hijo y siguientes</w:t>
            </w:r>
          </w:p>
        </w:tc>
        <w:tc>
          <w:tcPr>
            <w:tcW w:w="2640" w:type="dxa"/>
          </w:tcPr>
          <w:p w:rsidR="00000000" w:rsidRDefault="00000000">
            <w:pPr>
              <w:tabs>
                <w:tab w:val="left" w:pos="288"/>
                <w:tab w:val="left" w:pos="576"/>
                <w:tab w:val="left" w:pos="864"/>
                <w:tab w:val="left" w:pos="1152"/>
              </w:tabs>
              <w:spacing w:before="40" w:after="40"/>
              <w:ind w:right="43"/>
              <w:rPr>
                <w:lang w:eastAsia="et-EE"/>
              </w:rPr>
            </w:pPr>
            <w:r>
              <w:rPr>
                <w:lang w:eastAsia="et-EE"/>
              </w:rPr>
              <w:t>300</w:t>
            </w:r>
          </w:p>
        </w:tc>
      </w:tr>
      <w:tr w:rsidR="00000000">
        <w:tblPrEx>
          <w:tblCellMar>
            <w:top w:w="0" w:type="dxa"/>
            <w:left w:w="0" w:type="dxa"/>
            <w:bottom w:w="0" w:type="dxa"/>
            <w:right w:w="0" w:type="dxa"/>
          </w:tblCellMar>
        </w:tblPrEx>
        <w:tc>
          <w:tcPr>
            <w:tcW w:w="4680" w:type="dxa"/>
          </w:tcPr>
          <w:p w:rsidR="00000000" w:rsidRDefault="00000000">
            <w:pPr>
              <w:tabs>
                <w:tab w:val="left" w:pos="288"/>
                <w:tab w:val="left" w:pos="576"/>
                <w:tab w:val="left" w:pos="864"/>
                <w:tab w:val="left" w:pos="1152"/>
              </w:tabs>
              <w:spacing w:before="40" w:after="40"/>
              <w:ind w:right="43"/>
              <w:rPr>
                <w:lang w:eastAsia="et-EE"/>
              </w:rPr>
            </w:pPr>
            <w:r>
              <w:rPr>
                <w:b/>
                <w:lang w:eastAsia="et-EE"/>
              </w:rPr>
              <w:t>Prestación por el cuidado del hijo</w:t>
            </w:r>
            <w:r>
              <w:rPr>
                <w:lang w:eastAsia="et-EE"/>
              </w:rPr>
              <w:t xml:space="preserve"> (por hijo)</w:t>
            </w:r>
          </w:p>
        </w:tc>
        <w:tc>
          <w:tcPr>
            <w:tcW w:w="2640" w:type="dxa"/>
          </w:tcPr>
          <w:p w:rsidR="00000000" w:rsidRDefault="00000000">
            <w:pPr>
              <w:tabs>
                <w:tab w:val="left" w:pos="288"/>
                <w:tab w:val="left" w:pos="576"/>
                <w:tab w:val="left" w:pos="864"/>
                <w:tab w:val="left" w:pos="1152"/>
              </w:tabs>
              <w:spacing w:before="40" w:after="40"/>
              <w:ind w:right="43"/>
              <w:rPr>
                <w:lang w:eastAsia="et-EE"/>
              </w:rPr>
            </w:pPr>
          </w:p>
        </w:tc>
      </w:tr>
      <w:tr w:rsidR="00000000">
        <w:tblPrEx>
          <w:tblCellMar>
            <w:top w:w="0" w:type="dxa"/>
            <w:left w:w="0" w:type="dxa"/>
            <w:bottom w:w="0" w:type="dxa"/>
            <w:right w:w="0" w:type="dxa"/>
          </w:tblCellMar>
        </w:tblPrEx>
        <w:tc>
          <w:tcPr>
            <w:tcW w:w="4680" w:type="dxa"/>
          </w:tcPr>
          <w:p w:rsidR="00000000" w:rsidRDefault="00000000">
            <w:pPr>
              <w:tabs>
                <w:tab w:val="left" w:pos="288"/>
                <w:tab w:val="left" w:pos="576"/>
                <w:tab w:val="left" w:pos="864"/>
                <w:tab w:val="left" w:pos="1152"/>
              </w:tabs>
              <w:spacing w:before="40" w:after="40"/>
              <w:ind w:right="43"/>
              <w:rPr>
                <w:lang w:eastAsia="et-EE"/>
              </w:rPr>
            </w:pPr>
            <w:r>
              <w:rPr>
                <w:lang w:eastAsia="et-EE"/>
              </w:rPr>
              <w:tab/>
              <w:t>•</w:t>
            </w:r>
            <w:r>
              <w:rPr>
                <w:lang w:eastAsia="et-EE"/>
              </w:rPr>
              <w:tab/>
              <w:t>Al progenitor de un hijo menor de 1 año</w:t>
            </w:r>
          </w:p>
        </w:tc>
        <w:tc>
          <w:tcPr>
            <w:tcW w:w="2640" w:type="dxa"/>
          </w:tcPr>
          <w:p w:rsidR="00000000" w:rsidRDefault="00000000">
            <w:pPr>
              <w:tabs>
                <w:tab w:val="left" w:pos="288"/>
                <w:tab w:val="left" w:pos="576"/>
                <w:tab w:val="left" w:pos="864"/>
                <w:tab w:val="left" w:pos="1152"/>
              </w:tabs>
              <w:spacing w:before="40" w:after="40"/>
              <w:ind w:right="43"/>
              <w:rPr>
                <w:lang w:eastAsia="et-EE"/>
              </w:rPr>
            </w:pPr>
            <w:r>
              <w:rPr>
                <w:lang w:eastAsia="et-EE"/>
              </w:rPr>
              <w:t>700</w:t>
            </w:r>
          </w:p>
        </w:tc>
      </w:tr>
      <w:tr w:rsidR="00000000">
        <w:tblPrEx>
          <w:tblCellMar>
            <w:top w:w="0" w:type="dxa"/>
            <w:left w:w="0" w:type="dxa"/>
            <w:bottom w:w="0" w:type="dxa"/>
            <w:right w:w="0" w:type="dxa"/>
          </w:tblCellMar>
        </w:tblPrEx>
        <w:tc>
          <w:tcPr>
            <w:tcW w:w="4680" w:type="dxa"/>
          </w:tcPr>
          <w:p w:rsidR="00000000" w:rsidRDefault="00000000">
            <w:pPr>
              <w:tabs>
                <w:tab w:val="left" w:pos="288"/>
                <w:tab w:val="left" w:pos="576"/>
                <w:tab w:val="left" w:pos="864"/>
                <w:tab w:val="left" w:pos="1152"/>
              </w:tabs>
              <w:spacing w:before="40" w:after="40"/>
              <w:ind w:right="43"/>
              <w:rPr>
                <w:lang w:eastAsia="et-EE"/>
              </w:rPr>
            </w:pPr>
            <w:r>
              <w:rPr>
                <w:lang w:eastAsia="et-EE"/>
              </w:rPr>
              <w:tab/>
              <w:t>•</w:t>
            </w:r>
            <w:r>
              <w:rPr>
                <w:lang w:eastAsia="et-EE"/>
              </w:rPr>
              <w:tab/>
              <w:t>Al progenitor de un hijo de 1 a 3 años</w:t>
            </w:r>
          </w:p>
        </w:tc>
        <w:tc>
          <w:tcPr>
            <w:tcW w:w="2640" w:type="dxa"/>
          </w:tcPr>
          <w:p w:rsidR="00000000" w:rsidRDefault="00000000">
            <w:pPr>
              <w:tabs>
                <w:tab w:val="left" w:pos="288"/>
                <w:tab w:val="left" w:pos="576"/>
                <w:tab w:val="left" w:pos="864"/>
                <w:tab w:val="left" w:pos="1152"/>
              </w:tabs>
              <w:spacing w:before="40" w:after="40"/>
              <w:ind w:right="43"/>
              <w:rPr>
                <w:lang w:eastAsia="et-EE"/>
              </w:rPr>
            </w:pPr>
            <w:r>
              <w:rPr>
                <w:lang w:eastAsia="et-EE"/>
              </w:rPr>
              <w:t>600</w:t>
            </w:r>
          </w:p>
        </w:tc>
      </w:tr>
      <w:tr w:rsidR="00000000">
        <w:tblPrEx>
          <w:tblCellMar>
            <w:top w:w="0" w:type="dxa"/>
            <w:left w:w="0" w:type="dxa"/>
            <w:bottom w:w="0" w:type="dxa"/>
            <w:right w:w="0" w:type="dxa"/>
          </w:tblCellMar>
        </w:tblPrEx>
        <w:tc>
          <w:tcPr>
            <w:tcW w:w="4680" w:type="dxa"/>
          </w:tcPr>
          <w:p w:rsidR="00000000" w:rsidRDefault="00000000">
            <w:pPr>
              <w:tabs>
                <w:tab w:val="left" w:pos="288"/>
                <w:tab w:val="left" w:pos="576"/>
                <w:tab w:val="left" w:pos="864"/>
                <w:tab w:val="left" w:pos="1152"/>
              </w:tabs>
              <w:spacing w:before="40" w:after="40"/>
              <w:ind w:left="576" w:right="43" w:hanging="576"/>
              <w:rPr>
                <w:lang w:eastAsia="et-EE"/>
              </w:rPr>
            </w:pPr>
            <w:r>
              <w:rPr>
                <w:lang w:eastAsia="et-EE"/>
              </w:rPr>
              <w:tab/>
              <w:t>•</w:t>
            </w:r>
            <w:r>
              <w:rPr>
                <w:lang w:eastAsia="et-EE"/>
              </w:rPr>
              <w:tab/>
              <w:t xml:space="preserve">Al progenitor de un hijo de 3 a 8 años </w:t>
            </w:r>
            <w:r>
              <w:rPr>
                <w:lang w:eastAsia="et-EE"/>
              </w:rPr>
              <w:br/>
              <w:t>(se paga si la familia tiene otros hijos menores de 3 años)</w:t>
            </w:r>
          </w:p>
        </w:tc>
        <w:tc>
          <w:tcPr>
            <w:tcW w:w="2640" w:type="dxa"/>
          </w:tcPr>
          <w:p w:rsidR="00000000" w:rsidRDefault="00000000">
            <w:pPr>
              <w:tabs>
                <w:tab w:val="left" w:pos="288"/>
                <w:tab w:val="left" w:pos="576"/>
                <w:tab w:val="left" w:pos="864"/>
                <w:tab w:val="left" w:pos="1152"/>
              </w:tabs>
              <w:spacing w:before="40" w:after="40"/>
              <w:ind w:right="43"/>
              <w:rPr>
                <w:lang w:eastAsia="et-EE"/>
              </w:rPr>
            </w:pPr>
            <w:r>
              <w:rPr>
                <w:lang w:eastAsia="et-EE"/>
              </w:rPr>
              <w:t>300</w:t>
            </w:r>
          </w:p>
        </w:tc>
      </w:tr>
      <w:tr w:rsidR="00000000">
        <w:tblPrEx>
          <w:tblCellMar>
            <w:top w:w="0" w:type="dxa"/>
            <w:left w:w="0" w:type="dxa"/>
            <w:bottom w:w="0" w:type="dxa"/>
            <w:right w:w="0" w:type="dxa"/>
          </w:tblCellMar>
        </w:tblPrEx>
        <w:tc>
          <w:tcPr>
            <w:tcW w:w="4680" w:type="dxa"/>
          </w:tcPr>
          <w:p w:rsidR="00000000" w:rsidRDefault="00000000">
            <w:pPr>
              <w:tabs>
                <w:tab w:val="left" w:pos="288"/>
                <w:tab w:val="left" w:pos="576"/>
                <w:tab w:val="left" w:pos="864"/>
                <w:tab w:val="left" w:pos="1152"/>
              </w:tabs>
              <w:spacing w:before="40" w:after="40"/>
              <w:ind w:left="576" w:right="43" w:hanging="576"/>
              <w:rPr>
                <w:lang w:eastAsia="et-EE"/>
              </w:rPr>
            </w:pPr>
            <w:r>
              <w:rPr>
                <w:lang w:eastAsia="et-EE"/>
              </w:rPr>
              <w:tab/>
              <w:t>•</w:t>
            </w:r>
            <w:r>
              <w:rPr>
                <w:lang w:eastAsia="et-EE"/>
              </w:rPr>
              <w:tab/>
              <w:t>Al progenitor de un hijo de 3 a 8 años si la familia tiene tres o más hijos (se paga si la familia tiene al menos tres hijos mayores de 3 años por los que percibe la prestación por hijo)</w:t>
            </w:r>
          </w:p>
        </w:tc>
        <w:tc>
          <w:tcPr>
            <w:tcW w:w="2640" w:type="dxa"/>
          </w:tcPr>
          <w:p w:rsidR="00000000" w:rsidRDefault="00000000">
            <w:pPr>
              <w:tabs>
                <w:tab w:val="left" w:pos="288"/>
                <w:tab w:val="left" w:pos="576"/>
                <w:tab w:val="left" w:pos="864"/>
                <w:tab w:val="left" w:pos="1152"/>
              </w:tabs>
              <w:spacing w:before="40" w:after="40"/>
              <w:ind w:right="43"/>
              <w:rPr>
                <w:lang w:eastAsia="et-EE"/>
              </w:rPr>
            </w:pPr>
            <w:r>
              <w:rPr>
                <w:lang w:eastAsia="et-EE"/>
              </w:rPr>
              <w:t>300</w:t>
            </w:r>
          </w:p>
        </w:tc>
      </w:tr>
      <w:tr w:rsidR="00000000">
        <w:tblPrEx>
          <w:tblCellMar>
            <w:top w:w="0" w:type="dxa"/>
            <w:left w:w="0" w:type="dxa"/>
            <w:bottom w:w="0" w:type="dxa"/>
            <w:right w:w="0" w:type="dxa"/>
          </w:tblCellMar>
        </w:tblPrEx>
        <w:tc>
          <w:tcPr>
            <w:tcW w:w="4680" w:type="dxa"/>
          </w:tcPr>
          <w:p w:rsidR="00000000" w:rsidRDefault="00000000">
            <w:pPr>
              <w:tabs>
                <w:tab w:val="left" w:pos="288"/>
                <w:tab w:val="left" w:pos="576"/>
                <w:tab w:val="left" w:pos="864"/>
                <w:tab w:val="left" w:pos="1152"/>
              </w:tabs>
              <w:spacing w:before="40" w:after="40"/>
              <w:ind w:right="43"/>
              <w:rPr>
                <w:lang w:eastAsia="et-EE"/>
              </w:rPr>
            </w:pPr>
            <w:r>
              <w:rPr>
                <w:b/>
                <w:lang w:eastAsia="et-EE"/>
              </w:rPr>
              <w:t>Prestación por hijo de progenitor sin pareja</w:t>
            </w:r>
            <w:r>
              <w:rPr>
                <w:lang w:eastAsia="et-EE"/>
              </w:rPr>
              <w:t xml:space="preserve"> (un niño en cuyo certificado de nacimiento no figure el padre o se incluya el nombre del padre sobre la base de una declaración de la madre, o si alguno de los progenitores ha sido declarado prófugo)</w:t>
            </w:r>
          </w:p>
        </w:tc>
        <w:tc>
          <w:tcPr>
            <w:tcW w:w="2640" w:type="dxa"/>
          </w:tcPr>
          <w:p w:rsidR="00000000" w:rsidRDefault="00000000">
            <w:pPr>
              <w:tabs>
                <w:tab w:val="left" w:pos="288"/>
                <w:tab w:val="left" w:pos="576"/>
                <w:tab w:val="left" w:pos="864"/>
                <w:tab w:val="left" w:pos="1152"/>
              </w:tabs>
              <w:spacing w:before="40" w:after="40"/>
              <w:ind w:right="43"/>
              <w:rPr>
                <w:lang w:eastAsia="et-EE"/>
              </w:rPr>
            </w:pPr>
            <w:r>
              <w:rPr>
                <w:lang w:eastAsia="et-EE"/>
              </w:rPr>
              <w:t>300</w:t>
            </w:r>
          </w:p>
        </w:tc>
      </w:tr>
      <w:tr w:rsidR="00000000">
        <w:tblPrEx>
          <w:tblCellMar>
            <w:top w:w="0" w:type="dxa"/>
            <w:left w:w="0" w:type="dxa"/>
            <w:bottom w:w="0" w:type="dxa"/>
            <w:right w:w="0" w:type="dxa"/>
          </w:tblCellMar>
        </w:tblPrEx>
        <w:tc>
          <w:tcPr>
            <w:tcW w:w="4680" w:type="dxa"/>
          </w:tcPr>
          <w:p w:rsidR="00000000" w:rsidRDefault="00000000">
            <w:pPr>
              <w:tabs>
                <w:tab w:val="left" w:pos="288"/>
                <w:tab w:val="left" w:pos="576"/>
                <w:tab w:val="left" w:pos="864"/>
                <w:tab w:val="left" w:pos="1152"/>
              </w:tabs>
              <w:spacing w:before="40" w:after="40"/>
              <w:ind w:right="43"/>
              <w:rPr>
                <w:b/>
                <w:lang w:eastAsia="et-EE"/>
              </w:rPr>
            </w:pPr>
            <w:r>
              <w:rPr>
                <w:b/>
                <w:lang w:eastAsia="et-EE"/>
              </w:rPr>
              <w:t>Prestación para hijos de conscriptos</w:t>
            </w:r>
          </w:p>
        </w:tc>
        <w:tc>
          <w:tcPr>
            <w:tcW w:w="2640" w:type="dxa"/>
          </w:tcPr>
          <w:p w:rsidR="00000000" w:rsidRDefault="00000000">
            <w:pPr>
              <w:tabs>
                <w:tab w:val="left" w:pos="288"/>
                <w:tab w:val="left" w:pos="576"/>
                <w:tab w:val="left" w:pos="864"/>
                <w:tab w:val="left" w:pos="1152"/>
              </w:tabs>
              <w:spacing w:before="40" w:after="40"/>
              <w:ind w:right="43"/>
              <w:rPr>
                <w:lang w:eastAsia="et-EE"/>
              </w:rPr>
            </w:pPr>
            <w:r>
              <w:rPr>
                <w:lang w:eastAsia="et-EE"/>
              </w:rPr>
              <w:t>750</w:t>
            </w:r>
          </w:p>
        </w:tc>
      </w:tr>
      <w:tr w:rsidR="00000000">
        <w:tblPrEx>
          <w:tblCellMar>
            <w:top w:w="0" w:type="dxa"/>
            <w:left w:w="0" w:type="dxa"/>
            <w:bottom w:w="0" w:type="dxa"/>
            <w:right w:w="0" w:type="dxa"/>
          </w:tblCellMar>
        </w:tblPrEx>
        <w:tc>
          <w:tcPr>
            <w:tcW w:w="4680" w:type="dxa"/>
          </w:tcPr>
          <w:p w:rsidR="00000000" w:rsidRDefault="00000000">
            <w:pPr>
              <w:tabs>
                <w:tab w:val="left" w:pos="288"/>
                <w:tab w:val="left" w:pos="576"/>
                <w:tab w:val="left" w:pos="864"/>
                <w:tab w:val="left" w:pos="1152"/>
              </w:tabs>
              <w:spacing w:before="40" w:after="40"/>
              <w:ind w:right="43"/>
              <w:rPr>
                <w:lang w:eastAsia="et-EE"/>
              </w:rPr>
            </w:pPr>
            <w:r>
              <w:rPr>
                <w:b/>
                <w:lang w:eastAsia="et-EE"/>
              </w:rPr>
              <w:t>Prestación escolar del hijo</w:t>
            </w:r>
            <w:r>
              <w:rPr>
                <w:lang w:eastAsia="et-EE"/>
              </w:rPr>
              <w:t xml:space="preserve"> (se paga al comienzo del año lectivo)</w:t>
            </w:r>
          </w:p>
        </w:tc>
        <w:tc>
          <w:tcPr>
            <w:tcW w:w="2640" w:type="dxa"/>
          </w:tcPr>
          <w:p w:rsidR="00000000" w:rsidRDefault="00000000">
            <w:pPr>
              <w:tabs>
                <w:tab w:val="left" w:pos="288"/>
                <w:tab w:val="left" w:pos="576"/>
                <w:tab w:val="left" w:pos="864"/>
                <w:tab w:val="left" w:pos="1152"/>
              </w:tabs>
              <w:spacing w:before="40" w:after="40"/>
              <w:ind w:right="43"/>
              <w:rPr>
                <w:lang w:eastAsia="et-EE"/>
              </w:rPr>
            </w:pPr>
            <w:r>
              <w:rPr>
                <w:lang w:eastAsia="et-EE"/>
              </w:rPr>
              <w:t>450</w:t>
            </w:r>
          </w:p>
        </w:tc>
      </w:tr>
      <w:tr w:rsidR="00000000">
        <w:tblPrEx>
          <w:tblCellMar>
            <w:top w:w="0" w:type="dxa"/>
            <w:left w:w="0" w:type="dxa"/>
            <w:bottom w:w="0" w:type="dxa"/>
            <w:right w:w="0" w:type="dxa"/>
          </w:tblCellMar>
        </w:tblPrEx>
        <w:tc>
          <w:tcPr>
            <w:tcW w:w="4680" w:type="dxa"/>
          </w:tcPr>
          <w:p w:rsidR="00000000" w:rsidRDefault="00000000">
            <w:pPr>
              <w:tabs>
                <w:tab w:val="left" w:pos="288"/>
                <w:tab w:val="left" w:pos="576"/>
                <w:tab w:val="left" w:pos="864"/>
                <w:tab w:val="left" w:pos="1152"/>
              </w:tabs>
              <w:spacing w:before="40" w:after="40"/>
              <w:ind w:right="43"/>
              <w:rPr>
                <w:b/>
                <w:lang w:eastAsia="et-EE"/>
              </w:rPr>
            </w:pPr>
            <w:r>
              <w:rPr>
                <w:b/>
                <w:lang w:eastAsia="et-EE"/>
              </w:rPr>
              <w:t>Prestación de guardería</w:t>
            </w:r>
          </w:p>
        </w:tc>
        <w:tc>
          <w:tcPr>
            <w:tcW w:w="2640" w:type="dxa"/>
          </w:tcPr>
          <w:p w:rsidR="00000000" w:rsidRDefault="00000000">
            <w:pPr>
              <w:tabs>
                <w:tab w:val="left" w:pos="288"/>
                <w:tab w:val="left" w:pos="576"/>
                <w:tab w:val="left" w:pos="864"/>
                <w:tab w:val="left" w:pos="1152"/>
              </w:tabs>
              <w:spacing w:before="40" w:after="40"/>
              <w:ind w:right="43"/>
              <w:rPr>
                <w:lang w:eastAsia="et-EE"/>
              </w:rPr>
            </w:pPr>
            <w:r>
              <w:rPr>
                <w:lang w:eastAsia="et-EE"/>
              </w:rPr>
              <w:t>900</w:t>
            </w:r>
          </w:p>
        </w:tc>
      </w:tr>
      <w:tr w:rsidR="00000000">
        <w:tblPrEx>
          <w:tblCellMar>
            <w:top w:w="0" w:type="dxa"/>
            <w:left w:w="0" w:type="dxa"/>
            <w:bottom w:w="0" w:type="dxa"/>
            <w:right w:w="0" w:type="dxa"/>
          </w:tblCellMar>
        </w:tblPrEx>
        <w:tc>
          <w:tcPr>
            <w:tcW w:w="4680" w:type="dxa"/>
          </w:tcPr>
          <w:p w:rsidR="00000000" w:rsidRDefault="00000000">
            <w:pPr>
              <w:tabs>
                <w:tab w:val="left" w:pos="288"/>
                <w:tab w:val="left" w:pos="576"/>
                <w:tab w:val="left" w:pos="864"/>
                <w:tab w:val="left" w:pos="1152"/>
              </w:tabs>
              <w:spacing w:before="40" w:after="40"/>
              <w:ind w:right="43"/>
              <w:rPr>
                <w:lang w:eastAsia="et-EE"/>
              </w:rPr>
            </w:pPr>
            <w:r>
              <w:rPr>
                <w:b/>
                <w:lang w:eastAsia="et-EE"/>
              </w:rPr>
              <w:t>Prestación para iniciar una vida independiente</w:t>
            </w:r>
            <w:r>
              <w:rPr>
                <w:lang w:eastAsia="et-EE"/>
              </w:rPr>
              <w:t xml:space="preserve"> (para jóvenes que abandonan una institución de bienestar social)</w:t>
            </w:r>
          </w:p>
        </w:tc>
        <w:tc>
          <w:tcPr>
            <w:tcW w:w="2640" w:type="dxa"/>
          </w:tcPr>
          <w:p w:rsidR="00000000" w:rsidRDefault="00000000">
            <w:pPr>
              <w:tabs>
                <w:tab w:val="left" w:pos="288"/>
                <w:tab w:val="left" w:pos="576"/>
                <w:tab w:val="left" w:pos="864"/>
                <w:tab w:val="left" w:pos="1152"/>
              </w:tabs>
              <w:spacing w:before="40" w:after="40"/>
              <w:ind w:right="43"/>
              <w:rPr>
                <w:lang w:eastAsia="et-EE"/>
              </w:rPr>
            </w:pPr>
            <w:r>
              <w:rPr>
                <w:lang w:eastAsia="et-EE"/>
              </w:rPr>
              <w:t>6 000</w:t>
            </w:r>
          </w:p>
        </w:tc>
      </w:tr>
      <w:tr w:rsidR="00000000">
        <w:tblPrEx>
          <w:tblCellMar>
            <w:top w:w="0" w:type="dxa"/>
            <w:left w:w="0" w:type="dxa"/>
            <w:bottom w:w="0" w:type="dxa"/>
            <w:right w:w="0" w:type="dxa"/>
          </w:tblCellMar>
        </w:tblPrEx>
        <w:tc>
          <w:tcPr>
            <w:tcW w:w="4680" w:type="dxa"/>
          </w:tcPr>
          <w:p w:rsidR="00000000" w:rsidRDefault="00000000">
            <w:pPr>
              <w:tabs>
                <w:tab w:val="left" w:pos="288"/>
                <w:tab w:val="left" w:pos="576"/>
                <w:tab w:val="left" w:pos="864"/>
                <w:tab w:val="left" w:pos="1152"/>
              </w:tabs>
              <w:spacing w:before="40" w:after="40"/>
              <w:ind w:right="43"/>
              <w:rPr>
                <w:lang w:eastAsia="et-EE"/>
              </w:rPr>
            </w:pPr>
            <w:r>
              <w:rPr>
                <w:b/>
                <w:lang w:eastAsia="et-EE"/>
              </w:rPr>
              <w:t xml:space="preserve">Prestación para familias con tres o más </w:t>
            </w:r>
            <w:r>
              <w:rPr>
                <w:b/>
                <w:lang w:eastAsia="et-EE"/>
              </w:rPr>
              <w:br/>
              <w:t>hijos y para familias con trillizos</w:t>
            </w:r>
            <w:r>
              <w:rPr>
                <w:lang w:eastAsia="et-EE"/>
              </w:rPr>
              <w:t xml:space="preserve"> (se paga trimestralmente)</w:t>
            </w:r>
          </w:p>
        </w:tc>
        <w:tc>
          <w:tcPr>
            <w:tcW w:w="2640" w:type="dxa"/>
          </w:tcPr>
          <w:p w:rsidR="00000000" w:rsidRDefault="00000000">
            <w:pPr>
              <w:tabs>
                <w:tab w:val="left" w:pos="288"/>
                <w:tab w:val="left" w:pos="576"/>
                <w:tab w:val="left" w:pos="864"/>
                <w:tab w:val="left" w:pos="1152"/>
              </w:tabs>
              <w:spacing w:before="40" w:after="40"/>
              <w:ind w:right="43"/>
              <w:rPr>
                <w:lang w:eastAsia="et-EE"/>
              </w:rPr>
            </w:pPr>
            <w:r>
              <w:rPr>
                <w:lang w:eastAsia="et-EE"/>
              </w:rPr>
              <w:t xml:space="preserve">Número de hijos por los que se percibe la prestación por hijo, multiplicado por 150 </w:t>
            </w:r>
            <w:r>
              <w:rPr>
                <w:lang w:eastAsia="et-EE"/>
              </w:rPr>
              <w:br/>
              <w:t>(en el caso de trillizos, la cantidad de la prestación es de 4x150)</w:t>
            </w:r>
          </w:p>
        </w:tc>
      </w:tr>
      <w:tr w:rsidR="00000000">
        <w:tblPrEx>
          <w:tblCellMar>
            <w:top w:w="0" w:type="dxa"/>
            <w:left w:w="0" w:type="dxa"/>
            <w:bottom w:w="0" w:type="dxa"/>
            <w:right w:w="0" w:type="dxa"/>
          </w:tblCellMar>
        </w:tblPrEx>
        <w:tc>
          <w:tcPr>
            <w:tcW w:w="4680" w:type="dxa"/>
            <w:tcBorders>
              <w:bottom w:val="single" w:sz="12" w:space="0" w:color="auto"/>
            </w:tcBorders>
          </w:tcPr>
          <w:p w:rsidR="00000000" w:rsidRDefault="00000000">
            <w:pPr>
              <w:tabs>
                <w:tab w:val="left" w:pos="288"/>
                <w:tab w:val="left" w:pos="576"/>
                <w:tab w:val="left" w:pos="864"/>
                <w:tab w:val="left" w:pos="1152"/>
              </w:tabs>
              <w:spacing w:before="40" w:after="40"/>
              <w:ind w:right="43"/>
              <w:rPr>
                <w:lang w:eastAsia="et-EE"/>
              </w:rPr>
            </w:pPr>
            <w:r>
              <w:rPr>
                <w:b/>
                <w:lang w:eastAsia="et-EE"/>
              </w:rPr>
              <w:t>Prestación por adopción</w:t>
            </w:r>
            <w:r>
              <w:rPr>
                <w:lang w:eastAsia="et-EE"/>
              </w:rPr>
              <w:t xml:space="preserve"> (pagadera en una única vez)</w:t>
            </w:r>
          </w:p>
        </w:tc>
        <w:tc>
          <w:tcPr>
            <w:tcW w:w="2640" w:type="dxa"/>
            <w:tcBorders>
              <w:bottom w:val="single" w:sz="12" w:space="0" w:color="auto"/>
            </w:tcBorders>
          </w:tcPr>
          <w:p w:rsidR="00000000" w:rsidRDefault="00000000">
            <w:pPr>
              <w:tabs>
                <w:tab w:val="left" w:pos="288"/>
                <w:tab w:val="left" w:pos="576"/>
                <w:tab w:val="left" w:pos="864"/>
                <w:tab w:val="left" w:pos="1152"/>
              </w:tabs>
              <w:spacing w:before="40" w:after="40"/>
              <w:ind w:right="43"/>
              <w:rPr>
                <w:lang w:eastAsia="et-EE"/>
              </w:rPr>
            </w:pPr>
            <w:r>
              <w:rPr>
                <w:lang w:eastAsia="et-EE"/>
              </w:rPr>
              <w:t>3 000</w:t>
            </w:r>
          </w:p>
        </w:tc>
      </w:tr>
    </w:tbl>
    <w:p w:rsidR="00000000" w:rsidRDefault="00000000">
      <w:pPr>
        <w:pStyle w:val="SingleTxt"/>
        <w:rPr>
          <w:i/>
        </w:rPr>
      </w:pPr>
      <w:r>
        <w:rPr>
          <w:i/>
        </w:rPr>
        <w:tab/>
        <w:t>b)</w:t>
      </w:r>
      <w:r>
        <w:rPr>
          <w:i/>
        </w:rPr>
        <w:tab/>
        <w:t>El derecho a obtener préstamos bancarios, hipotecas y otras formas de crédito financiero;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Estonia hay numerosas instituciones crediticias que ofrecen préstamos. Si la persona que solicita un préstamo cumple los requisitos establecidos por el banco, no hay obstáculos para que se le conceda un préstamo.</w:t>
      </w:r>
    </w:p>
    <w:p w:rsidR="00000000" w:rsidRDefault="00000000">
      <w:pPr>
        <w:pStyle w:val="SingleTxt"/>
      </w:pPr>
      <w:r>
        <w:tab/>
        <w:t>No se dispone de estadísticas sobre los clientes de las instituciones crediticias de</w:t>
      </w:r>
      <w:r>
        <w:t>s</w:t>
      </w:r>
      <w:r>
        <w:t>glosadas por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c)</w:t>
      </w:r>
      <w:r>
        <w:rPr>
          <w:i/>
        </w:rPr>
        <w:tab/>
        <w:t>El derecho a participar en actividades de esparcimiento, deportes y en todos los aspectos de la vida cultural.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prohibición general de discriminar en razón del género se aplica a todos los á</w:t>
      </w:r>
      <w:r>
        <w:t>m</w:t>
      </w:r>
      <w:r>
        <w:t>bitos de la vida social.</w:t>
      </w:r>
    </w:p>
    <w:p w:rsidR="00000000" w:rsidRDefault="00000000">
      <w:pPr>
        <w:pStyle w:val="SingleTxt"/>
      </w:pPr>
      <w:r>
        <w:tab/>
        <w:t>Las mujeres no hacen frente a obstáculos jurídicos para participar en activid</w:t>
      </w:r>
      <w:r>
        <w:t>a</w:t>
      </w:r>
      <w:r>
        <w:t>des de esparcimiento, deportes y en otros aspectos de la vida cultural. Los princip</w:t>
      </w:r>
      <w:r>
        <w:t>a</w:t>
      </w:r>
      <w:r>
        <w:t>les obstáculos son el tiempo y el dinero. Habida cuenta de su mayor participación en general en actividades laborales, las mujeres disponen de menos tiempo libre que los hombres. La diferencia es de unos 45 minutos por día, media hora los días háb</w:t>
      </w:r>
      <w:r>
        <w:t>i</w:t>
      </w:r>
      <w:r>
        <w:t>les y hasta una hora en el fin de semana.</w:t>
      </w:r>
    </w:p>
    <w:p w:rsidR="00000000" w:rsidRDefault="00000000">
      <w:pPr>
        <w:pStyle w:val="SingleTxt"/>
      </w:pPr>
      <w:r>
        <w:tab/>
        <w:t>Las mujeres de todos los grupos de edad realizan más tareas domésticas no remuneradas que los hombres. Las diferencias son mayores en la etapa media de la vida (vinculada con la crianza de los hijos), en que los hijos menores de edad aún viven en el hogar familiar y el volumen de trabajo profesional también es superior al promedio. Por ejemplo, las madres de niños en edad preescolar dedican más de ci</w:t>
      </w:r>
      <w:r>
        <w:t>n</w:t>
      </w:r>
      <w:r>
        <w:t>co horas diarias a las tareas domésticas, unas dos veces y media más que los padres de hijos del mismo grupo de edad. Además de cuidar y atender a los hijos, incluidas las tareas escolares, también aumenta la cantidad de tareas domésticas como coc</w:t>
      </w:r>
      <w:r>
        <w:t>i</w:t>
      </w:r>
      <w:r>
        <w:t>nar, limpiar, lavar la ropa, etc., que en general realiza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13.2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Tiempo libre para actividades de esparcimiento, por género y grupo de edad, en horas y minutos por día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00"/>
        <w:gridCol w:w="924"/>
        <w:gridCol w:w="924"/>
        <w:gridCol w:w="924"/>
        <w:gridCol w:w="924"/>
        <w:gridCol w:w="924"/>
      </w:tblGrid>
      <w:tr w:rsidR="00000000">
        <w:tblPrEx>
          <w:tblCellMar>
            <w:top w:w="0" w:type="dxa"/>
            <w:left w:w="0" w:type="dxa"/>
            <w:bottom w:w="0" w:type="dxa"/>
            <w:right w:w="0" w:type="dxa"/>
          </w:tblCellMar>
        </w:tblPrEx>
        <w:trPr>
          <w:cantSplit/>
          <w:tblHeader/>
        </w:trPr>
        <w:tc>
          <w:tcPr>
            <w:tcW w:w="27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4620"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Grupo de edad</w:t>
            </w:r>
          </w:p>
        </w:tc>
      </w:tr>
      <w:tr w:rsidR="00000000">
        <w:tblPrEx>
          <w:tblCellMar>
            <w:top w:w="0" w:type="dxa"/>
            <w:left w:w="0" w:type="dxa"/>
            <w:bottom w:w="0" w:type="dxa"/>
            <w:right w:w="0" w:type="dxa"/>
          </w:tblCellMar>
        </w:tblPrEx>
        <w:trPr>
          <w:tblHeader/>
        </w:trPr>
        <w:tc>
          <w:tcPr>
            <w:tcW w:w="270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Actividad</w:t>
            </w:r>
          </w:p>
        </w:tc>
        <w:tc>
          <w:tcPr>
            <w:tcW w:w="92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92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15 a 24</w:t>
            </w:r>
            <w:r>
              <w:rPr>
                <w:i/>
                <w:sz w:val="14"/>
              </w:rPr>
              <w:br/>
              <w:t xml:space="preserve"> años</w:t>
            </w:r>
          </w:p>
        </w:tc>
        <w:tc>
          <w:tcPr>
            <w:tcW w:w="92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25 a 44</w:t>
            </w:r>
            <w:r>
              <w:rPr>
                <w:i/>
                <w:sz w:val="14"/>
              </w:rPr>
              <w:br/>
              <w:t xml:space="preserve"> años</w:t>
            </w:r>
          </w:p>
        </w:tc>
        <w:tc>
          <w:tcPr>
            <w:tcW w:w="92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45 a 64</w:t>
            </w:r>
            <w:r>
              <w:rPr>
                <w:i/>
                <w:sz w:val="14"/>
              </w:rPr>
              <w:br/>
              <w:t xml:space="preserve"> años</w:t>
            </w:r>
          </w:p>
        </w:tc>
        <w:tc>
          <w:tcPr>
            <w:tcW w:w="92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65 años</w:t>
            </w:r>
            <w:r>
              <w:rPr>
                <w:i/>
                <w:sz w:val="14"/>
              </w:rPr>
              <w:br/>
              <w:t xml:space="preserve"> o más</w:t>
            </w:r>
          </w:p>
        </w:tc>
      </w:tr>
      <w:tr w:rsidR="00000000">
        <w:tblPrEx>
          <w:tblCellMar>
            <w:top w:w="0" w:type="dxa"/>
            <w:left w:w="0" w:type="dxa"/>
            <w:bottom w:w="0" w:type="dxa"/>
            <w:right w:w="0" w:type="dxa"/>
          </w:tblCellMar>
        </w:tblPrEx>
        <w:trPr>
          <w:trHeight w:hRule="exact" w:val="115"/>
          <w:tblHeader/>
        </w:trPr>
        <w:tc>
          <w:tcPr>
            <w:tcW w:w="27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2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20" w:after="20" w:line="210" w:lineRule="exact"/>
              <w:ind w:right="40"/>
              <w:rPr>
                <w:b/>
                <w:sz w:val="17"/>
              </w:rPr>
            </w:pPr>
            <w:r>
              <w:rPr>
                <w:b/>
                <w:sz w:val="17"/>
              </w:rPr>
              <w:t>Televisión y vídeo</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Hombres</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2:23</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2:18</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2:25</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2:24</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2:14</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Mujeres</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1:52</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1:56</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1:46</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2:00</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1:54</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Diferencia (+/-)</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-0:31</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-0:22</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-0:39</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-0:24</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-0:20</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b/>
                <w:sz w:val="17"/>
              </w:rPr>
              <w:t>Comunicación social</w:t>
            </w:r>
            <w:r>
              <w:rPr>
                <w:sz w:val="17"/>
              </w:rPr>
              <w:t>*</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Hombres</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0:34</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1:13</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0:32</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0:22</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0:31</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Mujeres</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0:35</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0:49</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0:37</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0:30</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0:09</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Diferencia (+/-)</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+0:01</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-0:24</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+0:05</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+0:08</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-0:22</w:t>
            </w:r>
          </w:p>
        </w:tc>
      </w:tr>
      <w:tr w:rsidR="00000000">
        <w:tblPrEx>
          <w:tblCellMar>
            <w:top w:w="0" w:type="dxa"/>
            <w:left w:w="0" w:type="dxa"/>
            <w:bottom w:w="0" w:type="dxa"/>
            <w:right w:w="0" w:type="dxa"/>
          </w:tblCellMar>
        </w:tblPrEx>
        <w:tc>
          <w:tcPr>
            <w:tcW w:w="2700" w:type="dxa"/>
            <w:vAlign w:val="bottom"/>
          </w:tcPr>
          <w:p w:rsidR="00000000" w:rsidRDefault="00000000">
            <w:pPr>
              <w:keepNext/>
              <w:keepLines/>
              <w:tabs>
                <w:tab w:val="left" w:pos="288"/>
                <w:tab w:val="left" w:pos="576"/>
                <w:tab w:val="left" w:pos="864"/>
                <w:tab w:val="left" w:pos="1152"/>
              </w:tabs>
              <w:spacing w:before="20" w:after="20" w:line="210" w:lineRule="exact"/>
              <w:ind w:right="43"/>
              <w:rPr>
                <w:b/>
                <w:sz w:val="17"/>
              </w:rPr>
            </w:pPr>
            <w:r>
              <w:rPr>
                <w:b/>
                <w:sz w:val="17"/>
              </w:rPr>
              <w:t>Lectura</w:t>
            </w:r>
          </w:p>
        </w:tc>
        <w:tc>
          <w:tcPr>
            <w:tcW w:w="924" w:type="dxa"/>
            <w:vAlign w:val="bottom"/>
          </w:tcPr>
          <w:p w:rsidR="00000000" w:rsidRDefault="00000000">
            <w:pPr>
              <w:keepNext/>
              <w:keepLines/>
              <w:tabs>
                <w:tab w:val="left" w:pos="288"/>
                <w:tab w:val="left" w:pos="576"/>
                <w:tab w:val="left" w:pos="864"/>
                <w:tab w:val="left" w:pos="1152"/>
              </w:tabs>
              <w:spacing w:before="20" w:after="20" w:line="210" w:lineRule="exact"/>
              <w:ind w:right="43"/>
              <w:jc w:val="right"/>
              <w:rPr>
                <w:sz w:val="17"/>
              </w:rPr>
            </w:pPr>
          </w:p>
        </w:tc>
        <w:tc>
          <w:tcPr>
            <w:tcW w:w="924" w:type="dxa"/>
            <w:vAlign w:val="bottom"/>
          </w:tcPr>
          <w:p w:rsidR="00000000" w:rsidRDefault="00000000">
            <w:pPr>
              <w:keepNext/>
              <w:keepLines/>
              <w:tabs>
                <w:tab w:val="left" w:pos="288"/>
                <w:tab w:val="left" w:pos="576"/>
                <w:tab w:val="left" w:pos="864"/>
                <w:tab w:val="left" w:pos="1152"/>
              </w:tabs>
              <w:spacing w:before="20" w:after="20" w:line="210" w:lineRule="exact"/>
              <w:ind w:right="43"/>
              <w:jc w:val="right"/>
              <w:rPr>
                <w:sz w:val="17"/>
              </w:rPr>
            </w:pPr>
          </w:p>
        </w:tc>
        <w:tc>
          <w:tcPr>
            <w:tcW w:w="924" w:type="dxa"/>
            <w:vAlign w:val="bottom"/>
          </w:tcPr>
          <w:p w:rsidR="00000000" w:rsidRDefault="00000000">
            <w:pPr>
              <w:keepNext/>
              <w:keepLines/>
              <w:tabs>
                <w:tab w:val="left" w:pos="288"/>
                <w:tab w:val="left" w:pos="576"/>
                <w:tab w:val="left" w:pos="864"/>
                <w:tab w:val="left" w:pos="1152"/>
              </w:tabs>
              <w:spacing w:before="20" w:after="20" w:line="210" w:lineRule="exact"/>
              <w:ind w:right="43"/>
              <w:jc w:val="right"/>
              <w:rPr>
                <w:sz w:val="17"/>
              </w:rPr>
            </w:pPr>
          </w:p>
        </w:tc>
        <w:tc>
          <w:tcPr>
            <w:tcW w:w="924" w:type="dxa"/>
            <w:vAlign w:val="bottom"/>
          </w:tcPr>
          <w:p w:rsidR="00000000" w:rsidRDefault="00000000">
            <w:pPr>
              <w:keepNext/>
              <w:keepLines/>
              <w:tabs>
                <w:tab w:val="left" w:pos="288"/>
                <w:tab w:val="left" w:pos="576"/>
                <w:tab w:val="left" w:pos="864"/>
                <w:tab w:val="left" w:pos="1152"/>
              </w:tabs>
              <w:spacing w:before="20" w:after="20" w:line="210" w:lineRule="exact"/>
              <w:ind w:right="43"/>
              <w:jc w:val="right"/>
              <w:rPr>
                <w:sz w:val="17"/>
              </w:rPr>
            </w:pPr>
          </w:p>
        </w:tc>
        <w:tc>
          <w:tcPr>
            <w:tcW w:w="924" w:type="dxa"/>
            <w:vAlign w:val="bottom"/>
          </w:tcPr>
          <w:p w:rsidR="00000000" w:rsidRDefault="00000000">
            <w:pPr>
              <w:keepNext/>
              <w:keepLines/>
              <w:tabs>
                <w:tab w:val="left" w:pos="288"/>
                <w:tab w:val="left" w:pos="576"/>
                <w:tab w:val="left" w:pos="864"/>
                <w:tab w:val="left" w:pos="1152"/>
              </w:tabs>
              <w:spacing w:before="20" w:after="20" w:line="210" w:lineRule="exact"/>
              <w:ind w:right="43"/>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keepNext/>
              <w:keepLines/>
              <w:tabs>
                <w:tab w:val="left" w:pos="288"/>
                <w:tab w:val="left" w:pos="576"/>
                <w:tab w:val="left" w:pos="864"/>
                <w:tab w:val="left" w:pos="1152"/>
              </w:tabs>
              <w:spacing w:before="20" w:after="20" w:line="210" w:lineRule="exact"/>
              <w:ind w:right="43"/>
              <w:rPr>
                <w:sz w:val="17"/>
              </w:rPr>
            </w:pPr>
            <w:r>
              <w:rPr>
                <w:sz w:val="17"/>
              </w:rPr>
              <w:t>Hombres</w:t>
            </w:r>
          </w:p>
        </w:tc>
        <w:tc>
          <w:tcPr>
            <w:tcW w:w="924" w:type="dxa"/>
            <w:vAlign w:val="bottom"/>
          </w:tcPr>
          <w:p w:rsidR="00000000" w:rsidRDefault="00000000">
            <w:pPr>
              <w:keepNext/>
              <w:keepLines/>
              <w:tabs>
                <w:tab w:val="left" w:pos="288"/>
                <w:tab w:val="left" w:pos="576"/>
                <w:tab w:val="left" w:pos="864"/>
                <w:tab w:val="left" w:pos="1152"/>
              </w:tabs>
              <w:spacing w:before="20" w:after="20" w:line="210" w:lineRule="exact"/>
              <w:ind w:right="43"/>
              <w:jc w:val="right"/>
              <w:rPr>
                <w:sz w:val="17"/>
              </w:rPr>
            </w:pPr>
            <w:r>
              <w:rPr>
                <w:sz w:val="17"/>
              </w:rPr>
              <w:t>0:32</w:t>
            </w:r>
          </w:p>
        </w:tc>
        <w:tc>
          <w:tcPr>
            <w:tcW w:w="924" w:type="dxa"/>
            <w:vAlign w:val="bottom"/>
          </w:tcPr>
          <w:p w:rsidR="00000000" w:rsidRDefault="00000000">
            <w:pPr>
              <w:keepNext/>
              <w:keepLines/>
              <w:tabs>
                <w:tab w:val="left" w:pos="288"/>
                <w:tab w:val="left" w:pos="576"/>
                <w:tab w:val="left" w:pos="864"/>
                <w:tab w:val="left" w:pos="1152"/>
              </w:tabs>
              <w:spacing w:before="20" w:after="20" w:line="210" w:lineRule="exact"/>
              <w:ind w:right="43"/>
              <w:jc w:val="right"/>
              <w:rPr>
                <w:sz w:val="17"/>
              </w:rPr>
            </w:pPr>
            <w:r>
              <w:rPr>
                <w:sz w:val="17"/>
              </w:rPr>
              <w:t>0:20</w:t>
            </w:r>
          </w:p>
        </w:tc>
        <w:tc>
          <w:tcPr>
            <w:tcW w:w="924" w:type="dxa"/>
            <w:vAlign w:val="bottom"/>
          </w:tcPr>
          <w:p w:rsidR="00000000" w:rsidRDefault="00000000">
            <w:pPr>
              <w:keepNext/>
              <w:keepLines/>
              <w:tabs>
                <w:tab w:val="left" w:pos="288"/>
                <w:tab w:val="left" w:pos="576"/>
                <w:tab w:val="left" w:pos="864"/>
                <w:tab w:val="left" w:pos="1152"/>
              </w:tabs>
              <w:spacing w:before="20" w:after="20" w:line="210" w:lineRule="exact"/>
              <w:ind w:right="43"/>
              <w:jc w:val="right"/>
              <w:rPr>
                <w:sz w:val="17"/>
              </w:rPr>
            </w:pPr>
            <w:r>
              <w:rPr>
                <w:sz w:val="17"/>
              </w:rPr>
              <w:t>0:29</w:t>
            </w:r>
          </w:p>
        </w:tc>
        <w:tc>
          <w:tcPr>
            <w:tcW w:w="924" w:type="dxa"/>
            <w:vAlign w:val="bottom"/>
          </w:tcPr>
          <w:p w:rsidR="00000000" w:rsidRDefault="00000000">
            <w:pPr>
              <w:keepNext/>
              <w:keepLines/>
              <w:tabs>
                <w:tab w:val="left" w:pos="288"/>
                <w:tab w:val="left" w:pos="576"/>
                <w:tab w:val="left" w:pos="864"/>
                <w:tab w:val="left" w:pos="1152"/>
              </w:tabs>
              <w:spacing w:before="20" w:after="20" w:line="210" w:lineRule="exact"/>
              <w:ind w:right="43"/>
              <w:jc w:val="right"/>
              <w:rPr>
                <w:sz w:val="17"/>
              </w:rPr>
            </w:pPr>
            <w:r>
              <w:rPr>
                <w:sz w:val="17"/>
              </w:rPr>
              <w:t>0:38</w:t>
            </w:r>
          </w:p>
        </w:tc>
        <w:tc>
          <w:tcPr>
            <w:tcW w:w="924" w:type="dxa"/>
            <w:vAlign w:val="bottom"/>
          </w:tcPr>
          <w:p w:rsidR="00000000" w:rsidRDefault="00000000">
            <w:pPr>
              <w:keepNext/>
              <w:keepLines/>
              <w:tabs>
                <w:tab w:val="left" w:pos="288"/>
                <w:tab w:val="left" w:pos="576"/>
                <w:tab w:val="left" w:pos="864"/>
                <w:tab w:val="left" w:pos="1152"/>
              </w:tabs>
              <w:spacing w:before="20" w:after="20" w:line="210" w:lineRule="exact"/>
              <w:ind w:right="43"/>
              <w:jc w:val="right"/>
              <w:rPr>
                <w:sz w:val="17"/>
              </w:rPr>
            </w:pPr>
            <w:r>
              <w:rPr>
                <w:sz w:val="17"/>
              </w:rPr>
              <w:t>0:44</w:t>
            </w:r>
          </w:p>
        </w:tc>
      </w:tr>
      <w:tr w:rsidR="00000000">
        <w:tblPrEx>
          <w:tblCellMar>
            <w:top w:w="0" w:type="dxa"/>
            <w:left w:w="0" w:type="dxa"/>
            <w:bottom w:w="0" w:type="dxa"/>
            <w:right w:w="0" w:type="dxa"/>
          </w:tblCellMar>
        </w:tblPrEx>
        <w:tc>
          <w:tcPr>
            <w:tcW w:w="2700" w:type="dxa"/>
            <w:vAlign w:val="bottom"/>
          </w:tcPr>
          <w:p w:rsidR="00000000" w:rsidRDefault="00000000">
            <w:pPr>
              <w:keepNext/>
              <w:keepLines/>
              <w:tabs>
                <w:tab w:val="left" w:pos="288"/>
                <w:tab w:val="left" w:pos="576"/>
                <w:tab w:val="left" w:pos="864"/>
                <w:tab w:val="left" w:pos="1152"/>
              </w:tabs>
              <w:spacing w:before="20" w:after="20" w:line="210" w:lineRule="exact"/>
              <w:ind w:right="43"/>
              <w:rPr>
                <w:sz w:val="17"/>
              </w:rPr>
            </w:pPr>
            <w:r>
              <w:rPr>
                <w:sz w:val="17"/>
              </w:rPr>
              <w:t>Mujeres</w:t>
            </w:r>
          </w:p>
        </w:tc>
        <w:tc>
          <w:tcPr>
            <w:tcW w:w="924" w:type="dxa"/>
            <w:vAlign w:val="bottom"/>
          </w:tcPr>
          <w:p w:rsidR="00000000" w:rsidRDefault="00000000">
            <w:pPr>
              <w:keepNext/>
              <w:keepLines/>
              <w:tabs>
                <w:tab w:val="left" w:pos="288"/>
                <w:tab w:val="left" w:pos="576"/>
                <w:tab w:val="left" w:pos="864"/>
                <w:tab w:val="left" w:pos="1152"/>
              </w:tabs>
              <w:spacing w:before="20" w:after="20" w:line="210" w:lineRule="exact"/>
              <w:ind w:right="43"/>
              <w:jc w:val="right"/>
              <w:rPr>
                <w:sz w:val="17"/>
              </w:rPr>
            </w:pPr>
            <w:r>
              <w:rPr>
                <w:sz w:val="17"/>
              </w:rPr>
              <w:t>0:35</w:t>
            </w:r>
          </w:p>
        </w:tc>
        <w:tc>
          <w:tcPr>
            <w:tcW w:w="924" w:type="dxa"/>
            <w:vAlign w:val="bottom"/>
          </w:tcPr>
          <w:p w:rsidR="00000000" w:rsidRDefault="00000000">
            <w:pPr>
              <w:keepNext/>
              <w:keepLines/>
              <w:tabs>
                <w:tab w:val="left" w:pos="288"/>
                <w:tab w:val="left" w:pos="576"/>
                <w:tab w:val="left" w:pos="864"/>
                <w:tab w:val="left" w:pos="1152"/>
              </w:tabs>
              <w:spacing w:before="20" w:after="20" w:line="210" w:lineRule="exact"/>
              <w:ind w:right="43"/>
              <w:jc w:val="right"/>
              <w:rPr>
                <w:sz w:val="17"/>
              </w:rPr>
            </w:pPr>
            <w:r>
              <w:rPr>
                <w:sz w:val="17"/>
              </w:rPr>
              <w:t>0:22</w:t>
            </w:r>
          </w:p>
        </w:tc>
        <w:tc>
          <w:tcPr>
            <w:tcW w:w="924" w:type="dxa"/>
            <w:vAlign w:val="bottom"/>
          </w:tcPr>
          <w:p w:rsidR="00000000" w:rsidRDefault="00000000">
            <w:pPr>
              <w:keepNext/>
              <w:keepLines/>
              <w:tabs>
                <w:tab w:val="left" w:pos="288"/>
                <w:tab w:val="left" w:pos="576"/>
                <w:tab w:val="left" w:pos="864"/>
                <w:tab w:val="left" w:pos="1152"/>
              </w:tabs>
              <w:spacing w:before="20" w:after="20" w:line="210" w:lineRule="exact"/>
              <w:ind w:right="43"/>
              <w:jc w:val="right"/>
              <w:rPr>
                <w:sz w:val="17"/>
              </w:rPr>
            </w:pPr>
            <w:r>
              <w:rPr>
                <w:sz w:val="17"/>
              </w:rPr>
              <w:t>0:32</w:t>
            </w:r>
          </w:p>
        </w:tc>
        <w:tc>
          <w:tcPr>
            <w:tcW w:w="924" w:type="dxa"/>
            <w:vAlign w:val="bottom"/>
          </w:tcPr>
          <w:p w:rsidR="00000000" w:rsidRDefault="00000000">
            <w:pPr>
              <w:keepNext/>
              <w:keepLines/>
              <w:tabs>
                <w:tab w:val="left" w:pos="288"/>
                <w:tab w:val="left" w:pos="576"/>
                <w:tab w:val="left" w:pos="864"/>
                <w:tab w:val="left" w:pos="1152"/>
              </w:tabs>
              <w:spacing w:before="20" w:after="20" w:line="210" w:lineRule="exact"/>
              <w:ind w:right="43"/>
              <w:jc w:val="right"/>
              <w:rPr>
                <w:sz w:val="17"/>
              </w:rPr>
            </w:pPr>
            <w:r>
              <w:rPr>
                <w:sz w:val="17"/>
              </w:rPr>
              <w:t>0:42</w:t>
            </w:r>
          </w:p>
        </w:tc>
        <w:tc>
          <w:tcPr>
            <w:tcW w:w="924" w:type="dxa"/>
            <w:vAlign w:val="bottom"/>
          </w:tcPr>
          <w:p w:rsidR="00000000" w:rsidRDefault="00000000">
            <w:pPr>
              <w:keepNext/>
              <w:keepLines/>
              <w:tabs>
                <w:tab w:val="left" w:pos="288"/>
                <w:tab w:val="left" w:pos="576"/>
                <w:tab w:val="left" w:pos="864"/>
                <w:tab w:val="left" w:pos="1152"/>
              </w:tabs>
              <w:spacing w:before="20" w:after="20" w:line="210" w:lineRule="exact"/>
              <w:ind w:right="43"/>
              <w:jc w:val="right"/>
              <w:rPr>
                <w:sz w:val="17"/>
              </w:rPr>
            </w:pPr>
            <w:r>
              <w:rPr>
                <w:sz w:val="17"/>
              </w:rPr>
              <w:t>1:06</w:t>
            </w:r>
          </w:p>
        </w:tc>
      </w:tr>
      <w:tr w:rsidR="00000000">
        <w:tblPrEx>
          <w:tblCellMar>
            <w:top w:w="0" w:type="dxa"/>
            <w:left w:w="0" w:type="dxa"/>
            <w:bottom w:w="0" w:type="dxa"/>
            <w:right w:w="0" w:type="dxa"/>
          </w:tblCellMar>
        </w:tblPrEx>
        <w:tc>
          <w:tcPr>
            <w:tcW w:w="2700" w:type="dxa"/>
            <w:vAlign w:val="bottom"/>
          </w:tcPr>
          <w:p w:rsidR="00000000" w:rsidRDefault="00000000">
            <w:pPr>
              <w:keepNext/>
              <w:keepLines/>
              <w:tabs>
                <w:tab w:val="left" w:pos="288"/>
                <w:tab w:val="left" w:pos="576"/>
                <w:tab w:val="left" w:pos="864"/>
                <w:tab w:val="left" w:pos="1152"/>
              </w:tabs>
              <w:spacing w:before="20" w:after="20" w:line="210" w:lineRule="exact"/>
              <w:ind w:right="43"/>
              <w:rPr>
                <w:sz w:val="17"/>
              </w:rPr>
            </w:pPr>
            <w:r>
              <w:rPr>
                <w:sz w:val="17"/>
              </w:rPr>
              <w:t>Diferencia (+/-)</w:t>
            </w:r>
          </w:p>
        </w:tc>
        <w:tc>
          <w:tcPr>
            <w:tcW w:w="924" w:type="dxa"/>
            <w:vAlign w:val="bottom"/>
          </w:tcPr>
          <w:p w:rsidR="00000000" w:rsidRDefault="00000000">
            <w:pPr>
              <w:keepNext/>
              <w:keepLines/>
              <w:tabs>
                <w:tab w:val="left" w:pos="288"/>
                <w:tab w:val="left" w:pos="576"/>
                <w:tab w:val="left" w:pos="864"/>
                <w:tab w:val="left" w:pos="1152"/>
              </w:tabs>
              <w:spacing w:before="20" w:after="20" w:line="210" w:lineRule="exact"/>
              <w:ind w:right="43"/>
              <w:jc w:val="right"/>
              <w:rPr>
                <w:sz w:val="17"/>
              </w:rPr>
            </w:pPr>
            <w:r>
              <w:rPr>
                <w:sz w:val="17"/>
              </w:rPr>
              <w:t>+0.03</w:t>
            </w:r>
          </w:p>
        </w:tc>
        <w:tc>
          <w:tcPr>
            <w:tcW w:w="924" w:type="dxa"/>
            <w:vAlign w:val="bottom"/>
          </w:tcPr>
          <w:p w:rsidR="00000000" w:rsidRDefault="00000000">
            <w:pPr>
              <w:keepNext/>
              <w:keepLines/>
              <w:tabs>
                <w:tab w:val="left" w:pos="288"/>
                <w:tab w:val="left" w:pos="576"/>
                <w:tab w:val="left" w:pos="864"/>
                <w:tab w:val="left" w:pos="1152"/>
              </w:tabs>
              <w:spacing w:before="20" w:after="20" w:line="210" w:lineRule="exact"/>
              <w:ind w:right="43"/>
              <w:jc w:val="right"/>
              <w:rPr>
                <w:sz w:val="17"/>
              </w:rPr>
            </w:pPr>
            <w:r>
              <w:rPr>
                <w:sz w:val="17"/>
              </w:rPr>
              <w:t>+0:02</w:t>
            </w:r>
          </w:p>
        </w:tc>
        <w:tc>
          <w:tcPr>
            <w:tcW w:w="924" w:type="dxa"/>
            <w:vAlign w:val="bottom"/>
          </w:tcPr>
          <w:p w:rsidR="00000000" w:rsidRDefault="00000000">
            <w:pPr>
              <w:keepNext/>
              <w:keepLines/>
              <w:tabs>
                <w:tab w:val="left" w:pos="288"/>
                <w:tab w:val="left" w:pos="576"/>
                <w:tab w:val="left" w:pos="864"/>
                <w:tab w:val="left" w:pos="1152"/>
              </w:tabs>
              <w:spacing w:before="20" w:after="20" w:line="210" w:lineRule="exact"/>
              <w:ind w:right="43"/>
              <w:jc w:val="right"/>
              <w:rPr>
                <w:sz w:val="17"/>
              </w:rPr>
            </w:pPr>
            <w:r>
              <w:rPr>
                <w:sz w:val="17"/>
              </w:rPr>
              <w:t>+0:03</w:t>
            </w:r>
          </w:p>
        </w:tc>
        <w:tc>
          <w:tcPr>
            <w:tcW w:w="924" w:type="dxa"/>
            <w:vAlign w:val="bottom"/>
          </w:tcPr>
          <w:p w:rsidR="00000000" w:rsidRDefault="00000000">
            <w:pPr>
              <w:keepNext/>
              <w:keepLines/>
              <w:tabs>
                <w:tab w:val="left" w:pos="288"/>
                <w:tab w:val="left" w:pos="576"/>
                <w:tab w:val="left" w:pos="864"/>
                <w:tab w:val="left" w:pos="1152"/>
              </w:tabs>
              <w:spacing w:before="20" w:after="20" w:line="210" w:lineRule="exact"/>
              <w:ind w:right="43"/>
              <w:jc w:val="right"/>
              <w:rPr>
                <w:sz w:val="17"/>
              </w:rPr>
            </w:pPr>
            <w:r>
              <w:rPr>
                <w:sz w:val="17"/>
              </w:rPr>
              <w:t>+0:04</w:t>
            </w:r>
          </w:p>
        </w:tc>
        <w:tc>
          <w:tcPr>
            <w:tcW w:w="924" w:type="dxa"/>
            <w:vAlign w:val="bottom"/>
          </w:tcPr>
          <w:p w:rsidR="00000000" w:rsidRDefault="00000000">
            <w:pPr>
              <w:keepNext/>
              <w:keepLines/>
              <w:tabs>
                <w:tab w:val="left" w:pos="288"/>
                <w:tab w:val="left" w:pos="576"/>
                <w:tab w:val="left" w:pos="864"/>
                <w:tab w:val="left" w:pos="1152"/>
              </w:tabs>
              <w:spacing w:before="20" w:after="20" w:line="210" w:lineRule="exact"/>
              <w:ind w:right="43"/>
              <w:jc w:val="right"/>
              <w:rPr>
                <w:sz w:val="17"/>
              </w:rPr>
            </w:pPr>
            <w:r>
              <w:rPr>
                <w:sz w:val="17"/>
              </w:rPr>
              <w:t>+0:22</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20" w:after="20" w:line="210" w:lineRule="exact"/>
              <w:ind w:right="43"/>
              <w:rPr>
                <w:sz w:val="17"/>
              </w:rPr>
            </w:pPr>
            <w:r>
              <w:rPr>
                <w:b/>
                <w:sz w:val="17"/>
              </w:rPr>
              <w:t>Deporte y actividades físicas</w:t>
            </w:r>
            <w:r>
              <w:rPr>
                <w:sz w:val="17"/>
              </w:rPr>
              <w:t xml:space="preserve"> (incluidas la pesca, la caza y excursiones por el bosque)</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Hombres</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0:21</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0:27</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0:19</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0:21</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0:26</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Mujeres</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0:14</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0:24</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0:14</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0:10</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0:23</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Diferencia (+/-)</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-0:07</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-0:03</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-0:05</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-0:11</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-0:03</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b/>
                <w:sz w:val="17"/>
              </w:rPr>
              <w:t>Otros pasatiempos y juegos</w:t>
            </w:r>
            <w:r>
              <w:rPr>
                <w:sz w:val="17"/>
              </w:rPr>
              <w:t>**</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Hombres</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0:10</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0:18</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0:08</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0:08</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0:15</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Mujeres</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0:06</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0:08</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0:05</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0:05</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0:07</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Diferencia (+/-)</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-0:04</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-0:10</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-0:03</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-0:03</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-0:08</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20" w:after="20" w:line="210" w:lineRule="exact"/>
              <w:ind w:right="40"/>
              <w:rPr>
                <w:b/>
                <w:sz w:val="17"/>
              </w:rPr>
            </w:pPr>
            <w:r>
              <w:rPr>
                <w:b/>
                <w:sz w:val="17"/>
              </w:rPr>
              <w:t>Descanso pasivo</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Hombres</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0:14</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0:09</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0:13</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0:17</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0:33</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Mujeres</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0:10</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0:07</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0:10</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0:12</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0:19</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Diferencia (+/-)</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-0:04</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-0:02</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-0:03</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-0:05</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-0:14</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b/>
                <w:sz w:val="17"/>
              </w:rPr>
              <w:t>Actividades culturales y de esparcimiento</w:t>
            </w:r>
            <w:r>
              <w:rPr>
                <w:sz w:val="17"/>
              </w:rPr>
              <w:t>***</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Hombres</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0:07</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0:16</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0:06</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0:04</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0:02</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Mujeres</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0:05</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0:13</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0:05</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0:03</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0:09</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Diferencia (+/-)</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-0:02</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-0:03</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-0.01</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-0:01</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+0:07</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b/>
                <w:sz w:val="17"/>
              </w:rPr>
              <w:t>Escuchar radio y música</w:t>
            </w:r>
            <w:r>
              <w:rPr>
                <w:sz w:val="17"/>
              </w:rPr>
              <w:t xml:space="preserve"> </w:t>
            </w:r>
            <w:r>
              <w:rPr>
                <w:sz w:val="17"/>
              </w:rPr>
              <w:br/>
              <w:t>(incluida la grabación)</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Hombres</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0:06</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0:06</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0:04</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0:07</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0:17</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Mujeres</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0:04</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0:05</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0:02</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0:05</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0:07</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Diferencia (+/-)</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-0:02</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-0:01</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-0:02</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-0:02</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-0:10</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20" w:after="20" w:line="210" w:lineRule="exact"/>
              <w:ind w:right="40"/>
              <w:rPr>
                <w:b/>
                <w:sz w:val="17"/>
              </w:rPr>
            </w:pPr>
            <w:r>
              <w:rPr>
                <w:b/>
                <w:sz w:val="17"/>
              </w:rPr>
              <w:t>Actividades físicas al aire libre</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Hombres</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0:20</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0:31</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0:21</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0:14</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0:17</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Mujeres</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0:19</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0:33</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0:22</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0:12</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0:11</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Diferencia (+/-)</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-0:01</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-0:01</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+0:01</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-0:02</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-0:06</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20" w:after="20" w:line="210" w:lineRule="exact"/>
              <w:ind w:right="40"/>
              <w:rPr>
                <w:b/>
                <w:sz w:val="17"/>
              </w:rPr>
            </w:pPr>
            <w:r>
              <w:rPr>
                <w:b/>
                <w:sz w:val="17"/>
              </w:rPr>
              <w:t>Tiempo libre total</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Hombres</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4:47</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5:38</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4:37</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4:35</w:t>
            </w:r>
          </w:p>
        </w:tc>
        <w:tc>
          <w:tcPr>
            <w:tcW w:w="92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5:19</w:t>
            </w:r>
          </w:p>
        </w:tc>
      </w:tr>
      <w:tr w:rsidR="00000000">
        <w:tblPrEx>
          <w:tblCellMar>
            <w:top w:w="0" w:type="dxa"/>
            <w:left w:w="0" w:type="dxa"/>
            <w:bottom w:w="0" w:type="dxa"/>
            <w:right w:w="0" w:type="dxa"/>
          </w:tblCellMar>
        </w:tblPrEx>
        <w:tc>
          <w:tcPr>
            <w:tcW w:w="2700"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Mujeres</w:t>
            </w:r>
          </w:p>
        </w:tc>
        <w:tc>
          <w:tcPr>
            <w:tcW w:w="924"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4:00</w:t>
            </w:r>
          </w:p>
        </w:tc>
        <w:tc>
          <w:tcPr>
            <w:tcW w:w="924"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4:37</w:t>
            </w:r>
          </w:p>
        </w:tc>
        <w:tc>
          <w:tcPr>
            <w:tcW w:w="924"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3:53</w:t>
            </w:r>
          </w:p>
        </w:tc>
        <w:tc>
          <w:tcPr>
            <w:tcW w:w="924"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3:59</w:t>
            </w:r>
          </w:p>
        </w:tc>
        <w:tc>
          <w:tcPr>
            <w:tcW w:w="924"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4:25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La comunicación social incluye la comunicación social y la conversación tanto dentro como fuera de la familia, incluidas las conversaciones telefónicas, las visitas y la comunicación con personas fuera del hogar (en cafés, restoranes, bares, etc.).</w:t>
      </w:r>
    </w:p>
    <w:p w:rsidR="00000000" w:rsidRDefault="00000000">
      <w:pPr>
        <w:pStyle w:val="FootnoteText"/>
        <w:tabs>
          <w:tab w:val="clear" w:pos="418"/>
          <w:tab w:val="right" w:pos="1476"/>
          <w:tab w:val="left" w:pos="1548"/>
          <w:tab w:val="right" w:pos="1836"/>
          <w:tab w:val="left" w:pos="1908"/>
        </w:tabs>
        <w:ind w:left="1548" w:right="1267" w:hanging="288"/>
      </w:pPr>
      <w:r>
        <w:tab/>
        <w:t>**</w:t>
      </w:r>
      <w:r>
        <w:tab/>
        <w:t>Otros pasatiempos y juegos incluyen pasatiempos artísticos, técnicos u otros como actividades y comunicación mediante la computadora, juegos de mesa, en la computadora o de solitario y apuestas.</w:t>
      </w:r>
    </w:p>
    <w:p w:rsidR="00000000" w:rsidRDefault="00000000">
      <w:pPr>
        <w:pStyle w:val="FootnoteText"/>
        <w:tabs>
          <w:tab w:val="clear" w:pos="418"/>
          <w:tab w:val="right" w:pos="1476"/>
          <w:tab w:val="left" w:pos="1548"/>
          <w:tab w:val="right" w:pos="1836"/>
          <w:tab w:val="left" w:pos="1908"/>
        </w:tabs>
        <w:ind w:left="1548" w:right="1267" w:hanging="378"/>
      </w:pPr>
      <w:r>
        <w:tab/>
        <w:t>***</w:t>
      </w:r>
      <w:r>
        <w:tab/>
        <w:t>Las actividades culturales y de esparcimiento incluyen la asistencia a instituciones culturales (cine, teatros, conciertos, exposiciones, museos, bibliotecas) y eventos deportivos, excursiones, zoológicos y centros de esparcimiento (parques de dive</w:t>
      </w:r>
      <w:r>
        <w:t>r</w:t>
      </w:r>
      <w:r>
        <w:t>siones, casinos).</w:t>
      </w:r>
    </w:p>
    <w:p w:rsidR="00000000" w:rsidRDefault="00000000">
      <w:pPr>
        <w:pStyle w:val="SingleTxt"/>
      </w:pPr>
    </w:p>
    <w:p w:rsidR="00000000" w:rsidRDefault="00000000">
      <w:pPr>
        <w:pStyle w:val="SingleTxt"/>
      </w:pPr>
      <w:r>
        <w:tab/>
        <w:t>Según la información suministrada por el Centro Estonio de Educación D</w:t>
      </w:r>
      <w:r>
        <w:t>e</w:t>
      </w:r>
      <w:r>
        <w:t>portiva, la participación de la mujer en actividades habituales de deporte y ejercicios f</w:t>
      </w:r>
      <w:r>
        <w:t>í</w:t>
      </w:r>
      <w:r>
        <w:t>sicos ha ido aumentando regularmente desde el decenio de 1990.</w:t>
      </w:r>
    </w:p>
    <w:p w:rsidR="00000000" w:rsidRDefault="00000000">
      <w:pPr>
        <w:pStyle w:val="SingleTxt"/>
        <w:suppressAutoHyphens/>
      </w:pPr>
      <w:r>
        <w:tab/>
        <w:t>El Comité Olímpico Estonio promueve el movimiento “La mujer en el deporte”. Todos los años se eligen los mejores atletas, tanto masculinos como femeninos.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ab/>
        <w:t>1.</w:t>
      </w:r>
      <w:r>
        <w:rPr>
          <w:i/>
        </w:rPr>
        <w:tab/>
        <w:t>Los Estados partes tendrán en cuenta los problemas especiales a que h</w:t>
      </w:r>
      <w:r>
        <w:rPr>
          <w:i/>
        </w:rPr>
        <w:t>a</w:t>
      </w:r>
      <w:r>
        <w:rPr>
          <w:i/>
        </w:rPr>
        <w:t>ce frente la mujer rural y el importante papel que desempeña en la supervivencia económica de su familia, incluido su trabajo en los sectores no monetarios de la economía, y tomarán todas las medidas apropiadas para asegurar la aplicación de las disposiciones de la presente Convención a la mujer en las z</w:t>
      </w:r>
      <w:r>
        <w:rPr>
          <w:i/>
        </w:rPr>
        <w:t>o</w:t>
      </w:r>
      <w:r>
        <w:rPr>
          <w:i/>
        </w:rPr>
        <w:t>nas rurales.</w:t>
      </w:r>
    </w:p>
    <w:p w:rsidR="00000000" w:rsidRDefault="00000000">
      <w:pPr>
        <w:pStyle w:val="SingleTxt"/>
        <w:spacing w:after="0" w:line="120" w:lineRule="exact"/>
        <w:rPr>
          <w:b/>
          <w:i/>
          <w:sz w:val="10"/>
          <w:u w:val="single"/>
        </w:rPr>
      </w:pPr>
    </w:p>
    <w:p w:rsidR="00000000" w:rsidRDefault="00000000">
      <w:pPr>
        <w:pStyle w:val="SingleTxt"/>
        <w:spacing w:after="0" w:line="120" w:lineRule="exact"/>
        <w:rPr>
          <w:b/>
          <w:i/>
          <w:sz w:val="10"/>
          <w:u w:val="single"/>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desempleo en las zonas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desempleo y la inactividad se han convertido en problemas serios en las z</w:t>
      </w:r>
      <w:r>
        <w:t>o</w:t>
      </w:r>
      <w:r>
        <w:t>nas rurales. En 2000 había 25.800 desempleados en las zonas rurales (el 13,8%) y 144.300 personas inactivas que buscaban empleo (aproximadamente el 41,2% de la fuerza laboral).</w:t>
      </w:r>
    </w:p>
    <w:p w:rsidR="00000000" w:rsidRDefault="00000000">
      <w:pPr>
        <w:pStyle w:val="SingleTxt"/>
      </w:pPr>
      <w:r>
        <w:tab/>
        <w:t>En 2001 y 2002 bajó la tasa de desempleo. En 2001 la proporción de personas inactivas que buscaban empleo disminuyó en un 0,4%, aunque en 2002 volvió a a</w:t>
      </w:r>
      <w:r>
        <w:t>u</w:t>
      </w:r>
      <w:r>
        <w:t>mentar (en un 2,8%). En 2001 hubo 800 desempleados menos en las zonas rurales, lo cual llevó la tasa de desempleo al 13,4%. En 2002 la tasa de desempleo se redujo aún más, al 9,4% y, en comparación con el año anterior, hubo 10.700 menos dese</w:t>
      </w:r>
      <w:r>
        <w:t>m</w:t>
      </w:r>
      <w:r>
        <w:t>pleados en las zonas rurales.</w:t>
      </w:r>
    </w:p>
    <w:p w:rsidR="00000000" w:rsidRDefault="00000000">
      <w:pPr>
        <w:pStyle w:val="SingleTxt"/>
      </w:pPr>
      <w:r>
        <w:tab/>
        <w:t>Además, independientemente de la tasa de desempleo relativamente elevada, también hay escasez de mano de obra calificada. En 2001 el Ministerio de Agricu</w:t>
      </w:r>
      <w:r>
        <w:t>l</w:t>
      </w:r>
      <w:r>
        <w:t>tura encomendó al Instituto de Desarrollo Rural que realizara un estudio sobre las empresas no agrícolas, que demostró que escaseaban los trabajadores calificados p</w:t>
      </w:r>
      <w:r>
        <w:t>a</w:t>
      </w:r>
      <w:r>
        <w:t>ra satisfacer la demanda de los empleadores de las zonas rurales. Una elevada pr</w:t>
      </w:r>
      <w:r>
        <w:t>o</w:t>
      </w:r>
      <w:r>
        <w:t>porción de las personas registradas como desempleados (el 28%) cursó sólo la ens</w:t>
      </w:r>
      <w:r>
        <w:t>e</w:t>
      </w:r>
      <w:r>
        <w:t>ñanza básica o tiene un nivel de educación aún inferior; en tanto que entre las pe</w:t>
      </w:r>
      <w:r>
        <w:t>r</w:t>
      </w:r>
      <w:r>
        <w:t>sonas con empleo, sólo el 10,4% cursó la enseñanza básica únicamente.</w:t>
      </w:r>
    </w:p>
    <w:p w:rsidR="00000000" w:rsidRDefault="00000000">
      <w:pPr>
        <w:pStyle w:val="SingleTxt"/>
      </w:pPr>
      <w:r>
        <w:tab/>
        <w:t>En comparación con la población urbana, las mujeres y en particular los ho</w:t>
      </w:r>
      <w:r>
        <w:t>m</w:t>
      </w:r>
      <w:r>
        <w:t>bres de las zonas rurales trabajan más horas por semana, tanto los que trabajan a jornada parcial como los que lo hacen a jornada completa. Asimismo, la diferencia de horas semanales trabajadas por hombres y mujeres es mayor en las zonas rurales que en las urbanas.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br w:type="page"/>
      </w:r>
      <w:r>
        <w:rPr>
          <w:b w:val="0"/>
        </w:rPr>
        <w:t>Cuadro 14.1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Horas semanales promedio* trabajadas por género, lugar de residencia y trabajo a jornada completa o parcial, 1999 y 2002 (promedio anual, en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710"/>
        <w:gridCol w:w="813"/>
        <w:gridCol w:w="814"/>
        <w:gridCol w:w="83"/>
        <w:gridCol w:w="730"/>
        <w:gridCol w:w="814"/>
        <w:gridCol w:w="76"/>
        <w:gridCol w:w="737"/>
        <w:gridCol w:w="814"/>
        <w:gridCol w:w="69"/>
        <w:gridCol w:w="744"/>
        <w:gridCol w:w="814"/>
        <w:gridCol w:w="62"/>
        <w:gridCol w:w="751"/>
        <w:gridCol w:w="814"/>
      </w:tblGrid>
      <w:tr w:rsidR="00000000">
        <w:tblPrEx>
          <w:tblCellMar>
            <w:top w:w="0" w:type="dxa"/>
            <w:left w:w="0" w:type="dxa"/>
            <w:bottom w:w="0" w:type="dxa"/>
            <w:right w:w="0" w:type="dxa"/>
          </w:tblCellMar>
        </w:tblPrEx>
        <w:trPr>
          <w:cantSplit/>
          <w:tblHeader/>
        </w:trPr>
        <w:tc>
          <w:tcPr>
            <w:tcW w:w="1710" w:type="dxa"/>
            <w:tcBorders>
              <w:top w:val="single" w:sz="4" w:space="0" w:color="auto"/>
            </w:tcBorders>
            <w:vAlign w:val="bottom"/>
          </w:tcPr>
          <w:p w:rsidR="00000000" w:rsidRDefault="00000000">
            <w:pPr>
              <w:spacing w:before="80" w:after="80" w:line="160" w:lineRule="exact"/>
              <w:ind w:right="40"/>
              <w:rPr>
                <w:i/>
                <w:sz w:val="14"/>
              </w:rPr>
            </w:pPr>
          </w:p>
        </w:tc>
        <w:tc>
          <w:tcPr>
            <w:tcW w:w="3254" w:type="dxa"/>
            <w:gridSpan w:val="5"/>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Hombres</w:t>
            </w:r>
          </w:p>
        </w:tc>
        <w:tc>
          <w:tcPr>
            <w:tcW w:w="76" w:type="dxa"/>
            <w:tcBorders>
              <w:top w:val="single" w:sz="4" w:space="0" w:color="auto"/>
            </w:tcBorders>
            <w:vAlign w:val="bottom"/>
          </w:tcPr>
          <w:p w:rsidR="00000000" w:rsidRDefault="00000000">
            <w:pPr>
              <w:spacing w:before="80" w:after="80" w:line="160" w:lineRule="exact"/>
              <w:ind w:right="40"/>
              <w:jc w:val="right"/>
              <w:rPr>
                <w:i/>
                <w:sz w:val="14"/>
              </w:rPr>
            </w:pPr>
          </w:p>
        </w:tc>
        <w:tc>
          <w:tcPr>
            <w:tcW w:w="3178" w:type="dxa"/>
            <w:gridSpan w:val="5"/>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Mujeres</w:t>
            </w:r>
          </w:p>
        </w:tc>
        <w:tc>
          <w:tcPr>
            <w:tcW w:w="62" w:type="dxa"/>
            <w:tcBorders>
              <w:top w:val="single" w:sz="4" w:space="0" w:color="auto"/>
            </w:tcBorders>
            <w:vAlign w:val="bottom"/>
          </w:tcPr>
          <w:p w:rsidR="00000000" w:rsidRDefault="00000000">
            <w:pPr>
              <w:spacing w:before="80" w:after="80" w:line="160" w:lineRule="exact"/>
              <w:ind w:right="40"/>
              <w:jc w:val="right"/>
              <w:rPr>
                <w:i/>
                <w:sz w:val="14"/>
              </w:rPr>
            </w:pPr>
          </w:p>
        </w:tc>
        <w:tc>
          <w:tcPr>
            <w:tcW w:w="1565"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Diferencia respecto de los hombres, +/- horas</w:t>
            </w:r>
          </w:p>
        </w:tc>
      </w:tr>
      <w:tr w:rsidR="00000000">
        <w:tblPrEx>
          <w:tblCellMar>
            <w:top w:w="0" w:type="dxa"/>
            <w:left w:w="0" w:type="dxa"/>
            <w:bottom w:w="0" w:type="dxa"/>
            <w:right w:w="0" w:type="dxa"/>
          </w:tblCellMar>
        </w:tblPrEx>
        <w:trPr>
          <w:cantSplit/>
          <w:tblHeader/>
        </w:trPr>
        <w:tc>
          <w:tcPr>
            <w:tcW w:w="1710" w:type="dxa"/>
            <w:vAlign w:val="bottom"/>
          </w:tcPr>
          <w:p w:rsidR="00000000" w:rsidRDefault="00000000">
            <w:pPr>
              <w:spacing w:after="80" w:line="160" w:lineRule="exact"/>
              <w:ind w:right="40"/>
              <w:rPr>
                <w:i/>
                <w:sz w:val="14"/>
              </w:rPr>
            </w:pPr>
          </w:p>
        </w:tc>
        <w:tc>
          <w:tcPr>
            <w:tcW w:w="1627"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Semana normal</w:t>
            </w:r>
          </w:p>
        </w:tc>
        <w:tc>
          <w:tcPr>
            <w:tcW w:w="83" w:type="dxa"/>
            <w:tcBorders>
              <w:top w:val="single" w:sz="4" w:space="0" w:color="auto"/>
            </w:tcBorders>
            <w:vAlign w:val="bottom"/>
          </w:tcPr>
          <w:p w:rsidR="00000000" w:rsidRDefault="00000000">
            <w:pPr>
              <w:spacing w:after="80" w:line="160" w:lineRule="exact"/>
              <w:ind w:right="40"/>
              <w:jc w:val="right"/>
              <w:rPr>
                <w:i/>
                <w:sz w:val="14"/>
              </w:rPr>
            </w:pPr>
          </w:p>
        </w:tc>
        <w:tc>
          <w:tcPr>
            <w:tcW w:w="1544"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Semana del estudio</w:t>
            </w:r>
          </w:p>
        </w:tc>
        <w:tc>
          <w:tcPr>
            <w:tcW w:w="76" w:type="dxa"/>
            <w:vAlign w:val="bottom"/>
          </w:tcPr>
          <w:p w:rsidR="00000000" w:rsidRDefault="00000000">
            <w:pPr>
              <w:spacing w:after="80" w:line="160" w:lineRule="exact"/>
              <w:ind w:right="40"/>
              <w:jc w:val="right"/>
              <w:rPr>
                <w:i/>
                <w:sz w:val="14"/>
              </w:rPr>
            </w:pPr>
          </w:p>
        </w:tc>
        <w:tc>
          <w:tcPr>
            <w:tcW w:w="1551"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Semana normal</w:t>
            </w:r>
          </w:p>
        </w:tc>
        <w:tc>
          <w:tcPr>
            <w:tcW w:w="69" w:type="dxa"/>
            <w:tcBorders>
              <w:top w:val="single" w:sz="4" w:space="0" w:color="auto"/>
            </w:tcBorders>
            <w:vAlign w:val="bottom"/>
          </w:tcPr>
          <w:p w:rsidR="00000000" w:rsidRDefault="00000000">
            <w:pPr>
              <w:spacing w:after="80" w:line="160" w:lineRule="exact"/>
              <w:ind w:right="40"/>
              <w:jc w:val="right"/>
              <w:rPr>
                <w:i/>
                <w:sz w:val="14"/>
              </w:rPr>
            </w:pPr>
          </w:p>
        </w:tc>
        <w:tc>
          <w:tcPr>
            <w:tcW w:w="1558"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Semana del estudio</w:t>
            </w:r>
          </w:p>
        </w:tc>
        <w:tc>
          <w:tcPr>
            <w:tcW w:w="62" w:type="dxa"/>
            <w:vAlign w:val="bottom"/>
          </w:tcPr>
          <w:p w:rsidR="00000000" w:rsidRDefault="00000000">
            <w:pPr>
              <w:spacing w:after="80" w:line="160" w:lineRule="exact"/>
              <w:ind w:right="40"/>
              <w:jc w:val="right"/>
              <w:rPr>
                <w:i/>
                <w:sz w:val="14"/>
              </w:rPr>
            </w:pPr>
          </w:p>
        </w:tc>
        <w:tc>
          <w:tcPr>
            <w:tcW w:w="1565"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Semana de trabajo corriente</w:t>
            </w:r>
          </w:p>
        </w:tc>
      </w:tr>
      <w:tr w:rsidR="00000000">
        <w:tblPrEx>
          <w:tblCellMar>
            <w:top w:w="0" w:type="dxa"/>
            <w:left w:w="0" w:type="dxa"/>
            <w:bottom w:w="0" w:type="dxa"/>
            <w:right w:w="0" w:type="dxa"/>
          </w:tblCellMar>
        </w:tblPrEx>
        <w:trPr>
          <w:tblHeader/>
        </w:trPr>
        <w:tc>
          <w:tcPr>
            <w:tcW w:w="1710" w:type="dxa"/>
            <w:vAlign w:val="bottom"/>
          </w:tcPr>
          <w:p w:rsidR="00000000" w:rsidRDefault="00000000">
            <w:pPr>
              <w:spacing w:after="80" w:line="160" w:lineRule="exact"/>
              <w:ind w:right="40"/>
              <w:rPr>
                <w:i/>
                <w:sz w:val="14"/>
              </w:rPr>
            </w:pPr>
          </w:p>
        </w:tc>
        <w:tc>
          <w:tcPr>
            <w:tcW w:w="813" w:type="dxa"/>
            <w:tcBorders>
              <w:top w:val="single" w:sz="4" w:space="0" w:color="auto"/>
            </w:tcBorders>
            <w:vAlign w:val="bottom"/>
          </w:tcPr>
          <w:p w:rsidR="00000000" w:rsidRDefault="00000000">
            <w:pPr>
              <w:spacing w:after="80" w:line="160" w:lineRule="exact"/>
              <w:ind w:right="40"/>
              <w:jc w:val="right"/>
              <w:rPr>
                <w:i/>
                <w:sz w:val="14"/>
              </w:rPr>
            </w:pPr>
            <w:r>
              <w:rPr>
                <w:i/>
                <w:sz w:val="14"/>
              </w:rPr>
              <w:t>1999</w:t>
            </w:r>
          </w:p>
        </w:tc>
        <w:tc>
          <w:tcPr>
            <w:tcW w:w="814" w:type="dxa"/>
            <w:tcBorders>
              <w:top w:val="single" w:sz="4" w:space="0" w:color="auto"/>
            </w:tcBorders>
            <w:vAlign w:val="bottom"/>
          </w:tcPr>
          <w:p w:rsidR="00000000" w:rsidRDefault="00000000">
            <w:pPr>
              <w:spacing w:after="80" w:line="160" w:lineRule="exact"/>
              <w:ind w:right="40"/>
              <w:jc w:val="right"/>
              <w:rPr>
                <w:i/>
                <w:sz w:val="14"/>
              </w:rPr>
            </w:pPr>
            <w:r>
              <w:rPr>
                <w:i/>
                <w:sz w:val="14"/>
              </w:rPr>
              <w:t>2002</w:t>
            </w:r>
          </w:p>
        </w:tc>
        <w:tc>
          <w:tcPr>
            <w:tcW w:w="813" w:type="dxa"/>
            <w:gridSpan w:val="2"/>
            <w:vAlign w:val="bottom"/>
          </w:tcPr>
          <w:p w:rsidR="00000000" w:rsidRDefault="00000000">
            <w:pPr>
              <w:spacing w:after="80" w:line="160" w:lineRule="exact"/>
              <w:ind w:right="40"/>
              <w:jc w:val="right"/>
              <w:rPr>
                <w:i/>
                <w:sz w:val="14"/>
              </w:rPr>
            </w:pPr>
            <w:r>
              <w:rPr>
                <w:i/>
                <w:sz w:val="14"/>
              </w:rPr>
              <w:t>1999</w:t>
            </w:r>
          </w:p>
        </w:tc>
        <w:tc>
          <w:tcPr>
            <w:tcW w:w="814" w:type="dxa"/>
            <w:tcBorders>
              <w:top w:val="single" w:sz="4" w:space="0" w:color="auto"/>
            </w:tcBorders>
            <w:vAlign w:val="bottom"/>
          </w:tcPr>
          <w:p w:rsidR="00000000" w:rsidRDefault="00000000">
            <w:pPr>
              <w:spacing w:after="80" w:line="160" w:lineRule="exact"/>
              <w:ind w:right="40"/>
              <w:jc w:val="right"/>
              <w:rPr>
                <w:i/>
                <w:sz w:val="14"/>
              </w:rPr>
            </w:pPr>
            <w:r>
              <w:rPr>
                <w:i/>
                <w:sz w:val="14"/>
              </w:rPr>
              <w:t>2002</w:t>
            </w:r>
          </w:p>
        </w:tc>
        <w:tc>
          <w:tcPr>
            <w:tcW w:w="813" w:type="dxa"/>
            <w:gridSpan w:val="2"/>
            <w:vAlign w:val="bottom"/>
          </w:tcPr>
          <w:p w:rsidR="00000000" w:rsidRDefault="00000000">
            <w:pPr>
              <w:spacing w:after="80" w:line="160" w:lineRule="exact"/>
              <w:ind w:right="40"/>
              <w:jc w:val="right"/>
              <w:rPr>
                <w:i/>
                <w:sz w:val="14"/>
              </w:rPr>
            </w:pPr>
            <w:r>
              <w:rPr>
                <w:i/>
                <w:sz w:val="14"/>
              </w:rPr>
              <w:t>1999</w:t>
            </w:r>
          </w:p>
        </w:tc>
        <w:tc>
          <w:tcPr>
            <w:tcW w:w="814" w:type="dxa"/>
            <w:tcBorders>
              <w:top w:val="single" w:sz="4" w:space="0" w:color="auto"/>
            </w:tcBorders>
            <w:vAlign w:val="bottom"/>
          </w:tcPr>
          <w:p w:rsidR="00000000" w:rsidRDefault="00000000">
            <w:pPr>
              <w:spacing w:after="80" w:line="160" w:lineRule="exact"/>
              <w:ind w:right="40"/>
              <w:jc w:val="right"/>
              <w:rPr>
                <w:i/>
                <w:sz w:val="14"/>
              </w:rPr>
            </w:pPr>
            <w:r>
              <w:rPr>
                <w:i/>
                <w:sz w:val="14"/>
              </w:rPr>
              <w:t>2002</w:t>
            </w:r>
          </w:p>
        </w:tc>
        <w:tc>
          <w:tcPr>
            <w:tcW w:w="813" w:type="dxa"/>
            <w:gridSpan w:val="2"/>
            <w:vAlign w:val="bottom"/>
          </w:tcPr>
          <w:p w:rsidR="00000000" w:rsidRDefault="00000000">
            <w:pPr>
              <w:spacing w:after="80" w:line="160" w:lineRule="exact"/>
              <w:ind w:right="40"/>
              <w:jc w:val="right"/>
              <w:rPr>
                <w:i/>
                <w:sz w:val="14"/>
              </w:rPr>
            </w:pPr>
            <w:r>
              <w:rPr>
                <w:i/>
                <w:sz w:val="14"/>
              </w:rPr>
              <w:t>1999</w:t>
            </w:r>
          </w:p>
        </w:tc>
        <w:tc>
          <w:tcPr>
            <w:tcW w:w="814" w:type="dxa"/>
            <w:tcBorders>
              <w:top w:val="single" w:sz="4" w:space="0" w:color="auto"/>
            </w:tcBorders>
            <w:vAlign w:val="bottom"/>
          </w:tcPr>
          <w:p w:rsidR="00000000" w:rsidRDefault="00000000">
            <w:pPr>
              <w:spacing w:after="80" w:line="160" w:lineRule="exact"/>
              <w:ind w:right="40"/>
              <w:jc w:val="right"/>
              <w:rPr>
                <w:i/>
                <w:sz w:val="14"/>
              </w:rPr>
            </w:pPr>
            <w:r>
              <w:rPr>
                <w:i/>
                <w:sz w:val="14"/>
              </w:rPr>
              <w:t>2002</w:t>
            </w:r>
          </w:p>
        </w:tc>
        <w:tc>
          <w:tcPr>
            <w:tcW w:w="813" w:type="dxa"/>
            <w:gridSpan w:val="2"/>
            <w:vAlign w:val="bottom"/>
          </w:tcPr>
          <w:p w:rsidR="00000000" w:rsidRDefault="00000000">
            <w:pPr>
              <w:spacing w:after="80" w:line="160" w:lineRule="exact"/>
              <w:ind w:right="40"/>
              <w:jc w:val="right"/>
              <w:rPr>
                <w:i/>
                <w:sz w:val="14"/>
              </w:rPr>
            </w:pPr>
            <w:r>
              <w:rPr>
                <w:i/>
                <w:sz w:val="14"/>
              </w:rPr>
              <w:t>1999</w:t>
            </w:r>
          </w:p>
        </w:tc>
        <w:tc>
          <w:tcPr>
            <w:tcW w:w="814" w:type="dxa"/>
            <w:tcBorders>
              <w:top w:val="single" w:sz="4" w:space="0" w:color="auto"/>
            </w:tcBorders>
            <w:vAlign w:val="bottom"/>
          </w:tcPr>
          <w:p w:rsidR="00000000" w:rsidRDefault="00000000">
            <w:pPr>
              <w:spacing w:after="80"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1710" w:type="dxa"/>
            <w:tcBorders>
              <w:top w:val="single" w:sz="12" w:space="0" w:color="auto"/>
            </w:tcBorders>
            <w:vAlign w:val="bottom"/>
          </w:tcPr>
          <w:p w:rsidR="00000000" w:rsidRDefault="00000000">
            <w:pPr>
              <w:spacing w:before="40" w:after="40" w:line="210" w:lineRule="exact"/>
              <w:ind w:right="40"/>
              <w:rPr>
                <w:sz w:val="17"/>
              </w:rPr>
            </w:pPr>
          </w:p>
        </w:tc>
        <w:tc>
          <w:tcPr>
            <w:tcW w:w="813" w:type="dxa"/>
            <w:tcBorders>
              <w:top w:val="single" w:sz="12" w:space="0" w:color="auto"/>
            </w:tcBorders>
            <w:vAlign w:val="bottom"/>
          </w:tcPr>
          <w:p w:rsidR="00000000" w:rsidRDefault="00000000">
            <w:pPr>
              <w:spacing w:before="40" w:after="40" w:line="210" w:lineRule="exact"/>
              <w:ind w:right="40"/>
              <w:jc w:val="right"/>
              <w:rPr>
                <w:sz w:val="17"/>
              </w:rPr>
            </w:pPr>
          </w:p>
        </w:tc>
        <w:tc>
          <w:tcPr>
            <w:tcW w:w="814" w:type="dxa"/>
            <w:tcBorders>
              <w:top w:val="single" w:sz="12" w:space="0" w:color="auto"/>
            </w:tcBorders>
            <w:vAlign w:val="bottom"/>
          </w:tcPr>
          <w:p w:rsidR="00000000" w:rsidRDefault="00000000">
            <w:pPr>
              <w:spacing w:before="40" w:after="40" w:line="210" w:lineRule="exact"/>
              <w:ind w:right="40"/>
              <w:jc w:val="right"/>
              <w:rPr>
                <w:sz w:val="17"/>
              </w:rPr>
            </w:pPr>
          </w:p>
        </w:tc>
        <w:tc>
          <w:tcPr>
            <w:tcW w:w="813"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14" w:type="dxa"/>
            <w:tcBorders>
              <w:top w:val="single" w:sz="12" w:space="0" w:color="auto"/>
            </w:tcBorders>
            <w:vAlign w:val="bottom"/>
          </w:tcPr>
          <w:p w:rsidR="00000000" w:rsidRDefault="00000000">
            <w:pPr>
              <w:spacing w:before="40" w:after="40" w:line="210" w:lineRule="exact"/>
              <w:ind w:right="40"/>
              <w:jc w:val="right"/>
              <w:rPr>
                <w:sz w:val="17"/>
              </w:rPr>
            </w:pPr>
          </w:p>
        </w:tc>
        <w:tc>
          <w:tcPr>
            <w:tcW w:w="813"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14" w:type="dxa"/>
            <w:tcBorders>
              <w:top w:val="single" w:sz="12" w:space="0" w:color="auto"/>
            </w:tcBorders>
            <w:vAlign w:val="bottom"/>
          </w:tcPr>
          <w:p w:rsidR="00000000" w:rsidRDefault="00000000">
            <w:pPr>
              <w:spacing w:before="40" w:after="40" w:line="210" w:lineRule="exact"/>
              <w:ind w:right="40"/>
              <w:jc w:val="right"/>
              <w:rPr>
                <w:sz w:val="17"/>
              </w:rPr>
            </w:pPr>
          </w:p>
        </w:tc>
        <w:tc>
          <w:tcPr>
            <w:tcW w:w="813"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14" w:type="dxa"/>
            <w:tcBorders>
              <w:top w:val="single" w:sz="12" w:space="0" w:color="auto"/>
            </w:tcBorders>
            <w:vAlign w:val="bottom"/>
          </w:tcPr>
          <w:p w:rsidR="00000000" w:rsidRDefault="00000000">
            <w:pPr>
              <w:spacing w:before="40" w:after="40" w:line="210" w:lineRule="exact"/>
              <w:ind w:right="40"/>
              <w:jc w:val="right"/>
              <w:rPr>
                <w:sz w:val="17"/>
              </w:rPr>
            </w:pPr>
          </w:p>
        </w:tc>
        <w:tc>
          <w:tcPr>
            <w:tcW w:w="813"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14"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Total general</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Trabajo a jornada completa</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44,59</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43,10</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42,47</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40,98</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42,28</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41,52</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39,48</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38,77</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Trabajo a jornada parcial</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23,62</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22,18</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21,01</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19,45</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21,83</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22,21</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20,34</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19,40</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+0,03</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43,49</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42,11</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41,35</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39,96</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40,44</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39,15</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37,76</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36,39</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-3,05</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Zonas urbanas</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Trabajo a jornada completa</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44,02</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42,61</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41,94</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40,38</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41,70</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41,24</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39,16</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38,55</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-2,32</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Trabajo a jornada parcial</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23,67</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21,82</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21,72</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18,28</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21,83</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21,82</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20,35</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18,90</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-1,84</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0,00</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42,99</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41,61</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40,92</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39,32</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39,96</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38,94</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37,51</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36,22</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-3,03</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-2,67</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Zonas rurales</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Trabajo a jornada completa</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45,83</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44,25</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43,63</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42,38</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43,83</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42,36</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40,34</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39,41</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-1,89</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Trabajo a jornada parcial</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23,53</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23,08</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19,68</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22,33</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21,82</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23,20</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20,33</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20,67</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-1,71</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+0,12</w:t>
            </w:r>
          </w:p>
        </w:tc>
      </w:tr>
      <w:tr w:rsidR="00000000">
        <w:tblPrEx>
          <w:tblCellMar>
            <w:top w:w="0" w:type="dxa"/>
            <w:left w:w="0" w:type="dxa"/>
            <w:bottom w:w="0" w:type="dxa"/>
            <w:right w:w="0" w:type="dxa"/>
          </w:tblCellMar>
        </w:tblPrEx>
        <w:tc>
          <w:tcPr>
            <w:tcW w:w="17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44,56</w:t>
            </w:r>
          </w:p>
        </w:tc>
        <w:tc>
          <w:tcPr>
            <w:tcW w:w="81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43,28</w:t>
            </w:r>
          </w:p>
        </w:tc>
        <w:tc>
          <w:tcPr>
            <w:tcW w:w="81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42,26</w:t>
            </w:r>
          </w:p>
        </w:tc>
        <w:tc>
          <w:tcPr>
            <w:tcW w:w="81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41,46</w:t>
            </w:r>
          </w:p>
        </w:tc>
        <w:tc>
          <w:tcPr>
            <w:tcW w:w="81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41,73</w:t>
            </w:r>
          </w:p>
        </w:tc>
        <w:tc>
          <w:tcPr>
            <w:tcW w:w="81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39,77</w:t>
            </w:r>
          </w:p>
        </w:tc>
        <w:tc>
          <w:tcPr>
            <w:tcW w:w="81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38,43</w:t>
            </w:r>
          </w:p>
        </w:tc>
        <w:tc>
          <w:tcPr>
            <w:tcW w:w="81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36,88</w:t>
            </w:r>
          </w:p>
        </w:tc>
        <w:tc>
          <w:tcPr>
            <w:tcW w:w="81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-2,83</w:t>
            </w:r>
          </w:p>
        </w:tc>
        <w:tc>
          <w:tcPr>
            <w:tcW w:w="81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-3,51</w:t>
            </w:r>
          </w:p>
        </w:tc>
      </w:tr>
    </w:tbl>
    <w:p w:rsidR="00000000" w:rsidRDefault="00000000">
      <w:pPr>
        <w:pStyle w:val="Dual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Mano de Obra 1999, ESA, 1992, pág. 73; Mano de obra 2002, ESA, pág. 97.</w:t>
      </w:r>
    </w:p>
    <w:p w:rsidR="00000000" w:rsidRDefault="00000000">
      <w:pPr>
        <w:pStyle w:val="FootnoteText"/>
        <w:tabs>
          <w:tab w:val="clear" w:pos="418"/>
          <w:tab w:val="right" w:pos="216"/>
          <w:tab w:val="left" w:pos="288"/>
          <w:tab w:val="right" w:pos="576"/>
          <w:tab w:val="left" w:pos="648"/>
        </w:tabs>
        <w:ind w:left="288" w:hanging="288"/>
      </w:pPr>
      <w:r>
        <w:tab/>
        <w:t>*</w:t>
      </w:r>
      <w:r>
        <w:tab/>
        <w:t>La semana normal es una semana laboral típica en un período más prolongado; la semana del estudio son las horas reales trabajadas durante la encuesta sobre el empleo del tiempo; datos del segundo trimestre de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Según la información contenida en “Indicadores económicos de las empresas, 2001” de la Oficina de Estadística de Estonia, había 753 empresas agrícolas y de c</w:t>
      </w:r>
      <w:r>
        <w:t>a</w:t>
      </w:r>
      <w:r>
        <w:t>za activas en 2001, 50 menos que en 2000. Casi el 75% de las empresas empleaban menos de 20 personas; sólo 22 empresas tenían más de 100 empleados.</w:t>
      </w:r>
    </w:p>
    <w:p w:rsidR="00000000" w:rsidRDefault="00000000">
      <w:pPr>
        <w:pStyle w:val="SingleTxt"/>
      </w:pPr>
      <w:r>
        <w:tab/>
        <w:t>En el documento de política del Gobierno sobre empresas, “Empresarios en Estonia” se pone de relieve la necesidad de desarrollar el capital humano y respaldar la estructura a favor de la empresa, mejorar las posibilidades financieras, distribuir i</w:t>
      </w:r>
      <w:r>
        <w:t>n</w:t>
      </w:r>
      <w:r>
        <w:t>formación para empresas y reducir la burocracia.</w:t>
      </w:r>
    </w:p>
    <w:p w:rsidR="00000000" w:rsidRDefault="00000000">
      <w:pPr>
        <w:pStyle w:val="SingleTxt"/>
        <w:spacing w:after="0" w:line="120" w:lineRule="exact"/>
        <w:rPr>
          <w:b/>
          <w:i/>
          <w:sz w:val="10"/>
          <w:u w:val="single"/>
        </w:rPr>
      </w:pPr>
    </w:p>
    <w:p w:rsidR="00000000" w:rsidRDefault="00000000">
      <w:pPr>
        <w:pStyle w:val="SingleTxt"/>
        <w:spacing w:after="0" w:line="120" w:lineRule="exact"/>
        <w:rPr>
          <w:b/>
          <w:i/>
          <w:sz w:val="10"/>
          <w:u w:val="single"/>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Inversiones y estrategia de desarrollo regional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ab/>
        <w:t>En 2001 se emprendió en Estonia el programa de ingreso a la Unión Europea SAPARD. Con el objeto de resolver problemas que obstaculizaban el desarrollo r</w:t>
      </w:r>
      <w:r>
        <w:t>u</w:t>
      </w:r>
      <w:r>
        <w:t>ral, Estonia utilizó la financiación del programa SAPARD para aumentar la comp</w:t>
      </w:r>
      <w:r>
        <w:t>e</w:t>
      </w:r>
      <w:r>
        <w:t>titividad agrícola y desarrollar las condiciones de vida, las empresas y la infrae</w:t>
      </w:r>
      <w:r>
        <w:t>s</w:t>
      </w:r>
      <w:r>
        <w:t>tructura rurales. Se han apoyado los sectores del turismo rural, las artesanías y los servicios, la piscicultura y el cultivo de cigalas, y la producción de alimentos en em</w:t>
      </w:r>
      <w:r>
        <w:rPr>
          <w:spacing w:val="2"/>
          <w:w w:val="101"/>
        </w:rPr>
        <w:t>presas pequeñas (ámbitos empresariales en los que trabajan mujeres principalme</w:t>
      </w:r>
      <w:r>
        <w:rPr>
          <w:spacing w:val="2"/>
          <w:w w:val="101"/>
        </w:rPr>
        <w:t>n</w:t>
      </w:r>
      <w:r>
        <w:rPr>
          <w:spacing w:val="2"/>
          <w:w w:val="101"/>
        </w:rPr>
        <w:t>te).</w:t>
      </w:r>
    </w:p>
    <w:p w:rsidR="00000000" w:rsidRDefault="00000000">
      <w:pPr>
        <w:pStyle w:val="SingleTxt"/>
      </w:pPr>
      <w:r>
        <w:tab/>
        <w:t>En 2003 comenzaron a apoyarse iniciativas locales destinadas al desarrollo de las aldeas, con el objeto de facilitar el crecimiento de las aldeas, fomentar la inici</w:t>
      </w:r>
      <w:r>
        <w:t>a</w:t>
      </w:r>
      <w:r>
        <w:t>tiva y la cooperación cívicas, y mejorar la calidad de vida en las aldeas. Por eje</w:t>
      </w:r>
      <w:r>
        <w:t>m</w:t>
      </w:r>
      <w:r>
        <w:t>plo, se ha prestado apoyo a inversiones para instalaciones públicas y centros de i</w:t>
      </w:r>
      <w:r>
        <w:t>n</w:t>
      </w:r>
      <w:r>
        <w:t>formación con acceso a la Internet.</w:t>
      </w:r>
    </w:p>
    <w:p w:rsidR="00000000" w:rsidRDefault="00000000">
      <w:pPr>
        <w:pStyle w:val="SingleTxt"/>
      </w:pPr>
      <w:r>
        <w:tab/>
        <w:t>De conformidad con la estrategia estonia de desarrollo regional, el objetivo de esta política es lograr el equilibrio del desarrollo regional de modo que en todos los co</w:t>
      </w:r>
      <w:r>
        <w:t>n</w:t>
      </w:r>
      <w:r>
        <w:t>dados:</w:t>
      </w:r>
    </w:p>
    <w:p w:rsidR="00000000" w:rsidRDefault="00000000">
      <w:pPr>
        <w:pStyle w:val="SingleTxt"/>
      </w:pPr>
      <w:r>
        <w:tab/>
        <w:t>a)</w:t>
      </w:r>
      <w:r>
        <w:tab/>
        <w:t>La calidad media de vida no esté por debajo del 75% del promedio de Estonia;</w:t>
      </w:r>
    </w:p>
    <w:p w:rsidR="00000000" w:rsidRDefault="00000000">
      <w:pPr>
        <w:pStyle w:val="SingleTxt"/>
      </w:pPr>
      <w:r>
        <w:tab/>
        <w:t>b)</w:t>
      </w:r>
      <w:r>
        <w:tab/>
        <w:t>la tasa de desempleo no supere el promedio del país en más del 35%;</w:t>
      </w:r>
    </w:p>
    <w:p w:rsidR="00000000" w:rsidRDefault="00000000">
      <w:pPr>
        <w:pStyle w:val="SingleTxt"/>
      </w:pPr>
      <w:r>
        <w:tab/>
        <w:t>c)</w:t>
      </w:r>
      <w:r>
        <w:tab/>
        <w:t>el ingreso fiscal de los gobiernos locales no esté por debajo del 75% del promedio de Estonia (excluida la ciudad de Tallin).</w:t>
      </w:r>
    </w:p>
    <w:p w:rsidR="00000000" w:rsidRDefault="00000000">
      <w:pPr>
        <w:pStyle w:val="SingleTxt"/>
      </w:pPr>
      <w:r>
        <w:tab/>
        <w:t>A fin de mejorar la infraestructura y el nivel de vida rurales, en la Ley de des</w:t>
      </w:r>
      <w:r>
        <w:t>a</w:t>
      </w:r>
      <w:r>
        <w:t>rrollo rural y de reglamentación del mercado agrícola se establecen varias prestaci</w:t>
      </w:r>
      <w:r>
        <w:t>o</w:t>
      </w:r>
      <w:r>
        <w:t>nes en apoyo de los habitantes de zonas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2.</w:t>
      </w:r>
      <w:r>
        <w:rPr>
          <w:i/>
        </w:rPr>
        <w:tab/>
        <w:t>Los Estados partes adoptarán todas las medidas apropiadas para elim</w:t>
      </w:r>
      <w:r>
        <w:rPr>
          <w:i/>
        </w:rPr>
        <w:t>i</w:t>
      </w:r>
      <w:r>
        <w:rPr>
          <w:i/>
        </w:rPr>
        <w:t>nar la discriminación contra la mujer en las zonas rurales a fin de asegurar en condiciones de igualdad entre hombres y mujeres, su participación en el desarrollo r</w:t>
      </w:r>
      <w:r>
        <w:rPr>
          <w:i/>
        </w:rPr>
        <w:t>u</w:t>
      </w:r>
      <w:r>
        <w:rPr>
          <w:i/>
        </w:rPr>
        <w:t>ral y en sus beneficios, y en particular le asegurarán el derecho a:</w:t>
      </w:r>
    </w:p>
    <w:p w:rsidR="00000000" w:rsidRDefault="00000000">
      <w:pPr>
        <w:pStyle w:val="SingleTxt"/>
        <w:rPr>
          <w:i/>
        </w:rPr>
      </w:pPr>
      <w:r>
        <w:rPr>
          <w:i/>
        </w:rPr>
        <w:tab/>
        <w:t>a)</w:t>
      </w:r>
      <w:r>
        <w:rPr>
          <w:i/>
        </w:rPr>
        <w:tab/>
        <w:t>Participar en la elaboración y ejecución de los planes de desarrollo a todos los n</w:t>
      </w:r>
      <w:r>
        <w:rPr>
          <w:i/>
        </w:rPr>
        <w:t>i</w:t>
      </w:r>
      <w:r>
        <w:rPr>
          <w:i/>
        </w:rPr>
        <w:t>veles;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Pese a que, después de las últimas elecciones para concejos de gobierno local hay menos del 20% de mujeres jefas de gobierno local, las mujeres de las zonas r</w:t>
      </w:r>
      <w:r>
        <w:t>u</w:t>
      </w:r>
      <w:r>
        <w:t>rales ejercen influencia y promueven la vida rural, y participan en el proceso de formul</w:t>
      </w:r>
      <w:r>
        <w:t>a</w:t>
      </w:r>
      <w:r>
        <w:t>ción de decisiones.</w:t>
      </w:r>
    </w:p>
    <w:p w:rsidR="00000000" w:rsidRDefault="00000000">
      <w:pPr>
        <w:pStyle w:val="SingleTxt"/>
      </w:pPr>
      <w:r>
        <w:tab/>
        <w:t>En la planificación, la ejecución y la evaluación de estrategias políticas y pl</w:t>
      </w:r>
      <w:r>
        <w:t>a</w:t>
      </w:r>
      <w:r>
        <w:t>nes de acción nacionales, regionales e institucionales, los órganos de gobierno local deben tener en cuenta las distintas necesidades y la condición social de los hombres y las mujeres, y evaluar de qué forma las medidas adoptadas o por adoptarse afectan la situación de los hombres y las mujeres en la sociedad. Ambos géneros deben estar representados en los comités, los concejos y otros órganos colegiados de las oficinas de gobierno local.</w:t>
      </w:r>
    </w:p>
    <w:p w:rsidR="00000000" w:rsidRDefault="00000000">
      <w:pPr>
        <w:pStyle w:val="SingleTxt"/>
      </w:pPr>
      <w:r>
        <w:tab/>
        <w:t>Desde 2001 el Estado respalda la cooperación entre las organizaciones de m</w:t>
      </w:r>
      <w:r>
        <w:t>u</w:t>
      </w:r>
      <w:r>
        <w:t>jeres. Dos terceras partes de los proyectos financiados se destinaron de manera r</w:t>
      </w:r>
      <w:r>
        <w:t>e</w:t>
      </w:r>
      <w:r>
        <w:t>gular al apoyo de las organizaciones activas en las zonas rurales.</w:t>
      </w:r>
    </w:p>
    <w:p w:rsidR="00000000" w:rsidRDefault="00000000">
      <w:pPr>
        <w:pStyle w:val="SingleTxt"/>
      </w:pPr>
      <w:r>
        <w:tab/>
        <w:t>Según un estudio realizado en 2003 por la Red de organizaciones estonias sin fines de lucro, puede afirmarse que la población estonia cree firmemente que las personas deben participar en la resolución de los problemas locales y nacionales, y no dejarla en manos de los políticos, los funcionarios, el Parlamento o el Gobierno.</w:t>
      </w:r>
    </w:p>
    <w:p w:rsidR="00000000" w:rsidRDefault="00000000">
      <w:pPr>
        <w:pStyle w:val="SingleTxt"/>
      </w:pPr>
      <w:r>
        <w:tab/>
        <w:t>Una de las tareas más importantes de las asociaciones sin fines de lucro es r</w:t>
      </w:r>
      <w:r>
        <w:t>e</w:t>
      </w:r>
      <w:r>
        <w:t>presentar las opiniones de los grupos de intereses comunes e informar al público, movilizar las iniciativas cívicas y representar y mantener los valores democráticos.</w:t>
      </w:r>
    </w:p>
    <w:p w:rsidR="00000000" w:rsidRDefault="00000000">
      <w:pPr>
        <w:pStyle w:val="SingleTxt"/>
      </w:pPr>
      <w:r>
        <w:tab/>
        <w:t>Distintas asociaciones de mujeres, entre ellas la Asociación de Mujeres Rur</w:t>
      </w:r>
      <w:r>
        <w:t>a</w:t>
      </w:r>
      <w:r>
        <w:t>les de Estonia, la rama estonia de la Federación Internacional de Mujeres de Neg</w:t>
      </w:r>
      <w:r>
        <w:t>o</w:t>
      </w:r>
      <w:r>
        <w:t>cios y Profesionales, la Unión de Mujeres Estonias, la Liga de Defensa de la Mujer Estonia, así como asociaciones de mujeres de los partidos políticos, formaron una amplia red en Estonia. Las organizaciones de mujeres integran mesas redondas r</w:t>
      </w:r>
      <w:r>
        <w:t>e</w:t>
      </w:r>
      <w:r>
        <w:t>gionales de mujeres.</w:t>
      </w:r>
    </w:p>
    <w:p w:rsidR="00000000" w:rsidRDefault="00000000">
      <w:pPr>
        <w:pStyle w:val="SingleTxt"/>
      </w:pPr>
      <w:r>
        <w:tab/>
        <w:t xml:space="preserve">El Movimiento </w:t>
      </w:r>
      <w:r>
        <w:rPr>
          <w:i/>
        </w:rPr>
        <w:t>Kodukant</w:t>
      </w:r>
      <w:r>
        <w:t>, que moviliza las aldeas y ciudades pequeñas de E</w:t>
      </w:r>
      <w:r>
        <w:t>s</w:t>
      </w:r>
      <w:r>
        <w:t xml:space="preserve">tonia, es una unión de asociaciones sin fines de lucro fundada por 13 organizaciones en octubre de 1997. Actualmente el </w:t>
      </w:r>
      <w:r>
        <w:rPr>
          <w:i/>
        </w:rPr>
        <w:t>Kodukant</w:t>
      </w:r>
      <w:r>
        <w:t xml:space="preserve"> reúne 15 uniones de condado, tres n</w:t>
      </w:r>
      <w:r>
        <w:t>a</w:t>
      </w:r>
      <w:r>
        <w:t>cionales y siete organizaciones locales. El objetivo principal del movimiento es mantener y revitalizar el desarrollo armonioso de la vida rural y de las aldeas de Estonia, contribuir a ello y apoyar la economía rural, el movimiento a favor de las aldeas y la cu</w:t>
      </w:r>
      <w:r>
        <w:t>l</w:t>
      </w:r>
      <w:r>
        <w:t>tura nacional.</w:t>
      </w:r>
    </w:p>
    <w:p w:rsidR="00000000" w:rsidRDefault="00000000">
      <w:pPr>
        <w:pStyle w:val="SingleTxt"/>
      </w:pPr>
      <w:r>
        <w:tab/>
        <w:t>En 2003 se establecieron en todos los condados de Estonia organizaciones r</w:t>
      </w:r>
      <w:r>
        <w:t>e</w:t>
      </w:r>
      <w:r>
        <w:t xml:space="preserve">gionales de aldeas u organizaciones locales del </w:t>
      </w:r>
      <w:r>
        <w:rPr>
          <w:i/>
        </w:rPr>
        <w:t>Kodukant,</w:t>
      </w:r>
      <w:r>
        <w:t xml:space="preserve"> mayormente como resu</w:t>
      </w:r>
      <w:r>
        <w:t>l</w:t>
      </w:r>
      <w:r>
        <w:t>tado de iniciativas locales.</w:t>
      </w:r>
    </w:p>
    <w:p w:rsidR="00000000" w:rsidRDefault="00000000">
      <w:pPr>
        <w:pStyle w:val="SingleTxt"/>
      </w:pPr>
      <w:r>
        <w:tab/>
        <w:t xml:space="preserve">El presidente del movimiento </w:t>
      </w:r>
      <w:r>
        <w:rPr>
          <w:i/>
        </w:rPr>
        <w:t>Kodukant</w:t>
      </w:r>
      <w:r>
        <w:t xml:space="preserve"> es una mujer, y cinco otras mujeres y dos hombres integran la junta directiva. El movimiento tiene su propio boletín i</w:t>
      </w:r>
      <w:r>
        <w:t>n</w:t>
      </w:r>
      <w:r>
        <w:t>formativo, dirigido por una mujer. Los representantes del movimiento ante otras o</w:t>
      </w:r>
      <w:r>
        <w:t>r</w:t>
      </w:r>
      <w:r>
        <w:t>ganiz</w:t>
      </w:r>
      <w:r>
        <w:t>a</w:t>
      </w:r>
      <w:r>
        <w:t>ciones y fundaciones son en su mayoría mujeres.</w:t>
      </w:r>
    </w:p>
    <w:p w:rsidR="00000000" w:rsidRDefault="00000000">
      <w:pPr>
        <w:pStyle w:val="SingleTxt"/>
        <w:rPr>
          <w:spacing w:val="2"/>
          <w:w w:val="101"/>
        </w:rPr>
      </w:pPr>
      <w:r>
        <w:tab/>
        <w:t>Todos los años el movimiento participa cada vez más activamente en el proc</w:t>
      </w:r>
      <w:r>
        <w:t>e</w:t>
      </w:r>
      <w:r>
        <w:t>so de redacción de leyes y en la puesta en marcha de distintos programas nacionales y de la UE destinados a promover la vida rural, la cooperación con el grupo de tr</w:t>
      </w:r>
      <w:r>
        <w:t>a</w:t>
      </w:r>
      <w:r>
        <w:t xml:space="preserve">bajo parlamentario de iniciativas locales y otras organizaciones y ministerios. Hay </w:t>
      </w:r>
      <w:r>
        <w:rPr>
          <w:spacing w:val="2"/>
          <w:w w:val="101"/>
        </w:rPr>
        <w:t>asociaciones de mujeres de las zonas rurales que brindan información y capacit</w:t>
      </w:r>
      <w:r>
        <w:rPr>
          <w:spacing w:val="2"/>
          <w:w w:val="101"/>
        </w:rPr>
        <w:t>a</w:t>
      </w:r>
      <w:r>
        <w:rPr>
          <w:spacing w:val="2"/>
          <w:w w:val="101"/>
        </w:rPr>
        <w:t>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b)</w:t>
      </w:r>
      <w:r>
        <w:rPr>
          <w:i/>
        </w:rPr>
        <w:tab/>
        <w:t>Tener acceso a servicios adecuados de atención médica, inclusive info</w:t>
      </w:r>
      <w:r>
        <w:rPr>
          <w:i/>
        </w:rPr>
        <w:t>r</w:t>
      </w:r>
      <w:r>
        <w:rPr>
          <w:i/>
        </w:rPr>
        <w:t>mación, asesoramiento y servicios en materia de planificación de la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Este tema se analiza en el artículo 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c)</w:t>
      </w:r>
      <w:r>
        <w:rPr>
          <w:i/>
        </w:rPr>
        <w:tab/>
        <w:t>Beneficiarse directamente de los programas de seguridad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Además de los programas y planes de la seguridad social, que se aplican a las mujeres tanto de zonas urbanas como rurales, los gobiernos locales y las ciudades también ofrecen distintas prestaciones en virtud de la Ley de organización del g</w:t>
      </w:r>
      <w:r>
        <w:t>o</w:t>
      </w:r>
      <w:r>
        <w:t>bierno local y la Ley de presupuesto de municipios rurales y ciudades.</w:t>
      </w:r>
    </w:p>
    <w:p w:rsidR="00000000" w:rsidRDefault="00000000">
      <w:pPr>
        <w:pStyle w:val="SingleTxt"/>
        <w:suppressAutoHyphens/>
      </w:pPr>
      <w:r>
        <w:tab/>
        <w:t>Los agricultores también pueden solicitar apoyo financiero en calidad de compensación parcial por los gastos de servicios de asistencia agrícola a fin de contratar personal auxiliar para reemplazar a los productores agrícolas en sus tareas durante un período de vacaciones de hasta 28 días. Esta prestación puede solicitarse en los casos siguientes: un único propietario; una empresa privada o pública de responsabilidad limitada que tenga un único socio o accionista, que estén registrados como contribuyentes fiscales, trabajen en la esfera de la ganadería y hayan pagado un salario al empleado calificado que los reemplace (cuyas competencias se ajusten a las no</w:t>
      </w:r>
      <w:r>
        <w:t>r</w:t>
      </w:r>
      <w:r>
        <w:t>mas profesionales).</w:t>
      </w:r>
    </w:p>
    <w:p w:rsidR="00000000" w:rsidRDefault="00000000">
      <w:pPr>
        <w:pStyle w:val="SingleTxt"/>
      </w:pPr>
      <w:r>
        <w:tab/>
        <w:t>Una encuesta encargada por la Oficina del Ministro de Asuntos de Población y realizada por el departamento de sociología y políticas sociales de la Universidad de Tartu sobre el apoyo de los gobiernos locales a las familias con hijos reveló que la mayor parte de la asistencia estaba destinada a los gastos relacionados con la educ</w:t>
      </w:r>
      <w:r>
        <w:t>a</w:t>
      </w:r>
      <w:r>
        <w:t>ción (el 70%). Del apoyo total prestado para los niños, los servicios de guardería constituían el 21%, la enseñanza de pasatiempos el 7/% y el apoyo a familias locales el 2%.</w:t>
      </w:r>
    </w:p>
    <w:p w:rsidR="00000000" w:rsidRDefault="00000000">
      <w:pPr>
        <w:pStyle w:val="SingleTxt"/>
      </w:pPr>
      <w:r>
        <w:tab/>
        <w:t>El 25% de todos los gobiernos locales (59) apoyaba a las familias por medio del suministro de “material para niños pequeños” que consistía de productos para los recién nacidos. El 9% de los gobiernos locales ofrecía prestaciones a familias numerosas. El promedio de la prestación por hijo en las ciudades era de 512 coronas estonias, en tanto que en las zonas rurales era de 1.085 coronas. El promedio general de Estonia era 1.004 coronas.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d)</w:t>
      </w:r>
      <w:r>
        <w:rPr>
          <w:i/>
        </w:rPr>
        <w:tab/>
        <w:t>Obtener todos los tipos de educación y de formación, académica y no académica, incluidos los relacionados con la alfabetización funcional, así como, entre otros, los beneficios de todos los servicios comunitarios y de divulgación a fin de aumentar su capacidad técnica;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centros regionales de desarrollo ofrecen servicios de asesoramiento gr</w:t>
      </w:r>
      <w:r>
        <w:t>a</w:t>
      </w:r>
      <w:r>
        <w:t>tuito a empresas, tanto las que acaban de inician sus actividades como las que ya funcionan desde hace tiempo. Disponen de los mismos servicios para los gobiernos locales, las organizaciones sin fines de lucro que están en la etapa inicial y las fu</w:t>
      </w:r>
      <w:r>
        <w:t>n</w:t>
      </w:r>
      <w:r>
        <w:t>daciones. Los centros de desarrollo constituyen una red coordinada por la Fundación Empresaria de Estonia.</w:t>
      </w:r>
    </w:p>
    <w:p w:rsidR="00000000" w:rsidRDefault="00000000">
      <w:pPr>
        <w:pStyle w:val="SingleTxt"/>
      </w:pPr>
      <w:r>
        <w:tab/>
        <w:t>A fines de 2001, el Ministerio de Agricultura emprendió un proyecto destinado a mejorar la distribución de información y asesoramiento económico agrícola y rural (proyecto PIKK). En virtud del proyecto se establecieron un portal en la Internet (</w:t>
      </w:r>
      <w:hyperlink r:id="rId23" w:history="1">
        <w:r>
          <w:rPr>
            <w:rStyle w:val="Hyperlink"/>
          </w:rPr>
          <w:t>http://www.pikk.ee</w:t>
        </w:r>
      </w:hyperlink>
      <w:r>
        <w:t>) dirigido a todos los empresarios rurales, un sistema de distr</w:t>
      </w:r>
      <w:r>
        <w:t>i</w:t>
      </w:r>
      <w:r>
        <w:t>bución de la información y un centro de coordinación nacional y otros regionales. El sistema de distribución de información ayuda a los productores agrícolas y los e</w:t>
      </w:r>
      <w:r>
        <w:t>m</w:t>
      </w:r>
      <w:r>
        <w:t>presarios rurales a encontrar e interpretar la información, y transmite periódic</w:t>
      </w:r>
      <w:r>
        <w:t>a</w:t>
      </w:r>
      <w:r>
        <w:t>mente las necesidades en materia de información de los empresarios rurales al M</w:t>
      </w:r>
      <w:r>
        <w:t>i</w:t>
      </w:r>
      <w:r>
        <w:t>nisterio de Agricultura.</w:t>
      </w:r>
    </w:p>
    <w:p w:rsidR="00000000" w:rsidRDefault="00000000">
      <w:pPr>
        <w:pStyle w:val="SingleTxt"/>
      </w:pPr>
      <w:r>
        <w:tab/>
        <w:t xml:space="preserve">En 2003 la asamblea general del movimiento de aldeas y ciudades pequeñas </w:t>
      </w:r>
      <w:r>
        <w:rPr>
          <w:i/>
        </w:rPr>
        <w:t>Kodukant</w:t>
      </w:r>
      <w:r>
        <w:t xml:space="preserve"> fundó una institución educacional privada llamada “Centro de Capacit</w:t>
      </w:r>
      <w:r>
        <w:t>a</w:t>
      </w:r>
      <w:r>
        <w:t xml:space="preserve">ción </w:t>
      </w:r>
      <w:r>
        <w:rPr>
          <w:i/>
        </w:rPr>
        <w:t>Kodukant”</w:t>
      </w:r>
      <w:r>
        <w:t>, que funciona en varias regiones de Estonia. El Centro de Capacit</w:t>
      </w:r>
      <w:r>
        <w:t>a</w:t>
      </w:r>
      <w:r>
        <w:t>ción es una institución de formación para adultos y ofrece enseñanza en el empleo y no académica, se ocupa de todos los aspectos de la vida y la población rurales, y f</w:t>
      </w:r>
      <w:r>
        <w:t>a</w:t>
      </w:r>
      <w:r>
        <w:t>cilita la creación de condiciones de desarrollo rural integral.</w:t>
      </w:r>
    </w:p>
    <w:p w:rsidR="00000000" w:rsidRDefault="00000000">
      <w:pPr>
        <w:pStyle w:val="SingleTxt"/>
      </w:pPr>
      <w:r>
        <w:tab/>
        <w:t>Desde 2003 la Cámara Estonia de Agricultura y Comercio funciona como centro nacional de coordinación en Estonia. Con la dirección del centro de inform</w:t>
      </w:r>
      <w:r>
        <w:t>a</w:t>
      </w:r>
      <w:r>
        <w:t>ción vinculado con la Cámara, siguen funcionado los centros de coordinación regi</w:t>
      </w:r>
      <w:r>
        <w:t>o</w:t>
      </w:r>
      <w:r>
        <w:t>nales. En la mayoría de los condados también hay uniones de agricultores locales que actúan como centros de información. Además de suministrar información, estos centros organizan jornadas de capacitación para empresarios rurales. Todas estas oportunidades de recibir información y capacitación están dirigidas tanto a hombres c</w:t>
      </w:r>
      <w:r>
        <w:t>o</w:t>
      </w:r>
      <w:r>
        <w:t>mo a mujeres.</w:t>
      </w:r>
    </w:p>
    <w:p w:rsidR="00000000" w:rsidRDefault="00000000">
      <w:pPr>
        <w:pStyle w:val="SingleTxt"/>
      </w:pPr>
      <w:r>
        <w:tab/>
        <w:t>La Fundación Empresaria de Estonia acepta permanentemente solicitudes de subvenciones para asesoramiento. El objetivo de estas subvenciones es garantizar que los empresarios tengan la posibilidad de recibir asesoramiento empresarial de parte de consultores profesionales en condiciones favorables, respaldar el crec</w:t>
      </w:r>
      <w:r>
        <w:t>i</w:t>
      </w:r>
      <w:r>
        <w:t>miento de las empresas y la creación de nuevos empleos, suministrar a los empres</w:t>
      </w:r>
      <w:r>
        <w:t>a</w:t>
      </w:r>
      <w:r>
        <w:t>rios conocimientos especializados y ayudarles a encontrar nuevos mercados. Pueden solicitar estas subvenciones los propietarios únicos o empresas pequeñas o medianas inscritas en el registro económico estonio y en las que la participación gubern</w:t>
      </w:r>
      <w:r>
        <w:t>a</w:t>
      </w:r>
      <w:r>
        <w:t>mental o est</w:t>
      </w:r>
      <w:r>
        <w:t>a</w:t>
      </w:r>
      <w:r>
        <w:t>tal sea menor del 25%.</w:t>
      </w:r>
    </w:p>
    <w:p w:rsidR="00000000" w:rsidRDefault="00000000">
      <w:pPr>
        <w:pStyle w:val="SingleTxt"/>
      </w:pPr>
      <w:r>
        <w:tab/>
        <w:t>Aproximadamente de 2.000 a 2.500 productores agrícolas utilizan anualmente el servicio de asesoramiento agrícola. En 2003 había 96 asesores certificados para brindar el servicio de asesoramiento apoyado por el Estado.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e)</w:t>
      </w:r>
      <w:r>
        <w:rPr>
          <w:i/>
        </w:rPr>
        <w:tab/>
        <w:t>Organizar grupos de autoayuda y cooperativas a fin de obtener igualdad de acceso a las oportunidades económicas mediante el empleo por cuenta propia o por cuenta ajena;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14.2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Proporción de trabajadores remunerados, hombres y mujeres de 15 a 74 años, que participan en actividades agrícolas, de caza, silvicultura y pesca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610"/>
        <w:gridCol w:w="942"/>
        <w:gridCol w:w="942"/>
        <w:gridCol w:w="942"/>
        <w:gridCol w:w="942"/>
        <w:gridCol w:w="942"/>
      </w:tblGrid>
      <w:tr w:rsidR="00000000">
        <w:tblPrEx>
          <w:tblCellMar>
            <w:top w:w="0" w:type="dxa"/>
            <w:left w:w="0" w:type="dxa"/>
            <w:bottom w:w="0" w:type="dxa"/>
            <w:right w:w="0" w:type="dxa"/>
          </w:tblCellMar>
        </w:tblPrEx>
        <w:trPr>
          <w:cantSplit/>
          <w:tblHeader/>
        </w:trPr>
        <w:tc>
          <w:tcPr>
            <w:tcW w:w="7320" w:type="dxa"/>
            <w:gridSpan w:val="6"/>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Trabajadores remunerados de 15 a 74 años</w:t>
            </w:r>
          </w:p>
        </w:tc>
      </w:tr>
      <w:tr w:rsidR="00000000">
        <w:tblPrEx>
          <w:tblCellMar>
            <w:top w:w="0" w:type="dxa"/>
            <w:left w:w="0" w:type="dxa"/>
            <w:bottom w:w="0" w:type="dxa"/>
            <w:right w:w="0" w:type="dxa"/>
          </w:tblCellMar>
        </w:tblPrEx>
        <w:trPr>
          <w:tblHeader/>
        </w:trPr>
        <w:tc>
          <w:tcPr>
            <w:tcW w:w="261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942"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1999</w:t>
            </w:r>
          </w:p>
        </w:tc>
        <w:tc>
          <w:tcPr>
            <w:tcW w:w="942"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2000</w:t>
            </w:r>
          </w:p>
        </w:tc>
        <w:tc>
          <w:tcPr>
            <w:tcW w:w="942"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2001</w:t>
            </w:r>
          </w:p>
        </w:tc>
        <w:tc>
          <w:tcPr>
            <w:tcW w:w="942"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2002</w:t>
            </w:r>
          </w:p>
        </w:tc>
        <w:tc>
          <w:tcPr>
            <w:tcW w:w="942"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2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4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Hombres y mujeres</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25,6</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 caza y silvicultura</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Pesca</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Hombres</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18,9</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14,0</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 caza y silvicultura</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Pesca</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Mujeres</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 caza y silvicultura</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25,6</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w:t>
            </w:r>
          </w:p>
        </w:tc>
      </w:tr>
      <w:tr w:rsidR="00000000">
        <w:tblPrEx>
          <w:tblCellMar>
            <w:top w:w="0" w:type="dxa"/>
            <w:left w:w="0" w:type="dxa"/>
            <w:bottom w:w="0" w:type="dxa"/>
            <w:right w:w="0" w:type="dxa"/>
          </w:tblCellMar>
        </w:tblPrEx>
        <w:tc>
          <w:tcPr>
            <w:tcW w:w="2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Pesca</w:t>
            </w:r>
          </w:p>
        </w:tc>
        <w:tc>
          <w:tcPr>
            <w:tcW w:w="9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Oficina de Estadística de Estonia, </w:t>
      </w:r>
      <w:hyperlink r:id="rId24" w:history="1">
        <w:r>
          <w:rPr>
            <w:rStyle w:val="Hyperlink"/>
          </w:rPr>
          <w:t>www.stat.ee</w:t>
        </w:r>
      </w:hyperlink>
      <w:r>
        <w:t>.</w:t>
      </w:r>
    </w:p>
    <w:p w:rsidR="00000000" w:rsidRDefault="00000000">
      <w:pPr>
        <w:pStyle w:val="FootnoteText"/>
        <w:tabs>
          <w:tab w:val="clear" w:pos="418"/>
          <w:tab w:val="right" w:pos="1476"/>
          <w:tab w:val="left" w:pos="1548"/>
          <w:tab w:val="right" w:pos="1836"/>
          <w:tab w:val="left" w:pos="1908"/>
        </w:tabs>
        <w:ind w:left="1548" w:right="1267" w:hanging="288"/>
      </w:pPr>
      <w:r>
        <w:rPr>
          <w:i/>
        </w:rPr>
        <w:t>Nota:</w:t>
      </w:r>
      <w:r>
        <w:t xml:space="preserve"> Unidad de medida: miles, promedio anual.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14.3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Proporción de trabajadores, hombres y mujeres de 15 a 74 años, que participan en actividades agrícolas, de caza, silvicultura y pesca</w:t>
      </w:r>
    </w:p>
    <w:p w:rsidR="00000000" w:rsidRDefault="00000000">
      <w:pPr>
        <w:pStyle w:val="SingleTxt"/>
        <w:spacing w:after="0" w:line="120" w:lineRule="exact"/>
        <w:rPr>
          <w:b/>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610"/>
        <w:gridCol w:w="942"/>
        <w:gridCol w:w="942"/>
        <w:gridCol w:w="942"/>
        <w:gridCol w:w="942"/>
        <w:gridCol w:w="942"/>
      </w:tblGrid>
      <w:tr w:rsidR="00000000">
        <w:tblPrEx>
          <w:tblCellMar>
            <w:top w:w="0" w:type="dxa"/>
            <w:left w:w="0" w:type="dxa"/>
            <w:bottom w:w="0" w:type="dxa"/>
            <w:right w:w="0" w:type="dxa"/>
          </w:tblCellMar>
        </w:tblPrEx>
        <w:trPr>
          <w:cantSplit/>
          <w:tblHeader/>
        </w:trPr>
        <w:tc>
          <w:tcPr>
            <w:tcW w:w="7320" w:type="dxa"/>
            <w:gridSpan w:val="6"/>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Personas empleadas de 15 a 74 años</w:t>
            </w:r>
          </w:p>
        </w:tc>
      </w:tr>
      <w:tr w:rsidR="00000000">
        <w:tblPrEx>
          <w:tblCellMar>
            <w:top w:w="0" w:type="dxa"/>
            <w:left w:w="0" w:type="dxa"/>
            <w:bottom w:w="0" w:type="dxa"/>
            <w:right w:w="0" w:type="dxa"/>
          </w:tblCellMar>
        </w:tblPrEx>
        <w:trPr>
          <w:tblHeader/>
        </w:trPr>
        <w:tc>
          <w:tcPr>
            <w:tcW w:w="261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942"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1999</w:t>
            </w:r>
          </w:p>
        </w:tc>
        <w:tc>
          <w:tcPr>
            <w:tcW w:w="942"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2000</w:t>
            </w:r>
          </w:p>
        </w:tc>
        <w:tc>
          <w:tcPr>
            <w:tcW w:w="942"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2001</w:t>
            </w:r>
          </w:p>
        </w:tc>
        <w:tc>
          <w:tcPr>
            <w:tcW w:w="942"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2002</w:t>
            </w:r>
          </w:p>
        </w:tc>
        <w:tc>
          <w:tcPr>
            <w:tcW w:w="942"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2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4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Hombres y mujeres</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 caza y silvicultura</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43,9</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38,3</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37,3</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38,8</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34,4</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Pesca</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Hombres</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 caza y silvicultura</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27,3</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25,4</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26,5</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26,8</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Pesca</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Mujeres</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 caza y silvicultura</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c>
          <w:tcPr>
            <w:tcW w:w="9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r>
      <w:tr w:rsidR="00000000">
        <w:tblPrEx>
          <w:tblCellMar>
            <w:top w:w="0" w:type="dxa"/>
            <w:left w:w="0" w:type="dxa"/>
            <w:bottom w:w="0" w:type="dxa"/>
            <w:right w:w="0" w:type="dxa"/>
          </w:tblCellMar>
        </w:tblPrEx>
        <w:tc>
          <w:tcPr>
            <w:tcW w:w="2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Pesca</w:t>
            </w:r>
          </w:p>
        </w:tc>
        <w:tc>
          <w:tcPr>
            <w:tcW w:w="9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Oficina de Estadística de Estonia, </w:t>
      </w:r>
      <w:hyperlink r:id="rId25" w:history="1">
        <w:r>
          <w:rPr>
            <w:rStyle w:val="Hyperlink"/>
          </w:rPr>
          <w:t>www.stat.ee</w:t>
        </w:r>
      </w:hyperlink>
      <w:r>
        <w:t>.</w:t>
      </w:r>
    </w:p>
    <w:p w:rsidR="00000000" w:rsidRDefault="00000000">
      <w:pPr>
        <w:pStyle w:val="FootnoteText"/>
        <w:tabs>
          <w:tab w:val="clear" w:pos="418"/>
          <w:tab w:val="right" w:pos="1476"/>
          <w:tab w:val="left" w:pos="1548"/>
          <w:tab w:val="right" w:pos="1836"/>
          <w:tab w:val="left" w:pos="1908"/>
        </w:tabs>
        <w:ind w:left="1548" w:right="1267" w:hanging="288"/>
      </w:pPr>
      <w:r>
        <w:rPr>
          <w:i/>
        </w:rPr>
        <w:t>Nota:</w:t>
      </w:r>
      <w:r>
        <w:t xml:space="preserve"> Unidad de medida: miles, promedio anual.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f)</w:t>
      </w:r>
      <w:r>
        <w:rPr>
          <w:i/>
        </w:rPr>
        <w:tab/>
        <w:t>Participar en todas las actividades comunitarias;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Asociación de Mujeres Rurales de Estonia es la organización coordinadora de las mujeres rurales y desde 1996 funciona bajo la égida de la Federación de Agricultores Estonios. Hay una representante de cada condado estonio en la junta de la Asociación. La Asociación divulga entre el público información sobre los pr</w:t>
      </w:r>
      <w:r>
        <w:t>o</w:t>
      </w:r>
      <w:r>
        <w:t>blemas a que hacen frente las mujeres rurales, apoya la elección de mujeres a los concejos de gobierno local y a la junta de la Federación de Agricultores. La mayor parte de su labor se centra en actividades de capacitación destinadas al desarrollo personal, como seminarios de capacitación, viajes de estudio, seminarios sobre lid</w:t>
      </w:r>
      <w:r>
        <w:t>e</w:t>
      </w:r>
      <w:r>
        <w:t>razgo y el apoyo a las actividades de las asociaciones de mujeres rurales en las a</w:t>
      </w:r>
      <w:r>
        <w:t>l</w:t>
      </w:r>
      <w:r>
        <w:t>deas. Además de brindar información al público sobre el movimiento de mujeres r</w:t>
      </w:r>
      <w:r>
        <w:t>u</w:t>
      </w:r>
      <w:r>
        <w:t>rales estonias y la historia de la cultura agrícola, la organización también contribuye a la resolución de problemas sociales en las zonas rurales.</w:t>
      </w:r>
    </w:p>
    <w:p w:rsidR="00000000" w:rsidRDefault="00000000">
      <w:pPr>
        <w:pStyle w:val="SingleTxt"/>
      </w:pPr>
      <w:r>
        <w:tab/>
        <w:t>La organización tiene más de 700 miembros y publica su propio boletín. Ha colaborado a valorizar la vida en las zonas rurales y revitalizar la vida en las aldeas por medio de las actividades de las asociaciones, las actividades comunes, las co</w:t>
      </w:r>
      <w:r>
        <w:t>m</w:t>
      </w:r>
      <w:r>
        <w:t>petencias para el cuidado de los lugares públicos y el trabajo voluntario.</w:t>
      </w:r>
    </w:p>
    <w:p w:rsidR="00000000" w:rsidRDefault="00000000">
      <w:pPr>
        <w:pStyle w:val="SingleTxt"/>
        <w:suppressAutoHyphens/>
      </w:pPr>
      <w:r>
        <w:tab/>
        <w:t xml:space="preserve">El movimiento de aldeas y pequeños pueblos estonios </w:t>
      </w:r>
      <w:r>
        <w:rPr>
          <w:i/>
        </w:rPr>
        <w:t>Kodukant</w:t>
      </w:r>
      <w:r>
        <w:t xml:space="preserve"> mencionado anteriormente también apoya y promueve el movimiento de familias, mujeres y jóvenes.</w:t>
      </w:r>
    </w:p>
    <w:p w:rsidR="00000000" w:rsidRDefault="00000000">
      <w:pPr>
        <w:pStyle w:val="SingleTxt"/>
        <w:suppressAutoHyphens/>
      </w:pPr>
      <w:r>
        <w:tab/>
        <w:t>Además de participar en calidad de miembros en organizaciones de mujeres rurales, muchas mujeres también son miembros de otras organizaciones nacionales de muj</w:t>
      </w:r>
      <w:r>
        <w:t>e</w:t>
      </w:r>
      <w:r>
        <w:t>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g)</w:t>
      </w:r>
      <w:r>
        <w:rPr>
          <w:i/>
        </w:rPr>
        <w:tab/>
        <w:t>Obtener acceso a los créditos y préstamos agrícolas, a los servicios de comercialización y a las tecnologías apropiadas, y recibir un trato igual en los pl</w:t>
      </w:r>
      <w:r>
        <w:rPr>
          <w:i/>
        </w:rPr>
        <w:t>a</w:t>
      </w:r>
      <w:r>
        <w:rPr>
          <w:i/>
        </w:rPr>
        <w:t>nes de reforma agraria y de reasentamiento;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Ley de desarrollo rural y reglamentación del mercado agrícola prevé di</w:t>
      </w:r>
      <w:r>
        <w:t>s</w:t>
      </w:r>
      <w:r>
        <w:t>tintos tipos de apoyo estatal: tasas de interés preferenciales, capacitación, capacit</w:t>
      </w:r>
      <w:r>
        <w:t>a</w:t>
      </w:r>
      <w:r>
        <w:t>ción mediante pasantías, servicios de reemplazo laboral agrícola, actividades ec</w:t>
      </w:r>
      <w:r>
        <w:t>o</w:t>
      </w:r>
      <w:r>
        <w:t>nómicas conjuntas favorables a los productores agrícolas, etc.</w:t>
      </w:r>
    </w:p>
    <w:p w:rsidR="00000000" w:rsidRDefault="00000000">
      <w:pPr>
        <w:pStyle w:val="SingleTxt"/>
      </w:pPr>
      <w:r>
        <w:tab/>
        <w:t>Las asociaciones comerciales pueden solicitar asistencia a las actividades ec</w:t>
      </w:r>
      <w:r>
        <w:t>o</w:t>
      </w:r>
      <w:r>
        <w:t>nómicas conjuntas de productores agrícolas, si al menos cinco de sus integrantes son productores agrícolas y la esfera de actividad de la asociación comercial es la c</w:t>
      </w:r>
      <w:r>
        <w:t>o</w:t>
      </w:r>
      <w:r>
        <w:t>mercialización o la elaboración de productos agrícolas de sus miembros y la venta de productos agrícolas de la propia asociación, y de los activos fijos y circulantes nec</w:t>
      </w:r>
      <w:r>
        <w:t>e</w:t>
      </w:r>
      <w:r>
        <w:t>sarios para la producción agrícola.</w:t>
      </w:r>
    </w:p>
    <w:p w:rsidR="00000000" w:rsidRDefault="00000000">
      <w:pPr>
        <w:pStyle w:val="SingleTxt"/>
      </w:pPr>
      <w:r>
        <w:tab/>
        <w:t>En determinados ámbitos empresariales, la Fundación Empresaria de Estonia ofrece capital inicial a empresas fuera de Tallin que han estado en funcionamiento durante menos de un año.</w:t>
      </w:r>
    </w:p>
    <w:p w:rsidR="00000000" w:rsidRDefault="00000000">
      <w:pPr>
        <w:pStyle w:val="SingleTxt"/>
      </w:pPr>
      <w:r>
        <w:tab/>
        <w:t>El Estado ofrece capital inicial preferentemente a proyectos relacionados con la producción local y a la utilización de materia prima local, así como a proyectos destinados al desarrollo del sector del turismo. Se trata de la única medida estatal de apoyo empresarial en que se da preferencia a proyectos presentados por empresarias mujeres.</w:t>
      </w:r>
    </w:p>
    <w:p w:rsidR="00000000" w:rsidRDefault="00000000">
      <w:pPr>
        <w:pStyle w:val="SingleTxt"/>
      </w:pPr>
      <w:r>
        <w:tab/>
        <w:t>El apoyo puede alcanzar el 75% de las inversiones relacionadas con el pr</w:t>
      </w:r>
      <w:r>
        <w:t>o</w:t>
      </w:r>
      <w:r>
        <w:t>yecto, hasta un máximo de 100.000 coronas estonias por solicitud. En 2002 se di</w:t>
      </w:r>
      <w:r>
        <w:t>s</w:t>
      </w:r>
      <w:r>
        <w:t>tribuy</w:t>
      </w:r>
      <w:r>
        <w:t>e</w:t>
      </w:r>
      <w:r>
        <w:t>ron 8 millones de coronas en concepto de apoyo inicial.</w:t>
      </w:r>
    </w:p>
    <w:p w:rsidR="00000000" w:rsidRDefault="00000000">
      <w:pPr>
        <w:pStyle w:val="SingleTxt"/>
      </w:pPr>
      <w:r>
        <w:tab/>
        <w:t>El objetivo del Instituto de Desarrollo Rural es ayudar a los productores agr</w:t>
      </w:r>
      <w:r>
        <w:t>í</w:t>
      </w:r>
      <w:r>
        <w:t>colas y otras empresas de zonas rurales por medio de garantías para la obtención de préstamos de instituciones crediticias para el desarrollo de actividades económicas y la adquisición de tierras. En 2004 se tenía previsto otorgar préstamos por 180 mill</w:t>
      </w:r>
      <w:r>
        <w:t>o</w:t>
      </w:r>
      <w:r>
        <w:t>nes de coronas y otros 100 millones en concepto de garantías de préstamos.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h)</w:t>
      </w:r>
      <w:r>
        <w:rPr>
          <w:i/>
        </w:rPr>
        <w:tab/>
        <w:t>Gozar de condiciones de vida adecuadas, particularmente en las esferas de la vivienda, los servicios sanitarios, la electricidad y el abastecimiento de agua, el transporte y las comunicaciones.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mayor parte de las viviendas son de propiedad privada. Sólo el 4% de las vivie</w:t>
      </w:r>
      <w:r>
        <w:t>n</w:t>
      </w:r>
      <w:r>
        <w:t>das pertenecen al Estado y a los gobiernos locales.</w:t>
      </w:r>
    </w:p>
    <w:p w:rsidR="00000000" w:rsidRDefault="00000000">
      <w:pPr>
        <w:pStyle w:val="SingleTxt"/>
      </w:pPr>
      <w:r>
        <w:tab/>
        <w:t>En 2004 el Ministerio de Asuntos Sociales encomendó al Centro de Estudios de Políticas PRAXIS la realización de un proyecto de investigación sobre “Dispon</w:t>
      </w:r>
      <w:r>
        <w:t>i</w:t>
      </w:r>
      <w:r>
        <w:t>bilidad de viviendas para grupos de riesgo”. Los resultados del estudio indican que casi una tercera parte de las familias de Estonia viven en condiciones de pobreza o que no satisfacen sus necesidades de vivienda. El 1,2% de las familias reside en v</w:t>
      </w:r>
      <w:r>
        <w:t>i</w:t>
      </w:r>
      <w:r>
        <w:t>viendas que ni siquiera cumplen las normas mínimas, es decir, carecen de electric</w:t>
      </w:r>
      <w:r>
        <w:t>i</w:t>
      </w:r>
      <w:r>
        <w:t>dad, calefacción, agua potable y baños. El 23,3% de la población habita viviendas sin ducha, bañadera ni sauna, y con letrinas externas.</w:t>
      </w:r>
    </w:p>
    <w:p w:rsidR="00000000" w:rsidRDefault="00000000">
      <w:pPr>
        <w:pStyle w:val="SingleTxt"/>
      </w:pPr>
      <w:r>
        <w:tab/>
        <w:t>Los hogares en situación más desfavorecida en el mercado de la vivienda son los que tienen ingresos del 25% de la media estonia, los desempleados, las familias numerosas, las familias de un solo progenitor, las personas con discapacidad y las pe</w:t>
      </w:r>
      <w:r>
        <w:t>r</w:t>
      </w:r>
      <w:r>
        <w:t>sonas mayores (en particular las que viven solas).</w:t>
      </w:r>
    </w:p>
    <w:p w:rsidR="00000000" w:rsidRDefault="00000000">
      <w:pPr>
        <w:pStyle w:val="SingleTxt"/>
        <w:rPr>
          <w:lang w:val="es-ES_tradnl"/>
        </w:rPr>
      </w:pPr>
      <w:r>
        <w:rPr>
          <w:lang w:val="es-ES_tradnl"/>
        </w:rPr>
        <w:tab/>
        <w:t>Entre las funciones de los gobiernos locales figura la organización de la asi</w:t>
      </w:r>
      <w:r>
        <w:rPr>
          <w:lang w:val="es-ES_tradnl"/>
        </w:rPr>
        <w:t>s</w:t>
      </w:r>
      <w:r>
        <w:rPr>
          <w:lang w:val="es-ES_tradnl"/>
        </w:rPr>
        <w:t>tencia y los servicios sociales, los servicios de bienestar social para las personas mayores, el trabajo con los jóvenes, la vivienda y los servicios generales, el abast</w:t>
      </w:r>
      <w:r>
        <w:rPr>
          <w:lang w:val="es-ES_tradnl"/>
        </w:rPr>
        <w:t>e</w:t>
      </w:r>
      <w:r>
        <w:rPr>
          <w:lang w:val="es-ES_tradnl"/>
        </w:rPr>
        <w:t>cimiento de agua y el saneamiento, los servicios públicos y de esparcimiento, la planificación territorial, el transporte público en el municipio rural o la ciudad y el mantenimiento de los caminos del municipio rural o las calles de la ciudad.</w:t>
      </w:r>
    </w:p>
    <w:p w:rsidR="00000000" w:rsidRDefault="00000000">
      <w:pPr>
        <w:pStyle w:val="SingleTxt"/>
      </w:pPr>
      <w:r>
        <w:tab/>
        <w:t>Los gobiernos locales se ocupan de organizar la aplicación de la legislación sobre atención de la salud y la vigilancia de su cumplimiento, así como de la pr</w:t>
      </w:r>
      <w:r>
        <w:t>e</w:t>
      </w:r>
      <w:r>
        <w:t>vención de enfermedades y la promoción de la salud de la población del territorio del mun</w:t>
      </w:r>
      <w:r>
        <w:t>i</w:t>
      </w:r>
      <w:r>
        <w:t>cipio de que se trate.</w:t>
      </w:r>
    </w:p>
    <w:p w:rsidR="00000000" w:rsidRDefault="00000000">
      <w:pPr>
        <w:pStyle w:val="SingleTxt"/>
      </w:pPr>
      <w:r>
        <w:tab/>
        <w:t>Ha mejorado la situación de las conexiones telefónicas y las telecomunicaci</w:t>
      </w:r>
      <w:r>
        <w:t>o</w:t>
      </w:r>
      <w:r>
        <w:t xml:space="preserve">nes. Se ha emprendido el proyecto nacional </w:t>
      </w:r>
      <w:r>
        <w:rPr>
          <w:i/>
        </w:rPr>
        <w:t xml:space="preserve">Külatee </w:t>
      </w:r>
      <w:r>
        <w:t>(Caminos rurales), para el des</w:t>
      </w:r>
      <w:r>
        <w:t>a</w:t>
      </w:r>
      <w:r>
        <w:t>rrollo de las redes de comunicación de los condados. Parte de la finalidad del pr</w:t>
      </w:r>
      <w:r>
        <w:t>o</w:t>
      </w:r>
      <w:r>
        <w:t>yecto es establecer la conexión en línea por la Internet entre los gobiernos locales y la red n</w:t>
      </w:r>
      <w:r>
        <w:t>a</w:t>
      </w:r>
      <w:r>
        <w:t xml:space="preserve">cional </w:t>
      </w:r>
      <w:r>
        <w:rPr>
          <w:i/>
        </w:rPr>
        <w:t>Peatee</w:t>
      </w:r>
      <w:r>
        <w:t xml:space="preserve"> (Camino principal).</w:t>
      </w:r>
    </w:p>
    <w:p w:rsidR="00000000" w:rsidRDefault="00000000">
      <w:pPr>
        <w:pStyle w:val="SingleTxt"/>
      </w:pPr>
      <w:r>
        <w:tab/>
        <w:t>Las encuestas sobre el uso de la Internet de TNS Emor indican que el 52% de los estonios de 6 a 74 años utilizan la Internet, es decir que la comunidad total de usuarios de la Internet asciende a 621.000 personas. Se garantiza el acceso a la I</w:t>
      </w:r>
      <w:r>
        <w:t>n</w:t>
      </w:r>
      <w:r>
        <w:t>ternet por medio de puntos de acceso públicos y de las bibliotecas públicas.</w:t>
      </w:r>
    </w:p>
    <w:p w:rsidR="00000000" w:rsidRDefault="00000000">
      <w:pPr>
        <w:pStyle w:val="SingleTxt"/>
      </w:pPr>
      <w:r>
        <w:tab/>
        <w:t>El proyecto “</w:t>
      </w:r>
      <w:r>
        <w:rPr>
          <w:i/>
        </w:rPr>
        <w:t>Vaata maailma</w:t>
      </w:r>
      <w:r>
        <w:t>” (“Mirar@mundo”), que funcionó durante dos años, surgió de la cooperación entre empresas estonias y el Estado con la finalidad de incrementar significativamente el número de personas que utilizan la Internet y así mejorar la calidad de vida del pueblo estonio. Entre el 24 de abril de 2002 y el 31 de marzo de 2004 se impartieron 11.693 cursos de capacitación en toda Estonia con la participación de 102.697 personas, la mayoría de éstas mujeres (</w:t>
      </w:r>
      <w:hyperlink r:id="rId26" w:history="1">
        <w:r>
          <w:rPr>
            <w:rStyle w:val="Hyperlink"/>
          </w:rPr>
          <w:t>www.vaatamaailma.ee</w:t>
        </w:r>
      </w:hyperlink>
      <w:r>
        <w:t>). En virtud del proyecto Mirar@mundo el 10% de la pobl</w:t>
      </w:r>
      <w:r>
        <w:t>a</w:t>
      </w:r>
      <w:r>
        <w:t>ción adulta de Estonia adquirió información sobre el uso de la Internet.</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15</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ab/>
        <w:t>1.</w:t>
      </w:r>
      <w:r>
        <w:rPr>
          <w:i/>
        </w:rPr>
        <w:tab/>
        <w:t>Los Estados partes reconocerán a la mujer la igualdad con el hombre ante la ley.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Con excepción de la entrada en vigor de la Ley sobre la igualdad de género el 1° de mayo de 2004, no ha habido cambios respecto del informe anterior.</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keepNext/>
        <w:keepLines/>
        <w:rPr>
          <w:i/>
        </w:rPr>
      </w:pPr>
      <w:r>
        <w:rPr>
          <w:i/>
        </w:rPr>
        <w:tab/>
        <w:t>2.</w:t>
      </w:r>
      <w:r>
        <w:rPr>
          <w:i/>
        </w:rPr>
        <w:tab/>
        <w:t>Los Estados partes reconocerán a la mujer, en materias civiles, una c</w:t>
      </w:r>
      <w:r>
        <w:rPr>
          <w:i/>
        </w:rPr>
        <w:t>a</w:t>
      </w:r>
      <w:r>
        <w:rPr>
          <w:i/>
        </w:rPr>
        <w:t>pacidad jurídica idéntica a la del hombre y las mismas oportunidades para el eje</w:t>
      </w:r>
      <w:r>
        <w:rPr>
          <w:i/>
        </w:rPr>
        <w:t>r</w:t>
      </w:r>
      <w:r>
        <w:rPr>
          <w:i/>
        </w:rPr>
        <w:t>cicio de esa capacidad. En particular, le reconocerán a la mujer iguales derechos para firmar contratos y administrar bienes y le dispensarán un trato igual en todas las etapas del procedimiento en las cortes de justicia y los trib</w:t>
      </w:r>
      <w:r>
        <w:rPr>
          <w:i/>
        </w:rPr>
        <w:t>u</w:t>
      </w:r>
      <w:r>
        <w:rPr>
          <w:i/>
        </w:rPr>
        <w:t>nales.</w:t>
      </w:r>
    </w:p>
    <w:p w:rsidR="00000000" w:rsidRDefault="00000000">
      <w:pPr>
        <w:pStyle w:val="SingleTxt"/>
        <w:keepNext/>
        <w:keepLines/>
        <w:spacing w:after="0" w:line="120" w:lineRule="exact"/>
        <w:rPr>
          <w:b/>
          <w:i/>
          <w:sz w:val="10"/>
          <w:u w:val="single"/>
        </w:rPr>
      </w:pPr>
    </w:p>
    <w:p w:rsidR="00000000" w:rsidRDefault="00000000">
      <w:pPr>
        <w:pStyle w:val="SingleTxt"/>
        <w:keepNext/>
        <w:keepLines/>
        <w:spacing w:after="0" w:line="120" w:lineRule="exact"/>
        <w:rPr>
          <w:b/>
          <w:i/>
          <w:sz w:val="10"/>
          <w:u w:val="single"/>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capacidad jurídica en materia civil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1° de julio de 2002 entró en vigor la nueva Ley sobre principios generales del Código Civil en virtud de la cual toda persona física tiene capacidad jurídica p</w:t>
      </w:r>
      <w:r>
        <w:t>a</w:t>
      </w:r>
      <w:r>
        <w:t>siva general e ilimitada.</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Celebración de acuerdos</w:t>
      </w:r>
    </w:p>
    <w:p w:rsidR="00000000" w:rsidRDefault="00000000">
      <w:pPr>
        <w:pStyle w:val="SingleTxt"/>
        <w:spacing w:after="0" w:line="120" w:lineRule="exact"/>
        <w:rPr>
          <w:sz w:val="10"/>
        </w:rPr>
      </w:pPr>
    </w:p>
    <w:p w:rsidR="00000000" w:rsidRDefault="00000000">
      <w:pPr>
        <w:pStyle w:val="SingleTxt"/>
      </w:pPr>
      <w:r>
        <w:tab/>
        <w:t>Los principios relacionados con la celebración de acuerdos no han sufrido m</w:t>
      </w:r>
      <w:r>
        <w:t>o</w:t>
      </w:r>
      <w:r>
        <w:t>dific</w:t>
      </w:r>
      <w:r>
        <w:t>a</w:t>
      </w:r>
      <w:r>
        <w:t>ciones respecto del informe anterior.</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Administración de bienes</w:t>
      </w:r>
    </w:p>
    <w:p w:rsidR="00000000" w:rsidRDefault="00000000">
      <w:pPr>
        <w:pStyle w:val="SingleTxt"/>
        <w:spacing w:after="0" w:line="120" w:lineRule="exact"/>
        <w:rPr>
          <w:sz w:val="10"/>
        </w:rPr>
      </w:pPr>
    </w:p>
    <w:p w:rsidR="00000000" w:rsidRDefault="00000000">
      <w:pPr>
        <w:pStyle w:val="SingleTxt"/>
      </w:pPr>
      <w:r>
        <w:tab/>
        <w:t>Las disposiciones relacionadas con los derechos de la mujer en lo que atañe a la a</w:t>
      </w:r>
      <w:r>
        <w:t>d</w:t>
      </w:r>
      <w:r>
        <w:t>ministración de bienes no han sufrido modificaciones.</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Tratamiento de todas las instancias en los tribunales</w:t>
      </w:r>
    </w:p>
    <w:p w:rsidR="00000000" w:rsidRDefault="00000000">
      <w:pPr>
        <w:pStyle w:val="SingleTxt"/>
        <w:spacing w:after="0" w:line="120" w:lineRule="exact"/>
        <w:rPr>
          <w:b/>
          <w:i/>
          <w:sz w:val="10"/>
          <w:u w:val="single"/>
        </w:rPr>
      </w:pPr>
    </w:p>
    <w:p w:rsidR="00000000" w:rsidRDefault="00000000">
      <w:pPr>
        <w:pStyle w:val="SingleTxt"/>
        <w:spacing w:after="0" w:line="120" w:lineRule="exact"/>
        <w:rPr>
          <w:b/>
          <w:sz w:val="10"/>
          <w:u w:val="single"/>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Actuación como juez</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 conformidad con la Ley de los tribunales, que entró en vigor el 29 de julio de 2002, todo ciudadano estonio que haya aprobado un programa de estudio acad</w:t>
      </w:r>
      <w:r>
        <w:t>é</w:t>
      </w:r>
      <w:r>
        <w:t>mico reconocido, tenga perfecto dominio del idioma estonio, tenga valores morales elevados y posea las competencias y las características personales necesarias para actuar como juez, podrá ser nombrado para el cargo. La aptitud de las características pe</w:t>
      </w:r>
      <w:r>
        <w:t>r</w:t>
      </w:r>
      <w:r>
        <w:t>sonales de un candidato a juez será evaluada en una entrevista.</w:t>
      </w:r>
    </w:p>
    <w:p w:rsidR="00000000" w:rsidRDefault="00000000">
      <w:pPr>
        <w:pStyle w:val="SingleTxt"/>
      </w:pPr>
      <w:r>
        <w:tab/>
        <w:t>Al 4 de noviembre de 2004 había en Estonia 238 jueces, de los cuales 151 eran mujeres. De los 175 jueces de primera instancia, 121 eran mujeres; de los 44 jueces de segunda instancia, 27 eran mujeres; y de los 19 jueces del Tribunal Supremo, tres eran mujeres.</w:t>
      </w:r>
    </w:p>
    <w:p w:rsidR="00000000" w:rsidRDefault="00000000">
      <w:pPr>
        <w:pStyle w:val="SingleTxt"/>
        <w:spacing w:after="0" w:line="120" w:lineRule="exact"/>
        <w:rPr>
          <w:b/>
          <w:i/>
          <w:sz w:val="10"/>
          <w:u w:val="single"/>
        </w:rPr>
      </w:pPr>
    </w:p>
    <w:p w:rsidR="00000000" w:rsidRDefault="00000000">
      <w:pPr>
        <w:pStyle w:val="SingleTxt"/>
        <w:spacing w:after="0" w:line="120" w:lineRule="exact"/>
        <w:rPr>
          <w:b/>
          <w:i/>
          <w:sz w:val="10"/>
          <w:u w:val="single"/>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Actuación como juez lego</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En virtud de la Ley de los tribunales, los jueces legos participan en la adm</w:t>
      </w:r>
      <w:r>
        <w:t>i</w:t>
      </w:r>
      <w:r>
        <w:t>nistración de justicia en los tribunales de los condados y las ciudades sobre la base de los códigos de procedimiento de los tribunales y de conformidad con éstos. Así pues, los jueces legos tienen los mismos derechos que un juez en la administración de justicia. Todo ciudadano estonio de 25 a 70 años con capacidad jurídica activa, que resida en Estonia, tenga perfecto dominio del idioma estonio, tenga valores m</w:t>
      </w:r>
      <w:r>
        <w:t>o</w:t>
      </w:r>
      <w:r>
        <w:t>rales elevados necesarios para actuar como juez lego, podrá ser designado para el cargo. Las siguientes condiciones inhabilitan a una persona a ser nombrada juez l</w:t>
      </w:r>
      <w:r>
        <w:t>e</w:t>
      </w:r>
      <w:r>
        <w:t>go: que haya sido condenada por un delito; que esté en quiebra; que no esté capac</w:t>
      </w:r>
      <w:r>
        <w:t>i</w:t>
      </w:r>
      <w:r>
        <w:t>tada por razones de salud; que trabaje en los tribunales, la oficina de la fiscalía o la policía; que sea miembro de las fuerzas armadas; que sea abogado, notario o algu</w:t>
      </w:r>
      <w:r>
        <w:t>a</w:t>
      </w:r>
      <w:r>
        <w:t xml:space="preserve">cil; que sea miembro del Gobierno de la República; que sea miembro del gobierno de un municipio rural o de una ciudad; que sea el Presidente de la República; o que sea miembro del </w:t>
      </w:r>
      <w:r>
        <w:rPr>
          <w:i/>
        </w:rPr>
        <w:t>Riigikogu</w:t>
      </w:r>
      <w:r>
        <w:t xml:space="preserve"> o gobernador de condado. Una persona acusada de un delito no podrá actuar como juez lego durante los procedimientos judiciales. Se nombra los jueces legos por cuatro años.</w:t>
      </w:r>
    </w:p>
    <w:p w:rsidR="00000000" w:rsidRDefault="00000000">
      <w:pPr>
        <w:pStyle w:val="SingleTxt"/>
        <w:spacing w:after="0" w:line="120" w:lineRule="exact"/>
        <w:rPr>
          <w:b/>
          <w:i/>
          <w:sz w:val="10"/>
          <w:u w:val="single"/>
        </w:rPr>
      </w:pPr>
    </w:p>
    <w:p w:rsidR="00000000" w:rsidRDefault="00000000">
      <w:pPr>
        <w:pStyle w:val="SingleTxt"/>
        <w:spacing w:after="0" w:line="120" w:lineRule="exact"/>
        <w:rPr>
          <w:b/>
          <w:i/>
          <w:sz w:val="10"/>
          <w:u w:val="single"/>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Actuación como representante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Desde la presentación del informe anterior, se ha aprobado una nueva Ley del Colegio de Abogados. A continuación se describen las nuevas disposiciones más importantes de esta Ley. La información que figura en el informe anterior mantiene su v</w:t>
      </w:r>
      <w:r>
        <w:t>a</w:t>
      </w:r>
      <w:r>
        <w:t>lidez.</w:t>
      </w:r>
    </w:p>
    <w:p w:rsidR="00000000" w:rsidRDefault="00000000">
      <w:pPr>
        <w:pStyle w:val="SingleTxt"/>
      </w:pPr>
      <w:r>
        <w:tab/>
        <w:t>Toda persona que reúna los requisitos establecidos por la Ley del Colegio de Abogados y que haya aprobado un examen de derecho podrá ser miembro del Col</w:t>
      </w:r>
      <w:r>
        <w:t>e</w:t>
      </w:r>
      <w:r>
        <w:t>gio de Abogados. Sólo los miembros del Colegio de Abogados Estonios pueden prestar servicios jurídicos como abogados en Estonia, a menos que se disponga lo contrario por ley. Las condiciones de admisión al Colegio de Abogados son tener capacidad jurídica activa; residir en Estonia, ser nacional estonio o de un Estado miembro de la Unión Europea; haber aprobado un plan de estudios académico rec</w:t>
      </w:r>
      <w:r>
        <w:t>o</w:t>
      </w:r>
      <w:r>
        <w:t>nocido; dominar el idioma estonio escrito y oral; y ser honesto y de altos valores morales. Para ser aceptada, la persona debe presentar una solicitud por escrito y aprobar un examen de derecho. Los nuevos miembros son aceptados por medio de una resolución de la Junta Directiva.</w:t>
      </w:r>
    </w:p>
    <w:p w:rsidR="00000000" w:rsidRDefault="00000000">
      <w:pPr>
        <w:pStyle w:val="SingleTxt"/>
      </w:pPr>
      <w:r>
        <w:tab/>
        <w:t>En octubre de 2004, el Colegio de Abogados Estonios tenía 445 miembros, de los cuales 155 eran mujeres.</w:t>
      </w:r>
    </w:p>
    <w:p w:rsidR="00000000" w:rsidRDefault="00000000">
      <w:pPr>
        <w:pStyle w:val="SingleTxt"/>
        <w:spacing w:after="0" w:line="120" w:lineRule="exact"/>
        <w:rPr>
          <w:b/>
          <w:i/>
          <w:sz w:val="10"/>
          <w:u w:val="single"/>
        </w:rPr>
      </w:pPr>
    </w:p>
    <w:p w:rsidR="00000000" w:rsidRDefault="00000000">
      <w:pPr>
        <w:pStyle w:val="SingleTxt"/>
        <w:spacing w:after="0" w:line="120" w:lineRule="exact"/>
        <w:rPr>
          <w:b/>
          <w:i/>
          <w:sz w:val="10"/>
          <w:u w:val="single"/>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Actuación como fiscal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virtud de la Ley sobre la función de fiscal, todo ciudadano estonio con c</w:t>
      </w:r>
      <w:r>
        <w:t>a</w:t>
      </w:r>
      <w:r>
        <w:t>pacidad jurídica activa que haya cumplido 21 años de edad, haya concluido una educación académica superior en derecho, sea competente en el idioma estonio en la medida prevista o exigida en la ley, tenga antecedentes morales altos y la capacidad y características personales necesarias, puede ser nombrado Fiscal Público Jefe, fi</w:t>
      </w:r>
      <w:r>
        <w:t>s</w:t>
      </w:r>
      <w:r>
        <w:t>cal público encargado, fiscal encargado, fiscal público, fiscal superior, fiscal esp</w:t>
      </w:r>
      <w:r>
        <w:t>e</w:t>
      </w:r>
      <w:r>
        <w:t>cialista o fiscal de distrito. La misma Ley también establece algunas restricciones; según ella no puede ser nombrada fiscal la persona que haya sido condenada por un delito cometido intencionalmente, que haya sido despedida de un cargo público por una falta disciplinaria; que haya sido excluida del Colegio de Abogados Estonios o expulsada de la profesión notarial; la persona vinculada estrechamente por consa</w:t>
      </w:r>
      <w:r>
        <w:t>n</w:t>
      </w:r>
      <w:r>
        <w:t>guinidad (padre o madre, hermano o hermana, hijo o hija) o por el matrimonio (có</w:t>
      </w:r>
      <w:r>
        <w:t>n</w:t>
      </w:r>
      <w:r>
        <w:t>yuge, o padre o madre, hermano o hermana, hijo o hija del cónyuge) con el fiscal a quien esté subordinada directamente; o la persona que por su estado de salud no esté en condiciones de trabajar como fiscal. En caso de dudas, una junta médica determ</w:t>
      </w:r>
      <w:r>
        <w:t>i</w:t>
      </w:r>
      <w:r>
        <w:t>nará el estado de salud de la persona interesada.</w:t>
      </w:r>
    </w:p>
    <w:p w:rsidR="00000000" w:rsidRDefault="00000000">
      <w:pPr>
        <w:pStyle w:val="SingleTxt"/>
      </w:pPr>
      <w:r>
        <w:tab/>
        <w:t>En Estonia, de los 192 fiscales, el 75% son mujeres.</w:t>
      </w:r>
    </w:p>
    <w:p w:rsidR="00000000" w:rsidRDefault="00000000">
      <w:pPr>
        <w:pStyle w:val="SingleTxt"/>
        <w:spacing w:after="0" w:line="120" w:lineRule="exact"/>
        <w:rPr>
          <w:b/>
          <w:i/>
          <w:sz w:val="10"/>
          <w:u w:val="single"/>
        </w:rPr>
      </w:pPr>
    </w:p>
    <w:p w:rsidR="00000000" w:rsidRDefault="00000000">
      <w:pPr>
        <w:pStyle w:val="SingleTxt"/>
        <w:spacing w:after="0" w:line="120" w:lineRule="exact"/>
        <w:rPr>
          <w:b/>
          <w:i/>
          <w:sz w:val="10"/>
          <w:u w:val="single"/>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Actuación como parte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Además de la información incluida en el informe anterior, en el Código de Procedimiento Civil se dispone claramente que todas las personas son iguales ante la ley y los tribunales en la administración de justicia en cuestiones civiles. Ni la l</w:t>
      </w:r>
      <w:r>
        <w:t>e</w:t>
      </w:r>
      <w:r>
        <w:t>gislación ni la práctica jurídica plantean obstáculos para que las personas de un g</w:t>
      </w:r>
      <w:r>
        <w:t>é</w:t>
      </w:r>
      <w:r>
        <w:t>nero dete</w:t>
      </w:r>
      <w:r>
        <w:t>r</w:t>
      </w:r>
      <w:r>
        <w:t>minado se presenten ante los tribunales.</w:t>
      </w:r>
    </w:p>
    <w:p w:rsidR="00000000" w:rsidRDefault="00000000">
      <w:pPr>
        <w:pStyle w:val="SingleTxt"/>
        <w:spacing w:after="0" w:line="120" w:lineRule="exact"/>
        <w:rPr>
          <w:b/>
          <w:i/>
          <w:sz w:val="10"/>
          <w:u w:val="single"/>
        </w:rPr>
      </w:pPr>
    </w:p>
    <w:p w:rsidR="00000000" w:rsidRDefault="00000000">
      <w:pPr>
        <w:pStyle w:val="SingleTxt"/>
        <w:spacing w:after="0" w:line="120" w:lineRule="exact"/>
        <w:rPr>
          <w:b/>
          <w:i/>
          <w:sz w:val="10"/>
          <w:u w:val="single"/>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Actuación como testigo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comparación con el informe anterior, se han ampliado las categorías de pe</w:t>
      </w:r>
      <w:r>
        <w:t>r</w:t>
      </w:r>
      <w:r>
        <w:t>sonas que pueden negarse a dar testimonio por razones personales. Un testigo puede negarse a dar testimonio por razones personales si éste, su cónyuge o su ex cónyuge son descendientes del demandante o el demandado, o si alguno de estos es su de</w:t>
      </w:r>
      <w:r>
        <w:t>s</w:t>
      </w:r>
      <w:r>
        <w:t>cendiente; si el testigo es hermano o hermana, o es o ha sido cónyuge del hermano o hermana o es el progenitor adoptivo o hijo adoptivo, o es o ha sido cónyuge o có</w:t>
      </w:r>
      <w:r>
        <w:t>n</w:t>
      </w:r>
      <w:r>
        <w:t>yuge consensual del demandante o el demandado.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ab/>
        <w:t>3.</w:t>
      </w:r>
      <w:r>
        <w:rPr>
          <w:i/>
        </w:rPr>
        <w:tab/>
        <w:t>Los Estados partes convienen en que todo contrato o cualquier otro in</w:t>
      </w:r>
      <w:r>
        <w:rPr>
          <w:i/>
        </w:rPr>
        <w:t>s</w:t>
      </w:r>
      <w:r>
        <w:rPr>
          <w:i/>
        </w:rPr>
        <w:t>trumento privado con efecto jurídico que tienda a limitar la capacidad jurídica de la mujer se considerará nulo.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virtud de la Ley sobre derecho de familia, todo acuerdo que restrinja los der</w:t>
      </w:r>
      <w:r>
        <w:t>e</w:t>
      </w:r>
      <w:r>
        <w:t>chos y las libertades personales del cónyuge será nulo e inválido.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ab/>
        <w:t>4.</w:t>
      </w:r>
      <w:r>
        <w:rPr>
          <w:i/>
        </w:rPr>
        <w:tab/>
        <w:t>Los Estados partes reconocerán al hombre y a la mujer los mismos der</w:t>
      </w:r>
      <w:r>
        <w:rPr>
          <w:i/>
        </w:rPr>
        <w:t>e</w:t>
      </w:r>
      <w:r>
        <w:rPr>
          <w:i/>
        </w:rPr>
        <w:t>chos con respecto a la legislación relativa al derecho de las personas a circular l</w:t>
      </w:r>
      <w:r>
        <w:rPr>
          <w:i/>
        </w:rPr>
        <w:t>i</w:t>
      </w:r>
      <w:r>
        <w:rPr>
          <w:i/>
        </w:rPr>
        <w:t>bremente y a la libertad para elegir su residencia y domicilio.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No se dispone de nueva información respecto del informe anterior.</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16</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ab/>
        <w:t>1.</w:t>
      </w:r>
      <w:r>
        <w:rPr>
          <w:i/>
        </w:rPr>
        <w:tab/>
        <w:t>Los Estados partes adoptarán todas las medidas adecuadas para elim</w:t>
      </w:r>
      <w:r>
        <w:rPr>
          <w:i/>
        </w:rPr>
        <w:t>i</w:t>
      </w:r>
      <w:r>
        <w:rPr>
          <w:i/>
        </w:rPr>
        <w:t>nar la discriminación contra la mujer en todos los asuntos relacionados con el m</w:t>
      </w:r>
      <w:r>
        <w:rPr>
          <w:i/>
        </w:rPr>
        <w:t>a</w:t>
      </w:r>
      <w:r>
        <w:rPr>
          <w:i/>
        </w:rPr>
        <w:t>trimonio y las relaciones familiares y, en particular, asegurarán en condiciones de igualdad entre hombres y mujeres:</w:t>
      </w:r>
    </w:p>
    <w:p w:rsidR="00000000" w:rsidRDefault="00000000">
      <w:pPr>
        <w:pStyle w:val="SingleTxt"/>
        <w:rPr>
          <w:i/>
        </w:rPr>
      </w:pPr>
      <w:r>
        <w:rPr>
          <w:i/>
        </w:rPr>
        <w:tab/>
        <w:t>a)</w:t>
      </w:r>
      <w:r>
        <w:rPr>
          <w:i/>
        </w:rPr>
        <w:tab/>
        <w:t>El mismo derecho para contraer matrimonio;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 contrae matrimonio de conformidad con el deseo de los futuros cónyuges. No podrá contraerse matrimonio si uno de los futuros cónyuges no confirma su d</w:t>
      </w:r>
      <w:r>
        <w:t>e</w:t>
      </w:r>
      <w:r>
        <w:t>seo de casarse, si uno de los futuros cónyuges no está en edad de contraer matrim</w:t>
      </w:r>
      <w:r>
        <w:t>o</w:t>
      </w:r>
      <w:r>
        <w:t>nio o si surgen obstáculos a la realización del matrimonio.</w:t>
      </w:r>
    </w:p>
    <w:p w:rsidR="00000000" w:rsidRDefault="00000000">
      <w:pPr>
        <w:pStyle w:val="SingleTxt"/>
        <w:keepNext/>
        <w:keepLines/>
      </w:pPr>
      <w:r>
        <w:tab/>
        <w:t>No podrá realizarse el matrimonio si una de las personas ya está casada, si uno de los futuros cónyuges es descendiente del otro, si son hermanos o medio herm</w:t>
      </w:r>
      <w:r>
        <w:t>a</w:t>
      </w:r>
      <w:r>
        <w:t>nos, si uno es el progenitor adoptivo del otro, o si ambos tienen el mismo progenitor adoptivo, o si unos de los futuros cónyuges está bajo tutela por tener capacidad jur</w:t>
      </w:r>
      <w:r>
        <w:t>í</w:t>
      </w:r>
      <w:r>
        <w:t>dica restringida.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b)</w:t>
      </w:r>
      <w:r>
        <w:rPr>
          <w:i/>
        </w:rPr>
        <w:tab/>
        <w:t>El mismo derecho para elegir libremente cónyuge y contraer matrimonio sólo por su libre albedrío y su pleno consentimiento;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No ha habido cambios en relación con el informe anterior.</w:t>
      </w:r>
    </w:p>
    <w:p w:rsidR="00000000" w:rsidRDefault="00000000">
      <w:pPr>
        <w:pStyle w:val="SingleTxt"/>
      </w:pPr>
      <w:r>
        <w:tab/>
        <w:t>Si bien en 2000 continuó la tendencia descendente de los matrimonios regi</w:t>
      </w:r>
      <w:r>
        <w:t>s</w:t>
      </w:r>
      <w:r>
        <w:t>trados que había comenzado en el decenio de 1990, desde 2001 ha habido un leve aumento. En 2002 se registraron 368 matrimonios más que en 2000. El número de matrimonios por 1.000 habitantes aumentó a 4,3 en 2002, en comparación con 4,0 en 2000, la cifra más elevada desde 1995.</w:t>
      </w:r>
    </w:p>
    <w:p w:rsidR="00000000" w:rsidRDefault="00000000">
      <w:pPr>
        <w:pStyle w:val="SingleTxt"/>
      </w:pPr>
      <w:r>
        <w:tab/>
        <w:t>En 2000, en Estonia se realizaron 5.485 matrimonios; en 2001, 5.647; y en 2002, 5.853.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16.1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primeros matrimonios y matrimonios subsiguientes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53"/>
        <w:gridCol w:w="954"/>
        <w:gridCol w:w="953"/>
        <w:gridCol w:w="110"/>
        <w:gridCol w:w="844"/>
        <w:gridCol w:w="953"/>
        <w:gridCol w:w="93"/>
        <w:gridCol w:w="861"/>
        <w:gridCol w:w="953"/>
        <w:gridCol w:w="76"/>
        <w:gridCol w:w="878"/>
        <w:gridCol w:w="954"/>
      </w:tblGrid>
      <w:tr w:rsidR="00000000">
        <w:tblPrEx>
          <w:tblCellMar>
            <w:top w:w="0" w:type="dxa"/>
            <w:left w:w="0" w:type="dxa"/>
            <w:bottom w:w="0" w:type="dxa"/>
            <w:right w:w="0" w:type="dxa"/>
          </w:tblCellMar>
        </w:tblPrEx>
        <w:trPr>
          <w:cantSplit/>
          <w:tblHeader/>
        </w:trPr>
        <w:tc>
          <w:tcPr>
            <w:tcW w:w="95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90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Número de primeros matrimonios</w:t>
            </w:r>
          </w:p>
        </w:tc>
        <w:tc>
          <w:tcPr>
            <w:tcW w:w="1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79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Número de matrimonios subsiguientes</w:t>
            </w:r>
          </w:p>
        </w:tc>
        <w:tc>
          <w:tcPr>
            <w:tcW w:w="9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81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Número de matrimonios en que se desconoce el número de matrimonios anteriores</w:t>
            </w:r>
          </w:p>
        </w:tc>
        <w:tc>
          <w:tcPr>
            <w:tcW w:w="7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83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Proporción de matrimonios subsiguientes, %</w:t>
            </w:r>
          </w:p>
        </w:tc>
      </w:tr>
      <w:tr w:rsidR="00000000">
        <w:tblPrEx>
          <w:tblCellMar>
            <w:top w:w="0" w:type="dxa"/>
            <w:left w:w="0" w:type="dxa"/>
            <w:bottom w:w="0" w:type="dxa"/>
            <w:right w:w="0" w:type="dxa"/>
          </w:tblCellMar>
        </w:tblPrEx>
        <w:trPr>
          <w:tblHeader/>
        </w:trPr>
        <w:tc>
          <w:tcPr>
            <w:tcW w:w="953"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95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5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54"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5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54"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5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54"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5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9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5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5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9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3 785</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3 825</w:t>
            </w:r>
          </w:p>
        </w:tc>
        <w:tc>
          <w:tcPr>
            <w:tcW w:w="95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1 805</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1 765</w:t>
            </w:r>
          </w:p>
        </w:tc>
        <w:tc>
          <w:tcPr>
            <w:tcW w:w="95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5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32,3</w:t>
            </w:r>
          </w:p>
        </w:tc>
        <w:tc>
          <w:tcPr>
            <w:tcW w:w="9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31,6</w:t>
            </w:r>
          </w:p>
        </w:tc>
      </w:tr>
      <w:tr w:rsidR="00000000">
        <w:tblPrEx>
          <w:tblCellMar>
            <w:top w:w="0" w:type="dxa"/>
            <w:left w:w="0" w:type="dxa"/>
            <w:bottom w:w="0" w:type="dxa"/>
            <w:right w:w="0" w:type="dxa"/>
          </w:tblCellMar>
        </w:tblPrEx>
        <w:tc>
          <w:tcPr>
            <w:tcW w:w="95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9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3 711</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3 706</w:t>
            </w:r>
          </w:p>
        </w:tc>
        <w:tc>
          <w:tcPr>
            <w:tcW w:w="95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1 774</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1 778</w:t>
            </w:r>
          </w:p>
        </w:tc>
        <w:tc>
          <w:tcPr>
            <w:tcW w:w="95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5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32,3</w:t>
            </w:r>
          </w:p>
        </w:tc>
        <w:tc>
          <w:tcPr>
            <w:tcW w:w="9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32,4</w:t>
            </w:r>
          </w:p>
        </w:tc>
      </w:tr>
      <w:tr w:rsidR="00000000">
        <w:tblPrEx>
          <w:tblCellMar>
            <w:top w:w="0" w:type="dxa"/>
            <w:left w:w="0" w:type="dxa"/>
            <w:bottom w:w="0" w:type="dxa"/>
            <w:right w:w="0" w:type="dxa"/>
          </w:tblCellMar>
        </w:tblPrEx>
        <w:tc>
          <w:tcPr>
            <w:tcW w:w="95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9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3 785</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3 816</w:t>
            </w:r>
          </w:p>
        </w:tc>
        <w:tc>
          <w:tcPr>
            <w:tcW w:w="95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1 862</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1 831</w:t>
            </w:r>
          </w:p>
        </w:tc>
        <w:tc>
          <w:tcPr>
            <w:tcW w:w="95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5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33,0</w:t>
            </w:r>
          </w:p>
        </w:tc>
        <w:tc>
          <w:tcPr>
            <w:tcW w:w="9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32,4</w:t>
            </w:r>
          </w:p>
        </w:tc>
      </w:tr>
      <w:tr w:rsidR="00000000">
        <w:tblPrEx>
          <w:tblCellMar>
            <w:top w:w="0" w:type="dxa"/>
            <w:left w:w="0" w:type="dxa"/>
            <w:bottom w:w="0" w:type="dxa"/>
            <w:right w:w="0" w:type="dxa"/>
          </w:tblCellMar>
        </w:tblPrEx>
        <w:tc>
          <w:tcPr>
            <w:tcW w:w="95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w:t>
            </w:r>
          </w:p>
        </w:tc>
        <w:tc>
          <w:tcPr>
            <w:tcW w:w="95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4 024</w:t>
            </w:r>
          </w:p>
        </w:tc>
        <w:tc>
          <w:tcPr>
            <w:tcW w:w="95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4 048</w:t>
            </w:r>
          </w:p>
        </w:tc>
        <w:tc>
          <w:tcPr>
            <w:tcW w:w="95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1 829</w:t>
            </w:r>
          </w:p>
        </w:tc>
        <w:tc>
          <w:tcPr>
            <w:tcW w:w="95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1 805</w:t>
            </w:r>
          </w:p>
        </w:tc>
        <w:tc>
          <w:tcPr>
            <w:tcW w:w="95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5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5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w:t>
            </w:r>
          </w:p>
        </w:tc>
        <w:tc>
          <w:tcPr>
            <w:tcW w:w="95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Oficina de Estadística de Estonia, </w:t>
      </w:r>
      <w:hyperlink r:id="rId27" w:history="1">
        <w:r>
          <w:rPr>
            <w:rStyle w:val="Hyperlink"/>
          </w:rPr>
          <w:t>www.stat.ee</w:t>
        </w:r>
      </w:hyperlink>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keepNext/>
        <w:keepLines/>
        <w:rPr>
          <w:i/>
        </w:rPr>
      </w:pPr>
      <w:r>
        <w:rPr>
          <w:i/>
        </w:rPr>
        <w:tab/>
        <w:t>c)</w:t>
      </w:r>
      <w:r>
        <w:rPr>
          <w:i/>
        </w:rPr>
        <w:tab/>
        <w:t>Los mismos derechos y responsabilidades durante el matrimonio y con ocasión de su disolución;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No se han adoptado nuevas medidas respecto del informe anterior. No han cambiado las disposiciones pertinentes de la Ley de derecho de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16.2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Promedio de edad en el primer matrimonio, por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24,6</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25,2</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28,2</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Oficina de Estadística de Estonia, </w:t>
      </w:r>
      <w:hyperlink r:id="rId28" w:history="1">
        <w:r>
          <w:rPr>
            <w:rStyle w:val="Hyperlink"/>
          </w:rPr>
          <w:t>www.stat.ee</w:t>
        </w:r>
      </w:hyperlink>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número de divorcios disminuyó de 4.561 en 1999 a 4.074 en 2002. En 2002 el número de divorcios era de 3,0 por 1.000 habitantes.</w:t>
      </w:r>
    </w:p>
    <w:p w:rsidR="00000000" w:rsidRDefault="00000000">
      <w:pPr>
        <w:pStyle w:val="SingleTxt"/>
      </w:pPr>
      <w:r>
        <w:tab/>
        <w:t>La proporción de divorcios en personas casadas en segundas nupcias o más se ha mantenido sin cambios, aproximadamente el 20%, tanto para hombres como m</w:t>
      </w:r>
      <w:r>
        <w:t>u</w:t>
      </w:r>
      <w:r>
        <w:t>jeres. Las estadísticas indican que el número de divorcios aumenta drásticamente después de 5 a 9 años de matrimonio, y alcanza su punto máximo en matrimonios de 10 a 19 años.</w:t>
      </w:r>
    </w:p>
    <w:p w:rsidR="00000000" w:rsidRDefault="00000000">
      <w:pPr>
        <w:pStyle w:val="SingleTxt"/>
      </w:pPr>
      <w:r>
        <w:tab/>
        <w:t>En Estonia hubo 4.230 divorcios en 2000, 4.312 en 2001 y 4.074 en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16.3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divorcios en primeros matrimonios o matrimonios subs</w:t>
      </w:r>
      <w:r>
        <w:t>i</w:t>
      </w:r>
      <w:r>
        <w:t>guientes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780"/>
        <w:gridCol w:w="780"/>
        <w:gridCol w:w="780"/>
        <w:gridCol w:w="90"/>
        <w:gridCol w:w="690"/>
        <w:gridCol w:w="780"/>
        <w:gridCol w:w="60"/>
        <w:gridCol w:w="721"/>
        <w:gridCol w:w="780"/>
        <w:gridCol w:w="119"/>
        <w:gridCol w:w="661"/>
        <w:gridCol w:w="780"/>
        <w:gridCol w:w="89"/>
        <w:gridCol w:w="691"/>
        <w:gridCol w:w="781"/>
      </w:tblGrid>
      <w:tr w:rsidR="00000000">
        <w:tblPrEx>
          <w:tblCellMar>
            <w:top w:w="0" w:type="dxa"/>
            <w:left w:w="0" w:type="dxa"/>
            <w:bottom w:w="0" w:type="dxa"/>
            <w:right w:w="0" w:type="dxa"/>
          </w:tblCellMar>
        </w:tblPrEx>
        <w:trPr>
          <w:cantSplit/>
          <w:tblHeader/>
        </w:trPr>
        <w:tc>
          <w:tcPr>
            <w:tcW w:w="7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5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Divorcios en primeros matrimonios</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47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Divorcios en matrimonios subsiguientes</w:t>
            </w:r>
          </w:p>
        </w:tc>
        <w:tc>
          <w:tcPr>
            <w:tcW w:w="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50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Divorcios en que se desconoce en número de matrimonios anteriores</w:t>
            </w:r>
          </w:p>
        </w:tc>
        <w:tc>
          <w:tcPr>
            <w:tcW w:w="11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44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Proporción de personas que se divorcian en matrimonios subsiguientes, %</w:t>
            </w:r>
          </w:p>
        </w:tc>
        <w:tc>
          <w:tcPr>
            <w:tcW w:w="8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47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Proporción de personas que se divorcian en matrimonios de duración desconocida,%</w:t>
            </w:r>
          </w:p>
        </w:tc>
      </w:tr>
      <w:tr w:rsidR="00000000">
        <w:tblPrEx>
          <w:tblCellMar>
            <w:top w:w="0" w:type="dxa"/>
            <w:left w:w="0" w:type="dxa"/>
            <w:bottom w:w="0" w:type="dxa"/>
            <w:right w:w="0" w:type="dxa"/>
          </w:tblCellMar>
        </w:tblPrEx>
        <w:trPr>
          <w:tblHeader/>
        </w:trPr>
        <w:tc>
          <w:tcPr>
            <w:tcW w:w="78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78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78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78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78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781"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78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78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78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78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781"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3 424</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3 440</w:t>
            </w:r>
          </w:p>
        </w:tc>
        <w:tc>
          <w:tcPr>
            <w:tcW w:w="7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806</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789</w:t>
            </w:r>
          </w:p>
        </w:tc>
        <w:tc>
          <w:tcPr>
            <w:tcW w:w="78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19,1</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w:t>
            </w:r>
          </w:p>
        </w:tc>
        <w:tc>
          <w:tcPr>
            <w:tcW w:w="7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3 393</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3 467</w:t>
            </w:r>
          </w:p>
        </w:tc>
        <w:tc>
          <w:tcPr>
            <w:tcW w:w="7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918</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845</w:t>
            </w:r>
          </w:p>
        </w:tc>
        <w:tc>
          <w:tcPr>
            <w:tcW w:w="78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19,6</w:t>
            </w:r>
          </w:p>
        </w:tc>
        <w:tc>
          <w:tcPr>
            <w:tcW w:w="7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3 267</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3 225</w:t>
            </w:r>
          </w:p>
        </w:tc>
        <w:tc>
          <w:tcPr>
            <w:tcW w:w="78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798</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829</w:t>
            </w:r>
          </w:p>
        </w:tc>
        <w:tc>
          <w:tcPr>
            <w:tcW w:w="781"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78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19,6</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w:t>
            </w:r>
          </w:p>
        </w:tc>
        <w:tc>
          <w:tcPr>
            <w:tcW w:w="78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Oficina de Estadística de Estonia, </w:t>
      </w:r>
      <w:hyperlink r:id="rId29" w:history="1">
        <w:r>
          <w:rPr>
            <w:rStyle w:val="Hyperlink"/>
          </w:rPr>
          <w:t>www.stat.ee</w:t>
        </w:r>
      </w:hyperlink>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16.4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divorcios por duración del matrimonio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350"/>
        <w:gridCol w:w="995"/>
        <w:gridCol w:w="995"/>
        <w:gridCol w:w="80"/>
        <w:gridCol w:w="916"/>
        <w:gridCol w:w="995"/>
        <w:gridCol w:w="69"/>
        <w:gridCol w:w="926"/>
        <w:gridCol w:w="996"/>
      </w:tblGrid>
      <w:tr w:rsidR="00000000">
        <w:tblPrEx>
          <w:tblCellMar>
            <w:top w:w="0" w:type="dxa"/>
            <w:left w:w="0" w:type="dxa"/>
            <w:bottom w:w="0" w:type="dxa"/>
            <w:right w:w="0" w:type="dxa"/>
          </w:tblCellMar>
        </w:tblPrEx>
        <w:trPr>
          <w:cantSplit/>
          <w:tblHeader/>
        </w:trPr>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9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2000</w:t>
            </w:r>
          </w:p>
        </w:tc>
        <w:tc>
          <w:tcPr>
            <w:tcW w:w="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91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2001</w:t>
            </w:r>
          </w:p>
        </w:tc>
        <w:tc>
          <w:tcPr>
            <w:tcW w:w="6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92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2002</w:t>
            </w:r>
          </w:p>
        </w:tc>
      </w:tr>
      <w:tr w:rsidR="00000000">
        <w:tblPrEx>
          <w:tblCellMar>
            <w:top w:w="0" w:type="dxa"/>
            <w:left w:w="0" w:type="dxa"/>
            <w:bottom w:w="0" w:type="dxa"/>
            <w:right w:w="0" w:type="dxa"/>
          </w:tblCellMar>
        </w:tblPrEx>
        <w:trPr>
          <w:tblHeader/>
        </w:trPr>
        <w:tc>
          <w:tcPr>
            <w:tcW w:w="135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99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9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96"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9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9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9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995"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95"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9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95"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9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96"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135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995"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4 230</w:t>
            </w:r>
          </w:p>
        </w:tc>
        <w:tc>
          <w:tcPr>
            <w:tcW w:w="995"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4 230</w:t>
            </w:r>
          </w:p>
        </w:tc>
        <w:tc>
          <w:tcPr>
            <w:tcW w:w="996" w:type="dxa"/>
            <w:gridSpan w:val="2"/>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4 312</w:t>
            </w:r>
          </w:p>
        </w:tc>
        <w:tc>
          <w:tcPr>
            <w:tcW w:w="995"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4 312</w:t>
            </w:r>
          </w:p>
        </w:tc>
        <w:tc>
          <w:tcPr>
            <w:tcW w:w="995" w:type="dxa"/>
            <w:gridSpan w:val="2"/>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4 074</w:t>
            </w:r>
          </w:p>
        </w:tc>
        <w:tc>
          <w:tcPr>
            <w:tcW w:w="996"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4 074</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Menos de 1 año</w:t>
            </w:r>
          </w:p>
        </w:tc>
        <w:tc>
          <w:tcPr>
            <w:tcW w:w="995"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116</w:t>
            </w:r>
          </w:p>
        </w:tc>
        <w:tc>
          <w:tcPr>
            <w:tcW w:w="995"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116</w:t>
            </w:r>
          </w:p>
        </w:tc>
        <w:tc>
          <w:tcPr>
            <w:tcW w:w="996"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93</w:t>
            </w:r>
          </w:p>
        </w:tc>
        <w:tc>
          <w:tcPr>
            <w:tcW w:w="995"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93</w:t>
            </w:r>
          </w:p>
        </w:tc>
        <w:tc>
          <w:tcPr>
            <w:tcW w:w="995"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95</w:t>
            </w:r>
          </w:p>
        </w:tc>
        <w:tc>
          <w:tcPr>
            <w:tcW w:w="996"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95</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 año</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151</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151</w:t>
            </w:r>
          </w:p>
        </w:tc>
        <w:tc>
          <w:tcPr>
            <w:tcW w:w="99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w:t>
            </w:r>
          </w:p>
        </w:tc>
        <w:tc>
          <w:tcPr>
            <w:tcW w:w="9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 años</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208</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208</w:t>
            </w:r>
          </w:p>
        </w:tc>
        <w:tc>
          <w:tcPr>
            <w:tcW w:w="99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195</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195</w:t>
            </w:r>
          </w:p>
        </w:tc>
        <w:tc>
          <w:tcPr>
            <w:tcW w:w="9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221</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221</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 años</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w:t>
            </w:r>
          </w:p>
        </w:tc>
        <w:tc>
          <w:tcPr>
            <w:tcW w:w="99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w:t>
            </w:r>
          </w:p>
        </w:tc>
        <w:tc>
          <w:tcPr>
            <w:tcW w:w="9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 años</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w:t>
            </w:r>
          </w:p>
        </w:tc>
        <w:tc>
          <w:tcPr>
            <w:tcW w:w="99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w:t>
            </w:r>
          </w:p>
        </w:tc>
        <w:tc>
          <w:tcPr>
            <w:tcW w:w="9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210</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210</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 años</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223</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223</w:t>
            </w:r>
          </w:p>
        </w:tc>
        <w:tc>
          <w:tcPr>
            <w:tcW w:w="99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204</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204</w:t>
            </w:r>
          </w:p>
        </w:tc>
        <w:tc>
          <w:tcPr>
            <w:tcW w:w="9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 años</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w:t>
            </w:r>
          </w:p>
        </w:tc>
        <w:tc>
          <w:tcPr>
            <w:tcW w:w="99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w:t>
            </w:r>
          </w:p>
        </w:tc>
        <w:tc>
          <w:tcPr>
            <w:tcW w:w="9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165</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165</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 años</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w:t>
            </w:r>
          </w:p>
        </w:tc>
        <w:tc>
          <w:tcPr>
            <w:tcW w:w="99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w:t>
            </w:r>
          </w:p>
        </w:tc>
        <w:tc>
          <w:tcPr>
            <w:tcW w:w="9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208</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208</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8 años</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195</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195</w:t>
            </w:r>
          </w:p>
        </w:tc>
        <w:tc>
          <w:tcPr>
            <w:tcW w:w="99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w:t>
            </w:r>
          </w:p>
        </w:tc>
        <w:tc>
          <w:tcPr>
            <w:tcW w:w="9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168</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168</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9 años</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w:t>
            </w:r>
          </w:p>
        </w:tc>
        <w:tc>
          <w:tcPr>
            <w:tcW w:w="99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w:t>
            </w:r>
          </w:p>
        </w:tc>
        <w:tc>
          <w:tcPr>
            <w:tcW w:w="9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a 14 años</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969</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969</w:t>
            </w:r>
          </w:p>
        </w:tc>
        <w:tc>
          <w:tcPr>
            <w:tcW w:w="99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983</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983</w:t>
            </w:r>
          </w:p>
        </w:tc>
        <w:tc>
          <w:tcPr>
            <w:tcW w:w="9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855</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855</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 a 19 años</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612</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612</w:t>
            </w:r>
          </w:p>
        </w:tc>
        <w:tc>
          <w:tcPr>
            <w:tcW w:w="99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639</w:t>
            </w:r>
          </w:p>
        </w:tc>
        <w:tc>
          <w:tcPr>
            <w:tcW w:w="9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639</w:t>
            </w:r>
          </w:p>
        </w:tc>
        <w:tc>
          <w:tcPr>
            <w:tcW w:w="99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633</w:t>
            </w:r>
          </w:p>
        </w:tc>
        <w:tc>
          <w:tcPr>
            <w:tcW w:w="9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633</w:t>
            </w:r>
          </w:p>
        </w:tc>
      </w:tr>
      <w:tr w:rsidR="00000000">
        <w:tblPrEx>
          <w:tblCellMar>
            <w:top w:w="0" w:type="dxa"/>
            <w:left w:w="0" w:type="dxa"/>
            <w:bottom w:w="0" w:type="dxa"/>
            <w:right w:w="0" w:type="dxa"/>
          </w:tblCellMar>
        </w:tblPrEx>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 años o más</w:t>
            </w:r>
          </w:p>
        </w:tc>
        <w:tc>
          <w:tcPr>
            <w:tcW w:w="9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749</w:t>
            </w:r>
          </w:p>
        </w:tc>
        <w:tc>
          <w:tcPr>
            <w:tcW w:w="9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749</w:t>
            </w:r>
          </w:p>
        </w:tc>
        <w:tc>
          <w:tcPr>
            <w:tcW w:w="99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839</w:t>
            </w:r>
          </w:p>
        </w:tc>
        <w:tc>
          <w:tcPr>
            <w:tcW w:w="9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839</w:t>
            </w:r>
          </w:p>
        </w:tc>
        <w:tc>
          <w:tcPr>
            <w:tcW w:w="99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836</w:t>
            </w:r>
          </w:p>
        </w:tc>
        <w:tc>
          <w:tcPr>
            <w:tcW w:w="99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Oficina de Estadística de Estonia, </w:t>
      </w:r>
      <w:hyperlink r:id="rId30" w:history="1">
        <w:r>
          <w:rPr>
            <w:rStyle w:val="Hyperlink"/>
          </w:rPr>
          <w:t>www.stat.ee</w:t>
        </w:r>
      </w:hyperlink>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d)</w:t>
      </w:r>
      <w:r>
        <w:rPr>
          <w:i/>
        </w:rPr>
        <w:tab/>
        <w:t>Los mismos derechos y responsabilidades como progenitores, cualquiera que sea su estado civil, en materias relacionadas con sus hijos; en todos los casos, los intereses de los hijos serán la consideración primordial;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familia es responsable de velar por el bienestar emocional y financiero, así como la crianza y el d</w:t>
      </w:r>
      <w:r>
        <w:t>e</w:t>
      </w:r>
      <w:r>
        <w:t>sarrollo de los hijos.</w:t>
      </w:r>
    </w:p>
    <w:p w:rsidR="00000000" w:rsidRDefault="00000000">
      <w:pPr>
        <w:pStyle w:val="SingleTxt"/>
      </w:pPr>
      <w:r>
        <w:tab/>
        <w:t>Conforme a su concepción de la política sobre el niño y la familia, el Estado apoya el derecho y la obligación de ambos progenitores de criar a sus hijos y de cu</w:t>
      </w:r>
      <w:r>
        <w:t>i</w:t>
      </w:r>
      <w:r>
        <w:t>darlos, y brinda las mismas oportunidades para conciliar el trabajo con la vida fam</w:t>
      </w:r>
      <w:r>
        <w:t>i</w:t>
      </w:r>
      <w:r>
        <w:t>liar. Al formular las políticas de familia, el Estado debe tener en cuenta las formas y rel</w:t>
      </w:r>
      <w:r>
        <w:t>a</w:t>
      </w:r>
      <w:r>
        <w:t>ciones distintas y variadas de la vida de familia.</w:t>
      </w:r>
    </w:p>
    <w:p w:rsidR="00000000" w:rsidRDefault="00000000">
      <w:pPr>
        <w:pStyle w:val="SingleTxt"/>
      </w:pPr>
      <w:r>
        <w:tab/>
        <w:t>Un progenitor debe mantener a sus hijos menores de edad y a los hijos may</w:t>
      </w:r>
      <w:r>
        <w:t>o</w:t>
      </w:r>
      <w:r>
        <w:t>res que necesiten asistencia y no puedan trabajar. Si un niño asiste a la escuela bás</w:t>
      </w:r>
      <w:r>
        <w:t>i</w:t>
      </w:r>
      <w:r>
        <w:t>ca, la escuela secundaria superior o la escuela técnica cuando llega a la mayoría de edad, el progenitor debe seguir manteniendo al hijo mientras éste estudia.</w:t>
      </w:r>
    </w:p>
    <w:p w:rsidR="00000000" w:rsidRDefault="00000000">
      <w:pPr>
        <w:pStyle w:val="SingleTxt"/>
      </w:pPr>
      <w:r>
        <w:tab/>
        <w:t>Si uno de los progenitores no cumple con su obligación de proveer alimentos para un hijo, un tribunal, a pedido del otro progenitor, tutor o autoridad tutelar, o</w:t>
      </w:r>
      <w:r>
        <w:t>r</w:t>
      </w:r>
      <w:r>
        <w:t>denará el pago de alimentos al otro progenitor, el tutor o la persona designada por la autoridad tutelar que haya presentado la demanda. El valor de los alimentos será establecido como pago mensual de subsistencia sobre la base de la situación fina</w:t>
      </w:r>
      <w:r>
        <w:t>n</w:t>
      </w:r>
      <w:r>
        <w:t>ciera de ambos progenitores y las necesidades del hijo. El tribunal podrá modificar la cantidad a pedido del interesado si cambia la situación financiera de uno de los progen</w:t>
      </w:r>
      <w:r>
        <w:t>i</w:t>
      </w:r>
      <w:r>
        <w:t>tores o las necesidades del hijo.</w:t>
      </w:r>
    </w:p>
    <w:p w:rsidR="00000000" w:rsidRDefault="00000000">
      <w:pPr>
        <w:pStyle w:val="SingleTxt"/>
      </w:pPr>
      <w:r>
        <w:tab/>
        <w:t>El pago mensual por alimentos de un hijo no podrá ser inferior a la mitad del salario mensual mínimo fijado por el Gobierno de la República. En 2004, la mitad del sal</w:t>
      </w:r>
      <w:r>
        <w:t>a</w:t>
      </w:r>
      <w:r>
        <w:t>rio mensual mínimo se fijó en 1.240 coronas estonias.</w:t>
      </w:r>
    </w:p>
    <w:p w:rsidR="00000000" w:rsidRDefault="00000000">
      <w:pPr>
        <w:pStyle w:val="SingleTxt"/>
      </w:pPr>
      <w:r>
        <w:tab/>
        <w:t>Si la persona no cumple con la obligación del pago de alimentos, un tribunal orden</w:t>
      </w:r>
      <w:r>
        <w:t>a</w:t>
      </w:r>
      <w:r>
        <w:t>rá que se pague a partir del momento en que se presenta la demanda.</w:t>
      </w:r>
    </w:p>
    <w:p w:rsidR="00000000" w:rsidRDefault="00000000">
      <w:pPr>
        <w:pStyle w:val="SingleTxt"/>
      </w:pPr>
      <w:r>
        <w:tab/>
        <w:t>El tribunal puede negarse a ordenar el pago de alimentos, o puede reducir la cantidad a menos de la mitad del salario mensual mínimo o cancelar el pago de al</w:t>
      </w:r>
      <w:r>
        <w:t>i</w:t>
      </w:r>
      <w:r>
        <w:t>mentos si el progenitor que debe pagarlos no está en condiciones de trabajar o el hijo tiene ingresos suficientes, o si existe otra buena razón que el tribunal considera razonable.</w:t>
      </w:r>
    </w:p>
    <w:p w:rsidR="00000000" w:rsidRDefault="00000000">
      <w:pPr>
        <w:pStyle w:val="SingleTxt"/>
      </w:pPr>
      <w:r>
        <w:tab/>
        <w:t>Por ejemplo, un tribunal podría considerar una buena razón el hecho de que el progenitor tenga otro hijo que pasaría a estar en condiciones financieras menos s</w:t>
      </w:r>
      <w:r>
        <w:t>e</w:t>
      </w:r>
      <w:r>
        <w:t>guras si el progenitor pagara los alimentos a otro hijo si así lo ordenara el tribunal.</w:t>
      </w:r>
    </w:p>
    <w:p w:rsidR="00000000" w:rsidRDefault="00000000">
      <w:pPr>
        <w:pStyle w:val="SingleTxt"/>
      </w:pPr>
      <w:r>
        <w:tab/>
        <w:t>Los tribunales ordenan el pago mínimo de alimentos sólo en los casos en que la situación financiera del progenitor que debe pagarlos no permite el pago de sumas mayores o si el progenitor que solicita el pago de alimentos no ha justificado ad</w:t>
      </w:r>
      <w:r>
        <w:t>e</w:t>
      </w:r>
      <w:r>
        <w:t>cuadamente la cantidad pedida.</w:t>
      </w:r>
    </w:p>
    <w:p w:rsidR="00000000" w:rsidRDefault="00000000">
      <w:pPr>
        <w:pStyle w:val="SingleTxt"/>
      </w:pPr>
      <w:r>
        <w:tab/>
        <w:t>El progenitor que evada intencionalmente el pago mensual de alimentos ord</w:t>
      </w:r>
      <w:r>
        <w:t>e</w:t>
      </w:r>
      <w:r>
        <w:t>nado por un tribunal a un hijo menor de 18 años o a un hijo mayor de edad que no está en condiciones de trabajar y necesita asistencia, será sancionado con una multa o hasta un año de cárcel.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e)</w:t>
      </w:r>
      <w:r>
        <w:rPr>
          <w:i/>
        </w:rPr>
        <w:tab/>
        <w:t>Los mismos derechos a decidir libre y responsablemente el número de sus hijos y el intervalo entre los nacimientos y a tener acceso a la información, la ed</w:t>
      </w:r>
      <w:r>
        <w:rPr>
          <w:i/>
        </w:rPr>
        <w:t>u</w:t>
      </w:r>
      <w:r>
        <w:rPr>
          <w:i/>
        </w:rPr>
        <w:t>cación y los medios que les permitan ejercer estos derechos;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Conforme a la concepción de la política sobre el niño y la familia del Estado, se apoya el derecho de todas las personas a decidir libremente cuándo y cómo fo</w:t>
      </w:r>
      <w:r>
        <w:t>r</w:t>
      </w:r>
      <w:r>
        <w:t>mar una familia y tener hijos. La información necesaria para la planificación de la familia puede recabarse mediante consultas, publicaciones y electrónicamente en los s</w:t>
      </w:r>
      <w:r>
        <w:t>i</w:t>
      </w:r>
      <w:r>
        <w:t xml:space="preserve">tios </w:t>
      </w:r>
      <w:hyperlink r:id="rId31" w:history="1">
        <w:r>
          <w:rPr>
            <w:rStyle w:val="Hyperlink"/>
          </w:rPr>
          <w:t>http://www.perekool.ee</w:t>
        </w:r>
      </w:hyperlink>
      <w:r>
        <w:t xml:space="preserve"> y </w:t>
      </w:r>
      <w:hyperlink r:id="rId32" w:history="1">
        <w:r>
          <w:rPr>
            <w:rStyle w:val="Hyperlink"/>
          </w:rPr>
          <w:t>http://www.amor.ee</w:t>
        </w:r>
      </w:hyperlink>
      <w:r>
        <w:t>.</w:t>
      </w:r>
    </w:p>
    <w:p w:rsidR="00000000" w:rsidRDefault="00000000">
      <w:pPr>
        <w:pStyle w:val="SingleTxt"/>
      </w:pPr>
      <w:r>
        <w:tab/>
        <w:t>Los centros de asesoramiento brindan servicios gratuitos en las ciudades pri</w:t>
      </w:r>
      <w:r>
        <w:t>n</w:t>
      </w:r>
      <w:r>
        <w:t>cipales y las regiones municipales. La tarea del enfermero de familia es asesorar a la población sobre la planificación familiar y la salud sexual. El enfermero de familia deberá dedicar al menos 10 horas semanales al asesoramiento individual.</w:t>
      </w:r>
    </w:p>
    <w:p w:rsidR="00000000" w:rsidRDefault="00000000">
      <w:pPr>
        <w:pStyle w:val="SingleTxt"/>
      </w:pPr>
      <w:r>
        <w:tab/>
        <w:t>En 2003 entró en vigor una reglamentación del Ministerio de Asuntos Sociales en virtud de la cual las recetas de píldoras anticonceptivas pueden volver a utilizarse dos o tres veces. Esto permitió superar los problemas causados por la espera de v</w:t>
      </w:r>
      <w:r>
        <w:t>a</w:t>
      </w:r>
      <w:r>
        <w:t>rias semanas hasta obtener una cita con el médico para conseguir una receta de pí</w:t>
      </w:r>
      <w:r>
        <w:t>l</w:t>
      </w:r>
      <w:r>
        <w:t>doras anticonceptivas.</w:t>
      </w:r>
    </w:p>
    <w:p w:rsidR="00000000" w:rsidRDefault="00000000">
      <w:pPr>
        <w:pStyle w:val="SingleTxt"/>
      </w:pPr>
      <w:r>
        <w:tab/>
        <w:t xml:space="preserve">A fines del decenio de 1990, casi la mitad de las personas que querían tener hijos habían decidido postergarlo debido a razones financieras. Más de una tercera </w:t>
      </w:r>
      <w:r>
        <w:rPr>
          <w:spacing w:val="2"/>
          <w:w w:val="101"/>
        </w:rPr>
        <w:t>parte de las personas que deseaban tener hijos afirmaron que antes deseaban asegurar</w:t>
      </w:r>
      <w:r>
        <w:t xml:space="preserve"> su situación financiera; el 30% afirmó que tenía problemas de vivienda o estudio. Otras razones incluyeron la falta de un compañero (el 27%) y la incertidumbre acerca del futuro (el 23%).</w:t>
      </w:r>
    </w:p>
    <w:p w:rsidR="00000000" w:rsidRDefault="00000000">
      <w:pPr>
        <w:pStyle w:val="SingleTxt"/>
      </w:pPr>
      <w:r>
        <w:tab/>
        <w:t>En virtud de la Ley sobre inseminación artificial y la protección del embrión, sólo las mujeres adultas menores de 50 años con capacidad jurídica activa pueden, a su pedido, someterse a un tratamiento de inseminación artificial. Nadie puede obl</w:t>
      </w:r>
      <w:r>
        <w:t>i</w:t>
      </w:r>
      <w:r>
        <w:t>gar ni persuadir a una mujer a someterse a un tratamiento de inseminación artificial. La mujer debe dar su consentimiento a ello por escrito.</w:t>
      </w:r>
    </w:p>
    <w:p w:rsidR="00000000" w:rsidRDefault="00000000">
      <w:pPr>
        <w:pStyle w:val="SingleTxt"/>
      </w:pPr>
      <w:r>
        <w:tab/>
        <w:t>Para que una mujer casada pueda someterse a un tratamiento de inseminación artificial también se requiere el consentimiento por escrito del marido, que debe ser consecuente con el consentimiento de la mujer. El consentimiento del marido debe indicar si está de acuerdo en que se utilice su esperma en caso de fallecimiento para f</w:t>
      </w:r>
      <w:r>
        <w:t>i</w:t>
      </w:r>
      <w:r>
        <w:t>nes de inseminación artificial.</w:t>
      </w:r>
    </w:p>
    <w:p w:rsidR="00000000" w:rsidRDefault="00000000">
      <w:pPr>
        <w:pStyle w:val="SingleTxt"/>
      </w:pPr>
      <w:r>
        <w:tab/>
        <w:t>La mujer tiene derecho a negarse a someterse a un tratamiento de inseminación artificial y anular su consentimiento hasta el momento en que se realiza. El marido también tiene derecho a anular su consentimiento hasta el momento en que se inicia el procedimiento de inseminación artificial.</w:t>
      </w:r>
    </w:p>
    <w:p w:rsidR="00000000" w:rsidRDefault="00000000">
      <w:pPr>
        <w:pStyle w:val="SingleTxt"/>
        <w:rPr>
          <w:spacing w:val="2"/>
          <w:w w:val="101"/>
        </w:rPr>
      </w:pPr>
      <w:r>
        <w:tab/>
        <w:t xml:space="preserve">En los casos de inseminación artificial de una mujer con el esperma de un hombre que no dio su consentimiento o que lo anuló, la cuestión de la filiación del </w:t>
      </w:r>
      <w:r>
        <w:rPr>
          <w:spacing w:val="2"/>
          <w:w w:val="101"/>
        </w:rPr>
        <w:t>hijo se resuelve de conformidad con las disposiciones de la Ley de derecho de fam</w:t>
      </w:r>
      <w:r>
        <w:rPr>
          <w:spacing w:val="2"/>
          <w:w w:val="101"/>
        </w:rPr>
        <w:t>i</w:t>
      </w:r>
      <w:r>
        <w:rPr>
          <w:spacing w:val="2"/>
          <w:w w:val="101"/>
        </w:rPr>
        <w:t>lia.</w:t>
      </w:r>
    </w:p>
    <w:p w:rsidR="00000000" w:rsidRDefault="00000000">
      <w:pPr>
        <w:pStyle w:val="SingleTxt"/>
      </w:pPr>
      <w:r>
        <w:tab/>
        <w:t>El Museo de Salud de Estonia cuenta con una exposición permanente sobre “Pers</w:t>
      </w:r>
      <w:r>
        <w:t>o</w:t>
      </w:r>
      <w:r>
        <w:t>na. Salud. Familia” que brinda un panorama de la salud reproductiva humana.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f)</w:t>
      </w:r>
      <w:r>
        <w:rPr>
          <w:i/>
        </w:rPr>
        <w:tab/>
        <w:t>Los mismos derechos y responsabilidades respecto de la tutela, curatela, custodia y adopción de los hijos, o instituciones análogas cuando quiera que estos conceptos existan en la legislación nacional; en todos los casos, los intereses de los hijos serán la consideración primordial;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Desde la presentación del informe anterior se han enmendado las disposiciones s</w:t>
      </w:r>
      <w:r>
        <w:t>o</w:t>
      </w:r>
      <w:r>
        <w:t>bre la maternidad sustituta.</w:t>
      </w:r>
    </w:p>
    <w:p w:rsidR="00000000" w:rsidRDefault="00000000">
      <w:pPr>
        <w:pStyle w:val="SingleTxt"/>
        <w:rPr>
          <w:lang w:val="es-ES_tradnl"/>
        </w:rPr>
      </w:pPr>
      <w:r>
        <w:rPr>
          <w:lang w:val="es-ES_tradnl"/>
        </w:rPr>
        <w:tab/>
        <w:t>La maternidad sustituta o la transferencia de un óvulo, o del embrión o feto a que dio lugar, a una mujer cuya intención es entregar el niño en adopción después de su nacimiento se sanciona con una multa.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i/>
        </w:rPr>
      </w:pPr>
      <w:r>
        <w:rPr>
          <w:i/>
        </w:rPr>
        <w:tab/>
        <w:t>g)</w:t>
      </w:r>
      <w:r>
        <w:rPr>
          <w:i/>
        </w:rPr>
        <w:tab/>
        <w:t>Los mismos derechos personales como marido y mujer, entre ellos el d</w:t>
      </w:r>
      <w:r>
        <w:rPr>
          <w:i/>
        </w:rPr>
        <w:t>e</w:t>
      </w:r>
      <w:r>
        <w:rPr>
          <w:i/>
        </w:rPr>
        <w:t>recho a elegir apellido, profesión y ocupación.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No ha habido cambios en relación con el informe anterior.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keepNext/>
        <w:keepLines/>
        <w:rPr>
          <w:i/>
        </w:rPr>
      </w:pPr>
      <w:r>
        <w:rPr>
          <w:i/>
        </w:rPr>
        <w:tab/>
        <w:t>h)</w:t>
      </w:r>
      <w:r>
        <w:rPr>
          <w:i/>
        </w:rPr>
        <w:tab/>
        <w:t>Los mismos derechos a cada uno de los cónyuges en materia de propi</w:t>
      </w:r>
      <w:r>
        <w:rPr>
          <w:i/>
        </w:rPr>
        <w:t>e</w:t>
      </w:r>
      <w:r>
        <w:rPr>
          <w:i/>
        </w:rPr>
        <w:t>dad, compras, gestión, administración, goce y disposición de los bienes, tanto a t</w:t>
      </w:r>
      <w:r>
        <w:rPr>
          <w:i/>
        </w:rPr>
        <w:t>í</w:t>
      </w:r>
      <w:r>
        <w:rPr>
          <w:i/>
        </w:rPr>
        <w:t>tulo gratuito como oneroso.</w:t>
      </w:r>
    </w:p>
    <w:p w:rsidR="00000000" w:rsidRDefault="00000000">
      <w:pPr>
        <w:pStyle w:val="SingleTxt"/>
        <w:keepNext/>
        <w:keepLines/>
        <w:spacing w:after="0" w:line="120" w:lineRule="exact"/>
        <w:rPr>
          <w:sz w:val="10"/>
        </w:rPr>
      </w:pPr>
    </w:p>
    <w:p w:rsidR="00000000" w:rsidRDefault="00000000">
      <w:pPr>
        <w:pStyle w:val="SingleTxt"/>
        <w:keepNext/>
        <w:keepLines/>
      </w:pPr>
      <w:r>
        <w:tab/>
        <w:t>No se ha modificado el sistema de contratos sobre los bienes gananciales de</w:t>
      </w:r>
      <w:r>
        <w:t>s</w:t>
      </w:r>
      <w:r>
        <w:t>crito en el informe anterior. Los derechos de propiedad de los integrantes de una unión consensual están protegidos por las disposiciones del derecho privado en m</w:t>
      </w:r>
      <w:r>
        <w:t>a</w:t>
      </w:r>
      <w:r>
        <w:t>teria de bienes generales.</w:t>
      </w:r>
    </w:p>
    <w:p w:rsidR="00000000" w:rsidRDefault="00000000">
      <w:pPr>
        <w:pStyle w:val="SingleTxt"/>
        <w:spacing w:after="0" w:line="120" w:lineRule="exact"/>
        <w:rPr>
          <w:sz w:val="10"/>
        </w:rPr>
      </w:pPr>
    </w:p>
    <w:p w:rsidR="00000000" w:rsidRDefault="00000000">
      <w:pPr>
        <w:pStyle w:val="SingleTxt"/>
        <w:rPr>
          <w:i/>
        </w:rPr>
      </w:pPr>
      <w:r>
        <w:rPr>
          <w:i/>
        </w:rPr>
        <w:tab/>
        <w:t>2.</w:t>
      </w:r>
      <w:r>
        <w:rPr>
          <w:i/>
        </w:rPr>
        <w:tab/>
        <w:t>No tendrán ningún efecto jurídico los esponsales y el matrimonio de n</w:t>
      </w:r>
      <w:r>
        <w:rPr>
          <w:i/>
        </w:rPr>
        <w:t>i</w:t>
      </w:r>
      <w:r>
        <w:rPr>
          <w:i/>
        </w:rPr>
        <w:t>ños y se adoptarán todas las medidas necesarias, incluso de carácter legislativo, para fijar una edad mínima para la celebración del matrimonio y hacer obligatoria la inscripción del matrimonio en un registro oficial.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edad mínima para contraer matrimonio y el asiento del acta matrimonial en el r</w:t>
      </w:r>
      <w:r>
        <w:t>e</w:t>
      </w:r>
      <w:r>
        <w:t>gistro civil están reglamentados.</w:t>
      </w:r>
    </w:p>
    <w:p w:rsidR="00000000" w:rsidRDefault="00000000">
      <w:pPr>
        <w:pStyle w:val="SingleTxt"/>
        <w:rPr>
          <w:spacing w:val="2"/>
          <w:w w:val="101"/>
        </w:rPr>
      </w:pPr>
      <w:r>
        <w:tab/>
      </w:r>
      <w:r>
        <w:rPr>
          <w:spacing w:val="2"/>
          <w:w w:val="101"/>
        </w:rPr>
        <w:t>Un menor de 15 a 18 años de edad puede casarse con el consentimiento escrito de sus padres o de su tutor. Si el menor tiene un solo progenitor o si el otro progenitor es declarado desaparecido o ha sido privado de capacidad jurídica activa o si uno de los progenitores ha sido privado de sus derechos parentales, basta con el consentimiento de uno de los padres para que el menor de 15 a 18 años de edad pueda casa</w:t>
      </w:r>
      <w:r>
        <w:rPr>
          <w:spacing w:val="2"/>
          <w:w w:val="101"/>
        </w:rPr>
        <w:t>r</w:t>
      </w:r>
      <w:r>
        <w:rPr>
          <w:spacing w:val="2"/>
          <w:w w:val="101"/>
        </w:rPr>
        <w:t>se.</w:t>
      </w:r>
    </w:p>
    <w:p w:rsidR="00000000" w:rsidRDefault="00000000">
      <w:pPr>
        <w:pStyle w:val="SingleTxt"/>
      </w:pPr>
      <w:r>
        <w:tab/>
        <w:t>Aun si uno de los padres o el tutor no dan su consentimiento al matrimonio, los tribunales pueden conceder el permiso correspondiente a petición de uno de los padres o de la autoridad tutelar. Los tribunales conceden ese permiso cuando el m</w:t>
      </w:r>
      <w:r>
        <w:t>a</w:t>
      </w:r>
      <w:r>
        <w:t>tr</w:t>
      </w:r>
      <w:r>
        <w:t>i</w:t>
      </w:r>
      <w:r>
        <w:t>monio no es contrario a los intereses del menor.</w:t>
      </w:r>
    </w:p>
    <w:p w:rsidR="00000000" w:rsidRDefault="00000000">
      <w:pPr>
        <w:pStyle w:val="SingleTxt"/>
      </w:pPr>
      <w:r>
        <w:tab/>
        <w:t>Desde mayo de 2001 el Ministerio de Asuntos Regionales puede otorgar el d</w:t>
      </w:r>
      <w:r>
        <w:t>e</w:t>
      </w:r>
      <w:r>
        <w:t>recho a cumplir la labor de un funcionario del registro civil relativa al matrimonio a un religioso de una iglesia, congregación o asociación de congregaciones que haya recibido la formación correspondiente. El religioso que recibe del Ministro de Asuntos Regionales el derecho a realizar matrimonios es equivalente a un funcion</w:t>
      </w:r>
      <w:r>
        <w:t>a</w:t>
      </w:r>
      <w:r>
        <w:t>rio del registro civil en lo que atañe a la función de realizar matrimonios y tiene d</w:t>
      </w:r>
      <w:r>
        <w:t>e</w:t>
      </w:r>
      <w:r>
        <w:t>recho a registrar los matrimonios y a emitir certificados de matrimonio. El Minist</w:t>
      </w:r>
      <w:r>
        <w:t>e</w:t>
      </w:r>
      <w:r>
        <w:t>rio de Asuntos Regionales supervisa el desempeño de estas funciones por parte de los rel</w:t>
      </w:r>
      <w:r>
        <w:t>i</w:t>
      </w:r>
      <w:r>
        <w:t>giosos.</w:t>
      </w:r>
    </w:p>
    <w:p w:rsidR="00000000" w:rsidRDefault="00000000">
      <w:pPr>
        <w:pStyle w:val="SingleTxt"/>
      </w:pPr>
      <w:r>
        <w:tab/>
        <w:t>En el cuadro siguiente puede observarse que los matrimonios entre menores no son frecuentes y que han disminuido año tras año.</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710"/>
        <w:gridCol w:w="935"/>
        <w:gridCol w:w="935"/>
        <w:gridCol w:w="110"/>
        <w:gridCol w:w="826"/>
        <w:gridCol w:w="935"/>
        <w:gridCol w:w="129"/>
        <w:gridCol w:w="806"/>
        <w:gridCol w:w="936"/>
      </w:tblGrid>
      <w:tr w:rsidR="00000000">
        <w:tblPrEx>
          <w:tblCellMar>
            <w:top w:w="0" w:type="dxa"/>
            <w:left w:w="0" w:type="dxa"/>
            <w:bottom w:w="0" w:type="dxa"/>
            <w:right w:w="0" w:type="dxa"/>
          </w:tblCellMar>
        </w:tblPrEx>
        <w:trPr>
          <w:cantSplit/>
          <w:tblHeader/>
        </w:trPr>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87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2000</w:t>
            </w:r>
          </w:p>
        </w:tc>
        <w:tc>
          <w:tcPr>
            <w:tcW w:w="1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76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2001</w:t>
            </w:r>
          </w:p>
        </w:tc>
        <w:tc>
          <w:tcPr>
            <w:tcW w:w="12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74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2002</w:t>
            </w:r>
          </w:p>
        </w:tc>
      </w:tr>
      <w:tr w:rsidR="00000000">
        <w:tblPrEx>
          <w:tblCellMar>
            <w:top w:w="0" w:type="dxa"/>
            <w:left w:w="0" w:type="dxa"/>
            <w:bottom w:w="0" w:type="dxa"/>
            <w:right w:w="0" w:type="dxa"/>
          </w:tblCellMar>
        </w:tblPrEx>
        <w:trPr>
          <w:tblHeader/>
        </w:trPr>
        <w:tc>
          <w:tcPr>
            <w:tcW w:w="171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93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3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36"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3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3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3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17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Menores de 16 años</w:t>
            </w:r>
          </w:p>
        </w:tc>
        <w:tc>
          <w:tcPr>
            <w:tcW w:w="9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9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3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3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9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16 años</w:t>
            </w:r>
          </w:p>
        </w:tc>
        <w:tc>
          <w:tcPr>
            <w:tcW w:w="9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3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9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3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9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17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17 años</w:t>
            </w:r>
          </w:p>
        </w:tc>
        <w:tc>
          <w:tcPr>
            <w:tcW w:w="9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9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93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9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3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93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bl>
    <w:bookmarkEnd w:id="42"/>
    <w:p w:rsidR="00000000" w:rsidRDefault="00000000">
      <w:pPr>
        <w:pStyle w:val="SingleTxt"/>
        <w:spacing w:after="0" w:line="240" w:lineRule="auto"/>
      </w:pPr>
      <w:r>
        <w:rPr>
          <w:noProof/>
          <w:w w:val="100"/>
        </w:rPr>
        <w:pict>
          <v:line id="_x0000_s2053" style="position:absolute;left:0;text-align:left;z-index:4;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NO&gt;&gt;N0554400S&lt;&lt;ODS JOB NO&gt;&gt;</w:t>
      </w:r>
    </w:p>
    <w:p w:rsidR="00000000" w:rsidRDefault="00000000">
      <w:pPr>
        <w:pStyle w:val="CommentText"/>
      </w:pPr>
      <w:r>
        <w:t>&lt;&lt;ODS DOC SYMBOL1&gt;&gt;CEDAW/C/EST/4&lt;&lt;ODS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TimeH">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94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0554400s.doc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0554400s.doc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05-54400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*0554400*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CEDAW/C/EST/4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CEDAW/C/EST/4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/C/EST/4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6 de octubre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69729724"/>
    <w:lvl w:ilvl="0">
      <w:start w:val="1"/>
      <w:numFmt w:val="bullet"/>
      <w:lvlText w:val=""/>
      <w:lvlJc w:val="left"/>
      <w:pPr>
        <w:tabs>
          <w:tab w:val="num" w:pos="926"/>
        </w:tabs>
        <w:ind w:left="926" w:hanging="360"/>
      </w:pPr>
      <w:rPr>
        <w:rFonts w:ascii="Symbol" w:hAnsi="Symbol" w:hint="default"/>
      </w:rPr>
    </w:lvl>
  </w:abstractNum>
  <w:abstractNum w:abstractNumId="1">
    <w:nsid w:val="00461F1B"/>
    <w:multiLevelType w:val="multilevel"/>
    <w:tmpl w:val="13FAB974"/>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007545BD"/>
    <w:multiLevelType w:val="multilevel"/>
    <w:tmpl w:val="DE96E222"/>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01427CDA"/>
    <w:multiLevelType w:val="multilevel"/>
    <w:tmpl w:val="A98CE80E"/>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nsid w:val="019C5CE2"/>
    <w:multiLevelType w:val="singleLevel"/>
    <w:tmpl w:val="03D8BF64"/>
    <w:lvl w:ilvl="0">
      <w:start w:val="4"/>
      <w:numFmt w:val="decimal"/>
      <w:lvlText w:val="%1."/>
      <w:lvlJc w:val="left"/>
      <w:pPr>
        <w:tabs>
          <w:tab w:val="num" w:pos="720"/>
        </w:tabs>
        <w:ind w:left="720" w:hanging="720"/>
      </w:pPr>
      <w:rPr>
        <w:rFonts w:hint="default"/>
      </w:rPr>
    </w:lvl>
  </w:abstractNum>
  <w:abstractNum w:abstractNumId="5">
    <w:nsid w:val="01AF4DA7"/>
    <w:multiLevelType w:val="multilevel"/>
    <w:tmpl w:val="ABA0972A"/>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
    <w:nsid w:val="01B93EA9"/>
    <w:multiLevelType w:val="multilevel"/>
    <w:tmpl w:val="CC08C3EE"/>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01FC54CB"/>
    <w:multiLevelType w:val="multilevel"/>
    <w:tmpl w:val="A98CE80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040273BC"/>
    <w:multiLevelType w:val="multilevel"/>
    <w:tmpl w:val="93A2379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04223D45"/>
    <w:multiLevelType w:val="singleLevel"/>
    <w:tmpl w:val="D74E821E"/>
    <w:lvl w:ilvl="0">
      <w:numFmt w:val="bullet"/>
      <w:lvlText w:val="-"/>
      <w:lvlJc w:val="left"/>
      <w:pPr>
        <w:tabs>
          <w:tab w:val="num" w:pos="360"/>
        </w:tabs>
        <w:ind w:left="360" w:hanging="360"/>
      </w:pPr>
      <w:rPr>
        <w:rFonts w:ascii="Times New Roman" w:hAnsi="Times New Roman" w:hint="default"/>
      </w:rPr>
    </w:lvl>
  </w:abstractNum>
  <w:abstractNum w:abstractNumId="10">
    <w:nsid w:val="05EA1AB0"/>
    <w:multiLevelType w:val="multilevel"/>
    <w:tmpl w:val="A4FA79BE"/>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06173F4F"/>
    <w:multiLevelType w:val="multilevel"/>
    <w:tmpl w:val="46DCB3F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064A6391"/>
    <w:multiLevelType w:val="multilevel"/>
    <w:tmpl w:val="0518EA3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083E6721"/>
    <w:multiLevelType w:val="multilevel"/>
    <w:tmpl w:val="DF5ED58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4">
    <w:nsid w:val="093C0450"/>
    <w:multiLevelType w:val="multilevel"/>
    <w:tmpl w:val="4546E53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09FF392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nsid w:val="0B113113"/>
    <w:multiLevelType w:val="multilevel"/>
    <w:tmpl w:val="F53CADF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0C497CF5"/>
    <w:multiLevelType w:val="multilevel"/>
    <w:tmpl w:val="13FAB974"/>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0D1E5B08"/>
    <w:multiLevelType w:val="multilevel"/>
    <w:tmpl w:val="2A2EB35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0D6D5003"/>
    <w:multiLevelType w:val="multilevel"/>
    <w:tmpl w:val="7EF63F5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nsid w:val="0DAB7FC9"/>
    <w:multiLevelType w:val="multilevel"/>
    <w:tmpl w:val="1368C608"/>
    <w:lvl w:ilvl="0">
      <w:start w:val="1"/>
      <w:numFmt w:val="upperRoman"/>
      <w:lvlText w:val="%1."/>
      <w:lvlJc w:val="center"/>
      <w:pPr>
        <w:tabs>
          <w:tab w:val="num" w:pos="648"/>
        </w:tabs>
        <w:ind w:left="0" w:firstLine="288"/>
      </w:pPr>
      <w:rPr>
        <w:b/>
        <w:i w:val="0"/>
      </w:rPr>
    </w:lvl>
    <w:lvl w:ilvl="1">
      <w:start w:val="1"/>
      <w:numFmt w:val="decimal"/>
      <w:isLgl/>
      <w:lvlText w:val="%1.%2"/>
      <w:lvlJc w:val="left"/>
      <w:pPr>
        <w:tabs>
          <w:tab w:val="num" w:pos="720"/>
        </w:tabs>
        <w:ind w:left="720" w:hanging="720"/>
      </w:pPr>
    </w:lvl>
    <w:lvl w:ilvl="2">
      <w:start w:val="1"/>
      <w:numFmt w:val="lowerLetter"/>
      <w:lvlText w:val="%3."/>
      <w:lvlJc w:val="left"/>
      <w:pPr>
        <w:tabs>
          <w:tab w:val="num" w:pos="1152"/>
        </w:tabs>
        <w:ind w:left="1152" w:hanging="432"/>
      </w:pPr>
    </w:lvl>
    <w:lvl w:ilvl="3">
      <w:start w:val="1"/>
      <w:numFmt w:val="lowerRoman"/>
      <w:lvlText w:val="%4."/>
      <w:lvlJc w:val="right"/>
      <w:pPr>
        <w:tabs>
          <w:tab w:val="num" w:pos="1584"/>
        </w:tabs>
        <w:ind w:left="1584" w:hanging="288"/>
      </w:pPr>
    </w:lvl>
    <w:lvl w:ilvl="4">
      <w:start w:val="1"/>
      <w:numFmt w:val="none"/>
      <w:lvlText w:val=""/>
      <w:lvlJc w:val="left"/>
      <w:pPr>
        <w:tabs>
          <w:tab w:val="num" w:pos="3240"/>
        </w:tabs>
        <w:ind w:left="2880" w:firstLine="0"/>
      </w:pPr>
    </w:lvl>
    <w:lvl w:ilvl="5">
      <w:start w:val="1"/>
      <w:numFmt w:val="none"/>
      <w:lvlText w:val=""/>
      <w:lvlJc w:val="left"/>
      <w:pPr>
        <w:tabs>
          <w:tab w:val="num" w:pos="3960"/>
        </w:tabs>
        <w:ind w:left="3600" w:firstLine="0"/>
      </w:pPr>
    </w:lvl>
    <w:lvl w:ilvl="6">
      <w:start w:val="1"/>
      <w:numFmt w:val="none"/>
      <w:lvlText w:val=""/>
      <w:lvlJc w:val="left"/>
      <w:pPr>
        <w:tabs>
          <w:tab w:val="num" w:pos="4680"/>
        </w:tabs>
        <w:ind w:left="4320" w:firstLine="0"/>
      </w:pPr>
    </w:lvl>
    <w:lvl w:ilvl="7">
      <w:start w:val="1"/>
      <w:numFmt w:val="none"/>
      <w:lvlText w:val=""/>
      <w:lvlJc w:val="left"/>
      <w:pPr>
        <w:tabs>
          <w:tab w:val="num" w:pos="5400"/>
        </w:tabs>
        <w:ind w:left="5040" w:firstLine="0"/>
      </w:pPr>
    </w:lvl>
    <w:lvl w:ilvl="8">
      <w:start w:val="1"/>
      <w:numFmt w:val="none"/>
      <w:lvlText w:val=""/>
      <w:lvlJc w:val="left"/>
      <w:pPr>
        <w:tabs>
          <w:tab w:val="num" w:pos="6120"/>
        </w:tabs>
        <w:ind w:left="5760" w:firstLine="0"/>
      </w:pPr>
    </w:lvl>
  </w:abstractNum>
  <w:abstractNum w:abstractNumId="21">
    <w:nsid w:val="0DB3459B"/>
    <w:multiLevelType w:val="singleLevel"/>
    <w:tmpl w:val="1C704120"/>
    <w:lvl w:ilvl="0">
      <w:start w:val="1"/>
      <w:numFmt w:val="decimal"/>
      <w:lvlText w:val="%1."/>
      <w:lvlJc w:val="left"/>
      <w:pPr>
        <w:tabs>
          <w:tab w:val="num" w:pos="720"/>
        </w:tabs>
        <w:ind w:left="720" w:hanging="360"/>
      </w:pPr>
      <w:rPr>
        <w:rFonts w:hint="default"/>
      </w:rPr>
    </w:lvl>
  </w:abstractNum>
  <w:abstractNum w:abstractNumId="22">
    <w:nsid w:val="0DF76A2C"/>
    <w:multiLevelType w:val="multilevel"/>
    <w:tmpl w:val="B3E26EE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3">
    <w:nsid w:val="0E6E433C"/>
    <w:multiLevelType w:val="singleLevel"/>
    <w:tmpl w:val="0409000F"/>
    <w:lvl w:ilvl="0">
      <w:start w:val="10"/>
      <w:numFmt w:val="decimal"/>
      <w:lvlText w:val="%1."/>
      <w:lvlJc w:val="left"/>
      <w:pPr>
        <w:tabs>
          <w:tab w:val="num" w:pos="360"/>
        </w:tabs>
        <w:ind w:left="360" w:hanging="360"/>
      </w:pPr>
      <w:rPr>
        <w:rFonts w:hint="default"/>
      </w:rPr>
    </w:lvl>
  </w:abstractNum>
  <w:abstractNum w:abstractNumId="24">
    <w:nsid w:val="10CF1380"/>
    <w:multiLevelType w:val="multilevel"/>
    <w:tmpl w:val="A2DAFE9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13136BF3"/>
    <w:multiLevelType w:val="singleLevel"/>
    <w:tmpl w:val="AAD66FA4"/>
    <w:lvl w:ilvl="0">
      <w:start w:val="1"/>
      <w:numFmt w:val="decimal"/>
      <w:lvlText w:val="%1."/>
      <w:lvlJc w:val="left"/>
      <w:pPr>
        <w:tabs>
          <w:tab w:val="num" w:pos="360"/>
        </w:tabs>
        <w:ind w:left="360" w:hanging="360"/>
      </w:pPr>
      <w:rPr>
        <w:rFonts w:hint="default"/>
      </w:rPr>
    </w:lvl>
  </w:abstractNum>
  <w:abstractNum w:abstractNumId="26">
    <w:nsid w:val="14146902"/>
    <w:multiLevelType w:val="singleLevel"/>
    <w:tmpl w:val="88EC4D08"/>
    <w:lvl w:ilvl="0">
      <w:start w:val="1"/>
      <w:numFmt w:val="bullet"/>
      <w:lvlText w:val=""/>
      <w:lvlJc w:val="left"/>
      <w:pPr>
        <w:tabs>
          <w:tab w:val="num" w:pos="0"/>
        </w:tabs>
        <w:ind w:left="360" w:hanging="360"/>
      </w:pPr>
      <w:rPr>
        <w:rFonts w:ascii="Symbol" w:hAnsi="Symbol" w:hint="default"/>
      </w:rPr>
    </w:lvl>
  </w:abstractNum>
  <w:abstractNum w:abstractNumId="27">
    <w:nsid w:val="14663C37"/>
    <w:multiLevelType w:val="multilevel"/>
    <w:tmpl w:val="ABFEA2AA"/>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14B804FD"/>
    <w:multiLevelType w:val="singleLevel"/>
    <w:tmpl w:val="D74E821E"/>
    <w:lvl w:ilvl="0">
      <w:numFmt w:val="bullet"/>
      <w:lvlText w:val="-"/>
      <w:lvlJc w:val="left"/>
      <w:pPr>
        <w:tabs>
          <w:tab w:val="num" w:pos="360"/>
        </w:tabs>
        <w:ind w:left="360" w:hanging="360"/>
      </w:pPr>
      <w:rPr>
        <w:rFonts w:ascii="Times New Roman" w:hAnsi="Times New Roman" w:hint="default"/>
      </w:rPr>
    </w:lvl>
  </w:abstractNum>
  <w:abstractNum w:abstractNumId="29">
    <w:nsid w:val="152D1504"/>
    <w:multiLevelType w:val="multilevel"/>
    <w:tmpl w:val="CA247856"/>
    <w:lvl w:ilvl="0">
      <w:start w:val="12"/>
      <w:numFmt w:val="decimal"/>
      <w:lvlText w:val="%1"/>
      <w:lvlJc w:val="left"/>
      <w:pPr>
        <w:tabs>
          <w:tab w:val="num" w:pos="510"/>
        </w:tabs>
        <w:ind w:left="510" w:hanging="510"/>
      </w:pPr>
      <w:rPr>
        <w:rFonts w:hint="default"/>
      </w:rPr>
    </w:lvl>
    <w:lvl w:ilvl="1">
      <w:start w:val="5"/>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16072CDF"/>
    <w:multiLevelType w:val="singleLevel"/>
    <w:tmpl w:val="D74E821E"/>
    <w:lvl w:ilvl="0">
      <w:start w:val="1"/>
      <w:numFmt w:val="bullet"/>
      <w:lvlText w:val="-"/>
      <w:lvlJc w:val="left"/>
      <w:pPr>
        <w:tabs>
          <w:tab w:val="num" w:pos="360"/>
        </w:tabs>
        <w:ind w:left="360" w:hanging="360"/>
      </w:pPr>
      <w:rPr>
        <w:rFonts w:ascii="Times New Roman" w:hAnsi="Times New Roman" w:hint="default"/>
      </w:rPr>
    </w:lvl>
  </w:abstractNum>
  <w:abstractNum w:abstractNumId="31">
    <w:nsid w:val="16740D30"/>
    <w:multiLevelType w:val="singleLevel"/>
    <w:tmpl w:val="961AF53C"/>
    <w:lvl w:ilvl="0">
      <w:start w:val="1"/>
      <w:numFmt w:val="decimal"/>
      <w:lvlText w:val="%1"/>
      <w:lvlJc w:val="left"/>
      <w:pPr>
        <w:tabs>
          <w:tab w:val="num" w:pos="360"/>
        </w:tabs>
        <w:ind w:left="360" w:hanging="360"/>
      </w:pPr>
    </w:lvl>
  </w:abstractNum>
  <w:abstractNum w:abstractNumId="32">
    <w:nsid w:val="1893700C"/>
    <w:multiLevelType w:val="multilevel"/>
    <w:tmpl w:val="B4501842"/>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533"/>
        </w:tabs>
        <w:ind w:left="533" w:hanging="360"/>
      </w:pPr>
    </w:lvl>
    <w:lvl w:ilvl="2" w:tentative="1">
      <w:start w:val="1"/>
      <w:numFmt w:val="lowerRoman"/>
      <w:lvlText w:val="%3."/>
      <w:lvlJc w:val="right"/>
      <w:pPr>
        <w:tabs>
          <w:tab w:val="num" w:pos="1253"/>
        </w:tabs>
        <w:ind w:left="1253" w:hanging="180"/>
      </w:pPr>
    </w:lvl>
    <w:lvl w:ilvl="3" w:tentative="1">
      <w:start w:val="1"/>
      <w:numFmt w:val="decimal"/>
      <w:lvlText w:val="%4."/>
      <w:lvlJc w:val="left"/>
      <w:pPr>
        <w:tabs>
          <w:tab w:val="num" w:pos="1973"/>
        </w:tabs>
        <w:ind w:left="1973" w:hanging="360"/>
      </w:pPr>
    </w:lvl>
    <w:lvl w:ilvl="4" w:tentative="1">
      <w:start w:val="1"/>
      <w:numFmt w:val="lowerLetter"/>
      <w:lvlText w:val="%5."/>
      <w:lvlJc w:val="left"/>
      <w:pPr>
        <w:tabs>
          <w:tab w:val="num" w:pos="2693"/>
        </w:tabs>
        <w:ind w:left="2693" w:hanging="360"/>
      </w:pPr>
    </w:lvl>
    <w:lvl w:ilvl="5" w:tentative="1">
      <w:start w:val="1"/>
      <w:numFmt w:val="lowerRoman"/>
      <w:lvlText w:val="%6."/>
      <w:lvlJc w:val="right"/>
      <w:pPr>
        <w:tabs>
          <w:tab w:val="num" w:pos="3413"/>
        </w:tabs>
        <w:ind w:left="3413" w:hanging="180"/>
      </w:pPr>
    </w:lvl>
    <w:lvl w:ilvl="6" w:tentative="1">
      <w:start w:val="1"/>
      <w:numFmt w:val="decimal"/>
      <w:lvlText w:val="%7."/>
      <w:lvlJc w:val="left"/>
      <w:pPr>
        <w:tabs>
          <w:tab w:val="num" w:pos="4133"/>
        </w:tabs>
        <w:ind w:left="4133" w:hanging="360"/>
      </w:pPr>
    </w:lvl>
    <w:lvl w:ilvl="7" w:tentative="1">
      <w:start w:val="1"/>
      <w:numFmt w:val="lowerLetter"/>
      <w:lvlText w:val="%8."/>
      <w:lvlJc w:val="left"/>
      <w:pPr>
        <w:tabs>
          <w:tab w:val="num" w:pos="4853"/>
        </w:tabs>
        <w:ind w:left="4853" w:hanging="360"/>
      </w:pPr>
    </w:lvl>
    <w:lvl w:ilvl="8" w:tentative="1">
      <w:start w:val="1"/>
      <w:numFmt w:val="lowerRoman"/>
      <w:lvlText w:val="%9."/>
      <w:lvlJc w:val="right"/>
      <w:pPr>
        <w:tabs>
          <w:tab w:val="num" w:pos="5573"/>
        </w:tabs>
        <w:ind w:left="5573" w:hanging="180"/>
      </w:pPr>
    </w:lvl>
  </w:abstractNum>
  <w:abstractNum w:abstractNumId="33">
    <w:nsid w:val="1A7C2B04"/>
    <w:multiLevelType w:val="multilevel"/>
    <w:tmpl w:val="7DC2EC1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1A975B6D"/>
    <w:multiLevelType w:val="multilevel"/>
    <w:tmpl w:val="75A82B3C"/>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VnTimeH"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VnTimeH"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VnTimeH"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nsid w:val="1B5B3ADC"/>
    <w:multiLevelType w:val="multilevel"/>
    <w:tmpl w:val="7E7493E6"/>
    <w:lvl w:ilvl="0">
      <w:start w:val="1"/>
      <w:numFmt w:val="bullet"/>
      <w:lvlText w:val=""/>
      <w:lvlJc w:val="left"/>
      <w:pPr>
        <w:tabs>
          <w:tab w:val="num" w:pos="780"/>
        </w:tabs>
        <w:ind w:left="780" w:hanging="360"/>
      </w:pPr>
      <w:rPr>
        <w:rFonts w:ascii="Symbol" w:hAnsi="Symbol" w:hint="default"/>
      </w:rPr>
    </w:lvl>
    <w:lvl w:ilvl="1" w:tentative="1">
      <w:start w:val="1"/>
      <w:numFmt w:val="bullet"/>
      <w:lvlText w:val="o"/>
      <w:lvlJc w:val="left"/>
      <w:pPr>
        <w:tabs>
          <w:tab w:val="num" w:pos="1500"/>
        </w:tabs>
        <w:ind w:left="1500" w:hanging="360"/>
      </w:pPr>
      <w:rPr>
        <w:rFonts w:ascii="Courier New" w:hAnsi="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36">
    <w:nsid w:val="1BAF4A96"/>
    <w:multiLevelType w:val="multilevel"/>
    <w:tmpl w:val="4C165EBC"/>
    <w:lvl w:ilvl="0">
      <w:start w:val="7"/>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1BF700BD"/>
    <w:multiLevelType w:val="multilevel"/>
    <w:tmpl w:val="F2A42DB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
    <w:nsid w:val="1C2E4040"/>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39">
    <w:nsid w:val="1C7152F2"/>
    <w:multiLevelType w:val="multilevel"/>
    <w:tmpl w:val="221026D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nsid w:val="1CC57A2E"/>
    <w:multiLevelType w:val="multilevel"/>
    <w:tmpl w:val="208ACA8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nsid w:val="1D1276C0"/>
    <w:multiLevelType w:val="multilevel"/>
    <w:tmpl w:val="0E7E732C"/>
    <w:lvl w:ilvl="0">
      <w:start w:val="1"/>
      <w:numFmt w:val="bullet"/>
      <w:lvlText w:val=""/>
      <w:lvlJc w:val="left"/>
      <w:pPr>
        <w:tabs>
          <w:tab w:val="num" w:pos="1440"/>
        </w:tabs>
        <w:ind w:left="1440" w:hanging="360"/>
      </w:pPr>
      <w:rPr>
        <w:rFonts w:ascii="Wingdings" w:hAnsi="Wingdings" w:hint="default"/>
      </w:rPr>
    </w:lvl>
    <w:lvl w:ilvl="1" w:tentative="1">
      <w:start w:val="1"/>
      <w:numFmt w:val="bullet"/>
      <w:lvlText w:val="o"/>
      <w:lvlJc w:val="left"/>
      <w:pPr>
        <w:tabs>
          <w:tab w:val="num" w:pos="2520"/>
        </w:tabs>
        <w:ind w:left="2520" w:hanging="360"/>
      </w:pPr>
      <w:rPr>
        <w:rFonts w:ascii="Courier New" w:hAnsi="Courier New"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42">
    <w:nsid w:val="1D707F30"/>
    <w:multiLevelType w:val="multilevel"/>
    <w:tmpl w:val="AFC8153C"/>
    <w:lvl w:ilvl="0">
      <w:start w:val="13"/>
      <w:numFmt w:val="bullet"/>
      <w:lvlText w:val="-"/>
      <w:lvlJc w:val="left"/>
      <w:pPr>
        <w:tabs>
          <w:tab w:val="num" w:pos="720"/>
        </w:tabs>
        <w:ind w:left="720" w:hanging="360"/>
      </w:pPr>
      <w:rPr>
        <w:rFonts w:ascii="Times New Roman" w:eastAsia="Times New Roman" w:hAnsi="Times New Roman" w:cs="Times New Roman" w:hint="default"/>
      </w:rPr>
    </w:lvl>
    <w:lvl w:ilvl="1">
      <w:start w:val="13"/>
      <w:numFmt w:val="bullet"/>
      <w:lvlText w:val=""/>
      <w:lvlJc w:val="left"/>
      <w:pPr>
        <w:tabs>
          <w:tab w:val="num" w:pos="1440"/>
        </w:tabs>
        <w:ind w:left="1440" w:hanging="360"/>
      </w:pPr>
      <w:rPr>
        <w:rFonts w:ascii="Symbol" w:eastAsia="Times New Roman" w:hAnsi="Symbol"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3">
    <w:nsid w:val="1EA608E3"/>
    <w:multiLevelType w:val="multilevel"/>
    <w:tmpl w:val="37F2AE2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4">
    <w:nsid w:val="1F996F91"/>
    <w:multiLevelType w:val="multilevel"/>
    <w:tmpl w:val="F0269DDC"/>
    <w:lvl w:ilvl="0">
      <w:start w:val="6"/>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5">
    <w:nsid w:val="1FC46717"/>
    <w:multiLevelType w:val="multilevel"/>
    <w:tmpl w:val="F706362A"/>
    <w:lvl w:ilvl="0">
      <w:start w:val="1"/>
      <w:numFmt w:val="decimal"/>
      <w:lvlText w:val="%1."/>
      <w:lvlJc w:val="left"/>
      <w:pPr>
        <w:tabs>
          <w:tab w:val="num" w:pos="360"/>
        </w:tabs>
        <w:ind w:left="360" w:hanging="360"/>
      </w:pPr>
      <w:rPr>
        <w:rFonts w:ascii=".VnTimeH" w:hAnsi=".VnTimeH" w:hint="default"/>
        <w:b/>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1FCD3373"/>
    <w:multiLevelType w:val="multilevel"/>
    <w:tmpl w:val="DFA0B90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
    <w:nsid w:val="20FD3B1F"/>
    <w:multiLevelType w:val="multilevel"/>
    <w:tmpl w:val="7354EDDE"/>
    <w:lvl w:ilvl="0">
      <w:start w:val="20"/>
      <w:numFmt w:val="bullet"/>
      <w:lvlText w:val="-"/>
      <w:lvlJc w:val="left"/>
      <w:pPr>
        <w:tabs>
          <w:tab w:val="num" w:pos="720"/>
        </w:tabs>
        <w:ind w:left="720" w:hanging="360"/>
      </w:pPr>
      <w:rPr>
        <w:rFonts w:ascii="Arial" w:eastAsia="Times New Roman" w:hAnsi="Arial" w:cs="Arial" w:hint="default"/>
      </w:rPr>
    </w:lvl>
    <w:lvl w:ilvl="1" w:tentative="1">
      <w:start w:val="1"/>
      <w:numFmt w:val="bullet"/>
      <w:lvlText w:val="o"/>
      <w:lvlJc w:val="left"/>
      <w:pPr>
        <w:tabs>
          <w:tab w:val="num" w:pos="1440"/>
        </w:tabs>
        <w:ind w:left="1440" w:hanging="360"/>
      </w:pPr>
      <w:rPr>
        <w:rFonts w:ascii="Courier New" w:hAnsi="Courier New" w:cs=".VnTimeH"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VnTimeH"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VnTimeH"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8">
    <w:nsid w:val="241E43F5"/>
    <w:multiLevelType w:val="singleLevel"/>
    <w:tmpl w:val="AE7EC304"/>
    <w:lvl w:ilvl="0">
      <w:start w:val="13"/>
      <w:numFmt w:val="decimal"/>
      <w:lvlText w:val="%1."/>
      <w:lvlJc w:val="left"/>
      <w:pPr>
        <w:tabs>
          <w:tab w:val="num" w:pos="720"/>
        </w:tabs>
        <w:ind w:left="720" w:hanging="720"/>
      </w:pPr>
      <w:rPr>
        <w:rFonts w:hint="default"/>
      </w:rPr>
    </w:lvl>
  </w:abstractNum>
  <w:abstractNum w:abstractNumId="49">
    <w:nsid w:val="24D002AA"/>
    <w:multiLevelType w:val="multilevel"/>
    <w:tmpl w:val="BADAE28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0">
    <w:nsid w:val="257D6AAA"/>
    <w:multiLevelType w:val="multilevel"/>
    <w:tmpl w:val="DA6E62FC"/>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1">
    <w:nsid w:val="25817CBA"/>
    <w:multiLevelType w:val="multilevel"/>
    <w:tmpl w:val="6B8AEBE2"/>
    <w:lvl w:ilvl="0">
      <w:start w:val="1"/>
      <w:numFmt w:val="bullet"/>
      <w:lvlText w:val=""/>
      <w:lvlJc w:val="left"/>
      <w:pPr>
        <w:tabs>
          <w:tab w:val="num" w:pos="780"/>
        </w:tabs>
        <w:ind w:left="780" w:hanging="360"/>
      </w:pPr>
      <w:rPr>
        <w:rFonts w:ascii="Symbol" w:hAnsi="Symbol" w:hint="default"/>
      </w:rPr>
    </w:lvl>
    <w:lvl w:ilvl="1" w:tentative="1">
      <w:start w:val="1"/>
      <w:numFmt w:val="bullet"/>
      <w:lvlText w:val="o"/>
      <w:lvlJc w:val="left"/>
      <w:pPr>
        <w:tabs>
          <w:tab w:val="num" w:pos="1500"/>
        </w:tabs>
        <w:ind w:left="1500" w:hanging="360"/>
      </w:pPr>
      <w:rPr>
        <w:rFonts w:ascii="Courier New" w:hAnsi="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52">
    <w:nsid w:val="25A14CBC"/>
    <w:multiLevelType w:val="multilevel"/>
    <w:tmpl w:val="A8369018"/>
    <w:lvl w:ilvl="0">
      <w:start w:val="6"/>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3">
    <w:nsid w:val="278965E6"/>
    <w:multiLevelType w:val="multilevel"/>
    <w:tmpl w:val="C324ACB0"/>
    <w:lvl w:ilvl="0">
      <w:start w:val="5"/>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4">
    <w:nsid w:val="27D14091"/>
    <w:multiLevelType w:val="singleLevel"/>
    <w:tmpl w:val="04150001"/>
    <w:lvl w:ilvl="0">
      <w:start w:val="137"/>
      <w:numFmt w:val="bullet"/>
      <w:lvlText w:val=""/>
      <w:lvlJc w:val="left"/>
      <w:pPr>
        <w:tabs>
          <w:tab w:val="num" w:pos="360"/>
        </w:tabs>
        <w:ind w:left="360" w:hanging="360"/>
      </w:pPr>
      <w:rPr>
        <w:rFonts w:ascii="Symbol" w:hAnsi="Symbol" w:hint="default"/>
      </w:rPr>
    </w:lvl>
  </w:abstractNum>
  <w:abstractNum w:abstractNumId="55">
    <w:nsid w:val="285C1B88"/>
    <w:multiLevelType w:val="multilevel"/>
    <w:tmpl w:val="C876132A"/>
    <w:lvl w:ilvl="0">
      <w:start w:val="1"/>
      <w:numFmt w:val="lowerLetter"/>
      <w:lvlText w:val="(%1)"/>
      <w:lvlJc w:val="left"/>
      <w:pPr>
        <w:tabs>
          <w:tab w:val="num" w:pos="720"/>
        </w:tabs>
        <w:ind w:left="720" w:hanging="360"/>
      </w:pPr>
      <w:rPr>
        <w:rFonts w:hint="default"/>
      </w:rPr>
    </w:lvl>
    <w:lvl w:ilvl="1">
      <w:start w:val="5"/>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6">
    <w:nsid w:val="28E22A7A"/>
    <w:multiLevelType w:val="singleLevel"/>
    <w:tmpl w:val="0409000F"/>
    <w:lvl w:ilvl="0">
      <w:start w:val="1"/>
      <w:numFmt w:val="decimal"/>
      <w:lvlText w:val="%1."/>
      <w:lvlJc w:val="left"/>
      <w:pPr>
        <w:tabs>
          <w:tab w:val="num" w:pos="360"/>
        </w:tabs>
        <w:ind w:left="360" w:hanging="360"/>
      </w:pPr>
      <w:rPr>
        <w:rFonts w:hint="default"/>
      </w:rPr>
    </w:lvl>
  </w:abstractNum>
  <w:abstractNum w:abstractNumId="57">
    <w:nsid w:val="290324DB"/>
    <w:multiLevelType w:val="multilevel"/>
    <w:tmpl w:val="4D9CE824"/>
    <w:lvl w:ilvl="0">
      <w:start w:val="1"/>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58">
    <w:nsid w:val="2AA07C76"/>
    <w:multiLevelType w:val="multilevel"/>
    <w:tmpl w:val="22881B2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9">
    <w:nsid w:val="2D3F1084"/>
    <w:multiLevelType w:val="singleLevel"/>
    <w:tmpl w:val="0409000F"/>
    <w:lvl w:ilvl="0">
      <w:start w:val="1"/>
      <w:numFmt w:val="decimal"/>
      <w:lvlText w:val="%1."/>
      <w:lvlJc w:val="left"/>
      <w:pPr>
        <w:tabs>
          <w:tab w:val="num" w:pos="360"/>
        </w:tabs>
        <w:ind w:left="360" w:hanging="360"/>
      </w:pPr>
    </w:lvl>
  </w:abstractNum>
  <w:abstractNum w:abstractNumId="60">
    <w:nsid w:val="2D635F84"/>
    <w:multiLevelType w:val="multilevel"/>
    <w:tmpl w:val="4036EB06"/>
    <w:lvl w:ilvl="0">
      <w:start w:val="41"/>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1">
    <w:nsid w:val="2F8A6D56"/>
    <w:multiLevelType w:val="singleLevel"/>
    <w:tmpl w:val="95322870"/>
    <w:lvl w:ilvl="0">
      <w:start w:val="84"/>
      <w:numFmt w:val="bullet"/>
      <w:lvlText w:val="-"/>
      <w:lvlJc w:val="left"/>
      <w:pPr>
        <w:tabs>
          <w:tab w:val="num" w:pos="570"/>
        </w:tabs>
        <w:ind w:left="570" w:hanging="570"/>
      </w:pPr>
      <w:rPr>
        <w:rFonts w:ascii="Times New Roman" w:hAnsi="Times New Roman" w:cs="Times New Roman" w:hint="default"/>
      </w:rPr>
    </w:lvl>
  </w:abstractNum>
  <w:abstractNum w:abstractNumId="62">
    <w:nsid w:val="2FCD1046"/>
    <w:multiLevelType w:val="multilevel"/>
    <w:tmpl w:val="812C07EE"/>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3">
    <w:nsid w:val="308A59FC"/>
    <w:multiLevelType w:val="multilevel"/>
    <w:tmpl w:val="9D30B104"/>
    <w:lvl w:ilvl="0">
      <w:start w:val="1"/>
      <w:numFmt w:val="bullet"/>
      <w:lvlText w:val=""/>
      <w:lvlJc w:val="left"/>
      <w:pPr>
        <w:tabs>
          <w:tab w:val="num" w:pos="780"/>
        </w:tabs>
        <w:ind w:left="780" w:hanging="360"/>
      </w:pPr>
      <w:rPr>
        <w:rFonts w:ascii="Symbol" w:hAnsi="Symbol" w:hint="default"/>
      </w:rPr>
    </w:lvl>
    <w:lvl w:ilvl="1" w:tentative="1">
      <w:start w:val="1"/>
      <w:numFmt w:val="bullet"/>
      <w:lvlText w:val="o"/>
      <w:lvlJc w:val="left"/>
      <w:pPr>
        <w:tabs>
          <w:tab w:val="num" w:pos="1500"/>
        </w:tabs>
        <w:ind w:left="1500" w:hanging="360"/>
      </w:pPr>
      <w:rPr>
        <w:rFonts w:ascii="Courier New" w:hAnsi="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64">
    <w:nsid w:val="30D067EA"/>
    <w:multiLevelType w:val="multilevel"/>
    <w:tmpl w:val="8926D604"/>
    <w:lvl w:ilvl="0">
      <w:start w:val="8"/>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5">
    <w:nsid w:val="31181146"/>
    <w:multiLevelType w:val="multilevel"/>
    <w:tmpl w:val="C0B2FEB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6">
    <w:nsid w:val="31F9653E"/>
    <w:multiLevelType w:val="multilevel"/>
    <w:tmpl w:val="C27CB188"/>
    <w:lvl w:ilvl="0">
      <w:start w:val="6"/>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7">
    <w:nsid w:val="33324A2E"/>
    <w:multiLevelType w:val="singleLevel"/>
    <w:tmpl w:val="20C44A38"/>
    <w:lvl w:ilvl="0">
      <w:start w:val="1"/>
      <w:numFmt w:val="lowerLetter"/>
      <w:lvlText w:val="%1."/>
      <w:lvlJc w:val="left"/>
      <w:pPr>
        <w:tabs>
          <w:tab w:val="num" w:pos="360"/>
        </w:tabs>
        <w:ind w:left="360" w:hanging="360"/>
      </w:pPr>
      <w:rPr>
        <w:rFonts w:hint="default"/>
      </w:rPr>
    </w:lvl>
  </w:abstractNum>
  <w:abstractNum w:abstractNumId="68">
    <w:nsid w:val="33DE16ED"/>
    <w:multiLevelType w:val="multilevel"/>
    <w:tmpl w:val="C76C1368"/>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Symbol" w:eastAsia="Times New Roman" w:hAnsi="Symbol" w:cs="Arial"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9">
    <w:nsid w:val="346118BD"/>
    <w:multiLevelType w:val="multilevel"/>
    <w:tmpl w:val="8FA675B4"/>
    <w:lvl w:ilvl="0">
      <w:start w:val="2"/>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0">
    <w:nsid w:val="34F42B37"/>
    <w:multiLevelType w:val="multilevel"/>
    <w:tmpl w:val="3A16DEDA"/>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1">
    <w:nsid w:val="352636C4"/>
    <w:multiLevelType w:val="multilevel"/>
    <w:tmpl w:val="77FC8D54"/>
    <w:lvl w:ilvl="0">
      <w:start w:val="2"/>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2">
    <w:nsid w:val="36A2253F"/>
    <w:multiLevelType w:val="multilevel"/>
    <w:tmpl w:val="B6D0CA9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3">
    <w:nsid w:val="376B34E2"/>
    <w:multiLevelType w:val="multilevel"/>
    <w:tmpl w:val="E1D2ED22"/>
    <w:lvl w:ilvl="0">
      <w:start w:val="1"/>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74">
    <w:nsid w:val="3804322F"/>
    <w:multiLevelType w:val="multilevel"/>
    <w:tmpl w:val="0E5083BE"/>
    <w:lvl w:ilvl="0">
      <w:start w:val="1"/>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75">
    <w:nsid w:val="387A68B0"/>
    <w:multiLevelType w:val="singleLevel"/>
    <w:tmpl w:val="D3DEA53C"/>
    <w:lvl w:ilvl="0">
      <w:start w:val="7"/>
      <w:numFmt w:val="decimal"/>
      <w:lvlText w:val="%1."/>
      <w:lvlJc w:val="left"/>
      <w:pPr>
        <w:tabs>
          <w:tab w:val="num" w:pos="570"/>
        </w:tabs>
        <w:ind w:left="570" w:hanging="570"/>
      </w:pPr>
      <w:rPr>
        <w:rFonts w:hint="default"/>
      </w:rPr>
    </w:lvl>
  </w:abstractNum>
  <w:abstractNum w:abstractNumId="76">
    <w:nsid w:val="398B3EB3"/>
    <w:multiLevelType w:val="multilevel"/>
    <w:tmpl w:val="F5507FAE"/>
    <w:lvl w:ilvl="0">
      <w:start w:val="41"/>
      <w:numFmt w:val="bullet"/>
      <w:lvlText w:val="-"/>
      <w:lvlJc w:val="left"/>
      <w:pPr>
        <w:tabs>
          <w:tab w:val="num" w:pos="720"/>
        </w:tabs>
        <w:ind w:left="720" w:hanging="360"/>
      </w:pPr>
      <w:rPr>
        <w:rFonts w:ascii="Times New Roman" w:eastAsia="Times New Roman" w:hAnsi="Times New Roman" w:cs="Times New Roman" w:hint="default"/>
      </w:rPr>
    </w:lvl>
    <w:lvl w:ilvl="1">
      <w:start w:val="4"/>
      <w:numFmt w:val="bullet"/>
      <w:lvlText w:val=""/>
      <w:lvlJc w:val="left"/>
      <w:pPr>
        <w:tabs>
          <w:tab w:val="num" w:pos="1440"/>
        </w:tabs>
        <w:ind w:left="1440" w:hanging="360"/>
      </w:pPr>
      <w:rPr>
        <w:rFonts w:ascii="Symbol" w:eastAsia="Times New Roman" w:hAnsi="Symbol" w:cs="Arial"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7">
    <w:nsid w:val="3AA807BD"/>
    <w:multiLevelType w:val="multilevel"/>
    <w:tmpl w:val="3EB0477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8">
    <w:nsid w:val="3B2532CF"/>
    <w:multiLevelType w:val="singleLevel"/>
    <w:tmpl w:val="0C0A0001"/>
    <w:lvl w:ilvl="0">
      <w:start w:val="3"/>
      <w:numFmt w:val="bullet"/>
      <w:lvlText w:val=""/>
      <w:lvlJc w:val="left"/>
      <w:pPr>
        <w:tabs>
          <w:tab w:val="num" w:pos="360"/>
        </w:tabs>
        <w:ind w:left="360" w:hanging="360"/>
      </w:pPr>
      <w:rPr>
        <w:rFonts w:ascii="Symbol" w:hAnsi="Symbol" w:hint="default"/>
      </w:rPr>
    </w:lvl>
  </w:abstractNum>
  <w:abstractNum w:abstractNumId="79">
    <w:nsid w:val="3C8F7592"/>
    <w:multiLevelType w:val="multilevel"/>
    <w:tmpl w:val="6136C118"/>
    <w:lvl w:ilvl="0">
      <w:start w:val="8"/>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0">
    <w:nsid w:val="3D6504E8"/>
    <w:multiLevelType w:val="multilevel"/>
    <w:tmpl w:val="772C6B4A"/>
    <w:lvl w:ilvl="0">
      <w:start w:val="1"/>
      <w:numFmt w:val="lowerLetter"/>
      <w:lvlText w:val="(%1)"/>
      <w:lvlJc w:val="left"/>
      <w:pPr>
        <w:tabs>
          <w:tab w:val="num" w:pos="750"/>
        </w:tabs>
        <w:ind w:left="750" w:hanging="39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1">
    <w:nsid w:val="3DE25237"/>
    <w:multiLevelType w:val="singleLevel"/>
    <w:tmpl w:val="F81CF3CC"/>
    <w:lvl w:ilvl="0">
      <w:numFmt w:val="bullet"/>
      <w:lvlText w:val="-"/>
      <w:lvlJc w:val="left"/>
      <w:pPr>
        <w:tabs>
          <w:tab w:val="num" w:pos="570"/>
        </w:tabs>
        <w:ind w:left="570" w:hanging="570"/>
      </w:pPr>
      <w:rPr>
        <w:rFonts w:hint="default"/>
      </w:rPr>
    </w:lvl>
  </w:abstractNum>
  <w:abstractNum w:abstractNumId="82">
    <w:nsid w:val="3E8713A6"/>
    <w:multiLevelType w:val="multilevel"/>
    <w:tmpl w:val="5470AAF4"/>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VnTimeH"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VnTimeH"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VnTimeH"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3">
    <w:nsid w:val="3F207B15"/>
    <w:multiLevelType w:val="multilevel"/>
    <w:tmpl w:val="791CAE38"/>
    <w:lvl w:ilvl="0">
      <w:start w:val="1"/>
      <w:numFmt w:val="bullet"/>
      <w:lvlText w:val=""/>
      <w:lvlJc w:val="left"/>
      <w:pPr>
        <w:tabs>
          <w:tab w:val="num" w:pos="720"/>
        </w:tabs>
        <w:ind w:left="720" w:hanging="360"/>
      </w:pPr>
      <w:rPr>
        <w:rFonts w:ascii="Symbol" w:hAnsi="Symbol" w:hint="default"/>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4">
    <w:nsid w:val="40082159"/>
    <w:multiLevelType w:val="multilevel"/>
    <w:tmpl w:val="20D63D70"/>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85">
    <w:nsid w:val="41BC122B"/>
    <w:multiLevelType w:val="multilevel"/>
    <w:tmpl w:val="772C6B4A"/>
    <w:lvl w:ilvl="0">
      <w:start w:val="1"/>
      <w:numFmt w:val="lowerLetter"/>
      <w:lvlText w:val="(%1)"/>
      <w:lvlJc w:val="left"/>
      <w:pPr>
        <w:tabs>
          <w:tab w:val="num" w:pos="750"/>
        </w:tabs>
        <w:ind w:left="750" w:hanging="39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6">
    <w:nsid w:val="43386E3B"/>
    <w:multiLevelType w:val="multilevel"/>
    <w:tmpl w:val="531CC20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7">
    <w:nsid w:val="44400BD9"/>
    <w:multiLevelType w:val="multilevel"/>
    <w:tmpl w:val="56AEC7AC"/>
    <w:lvl w:ilvl="0">
      <w:start w:val="1"/>
      <w:numFmt w:val="lowerLetter"/>
      <w:lvlText w:val="(%1)"/>
      <w:lvlJc w:val="left"/>
      <w:pPr>
        <w:tabs>
          <w:tab w:val="num" w:pos="720"/>
        </w:tabs>
        <w:ind w:left="720" w:hanging="360"/>
      </w:pPr>
      <w:rPr>
        <w:rFonts w:hint="default"/>
      </w:rPr>
    </w:lvl>
    <w:lvl w:ilvl="1">
      <w:start w:val="1"/>
      <w:numFmt w:val="bullet"/>
      <w:lvlText w:val=""/>
      <w:lvlJc w:val="left"/>
      <w:pPr>
        <w:tabs>
          <w:tab w:val="num" w:pos="987"/>
        </w:tabs>
        <w:ind w:left="987"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8">
    <w:nsid w:val="44F12156"/>
    <w:multiLevelType w:val="singleLevel"/>
    <w:tmpl w:val="DC881156"/>
    <w:lvl w:ilvl="0">
      <w:start w:val="1"/>
      <w:numFmt w:val="bullet"/>
      <w:lvlText w:val=""/>
      <w:lvlJc w:val="left"/>
      <w:pPr>
        <w:tabs>
          <w:tab w:val="num" w:pos="567"/>
        </w:tabs>
        <w:ind w:left="567" w:hanging="567"/>
      </w:pPr>
      <w:rPr>
        <w:rFonts w:ascii="Symbol" w:hAnsi="Symbol" w:hint="default"/>
        <w:sz w:val="28"/>
      </w:rPr>
    </w:lvl>
  </w:abstractNum>
  <w:abstractNum w:abstractNumId="89">
    <w:nsid w:val="479B398B"/>
    <w:multiLevelType w:val="multilevel"/>
    <w:tmpl w:val="5C4C4136"/>
    <w:lvl w:ilvl="0">
      <w:start w:val="1"/>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0">
    <w:nsid w:val="47FE23F6"/>
    <w:multiLevelType w:val="multilevel"/>
    <w:tmpl w:val="A98CE80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1">
    <w:nsid w:val="48C5784E"/>
    <w:multiLevelType w:val="multilevel"/>
    <w:tmpl w:val="549EBB9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2">
    <w:nsid w:val="4A07219E"/>
    <w:multiLevelType w:val="multilevel"/>
    <w:tmpl w:val="A2481AB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3">
    <w:nsid w:val="4A11227C"/>
    <w:multiLevelType w:val="multilevel"/>
    <w:tmpl w:val="58A2BAF4"/>
    <w:lvl w:ilvl="0">
      <w:start w:val="1"/>
      <w:numFmt w:val="bullet"/>
      <w:lvlText w:val=""/>
      <w:lvlJc w:val="left"/>
      <w:pPr>
        <w:tabs>
          <w:tab w:val="num" w:pos="840"/>
        </w:tabs>
        <w:ind w:left="840" w:hanging="360"/>
      </w:pPr>
      <w:rPr>
        <w:rFonts w:ascii="Symbol" w:hAnsi="Symbol" w:hint="default"/>
      </w:rPr>
    </w:lvl>
    <w:lvl w:ilvl="1" w:tentative="1">
      <w:start w:val="1"/>
      <w:numFmt w:val="bullet"/>
      <w:lvlText w:val="o"/>
      <w:lvlJc w:val="left"/>
      <w:pPr>
        <w:tabs>
          <w:tab w:val="num" w:pos="1560"/>
        </w:tabs>
        <w:ind w:left="1560" w:hanging="360"/>
      </w:pPr>
      <w:rPr>
        <w:rFonts w:ascii="Courier New" w:hAnsi="Courier New" w:hint="default"/>
      </w:rPr>
    </w:lvl>
    <w:lvl w:ilvl="2" w:tentative="1">
      <w:start w:val="1"/>
      <w:numFmt w:val="bullet"/>
      <w:lvlText w:val=""/>
      <w:lvlJc w:val="left"/>
      <w:pPr>
        <w:tabs>
          <w:tab w:val="num" w:pos="2280"/>
        </w:tabs>
        <w:ind w:left="2280" w:hanging="360"/>
      </w:pPr>
      <w:rPr>
        <w:rFonts w:ascii="Wingdings" w:hAnsi="Wingdings" w:hint="default"/>
      </w:rPr>
    </w:lvl>
    <w:lvl w:ilvl="3" w:tentative="1">
      <w:start w:val="1"/>
      <w:numFmt w:val="bullet"/>
      <w:lvlText w:val=""/>
      <w:lvlJc w:val="left"/>
      <w:pPr>
        <w:tabs>
          <w:tab w:val="num" w:pos="3000"/>
        </w:tabs>
        <w:ind w:left="3000" w:hanging="360"/>
      </w:pPr>
      <w:rPr>
        <w:rFonts w:ascii="Symbol" w:hAnsi="Symbol" w:hint="default"/>
      </w:rPr>
    </w:lvl>
    <w:lvl w:ilvl="4" w:tentative="1">
      <w:start w:val="1"/>
      <w:numFmt w:val="bullet"/>
      <w:lvlText w:val="o"/>
      <w:lvlJc w:val="left"/>
      <w:pPr>
        <w:tabs>
          <w:tab w:val="num" w:pos="3720"/>
        </w:tabs>
        <w:ind w:left="3720" w:hanging="360"/>
      </w:pPr>
      <w:rPr>
        <w:rFonts w:ascii="Courier New" w:hAnsi="Courier New" w:hint="default"/>
      </w:rPr>
    </w:lvl>
    <w:lvl w:ilvl="5" w:tentative="1">
      <w:start w:val="1"/>
      <w:numFmt w:val="bullet"/>
      <w:lvlText w:val=""/>
      <w:lvlJc w:val="left"/>
      <w:pPr>
        <w:tabs>
          <w:tab w:val="num" w:pos="4440"/>
        </w:tabs>
        <w:ind w:left="4440" w:hanging="360"/>
      </w:pPr>
      <w:rPr>
        <w:rFonts w:ascii="Wingdings" w:hAnsi="Wingdings" w:hint="default"/>
      </w:rPr>
    </w:lvl>
    <w:lvl w:ilvl="6" w:tentative="1">
      <w:start w:val="1"/>
      <w:numFmt w:val="bullet"/>
      <w:lvlText w:val=""/>
      <w:lvlJc w:val="left"/>
      <w:pPr>
        <w:tabs>
          <w:tab w:val="num" w:pos="5160"/>
        </w:tabs>
        <w:ind w:left="5160" w:hanging="360"/>
      </w:pPr>
      <w:rPr>
        <w:rFonts w:ascii="Symbol" w:hAnsi="Symbol" w:hint="default"/>
      </w:rPr>
    </w:lvl>
    <w:lvl w:ilvl="7" w:tentative="1">
      <w:start w:val="1"/>
      <w:numFmt w:val="bullet"/>
      <w:lvlText w:val="o"/>
      <w:lvlJc w:val="left"/>
      <w:pPr>
        <w:tabs>
          <w:tab w:val="num" w:pos="5880"/>
        </w:tabs>
        <w:ind w:left="5880" w:hanging="360"/>
      </w:pPr>
      <w:rPr>
        <w:rFonts w:ascii="Courier New" w:hAnsi="Courier New" w:hint="default"/>
      </w:rPr>
    </w:lvl>
    <w:lvl w:ilvl="8" w:tentative="1">
      <w:start w:val="1"/>
      <w:numFmt w:val="bullet"/>
      <w:lvlText w:val=""/>
      <w:lvlJc w:val="left"/>
      <w:pPr>
        <w:tabs>
          <w:tab w:val="num" w:pos="6600"/>
        </w:tabs>
        <w:ind w:left="6600" w:hanging="360"/>
      </w:pPr>
      <w:rPr>
        <w:rFonts w:ascii="Wingdings" w:hAnsi="Wingdings" w:hint="default"/>
      </w:rPr>
    </w:lvl>
  </w:abstractNum>
  <w:abstractNum w:abstractNumId="94">
    <w:nsid w:val="4D34038C"/>
    <w:multiLevelType w:val="singleLevel"/>
    <w:tmpl w:val="8F7AE2DA"/>
    <w:lvl w:ilvl="0">
      <w:start w:val="1"/>
      <w:numFmt w:val="lowerLetter"/>
      <w:lvlText w:val="%1)"/>
      <w:lvlJc w:val="left"/>
      <w:pPr>
        <w:tabs>
          <w:tab w:val="num" w:pos="720"/>
        </w:tabs>
        <w:ind w:left="720" w:hanging="360"/>
      </w:pPr>
      <w:rPr>
        <w:rFonts w:hint="default"/>
      </w:rPr>
    </w:lvl>
  </w:abstractNum>
  <w:abstractNum w:abstractNumId="95">
    <w:nsid w:val="4DF27095"/>
    <w:multiLevelType w:val="multilevel"/>
    <w:tmpl w:val="4D508FE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6">
    <w:nsid w:val="4EDE713D"/>
    <w:multiLevelType w:val="multilevel"/>
    <w:tmpl w:val="FC8C4C04"/>
    <w:lvl w:ilvl="0">
      <w:start w:val="1"/>
      <w:numFmt w:val="bullet"/>
      <w:lvlText w:val=""/>
      <w:lvlJc w:val="left"/>
      <w:pPr>
        <w:tabs>
          <w:tab w:val="num" w:pos="780"/>
        </w:tabs>
        <w:ind w:left="780" w:hanging="360"/>
      </w:pPr>
      <w:rPr>
        <w:rFonts w:ascii="Symbol" w:hAnsi="Symbol" w:hint="default"/>
      </w:rPr>
    </w:lvl>
    <w:lvl w:ilvl="1" w:tentative="1">
      <w:start w:val="1"/>
      <w:numFmt w:val="bullet"/>
      <w:lvlText w:val="o"/>
      <w:lvlJc w:val="left"/>
      <w:pPr>
        <w:tabs>
          <w:tab w:val="num" w:pos="1500"/>
        </w:tabs>
        <w:ind w:left="1500" w:hanging="360"/>
      </w:pPr>
      <w:rPr>
        <w:rFonts w:ascii="Courier New" w:hAnsi="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97">
    <w:nsid w:val="4F286742"/>
    <w:multiLevelType w:val="multilevel"/>
    <w:tmpl w:val="9E20A7F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8">
    <w:nsid w:val="4F43706C"/>
    <w:multiLevelType w:val="multilevel"/>
    <w:tmpl w:val="80FE1D20"/>
    <w:lvl w:ilvl="0">
      <w:numFmt w:val="bullet"/>
      <w:lvlText w:val="-"/>
      <w:lvlJc w:val="left"/>
      <w:pPr>
        <w:tabs>
          <w:tab w:val="num" w:pos="360"/>
        </w:tabs>
        <w:ind w:left="360" w:hanging="360"/>
      </w:pPr>
      <w:rPr>
        <w:rFont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9">
    <w:nsid w:val="4F535AEF"/>
    <w:multiLevelType w:val="multilevel"/>
    <w:tmpl w:val="A98CE80E"/>
    <w:lvl w:ilvl="0">
      <w:start w:val="1"/>
      <w:numFmt w:val="decimal"/>
      <w:lvlText w:val="%1."/>
      <w:lvlJc w:val="left"/>
      <w:pPr>
        <w:tabs>
          <w:tab w:val="num" w:pos="720"/>
        </w:tabs>
        <w:ind w:left="720" w:hanging="360"/>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0">
    <w:nsid w:val="4F9B4113"/>
    <w:multiLevelType w:val="multilevel"/>
    <w:tmpl w:val="772C6B4A"/>
    <w:lvl w:ilvl="0">
      <w:start w:val="1"/>
      <w:numFmt w:val="lowerLetter"/>
      <w:lvlText w:val="(%1)"/>
      <w:lvlJc w:val="left"/>
      <w:pPr>
        <w:tabs>
          <w:tab w:val="num" w:pos="750"/>
        </w:tabs>
        <w:ind w:left="750" w:hanging="39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1">
    <w:nsid w:val="514756A4"/>
    <w:multiLevelType w:val="multilevel"/>
    <w:tmpl w:val="21701032"/>
    <w:lvl w:ilvl="0">
      <w:start w:val="8"/>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2">
    <w:nsid w:val="52BE7ABA"/>
    <w:multiLevelType w:val="multilevel"/>
    <w:tmpl w:val="21AAEF7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3">
    <w:nsid w:val="52D1564C"/>
    <w:multiLevelType w:val="singleLevel"/>
    <w:tmpl w:val="F81CF3CC"/>
    <w:lvl w:ilvl="0">
      <w:numFmt w:val="bullet"/>
      <w:lvlText w:val="-"/>
      <w:lvlJc w:val="left"/>
      <w:pPr>
        <w:tabs>
          <w:tab w:val="num" w:pos="570"/>
        </w:tabs>
        <w:ind w:left="570" w:hanging="570"/>
      </w:pPr>
      <w:rPr>
        <w:rFonts w:hint="default"/>
      </w:rPr>
    </w:lvl>
  </w:abstractNum>
  <w:abstractNum w:abstractNumId="104">
    <w:nsid w:val="53B459CF"/>
    <w:multiLevelType w:val="multilevel"/>
    <w:tmpl w:val="71CE51F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5">
    <w:nsid w:val="54382019"/>
    <w:multiLevelType w:val="singleLevel"/>
    <w:tmpl w:val="A7587E7E"/>
    <w:lvl w:ilvl="0">
      <w:start w:val="15"/>
      <w:numFmt w:val="bullet"/>
      <w:lvlText w:val="-"/>
      <w:lvlJc w:val="left"/>
      <w:pPr>
        <w:tabs>
          <w:tab w:val="num" w:pos="360"/>
        </w:tabs>
        <w:ind w:left="360" w:hanging="360"/>
      </w:pPr>
      <w:rPr>
        <w:rFonts w:ascii="Times New Roman" w:hAnsi="Times New Roman" w:hint="default"/>
      </w:rPr>
    </w:lvl>
  </w:abstractNum>
  <w:abstractNum w:abstractNumId="106">
    <w:nsid w:val="544948F6"/>
    <w:multiLevelType w:val="multilevel"/>
    <w:tmpl w:val="7EC0103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7">
    <w:nsid w:val="548957D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8">
    <w:nsid w:val="55641CFA"/>
    <w:multiLevelType w:val="multilevel"/>
    <w:tmpl w:val="87F8C17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9">
    <w:nsid w:val="56AD784F"/>
    <w:multiLevelType w:val="singleLevel"/>
    <w:tmpl w:val="0409000F"/>
    <w:lvl w:ilvl="0">
      <w:start w:val="12"/>
      <w:numFmt w:val="decimal"/>
      <w:lvlText w:val="%1."/>
      <w:lvlJc w:val="left"/>
      <w:pPr>
        <w:tabs>
          <w:tab w:val="num" w:pos="360"/>
        </w:tabs>
        <w:ind w:left="360" w:hanging="360"/>
      </w:pPr>
      <w:rPr>
        <w:rFonts w:hint="default"/>
      </w:rPr>
    </w:lvl>
  </w:abstractNum>
  <w:abstractNum w:abstractNumId="110">
    <w:nsid w:val="56B474D8"/>
    <w:multiLevelType w:val="singleLevel"/>
    <w:tmpl w:val="9B1C1616"/>
    <w:lvl w:ilvl="0">
      <w:start w:val="1"/>
      <w:numFmt w:val="decimal"/>
      <w:lvlText w:val="%1"/>
      <w:lvlJc w:val="left"/>
      <w:pPr>
        <w:tabs>
          <w:tab w:val="num" w:pos="720"/>
        </w:tabs>
        <w:ind w:left="720" w:hanging="720"/>
      </w:pPr>
      <w:rPr>
        <w:rFonts w:hint="default"/>
      </w:rPr>
    </w:lvl>
  </w:abstractNum>
  <w:abstractNum w:abstractNumId="111">
    <w:nsid w:val="56B475E8"/>
    <w:multiLevelType w:val="multilevel"/>
    <w:tmpl w:val="BFC8F5C4"/>
    <w:lvl w:ilvl="0">
      <w:start w:val="1"/>
      <w:numFmt w:val="upperLetter"/>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12">
    <w:nsid w:val="57935A3F"/>
    <w:multiLevelType w:val="multilevel"/>
    <w:tmpl w:val="3A16DEDA"/>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3">
    <w:nsid w:val="59585290"/>
    <w:multiLevelType w:val="multilevel"/>
    <w:tmpl w:val="4036EB0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4">
    <w:nsid w:val="5B78581B"/>
    <w:multiLevelType w:val="multilevel"/>
    <w:tmpl w:val="F6AA99E0"/>
    <w:lvl w:ilvl="0">
      <w:start w:val="3"/>
      <w:numFmt w:val="bullet"/>
      <w:lvlText w:val=""/>
      <w:lvlJc w:val="left"/>
      <w:pPr>
        <w:tabs>
          <w:tab w:val="num" w:pos="1068"/>
        </w:tabs>
        <w:ind w:left="1068" w:hanging="360"/>
      </w:pPr>
      <w:rPr>
        <w:rFonts w:ascii="Symbol" w:eastAsia="Times New Roman" w:hAnsi="Symbol" w:cs="Times New Roman" w:hint="default"/>
      </w:rPr>
    </w:lvl>
    <w:lvl w:ilvl="1" w:tentative="1">
      <w:start w:val="1"/>
      <w:numFmt w:val="bullet"/>
      <w:lvlText w:val="o"/>
      <w:lvlJc w:val="left"/>
      <w:pPr>
        <w:tabs>
          <w:tab w:val="num" w:pos="1788"/>
        </w:tabs>
        <w:ind w:left="1788" w:hanging="360"/>
      </w:pPr>
      <w:rPr>
        <w:rFonts w:ascii="Courier New" w:hAnsi="Courier New" w:cs=".VnTimeH" w:hint="default"/>
      </w:rPr>
    </w:lvl>
    <w:lvl w:ilvl="2" w:tentative="1">
      <w:start w:val="1"/>
      <w:numFmt w:val="bullet"/>
      <w:lvlText w:val=""/>
      <w:lvlJc w:val="left"/>
      <w:pPr>
        <w:tabs>
          <w:tab w:val="num" w:pos="2508"/>
        </w:tabs>
        <w:ind w:left="2508" w:hanging="360"/>
      </w:pPr>
      <w:rPr>
        <w:rFonts w:ascii="Wingdings" w:hAnsi="Wingdings"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cs=".VnTimeH"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cs=".VnTimeH"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15">
    <w:nsid w:val="5C190657"/>
    <w:multiLevelType w:val="singleLevel"/>
    <w:tmpl w:val="D9447FA0"/>
    <w:lvl w:ilvl="0">
      <w:start w:val="51"/>
      <w:numFmt w:val="bullet"/>
      <w:lvlText w:val="-"/>
      <w:lvlJc w:val="left"/>
      <w:pPr>
        <w:tabs>
          <w:tab w:val="num" w:pos="360"/>
        </w:tabs>
        <w:ind w:left="360" w:hanging="360"/>
      </w:pPr>
      <w:rPr>
        <w:rFonts w:hint="default"/>
      </w:rPr>
    </w:lvl>
  </w:abstractNum>
  <w:abstractNum w:abstractNumId="116">
    <w:nsid w:val="5D4A1E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7">
    <w:nsid w:val="5F51665C"/>
    <w:multiLevelType w:val="multilevel"/>
    <w:tmpl w:val="B92207A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8">
    <w:nsid w:val="60197CE6"/>
    <w:multiLevelType w:val="multilevel"/>
    <w:tmpl w:val="CC66025E"/>
    <w:lvl w:ilvl="0">
      <w:start w:val="200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9">
    <w:nsid w:val="60FA137E"/>
    <w:multiLevelType w:val="singleLevel"/>
    <w:tmpl w:val="F81CF3CC"/>
    <w:lvl w:ilvl="0">
      <w:numFmt w:val="bullet"/>
      <w:lvlText w:val="-"/>
      <w:lvlJc w:val="left"/>
      <w:pPr>
        <w:tabs>
          <w:tab w:val="num" w:pos="570"/>
        </w:tabs>
        <w:ind w:left="570" w:hanging="570"/>
      </w:pPr>
      <w:rPr>
        <w:rFonts w:hint="default"/>
      </w:rPr>
    </w:lvl>
  </w:abstractNum>
  <w:abstractNum w:abstractNumId="120">
    <w:nsid w:val="62686D4D"/>
    <w:multiLevelType w:val="multilevel"/>
    <w:tmpl w:val="12A6E476"/>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1">
    <w:nsid w:val="62AF242C"/>
    <w:multiLevelType w:val="multilevel"/>
    <w:tmpl w:val="257A061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2">
    <w:nsid w:val="62D139B8"/>
    <w:multiLevelType w:val="multilevel"/>
    <w:tmpl w:val="F4E46B68"/>
    <w:lvl w:ilvl="0">
      <w:start w:val="4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3">
    <w:nsid w:val="633D5C44"/>
    <w:multiLevelType w:val="multilevel"/>
    <w:tmpl w:val="B9A2F8D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4">
    <w:nsid w:val="63D3733B"/>
    <w:multiLevelType w:val="multilevel"/>
    <w:tmpl w:val="9362AA22"/>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5">
    <w:nsid w:val="642E7E44"/>
    <w:multiLevelType w:val="multilevel"/>
    <w:tmpl w:val="B4A4ADA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VnTimeH"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VnTimeH"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VnTimeH"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26">
    <w:nsid w:val="64A14845"/>
    <w:multiLevelType w:val="multilevel"/>
    <w:tmpl w:val="63B80FB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7">
    <w:nsid w:val="652C0983"/>
    <w:multiLevelType w:val="singleLevel"/>
    <w:tmpl w:val="436A8A28"/>
    <w:lvl w:ilvl="0">
      <w:start w:val="30"/>
      <w:numFmt w:val="decimal"/>
      <w:lvlText w:val="%1."/>
      <w:lvlJc w:val="left"/>
      <w:pPr>
        <w:tabs>
          <w:tab w:val="num" w:pos="720"/>
        </w:tabs>
        <w:ind w:left="720" w:hanging="720"/>
      </w:pPr>
      <w:rPr>
        <w:rFonts w:hint="default"/>
      </w:rPr>
    </w:lvl>
  </w:abstractNum>
  <w:abstractNum w:abstractNumId="128">
    <w:nsid w:val="65DF5D9D"/>
    <w:multiLevelType w:val="multilevel"/>
    <w:tmpl w:val="33D0369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9">
    <w:nsid w:val="660B7BE1"/>
    <w:multiLevelType w:val="multilevel"/>
    <w:tmpl w:val="7A2E98A8"/>
    <w:lvl w:ilvl="0">
      <w:start w:val="7"/>
      <w:numFmt w:val="decimal"/>
      <w:lvlText w:val="%1"/>
      <w:lvlJc w:val="left"/>
      <w:pPr>
        <w:tabs>
          <w:tab w:val="num" w:pos="375"/>
        </w:tabs>
        <w:ind w:left="375" w:hanging="375"/>
      </w:pPr>
      <w:rPr>
        <w:rFonts w:hint="default"/>
      </w:rPr>
    </w:lvl>
    <w:lvl w:ilvl="1">
      <w:start w:val="3"/>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0">
    <w:nsid w:val="66563B8D"/>
    <w:multiLevelType w:val="multilevel"/>
    <w:tmpl w:val="5C0A72D2"/>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1">
    <w:nsid w:val="69511213"/>
    <w:multiLevelType w:val="multilevel"/>
    <w:tmpl w:val="5A5012B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2">
    <w:nsid w:val="69650F64"/>
    <w:multiLevelType w:val="multilevel"/>
    <w:tmpl w:val="11A41246"/>
    <w:lvl w:ilvl="0">
      <w:start w:val="4"/>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3">
    <w:nsid w:val="69702E3A"/>
    <w:multiLevelType w:val="multilevel"/>
    <w:tmpl w:val="5F6E7ABC"/>
    <w:lvl w:ilvl="0">
      <w:start w:val="1"/>
      <w:numFmt w:val="lowerLetter"/>
      <w:lvlText w:val="(%1)"/>
      <w:lvlJc w:val="left"/>
      <w:pPr>
        <w:tabs>
          <w:tab w:val="num" w:pos="720"/>
        </w:tabs>
        <w:ind w:left="720" w:hanging="360"/>
      </w:pPr>
      <w:rPr>
        <w:rFonts w:hint="default"/>
      </w:rPr>
    </w:lvl>
    <w:lvl w:ilvl="1">
      <w:start w:val="2"/>
      <w:numFmt w:val="bullet"/>
      <w:lvlText w:val="-"/>
      <w:lvlJc w:val="left"/>
      <w:pPr>
        <w:tabs>
          <w:tab w:val="num" w:pos="987"/>
        </w:tabs>
        <w:ind w:left="987" w:hanging="360"/>
      </w:pPr>
      <w:rPr>
        <w:rFonts w:ascii="Times New Roman" w:eastAsia="Times New Roman" w:hAnsi="Times New Roman" w:cs="Times New Roman" w:hint="default"/>
      </w:rPr>
    </w:lvl>
    <w:lvl w:ilvl="2">
      <w:start w:val="3"/>
      <w:numFmt w:val="decimal"/>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4">
    <w:nsid w:val="6985689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5">
    <w:nsid w:val="69C507F8"/>
    <w:multiLevelType w:val="singleLevel"/>
    <w:tmpl w:val="0409000F"/>
    <w:lvl w:ilvl="0">
      <w:start w:val="39"/>
      <w:numFmt w:val="decimal"/>
      <w:lvlText w:val="%1."/>
      <w:lvlJc w:val="left"/>
      <w:pPr>
        <w:tabs>
          <w:tab w:val="num" w:pos="360"/>
        </w:tabs>
        <w:ind w:left="360" w:hanging="360"/>
      </w:pPr>
      <w:rPr>
        <w:rFonts w:hint="default"/>
      </w:rPr>
    </w:lvl>
  </w:abstractNum>
  <w:abstractNum w:abstractNumId="136">
    <w:nsid w:val="6A2B4207"/>
    <w:multiLevelType w:val="multilevel"/>
    <w:tmpl w:val="7F80B54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7">
    <w:nsid w:val="6A76751E"/>
    <w:multiLevelType w:val="singleLevel"/>
    <w:tmpl w:val="354276A0"/>
    <w:lvl w:ilvl="0">
      <w:start w:val="1"/>
      <w:numFmt w:val="bullet"/>
      <w:lvlText w:val=""/>
      <w:lvlJc w:val="left"/>
      <w:pPr>
        <w:tabs>
          <w:tab w:val="num" w:pos="360"/>
        </w:tabs>
        <w:ind w:left="360" w:hanging="360"/>
      </w:pPr>
      <w:rPr>
        <w:rFonts w:ascii="Symbol" w:hAnsi="Symbol" w:hint="default"/>
      </w:rPr>
    </w:lvl>
  </w:abstractNum>
  <w:abstractNum w:abstractNumId="138">
    <w:nsid w:val="6A7A0A17"/>
    <w:multiLevelType w:val="multilevel"/>
    <w:tmpl w:val="8DF44F78"/>
    <w:lvl w:ilvl="0">
      <w:start w:val="1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9">
    <w:nsid w:val="6AD6558E"/>
    <w:multiLevelType w:val="multilevel"/>
    <w:tmpl w:val="FBB03D5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0">
    <w:nsid w:val="6C204813"/>
    <w:multiLevelType w:val="multilevel"/>
    <w:tmpl w:val="2DE2C096"/>
    <w:lvl w:ilvl="0">
      <w:start w:val="115"/>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VnTimeH"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VnTimeH"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VnTimeH"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1">
    <w:nsid w:val="6EB86533"/>
    <w:multiLevelType w:val="multilevel"/>
    <w:tmpl w:val="57AA96EE"/>
    <w:lvl w:ilvl="0">
      <w:start w:val="1994"/>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2">
    <w:nsid w:val="6EF9187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3">
    <w:nsid w:val="6FC24000"/>
    <w:multiLevelType w:val="singleLevel"/>
    <w:tmpl w:val="28825D24"/>
    <w:lvl w:ilvl="0">
      <w:start w:val="24"/>
      <w:numFmt w:val="decimal"/>
      <w:lvlText w:val="%1."/>
      <w:lvlJc w:val="left"/>
      <w:pPr>
        <w:tabs>
          <w:tab w:val="num" w:pos="765"/>
        </w:tabs>
        <w:ind w:left="765" w:hanging="765"/>
      </w:pPr>
      <w:rPr>
        <w:rFonts w:hint="default"/>
      </w:rPr>
    </w:lvl>
  </w:abstractNum>
  <w:abstractNum w:abstractNumId="144">
    <w:nsid w:val="700955A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5">
    <w:nsid w:val="704608A4"/>
    <w:multiLevelType w:val="multilevel"/>
    <w:tmpl w:val="9532322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6">
    <w:nsid w:val="708B5EF8"/>
    <w:multiLevelType w:val="multilevel"/>
    <w:tmpl w:val="BEBCBFC8"/>
    <w:lvl w:ilvl="0">
      <w:start w:val="5"/>
      <w:numFmt w:val="bullet"/>
      <w:lvlText w:val="-"/>
      <w:lvlJc w:val="left"/>
      <w:pPr>
        <w:tabs>
          <w:tab w:val="num" w:pos="720"/>
        </w:tabs>
        <w:ind w:left="720" w:hanging="360"/>
      </w:pPr>
      <w:rPr>
        <w:rFonts w:ascii="Arial" w:eastAsia="Times New Roman" w:hAnsi="Arial" w:cs="Arial" w:hint="default"/>
      </w:rPr>
    </w:lvl>
    <w:lvl w:ilvl="1" w:tentative="1">
      <w:start w:val="1"/>
      <w:numFmt w:val="bullet"/>
      <w:lvlText w:val="o"/>
      <w:lvlJc w:val="left"/>
      <w:pPr>
        <w:tabs>
          <w:tab w:val="num" w:pos="1440"/>
        </w:tabs>
        <w:ind w:left="1440" w:hanging="360"/>
      </w:pPr>
      <w:rPr>
        <w:rFonts w:ascii="Courier New" w:hAnsi="Courier New" w:cs=".VnTimeH"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VnTimeH"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VnTimeH"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7">
    <w:nsid w:val="70DB6345"/>
    <w:multiLevelType w:val="multilevel"/>
    <w:tmpl w:val="ED903882"/>
    <w:lvl w:ilvl="0">
      <w:numFmt w:val="bullet"/>
      <w:lvlText w:val=""/>
      <w:lvlJc w:val="left"/>
      <w:pPr>
        <w:tabs>
          <w:tab w:val="num" w:pos="720"/>
        </w:tabs>
        <w:ind w:left="720" w:hanging="360"/>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8">
    <w:nsid w:val="723534BC"/>
    <w:multiLevelType w:val="multilevel"/>
    <w:tmpl w:val="3948E12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9">
    <w:nsid w:val="726A1D92"/>
    <w:multiLevelType w:val="multilevel"/>
    <w:tmpl w:val="FCDAF4E6"/>
    <w:lvl w:ilvl="0">
      <w:start w:val="2"/>
      <w:numFmt w:val="decimal"/>
      <w:lvlText w:val="%1."/>
      <w:lvlJc w:val="left"/>
      <w:pPr>
        <w:tabs>
          <w:tab w:val="num" w:pos="720"/>
        </w:tabs>
        <w:ind w:left="720" w:hanging="360"/>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0">
    <w:nsid w:val="739023F7"/>
    <w:multiLevelType w:val="multilevel"/>
    <w:tmpl w:val="13FAB974"/>
    <w:lvl w:ilvl="0">
      <w:start w:val="1"/>
      <w:numFmt w:val="bullet"/>
      <w:lvlText w:val=""/>
      <w:lvlJc w:val="left"/>
      <w:pPr>
        <w:tabs>
          <w:tab w:val="num" w:pos="1440"/>
        </w:tabs>
        <w:ind w:left="1440" w:hanging="360"/>
      </w:pPr>
      <w:rPr>
        <w:rFonts w:ascii="Wingdings" w:hAnsi="Wingdings"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51">
    <w:nsid w:val="740B0B14"/>
    <w:multiLevelType w:val="multilevel"/>
    <w:tmpl w:val="1D9C51F6"/>
    <w:lvl w:ilvl="0">
      <w:start w:val="20"/>
      <w:numFmt w:val="bullet"/>
      <w:lvlText w:val="-"/>
      <w:lvlJc w:val="left"/>
      <w:pPr>
        <w:tabs>
          <w:tab w:val="num" w:pos="720"/>
        </w:tabs>
        <w:ind w:left="720" w:hanging="360"/>
      </w:pPr>
      <w:rPr>
        <w:rFonts w:ascii="Arial" w:eastAsia="Times New Roman" w:hAnsi="Arial" w:cs="Arial" w:hint="default"/>
      </w:rPr>
    </w:lvl>
    <w:lvl w:ilvl="1" w:tentative="1">
      <w:start w:val="1"/>
      <w:numFmt w:val="bullet"/>
      <w:lvlText w:val="o"/>
      <w:lvlJc w:val="left"/>
      <w:pPr>
        <w:tabs>
          <w:tab w:val="num" w:pos="1440"/>
        </w:tabs>
        <w:ind w:left="1440" w:hanging="360"/>
      </w:pPr>
      <w:rPr>
        <w:rFonts w:ascii="Courier New" w:hAnsi="Courier New" w:cs=".VnTimeH"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VnTimeH"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VnTimeH"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2">
    <w:nsid w:val="74C152F0"/>
    <w:multiLevelType w:val="multilevel"/>
    <w:tmpl w:val="4BF8C56A"/>
    <w:lvl w:ilvl="0">
      <w:start w:val="200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3">
    <w:nsid w:val="75173EA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4">
    <w:nsid w:val="760147D5"/>
    <w:multiLevelType w:val="multilevel"/>
    <w:tmpl w:val="78DE4704"/>
    <w:lvl w:ilvl="0">
      <w:start w:val="3"/>
      <w:numFmt w:val="bullet"/>
      <w:lvlText w:val=""/>
      <w:lvlJc w:val="left"/>
      <w:pPr>
        <w:tabs>
          <w:tab w:val="num" w:pos="1845"/>
        </w:tabs>
        <w:ind w:left="1845" w:hanging="360"/>
      </w:pPr>
      <w:rPr>
        <w:rFonts w:ascii="Symbol" w:eastAsia="Times New Roman" w:hAnsi="Symbol" w:cs="Times New Roman" w:hint="default"/>
      </w:rPr>
    </w:lvl>
    <w:lvl w:ilvl="1" w:tentative="1">
      <w:start w:val="1"/>
      <w:numFmt w:val="bullet"/>
      <w:lvlText w:val="o"/>
      <w:lvlJc w:val="left"/>
      <w:pPr>
        <w:tabs>
          <w:tab w:val="num" w:pos="2565"/>
        </w:tabs>
        <w:ind w:left="2565" w:hanging="360"/>
      </w:pPr>
      <w:rPr>
        <w:rFonts w:ascii="Courier New" w:hAnsi="Courier New" w:cs=".VnTimeH" w:hint="default"/>
      </w:rPr>
    </w:lvl>
    <w:lvl w:ilvl="2" w:tentative="1">
      <w:start w:val="1"/>
      <w:numFmt w:val="bullet"/>
      <w:lvlText w:val=""/>
      <w:lvlJc w:val="left"/>
      <w:pPr>
        <w:tabs>
          <w:tab w:val="num" w:pos="3285"/>
        </w:tabs>
        <w:ind w:left="3285" w:hanging="360"/>
      </w:pPr>
      <w:rPr>
        <w:rFonts w:ascii="Wingdings" w:hAnsi="Wingdings" w:hint="default"/>
      </w:rPr>
    </w:lvl>
    <w:lvl w:ilvl="3" w:tentative="1">
      <w:start w:val="1"/>
      <w:numFmt w:val="bullet"/>
      <w:lvlText w:val=""/>
      <w:lvlJc w:val="left"/>
      <w:pPr>
        <w:tabs>
          <w:tab w:val="num" w:pos="4005"/>
        </w:tabs>
        <w:ind w:left="4005" w:hanging="360"/>
      </w:pPr>
      <w:rPr>
        <w:rFonts w:ascii="Symbol" w:hAnsi="Symbol" w:hint="default"/>
      </w:rPr>
    </w:lvl>
    <w:lvl w:ilvl="4" w:tentative="1">
      <w:start w:val="1"/>
      <w:numFmt w:val="bullet"/>
      <w:lvlText w:val="o"/>
      <w:lvlJc w:val="left"/>
      <w:pPr>
        <w:tabs>
          <w:tab w:val="num" w:pos="4725"/>
        </w:tabs>
        <w:ind w:left="4725" w:hanging="360"/>
      </w:pPr>
      <w:rPr>
        <w:rFonts w:ascii="Courier New" w:hAnsi="Courier New" w:cs=".VnTimeH" w:hint="default"/>
      </w:rPr>
    </w:lvl>
    <w:lvl w:ilvl="5" w:tentative="1">
      <w:start w:val="1"/>
      <w:numFmt w:val="bullet"/>
      <w:lvlText w:val=""/>
      <w:lvlJc w:val="left"/>
      <w:pPr>
        <w:tabs>
          <w:tab w:val="num" w:pos="5445"/>
        </w:tabs>
        <w:ind w:left="5445" w:hanging="360"/>
      </w:pPr>
      <w:rPr>
        <w:rFonts w:ascii="Wingdings" w:hAnsi="Wingdings" w:hint="default"/>
      </w:rPr>
    </w:lvl>
    <w:lvl w:ilvl="6" w:tentative="1">
      <w:start w:val="1"/>
      <w:numFmt w:val="bullet"/>
      <w:lvlText w:val=""/>
      <w:lvlJc w:val="left"/>
      <w:pPr>
        <w:tabs>
          <w:tab w:val="num" w:pos="6165"/>
        </w:tabs>
        <w:ind w:left="6165" w:hanging="360"/>
      </w:pPr>
      <w:rPr>
        <w:rFonts w:ascii="Symbol" w:hAnsi="Symbol" w:hint="default"/>
      </w:rPr>
    </w:lvl>
    <w:lvl w:ilvl="7" w:tentative="1">
      <w:start w:val="1"/>
      <w:numFmt w:val="bullet"/>
      <w:lvlText w:val="o"/>
      <w:lvlJc w:val="left"/>
      <w:pPr>
        <w:tabs>
          <w:tab w:val="num" w:pos="6885"/>
        </w:tabs>
        <w:ind w:left="6885" w:hanging="360"/>
      </w:pPr>
      <w:rPr>
        <w:rFonts w:ascii="Courier New" w:hAnsi="Courier New" w:cs=".VnTimeH" w:hint="default"/>
      </w:rPr>
    </w:lvl>
    <w:lvl w:ilvl="8" w:tentative="1">
      <w:start w:val="1"/>
      <w:numFmt w:val="bullet"/>
      <w:lvlText w:val=""/>
      <w:lvlJc w:val="left"/>
      <w:pPr>
        <w:tabs>
          <w:tab w:val="num" w:pos="7605"/>
        </w:tabs>
        <w:ind w:left="7605" w:hanging="360"/>
      </w:pPr>
      <w:rPr>
        <w:rFonts w:ascii="Wingdings" w:hAnsi="Wingdings" w:hint="default"/>
      </w:rPr>
    </w:lvl>
  </w:abstractNum>
  <w:abstractNum w:abstractNumId="155">
    <w:nsid w:val="765150DB"/>
    <w:multiLevelType w:val="multilevel"/>
    <w:tmpl w:val="EA100AE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6">
    <w:nsid w:val="76C245B4"/>
    <w:multiLevelType w:val="multilevel"/>
    <w:tmpl w:val="2C1A258A"/>
    <w:lvl w:ilvl="0">
      <w:start w:val="8"/>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7">
    <w:nsid w:val="77007D75"/>
    <w:multiLevelType w:val="multilevel"/>
    <w:tmpl w:val="1C286E6E"/>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8">
    <w:nsid w:val="774B4D69"/>
    <w:multiLevelType w:val="singleLevel"/>
    <w:tmpl w:val="D8663812"/>
    <w:lvl w:ilvl="0">
      <w:start w:val="1"/>
      <w:numFmt w:val="decimal"/>
      <w:lvlText w:val="%1."/>
      <w:lvlJc w:val="left"/>
      <w:pPr>
        <w:tabs>
          <w:tab w:val="num" w:pos="450"/>
        </w:tabs>
        <w:ind w:left="450" w:hanging="450"/>
      </w:pPr>
      <w:rPr>
        <w:rFonts w:hint="default"/>
      </w:rPr>
    </w:lvl>
  </w:abstractNum>
  <w:abstractNum w:abstractNumId="159">
    <w:nsid w:val="78064E62"/>
    <w:multiLevelType w:val="singleLevel"/>
    <w:tmpl w:val="0409000F"/>
    <w:lvl w:ilvl="0">
      <w:start w:val="6"/>
      <w:numFmt w:val="decimal"/>
      <w:lvlText w:val="%1."/>
      <w:lvlJc w:val="left"/>
      <w:pPr>
        <w:tabs>
          <w:tab w:val="num" w:pos="360"/>
        </w:tabs>
        <w:ind w:left="360" w:hanging="360"/>
      </w:pPr>
      <w:rPr>
        <w:rFonts w:hint="default"/>
      </w:rPr>
    </w:lvl>
  </w:abstractNum>
  <w:abstractNum w:abstractNumId="160">
    <w:nsid w:val="78FD64E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1">
    <w:nsid w:val="7CBD2A29"/>
    <w:multiLevelType w:val="singleLevel"/>
    <w:tmpl w:val="AAD66FA4"/>
    <w:lvl w:ilvl="0">
      <w:start w:val="1"/>
      <w:numFmt w:val="decimal"/>
      <w:lvlText w:val="%1."/>
      <w:lvlJc w:val="left"/>
      <w:pPr>
        <w:tabs>
          <w:tab w:val="num" w:pos="360"/>
        </w:tabs>
        <w:ind w:left="360" w:hanging="360"/>
      </w:pPr>
      <w:rPr>
        <w:rFonts w:hint="default"/>
      </w:rPr>
    </w:lvl>
  </w:abstractNum>
  <w:abstractNum w:abstractNumId="162">
    <w:nsid w:val="7D946E09"/>
    <w:multiLevelType w:val="multilevel"/>
    <w:tmpl w:val="17D4A94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3">
    <w:nsid w:val="7E06097F"/>
    <w:multiLevelType w:val="multilevel"/>
    <w:tmpl w:val="782A5CD4"/>
    <w:lvl w:ilvl="0">
      <w:start w:val="29"/>
      <w:numFmt w:val="lowerLetter"/>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4">
    <w:nsid w:val="7F827FC0"/>
    <w:multiLevelType w:val="multilevel"/>
    <w:tmpl w:val="4036EB06"/>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94"/>
  </w:num>
  <w:num w:numId="3">
    <w:abstractNumId w:val="78"/>
  </w:num>
  <w:num w:numId="4">
    <w:abstractNumId w:val="21"/>
  </w:num>
  <w:num w:numId="5">
    <w:abstractNumId w:val="26"/>
  </w:num>
  <w:num w:numId="6">
    <w:abstractNumId w:val="140"/>
  </w:num>
  <w:num w:numId="7">
    <w:abstractNumId w:val="126"/>
  </w:num>
  <w:num w:numId="8">
    <w:abstractNumId w:val="123"/>
  </w:num>
  <w:num w:numId="9">
    <w:abstractNumId w:val="106"/>
  </w:num>
  <w:num w:numId="10">
    <w:abstractNumId w:val="54"/>
  </w:num>
  <w:num w:numId="11">
    <w:abstractNumId w:val="128"/>
  </w:num>
  <w:num w:numId="12">
    <w:abstractNumId w:val="125"/>
  </w:num>
  <w:num w:numId="13">
    <w:abstractNumId w:val="115"/>
  </w:num>
  <w:num w:numId="14">
    <w:abstractNumId w:val="111"/>
  </w:num>
  <w:num w:numId="15">
    <w:abstractNumId w:val="8"/>
  </w:num>
  <w:num w:numId="16">
    <w:abstractNumId w:val="144"/>
  </w:num>
  <w:num w:numId="17">
    <w:abstractNumId w:val="134"/>
  </w:num>
  <w:num w:numId="18">
    <w:abstractNumId w:val="153"/>
  </w:num>
  <w:num w:numId="19">
    <w:abstractNumId w:val="119"/>
  </w:num>
  <w:num w:numId="20">
    <w:abstractNumId w:val="81"/>
  </w:num>
  <w:num w:numId="21">
    <w:abstractNumId w:val="103"/>
  </w:num>
  <w:num w:numId="22">
    <w:abstractNumId w:val="38"/>
  </w:num>
  <w:num w:numId="23">
    <w:abstractNumId w:val="116"/>
  </w:num>
  <w:num w:numId="24">
    <w:abstractNumId w:val="15"/>
  </w:num>
  <w:num w:numId="25">
    <w:abstractNumId w:val="107"/>
  </w:num>
  <w:num w:numId="26">
    <w:abstractNumId w:val="61"/>
  </w:num>
  <w:num w:numId="27">
    <w:abstractNumId w:val="61"/>
    <w:lvlOverride w:ilvl="0"/>
  </w:num>
  <w:num w:numId="28">
    <w:abstractNumId w:val="18"/>
  </w:num>
  <w:num w:numId="29">
    <w:abstractNumId w:val="139"/>
  </w:num>
  <w:num w:numId="30">
    <w:abstractNumId w:val="43"/>
  </w:num>
  <w:num w:numId="31">
    <w:abstractNumId w:val="92"/>
  </w:num>
  <w:num w:numId="32">
    <w:abstractNumId w:val="158"/>
  </w:num>
  <w:num w:numId="33">
    <w:abstractNumId w:val="67"/>
  </w:num>
  <w:num w:numId="34">
    <w:abstractNumId w:val="110"/>
  </w:num>
  <w:num w:numId="35">
    <w:abstractNumId w:val="160"/>
  </w:num>
  <w:num w:numId="36">
    <w:abstractNumId w:val="142"/>
  </w:num>
  <w:num w:numId="37">
    <w:abstractNumId w:val="163"/>
  </w:num>
  <w:num w:numId="38">
    <w:abstractNumId w:val="28"/>
  </w:num>
  <w:num w:numId="39">
    <w:abstractNumId w:val="9"/>
  </w:num>
  <w:num w:numId="40">
    <w:abstractNumId w:val="56"/>
  </w:num>
  <w:num w:numId="41">
    <w:abstractNumId w:val="161"/>
  </w:num>
  <w:num w:numId="42">
    <w:abstractNumId w:val="30"/>
  </w:num>
  <w:num w:numId="43">
    <w:abstractNumId w:val="25"/>
  </w:num>
  <w:num w:numId="44">
    <w:abstractNumId w:val="4"/>
  </w:num>
  <w:num w:numId="45">
    <w:abstractNumId w:val="23"/>
  </w:num>
  <w:num w:numId="46">
    <w:abstractNumId w:val="48"/>
  </w:num>
  <w:num w:numId="47">
    <w:abstractNumId w:val="159"/>
  </w:num>
  <w:num w:numId="48">
    <w:abstractNumId w:val="109"/>
  </w:num>
  <w:num w:numId="49">
    <w:abstractNumId w:val="143"/>
  </w:num>
  <w:num w:numId="50">
    <w:abstractNumId w:val="127"/>
  </w:num>
  <w:num w:numId="51">
    <w:abstractNumId w:val="135"/>
  </w:num>
  <w:num w:numId="52">
    <w:abstractNumId w:val="75"/>
  </w:num>
  <w:num w:numId="53">
    <w:abstractNumId w:val="147"/>
  </w:num>
  <w:num w:numId="54">
    <w:abstractNumId w:val="79"/>
  </w:num>
  <w:num w:numId="55">
    <w:abstractNumId w:val="64"/>
  </w:num>
  <w:num w:numId="56">
    <w:abstractNumId w:val="156"/>
  </w:num>
  <w:num w:numId="57">
    <w:abstractNumId w:val="101"/>
  </w:num>
  <w:num w:numId="58">
    <w:abstractNumId w:val="118"/>
  </w:num>
  <w:num w:numId="59">
    <w:abstractNumId w:val="105"/>
  </w:num>
  <w:num w:numId="60">
    <w:abstractNumId w:val="3"/>
  </w:num>
  <w:num w:numId="61">
    <w:abstractNumId w:val="7"/>
  </w:num>
  <w:num w:numId="62">
    <w:abstractNumId w:val="90"/>
  </w:num>
  <w:num w:numId="63">
    <w:abstractNumId w:val="99"/>
  </w:num>
  <w:num w:numId="64">
    <w:abstractNumId w:val="84"/>
  </w:num>
  <w:num w:numId="65">
    <w:abstractNumId w:val="120"/>
  </w:num>
  <w:num w:numId="66">
    <w:abstractNumId w:val="141"/>
  </w:num>
  <w:num w:numId="67">
    <w:abstractNumId w:val="89"/>
  </w:num>
  <w:num w:numId="68">
    <w:abstractNumId w:val="72"/>
  </w:num>
  <w:num w:numId="69">
    <w:abstractNumId w:val="122"/>
  </w:num>
  <w:num w:numId="70">
    <w:abstractNumId w:val="76"/>
  </w:num>
  <w:num w:numId="71">
    <w:abstractNumId w:val="154"/>
  </w:num>
  <w:num w:numId="72">
    <w:abstractNumId w:val="114"/>
  </w:num>
  <w:num w:numId="73">
    <w:abstractNumId w:val="24"/>
  </w:num>
  <w:num w:numId="74">
    <w:abstractNumId w:val="0"/>
  </w:num>
  <w:num w:numId="75">
    <w:abstractNumId w:val="20"/>
  </w:num>
  <w:num w:numId="76">
    <w:abstractNumId w:val="37"/>
  </w:num>
  <w:num w:numId="77">
    <w:abstractNumId w:val="42"/>
  </w:num>
  <w:num w:numId="78">
    <w:abstractNumId w:val="88"/>
  </w:num>
  <w:num w:numId="79">
    <w:abstractNumId w:val="137"/>
  </w:num>
  <w:num w:numId="80">
    <w:abstractNumId w:val="98"/>
  </w:num>
  <w:num w:numId="81">
    <w:abstractNumId w:val="68"/>
  </w:num>
  <w:num w:numId="82">
    <w:abstractNumId w:val="152"/>
  </w:num>
  <w:num w:numId="83">
    <w:abstractNumId w:val="151"/>
  </w:num>
  <w:num w:numId="84">
    <w:abstractNumId w:val="47"/>
  </w:num>
  <w:num w:numId="85">
    <w:abstractNumId w:val="12"/>
  </w:num>
  <w:num w:numId="86">
    <w:abstractNumId w:val="17"/>
  </w:num>
  <w:num w:numId="87">
    <w:abstractNumId w:val="162"/>
  </w:num>
  <w:num w:numId="88">
    <w:abstractNumId w:val="150"/>
  </w:num>
  <w:num w:numId="89">
    <w:abstractNumId w:val="41"/>
  </w:num>
  <w:num w:numId="90">
    <w:abstractNumId w:val="1"/>
  </w:num>
  <w:num w:numId="91">
    <w:abstractNumId w:val="131"/>
  </w:num>
  <w:num w:numId="92">
    <w:abstractNumId w:val="130"/>
  </w:num>
  <w:num w:numId="93">
    <w:abstractNumId w:val="22"/>
  </w:num>
  <w:num w:numId="94">
    <w:abstractNumId w:val="146"/>
  </w:num>
  <w:num w:numId="95">
    <w:abstractNumId w:val="113"/>
  </w:num>
  <w:num w:numId="96">
    <w:abstractNumId w:val="164"/>
  </w:num>
  <w:num w:numId="97">
    <w:abstractNumId w:val="60"/>
  </w:num>
  <w:num w:numId="98">
    <w:abstractNumId w:val="86"/>
  </w:num>
  <w:num w:numId="99">
    <w:abstractNumId w:val="91"/>
  </w:num>
  <w:num w:numId="100">
    <w:abstractNumId w:val="5"/>
  </w:num>
  <w:num w:numId="101">
    <w:abstractNumId w:val="96"/>
  </w:num>
  <w:num w:numId="102">
    <w:abstractNumId w:val="51"/>
  </w:num>
  <w:num w:numId="103">
    <w:abstractNumId w:val="35"/>
  </w:num>
  <w:num w:numId="104">
    <w:abstractNumId w:val="63"/>
  </w:num>
  <w:num w:numId="105">
    <w:abstractNumId w:val="93"/>
  </w:num>
  <w:num w:numId="106">
    <w:abstractNumId w:val="40"/>
  </w:num>
  <w:num w:numId="107">
    <w:abstractNumId w:val="102"/>
  </w:num>
  <w:num w:numId="108">
    <w:abstractNumId w:val="19"/>
  </w:num>
  <w:num w:numId="109">
    <w:abstractNumId w:val="77"/>
  </w:num>
  <w:num w:numId="110">
    <w:abstractNumId w:val="83"/>
  </w:num>
  <w:num w:numId="111">
    <w:abstractNumId w:val="50"/>
  </w:num>
  <w:num w:numId="112">
    <w:abstractNumId w:val="138"/>
  </w:num>
  <w:num w:numId="113">
    <w:abstractNumId w:val="44"/>
  </w:num>
  <w:num w:numId="114">
    <w:abstractNumId w:val="31"/>
  </w:num>
  <w:num w:numId="115">
    <w:abstractNumId w:val="45"/>
  </w:num>
  <w:num w:numId="116">
    <w:abstractNumId w:val="59"/>
  </w:num>
  <w:num w:numId="117">
    <w:abstractNumId w:val="65"/>
  </w:num>
  <w:num w:numId="118">
    <w:abstractNumId w:val="129"/>
  </w:num>
  <w:num w:numId="119">
    <w:abstractNumId w:val="29"/>
  </w:num>
  <w:num w:numId="120">
    <w:abstractNumId w:val="104"/>
  </w:num>
  <w:num w:numId="121">
    <w:abstractNumId w:val="34"/>
  </w:num>
  <w:num w:numId="122">
    <w:abstractNumId w:val="157"/>
  </w:num>
  <w:num w:numId="123">
    <w:abstractNumId w:val="46"/>
  </w:num>
  <w:num w:numId="124">
    <w:abstractNumId w:val="74"/>
  </w:num>
  <w:num w:numId="125">
    <w:abstractNumId w:val="121"/>
  </w:num>
  <w:num w:numId="126">
    <w:abstractNumId w:val="55"/>
  </w:num>
  <w:num w:numId="127">
    <w:abstractNumId w:val="95"/>
  </w:num>
  <w:num w:numId="128">
    <w:abstractNumId w:val="2"/>
  </w:num>
  <w:num w:numId="129">
    <w:abstractNumId w:val="87"/>
  </w:num>
  <w:num w:numId="130">
    <w:abstractNumId w:val="11"/>
  </w:num>
  <w:num w:numId="131">
    <w:abstractNumId w:val="62"/>
  </w:num>
  <w:num w:numId="132">
    <w:abstractNumId w:val="155"/>
  </w:num>
  <w:num w:numId="133">
    <w:abstractNumId w:val="80"/>
  </w:num>
  <w:num w:numId="134">
    <w:abstractNumId w:val="97"/>
  </w:num>
  <w:num w:numId="135">
    <w:abstractNumId w:val="33"/>
  </w:num>
  <w:num w:numId="136">
    <w:abstractNumId w:val="16"/>
  </w:num>
  <w:num w:numId="137">
    <w:abstractNumId w:val="136"/>
  </w:num>
  <w:num w:numId="138">
    <w:abstractNumId w:val="39"/>
  </w:num>
  <w:num w:numId="139">
    <w:abstractNumId w:val="133"/>
  </w:num>
  <w:num w:numId="140">
    <w:abstractNumId w:val="14"/>
  </w:num>
  <w:num w:numId="141">
    <w:abstractNumId w:val="117"/>
  </w:num>
  <w:num w:numId="142">
    <w:abstractNumId w:val="6"/>
  </w:num>
  <w:num w:numId="143">
    <w:abstractNumId w:val="27"/>
  </w:num>
  <w:num w:numId="144">
    <w:abstractNumId w:val="132"/>
  </w:num>
  <w:num w:numId="145">
    <w:abstractNumId w:val="53"/>
  </w:num>
  <w:num w:numId="146">
    <w:abstractNumId w:val="66"/>
  </w:num>
  <w:num w:numId="147">
    <w:abstractNumId w:val="36"/>
  </w:num>
  <w:num w:numId="148">
    <w:abstractNumId w:val="108"/>
  </w:num>
  <w:num w:numId="149">
    <w:abstractNumId w:val="124"/>
  </w:num>
  <w:num w:numId="150">
    <w:abstractNumId w:val="58"/>
  </w:num>
  <w:num w:numId="151">
    <w:abstractNumId w:val="10"/>
  </w:num>
  <w:num w:numId="152">
    <w:abstractNumId w:val="148"/>
  </w:num>
  <w:num w:numId="153">
    <w:abstractNumId w:val="149"/>
  </w:num>
  <w:num w:numId="154">
    <w:abstractNumId w:val="145"/>
  </w:num>
  <w:num w:numId="155">
    <w:abstractNumId w:val="52"/>
  </w:num>
  <w:num w:numId="156">
    <w:abstractNumId w:val="49"/>
  </w:num>
  <w:num w:numId="157">
    <w:abstractNumId w:val="73"/>
  </w:num>
  <w:num w:numId="158">
    <w:abstractNumId w:val="82"/>
  </w:num>
  <w:num w:numId="159">
    <w:abstractNumId w:val="69"/>
  </w:num>
  <w:num w:numId="160">
    <w:abstractNumId w:val="32"/>
  </w:num>
  <w:num w:numId="161">
    <w:abstractNumId w:val="112"/>
  </w:num>
  <w:num w:numId="162">
    <w:abstractNumId w:val="100"/>
  </w:num>
  <w:num w:numId="163">
    <w:abstractNumId w:val="70"/>
  </w:num>
  <w:num w:numId="164">
    <w:abstractNumId w:val="57"/>
  </w:num>
  <w:num w:numId="165">
    <w:abstractNumId w:val="85"/>
  </w:num>
  <w:num w:numId="166">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activeWritingStyle w:appName="MSWord" w:lang="es-ES"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5/01/06 8:55::34"/>
    <w:docVar w:name="DocCategory" w:val="Doc"/>
    <w:docVar w:name="DocType" w:val="Final"/>
    <w:docVar w:name="JobNo" w:val="0554400S"/>
    <w:docVar w:name="OandT" w:val=" "/>
    <w:docVar w:name="Symbol1" w:val="CEDAW/C/EST/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aliases w:val="Heading 9-paranum"/>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aliases w:val="BMGF Fußzeile"/>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Style1">
    <w:name w:val="Style1"/>
    <w:basedOn w:val="Normal"/>
    <w:pPr>
      <w:numPr>
        <w:numId w:val="5"/>
      </w:numPr>
      <w:tabs>
        <w:tab w:val="left" w:pos="851"/>
      </w:tabs>
      <w:suppressAutoHyphens w:val="0"/>
      <w:spacing w:before="120" w:line="240" w:lineRule="auto"/>
    </w:pPr>
    <w:rPr>
      <w:rFonts w:ascii="Arial" w:hAnsi="Arial"/>
      <w:spacing w:val="0"/>
      <w:w w:val="100"/>
      <w:kern w:val="0"/>
      <w:sz w:val="28"/>
      <w:lang w:val="en-AU" w:eastAsia="zh-CN"/>
    </w:rPr>
  </w:style>
  <w:style w:type="character" w:styleId="Hyperlink">
    <w:name w:val="Hyperlink"/>
    <w:semiHidden/>
    <w:rPr>
      <w:color w:val="0000FF"/>
      <w:u w:val="none"/>
    </w:rPr>
  </w:style>
  <w:style w:type="paragraph" w:styleId="BodyText3">
    <w:name w:val="Body Text 3"/>
    <w:basedOn w:val="Normal"/>
    <w:semiHidden/>
    <w:pPr>
      <w:suppressAutoHyphens w:val="0"/>
      <w:spacing w:line="240" w:lineRule="auto"/>
    </w:pPr>
    <w:rPr>
      <w:spacing w:val="0"/>
      <w:w w:val="100"/>
      <w:kern w:val="0"/>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ensib.ee" TargetMode="External"/><Relationship Id="rId26" Type="http://schemas.openxmlformats.org/officeDocument/2006/relationships/hyperlink" Target="http://www.vaatamaailma.ee" TargetMode="External"/><Relationship Id="rId3" Type="http://schemas.openxmlformats.org/officeDocument/2006/relationships/settings" Target="settings.xml"/><Relationship Id="rId21" Type="http://schemas.openxmlformats.org/officeDocument/2006/relationships/image" Target="media/image3.wmf"/><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miksike.ee" TargetMode="External"/><Relationship Id="rId25" Type="http://schemas.openxmlformats.org/officeDocument/2006/relationships/hyperlink" Target="http://www.stat.e"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enut.ee/lisa/soorollid.pdf" TargetMode="External"/><Relationship Id="rId20" Type="http://schemas.openxmlformats.org/officeDocument/2006/relationships/image" Target="media/image2.wmf"/><Relationship Id="rId29" Type="http://schemas.openxmlformats.org/officeDocument/2006/relationships/hyperlink" Target="http://www.stat.e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stat.e" TargetMode="External"/><Relationship Id="rId32" Type="http://schemas.openxmlformats.org/officeDocument/2006/relationships/hyperlink" Target="http://www.amor.ee" TargetMode="External"/><Relationship Id="rId5" Type="http://schemas.openxmlformats.org/officeDocument/2006/relationships/footnotes" Target="footnotes.xml"/><Relationship Id="rId15" Type="http://schemas.openxmlformats.org/officeDocument/2006/relationships/hyperlink" Target="http://www.e-riik/valitsus.ee/" TargetMode="External"/><Relationship Id="rId23" Type="http://schemas.openxmlformats.org/officeDocument/2006/relationships/hyperlink" Target="http://www.pikk.ee" TargetMode="External"/><Relationship Id="rId28" Type="http://schemas.openxmlformats.org/officeDocument/2006/relationships/hyperlink" Target="http://www.stat.ee" TargetMode="External"/><Relationship Id="rId10" Type="http://schemas.openxmlformats.org/officeDocument/2006/relationships/footer" Target="footer2.xml"/><Relationship Id="rId19" Type="http://schemas.openxmlformats.org/officeDocument/2006/relationships/hyperlink" Target="http://www.amor.ee" TargetMode="External"/><Relationship Id="rId31" Type="http://schemas.openxmlformats.org/officeDocument/2006/relationships/hyperlink" Target="http://www.perekool.ee"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e-riik/valimiskomisjon.ee/" TargetMode="External"/><Relationship Id="rId22" Type="http://schemas.openxmlformats.org/officeDocument/2006/relationships/oleObject" Target="embeddings/Microsoft_Excel_Chart1.xls"/><Relationship Id="rId27" Type="http://schemas.openxmlformats.org/officeDocument/2006/relationships/hyperlink" Target="http://www.stat.ee" TargetMode="External"/><Relationship Id="rId30" Type="http://schemas.openxmlformats.org/officeDocument/2006/relationships/hyperlink" Target="http://www.stat.e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94</Pages>
  <Words>37580</Words>
  <Characters>214208</Characters>
  <Application>Microsoft Office Word</Application>
  <DocSecurity>4</DocSecurity>
  <Lines>1785</Lines>
  <Paragraphs>428</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DS</Company>
  <LinksUpToDate>false</LinksUpToDate>
  <CharactersWithSpaces>263062</CharactersWithSpaces>
  <SharedDoc>false</SharedDoc>
  <HLinks>
    <vt:vector size="102" baseType="variant">
      <vt:variant>
        <vt:i4>7209002</vt:i4>
      </vt:variant>
      <vt:variant>
        <vt:i4>45</vt:i4>
      </vt:variant>
      <vt:variant>
        <vt:i4>0</vt:i4>
      </vt:variant>
      <vt:variant>
        <vt:i4>5</vt:i4>
      </vt:variant>
      <vt:variant>
        <vt:lpwstr>http://www.amor.ee/</vt:lpwstr>
      </vt:variant>
      <vt:variant>
        <vt:lpwstr/>
      </vt:variant>
      <vt:variant>
        <vt:i4>6684726</vt:i4>
      </vt:variant>
      <vt:variant>
        <vt:i4>42</vt:i4>
      </vt:variant>
      <vt:variant>
        <vt:i4>0</vt:i4>
      </vt:variant>
      <vt:variant>
        <vt:i4>5</vt:i4>
      </vt:variant>
      <vt:variant>
        <vt:lpwstr>http://www.perekool.ee/</vt:lpwstr>
      </vt:variant>
      <vt:variant>
        <vt:lpwstr/>
      </vt:variant>
      <vt:variant>
        <vt:i4>7471157</vt:i4>
      </vt:variant>
      <vt:variant>
        <vt:i4>39</vt:i4>
      </vt:variant>
      <vt:variant>
        <vt:i4>0</vt:i4>
      </vt:variant>
      <vt:variant>
        <vt:i4>5</vt:i4>
      </vt:variant>
      <vt:variant>
        <vt:lpwstr>http://www.stat.ee/</vt:lpwstr>
      </vt:variant>
      <vt:variant>
        <vt:lpwstr/>
      </vt:variant>
      <vt:variant>
        <vt:i4>7471157</vt:i4>
      </vt:variant>
      <vt:variant>
        <vt:i4>36</vt:i4>
      </vt:variant>
      <vt:variant>
        <vt:i4>0</vt:i4>
      </vt:variant>
      <vt:variant>
        <vt:i4>5</vt:i4>
      </vt:variant>
      <vt:variant>
        <vt:lpwstr>http://www.stat.ee/</vt:lpwstr>
      </vt:variant>
      <vt:variant>
        <vt:lpwstr/>
      </vt:variant>
      <vt:variant>
        <vt:i4>7471157</vt:i4>
      </vt:variant>
      <vt:variant>
        <vt:i4>33</vt:i4>
      </vt:variant>
      <vt:variant>
        <vt:i4>0</vt:i4>
      </vt:variant>
      <vt:variant>
        <vt:i4>5</vt:i4>
      </vt:variant>
      <vt:variant>
        <vt:lpwstr>http://www.stat.ee/</vt:lpwstr>
      </vt:variant>
      <vt:variant>
        <vt:lpwstr/>
      </vt:variant>
      <vt:variant>
        <vt:i4>7471157</vt:i4>
      </vt:variant>
      <vt:variant>
        <vt:i4>30</vt:i4>
      </vt:variant>
      <vt:variant>
        <vt:i4>0</vt:i4>
      </vt:variant>
      <vt:variant>
        <vt:i4>5</vt:i4>
      </vt:variant>
      <vt:variant>
        <vt:lpwstr>http://www.stat.ee/</vt:lpwstr>
      </vt:variant>
      <vt:variant>
        <vt:lpwstr/>
      </vt:variant>
      <vt:variant>
        <vt:i4>7536673</vt:i4>
      </vt:variant>
      <vt:variant>
        <vt:i4>27</vt:i4>
      </vt:variant>
      <vt:variant>
        <vt:i4>0</vt:i4>
      </vt:variant>
      <vt:variant>
        <vt:i4>5</vt:i4>
      </vt:variant>
      <vt:variant>
        <vt:lpwstr>http://www.vaatamaailma.ee/</vt:lpwstr>
      </vt:variant>
      <vt:variant>
        <vt:lpwstr/>
      </vt:variant>
      <vt:variant>
        <vt:i4>3670069</vt:i4>
      </vt:variant>
      <vt:variant>
        <vt:i4>24</vt:i4>
      </vt:variant>
      <vt:variant>
        <vt:i4>0</vt:i4>
      </vt:variant>
      <vt:variant>
        <vt:i4>5</vt:i4>
      </vt:variant>
      <vt:variant>
        <vt:lpwstr>http://www.stat.e/</vt:lpwstr>
      </vt:variant>
      <vt:variant>
        <vt:lpwstr/>
      </vt:variant>
      <vt:variant>
        <vt:i4>3670069</vt:i4>
      </vt:variant>
      <vt:variant>
        <vt:i4>21</vt:i4>
      </vt:variant>
      <vt:variant>
        <vt:i4>0</vt:i4>
      </vt:variant>
      <vt:variant>
        <vt:i4>5</vt:i4>
      </vt:variant>
      <vt:variant>
        <vt:lpwstr>http://www.stat.e/</vt:lpwstr>
      </vt:variant>
      <vt:variant>
        <vt:lpwstr/>
      </vt:variant>
      <vt:variant>
        <vt:i4>8060983</vt:i4>
      </vt:variant>
      <vt:variant>
        <vt:i4>18</vt:i4>
      </vt:variant>
      <vt:variant>
        <vt:i4>0</vt:i4>
      </vt:variant>
      <vt:variant>
        <vt:i4>5</vt:i4>
      </vt:variant>
      <vt:variant>
        <vt:lpwstr>http://www.pikk.ee/</vt:lpwstr>
      </vt:variant>
      <vt:variant>
        <vt:lpwstr/>
      </vt:variant>
      <vt:variant>
        <vt:i4>7209002</vt:i4>
      </vt:variant>
      <vt:variant>
        <vt:i4>15</vt:i4>
      </vt:variant>
      <vt:variant>
        <vt:i4>0</vt:i4>
      </vt:variant>
      <vt:variant>
        <vt:i4>5</vt:i4>
      </vt:variant>
      <vt:variant>
        <vt:lpwstr>http://www.amor.ee/</vt:lpwstr>
      </vt:variant>
      <vt:variant>
        <vt:lpwstr/>
      </vt:variant>
      <vt:variant>
        <vt:i4>1376284</vt:i4>
      </vt:variant>
      <vt:variant>
        <vt:i4>12</vt:i4>
      </vt:variant>
      <vt:variant>
        <vt:i4>0</vt:i4>
      </vt:variant>
      <vt:variant>
        <vt:i4>5</vt:i4>
      </vt:variant>
      <vt:variant>
        <vt:lpwstr>http://www.ensib.ee/</vt:lpwstr>
      </vt:variant>
      <vt:variant>
        <vt:lpwstr/>
      </vt:variant>
      <vt:variant>
        <vt:i4>7012458</vt:i4>
      </vt:variant>
      <vt:variant>
        <vt:i4>9</vt:i4>
      </vt:variant>
      <vt:variant>
        <vt:i4>0</vt:i4>
      </vt:variant>
      <vt:variant>
        <vt:i4>5</vt:i4>
      </vt:variant>
      <vt:variant>
        <vt:lpwstr>http://www.miksike.ee/</vt:lpwstr>
      </vt:variant>
      <vt:variant>
        <vt:lpwstr/>
      </vt:variant>
      <vt:variant>
        <vt:i4>1179651</vt:i4>
      </vt:variant>
      <vt:variant>
        <vt:i4>6</vt:i4>
      </vt:variant>
      <vt:variant>
        <vt:i4>0</vt:i4>
      </vt:variant>
      <vt:variant>
        <vt:i4>5</vt:i4>
      </vt:variant>
      <vt:variant>
        <vt:lpwstr>http://www.enut.ee/lisa/soorollid.pdf</vt:lpwstr>
      </vt:variant>
      <vt:variant>
        <vt:lpwstr/>
      </vt:variant>
      <vt:variant>
        <vt:i4>3670063</vt:i4>
      </vt:variant>
      <vt:variant>
        <vt:i4>3</vt:i4>
      </vt:variant>
      <vt:variant>
        <vt:i4>0</vt:i4>
      </vt:variant>
      <vt:variant>
        <vt:i4>5</vt:i4>
      </vt:variant>
      <vt:variant>
        <vt:lpwstr>http://www.e-riik/valitsus.ee/</vt:lpwstr>
      </vt:variant>
      <vt:variant>
        <vt:lpwstr/>
      </vt:variant>
      <vt:variant>
        <vt:i4>4849692</vt:i4>
      </vt:variant>
      <vt:variant>
        <vt:i4>0</vt:i4>
      </vt:variant>
      <vt:variant>
        <vt:i4>0</vt:i4>
      </vt:variant>
      <vt:variant>
        <vt:i4>5</vt:i4>
      </vt:variant>
      <vt:variant>
        <vt:lpwstr>http://www.e-riik/valimiskomisjon.ee/</vt:lpwstr>
      </vt:variant>
      <vt:variant>
        <vt:lpwstr/>
      </vt:variant>
      <vt:variant>
        <vt:i4>4522087</vt:i4>
      </vt:variant>
      <vt:variant>
        <vt:i4>261012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DS</dc:creator>
  <cp:keywords/>
  <dc:description/>
  <cp:lastModifiedBy>FALLA, Bertha</cp:lastModifiedBy>
  <cp:revision>7</cp:revision>
  <cp:lastPrinted>2006-01-25T13:06:00Z</cp:lastPrinted>
  <dcterms:created xsi:type="dcterms:W3CDTF">2006-01-25T13:06:00Z</dcterms:created>
  <dcterms:modified xsi:type="dcterms:W3CDTF">2006-01-25T13:15:00Z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0554400</vt:lpwstr>
  </property>
  <property fmtid="{D5CDD505-2E9C-101B-9397-08002B2CF9AE}" pid="3" name="Symbol1">
    <vt:lpwstr>CEDAW/C/EST/4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bf</vt:lpwstr>
  </property>
</Properties>
</file>