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B30A9" w14:paraId="173A96BD" w14:textId="77777777" w:rsidTr="009612CC">
        <w:trPr>
          <w:trHeight w:hRule="exact" w:val="851"/>
        </w:trPr>
        <w:tc>
          <w:tcPr>
            <w:tcW w:w="1280" w:type="dxa"/>
            <w:tcBorders>
              <w:bottom w:val="single" w:sz="4" w:space="0" w:color="auto"/>
            </w:tcBorders>
          </w:tcPr>
          <w:p w14:paraId="399EE506" w14:textId="77777777" w:rsidR="002D5AAC" w:rsidRPr="005B30A9" w:rsidRDefault="002D5AAC" w:rsidP="009612CC">
            <w:pPr>
              <w:kinsoku w:val="0"/>
              <w:overflowPunct w:val="0"/>
              <w:autoSpaceDE w:val="0"/>
              <w:autoSpaceDN w:val="0"/>
              <w:adjustRightInd w:val="0"/>
              <w:snapToGrid w:val="0"/>
            </w:pPr>
          </w:p>
        </w:tc>
        <w:tc>
          <w:tcPr>
            <w:tcW w:w="2273" w:type="dxa"/>
            <w:tcBorders>
              <w:bottom w:val="single" w:sz="4" w:space="0" w:color="auto"/>
            </w:tcBorders>
            <w:vAlign w:val="bottom"/>
          </w:tcPr>
          <w:p w14:paraId="1FC4EE53" w14:textId="77777777" w:rsidR="002D5AAC" w:rsidRPr="005B30A9" w:rsidRDefault="00BD33EE" w:rsidP="006E27AD">
            <w:pPr>
              <w:spacing w:after="80" w:line="300" w:lineRule="exact"/>
              <w:rPr>
                <w:sz w:val="28"/>
              </w:rPr>
            </w:pPr>
            <w:r w:rsidRPr="005B30A9">
              <w:rPr>
                <w:sz w:val="28"/>
              </w:rPr>
              <w:t>Naciones Unidas</w:t>
            </w:r>
          </w:p>
        </w:tc>
        <w:tc>
          <w:tcPr>
            <w:tcW w:w="6086" w:type="dxa"/>
            <w:gridSpan w:val="2"/>
            <w:tcBorders>
              <w:bottom w:val="single" w:sz="4" w:space="0" w:color="auto"/>
            </w:tcBorders>
            <w:vAlign w:val="bottom"/>
          </w:tcPr>
          <w:p w14:paraId="60F7A324" w14:textId="5410EFFE" w:rsidR="002D5AAC" w:rsidRPr="005B30A9" w:rsidRDefault="009612CC" w:rsidP="009612CC">
            <w:pPr>
              <w:jc w:val="right"/>
            </w:pPr>
            <w:r w:rsidRPr="005B30A9">
              <w:rPr>
                <w:sz w:val="40"/>
              </w:rPr>
              <w:t>E</w:t>
            </w:r>
            <w:r w:rsidRPr="005B30A9">
              <w:t>/C.12/AUT/5</w:t>
            </w:r>
          </w:p>
        </w:tc>
      </w:tr>
      <w:tr w:rsidR="002D5AAC" w:rsidRPr="005B30A9" w14:paraId="2E909C53" w14:textId="77777777" w:rsidTr="009612CC">
        <w:trPr>
          <w:trHeight w:hRule="exact" w:val="2835"/>
        </w:trPr>
        <w:tc>
          <w:tcPr>
            <w:tcW w:w="1280" w:type="dxa"/>
            <w:tcBorders>
              <w:top w:val="single" w:sz="4" w:space="0" w:color="auto"/>
              <w:bottom w:val="single" w:sz="12" w:space="0" w:color="auto"/>
            </w:tcBorders>
          </w:tcPr>
          <w:p w14:paraId="3DB59166" w14:textId="77777777" w:rsidR="002D5AAC" w:rsidRPr="005B30A9" w:rsidRDefault="00DC6544" w:rsidP="006E27AD">
            <w:pPr>
              <w:spacing w:before="120"/>
              <w:jc w:val="center"/>
            </w:pPr>
            <w:r w:rsidRPr="005B30A9">
              <w:rPr>
                <w:noProof/>
              </w:rPr>
              <w:drawing>
                <wp:inline distT="0" distB="0" distL="0" distR="0" wp14:anchorId="697C13A0" wp14:editId="5809DB7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97CD7E" w14:textId="77777777" w:rsidR="002D5AAC" w:rsidRPr="005B30A9" w:rsidRDefault="004B19F2" w:rsidP="006E27AD">
            <w:pPr>
              <w:spacing w:before="120" w:line="420" w:lineRule="exact"/>
              <w:rPr>
                <w:b/>
                <w:sz w:val="40"/>
                <w:szCs w:val="40"/>
              </w:rPr>
            </w:pPr>
            <w:r w:rsidRPr="005B30A9">
              <w:rPr>
                <w:b/>
                <w:sz w:val="40"/>
                <w:szCs w:val="40"/>
              </w:rPr>
              <w:t>Consejo Económico y Social</w:t>
            </w:r>
          </w:p>
        </w:tc>
        <w:tc>
          <w:tcPr>
            <w:tcW w:w="2819" w:type="dxa"/>
            <w:tcBorders>
              <w:top w:val="single" w:sz="4" w:space="0" w:color="auto"/>
              <w:bottom w:val="single" w:sz="12" w:space="0" w:color="auto"/>
            </w:tcBorders>
          </w:tcPr>
          <w:p w14:paraId="4D82552F" w14:textId="77777777" w:rsidR="002D5AAC" w:rsidRPr="005B30A9" w:rsidRDefault="009612CC" w:rsidP="006E27AD">
            <w:pPr>
              <w:spacing w:before="240"/>
            </w:pPr>
            <w:r w:rsidRPr="005B30A9">
              <w:t>Distr. general</w:t>
            </w:r>
          </w:p>
          <w:p w14:paraId="09A05C49" w14:textId="77777777" w:rsidR="009612CC" w:rsidRPr="005B30A9" w:rsidRDefault="009612CC" w:rsidP="009612CC">
            <w:pPr>
              <w:spacing w:line="240" w:lineRule="exact"/>
            </w:pPr>
            <w:r w:rsidRPr="005B30A9">
              <w:t>13 de diciembre de 2024</w:t>
            </w:r>
          </w:p>
          <w:p w14:paraId="519DFD65" w14:textId="77777777" w:rsidR="009612CC" w:rsidRPr="005B30A9" w:rsidRDefault="009612CC" w:rsidP="009612CC">
            <w:pPr>
              <w:spacing w:line="240" w:lineRule="exact"/>
            </w:pPr>
            <w:r w:rsidRPr="005B30A9">
              <w:t>Español</w:t>
            </w:r>
          </w:p>
          <w:p w14:paraId="1D53334B" w14:textId="77777777" w:rsidR="009612CC" w:rsidRPr="005B30A9" w:rsidRDefault="009612CC" w:rsidP="009612CC">
            <w:pPr>
              <w:spacing w:line="240" w:lineRule="exact"/>
            </w:pPr>
            <w:r w:rsidRPr="005B30A9">
              <w:t>Original: inglés</w:t>
            </w:r>
          </w:p>
          <w:p w14:paraId="4FB35A00" w14:textId="7727D13A" w:rsidR="009612CC" w:rsidRPr="005B30A9" w:rsidRDefault="009612CC" w:rsidP="009612CC">
            <w:pPr>
              <w:spacing w:line="240" w:lineRule="exact"/>
            </w:pPr>
            <w:r w:rsidRPr="005B30A9">
              <w:t>Español, francés e inglés únicamente</w:t>
            </w:r>
          </w:p>
        </w:tc>
      </w:tr>
    </w:tbl>
    <w:p w14:paraId="17827D15" w14:textId="4104427B" w:rsidR="009612CC" w:rsidRPr="005B30A9" w:rsidRDefault="009612CC" w:rsidP="009612CC">
      <w:pPr>
        <w:spacing w:before="120"/>
        <w:rPr>
          <w:b/>
          <w:sz w:val="24"/>
          <w:szCs w:val="24"/>
        </w:rPr>
      </w:pPr>
      <w:r w:rsidRPr="005B30A9">
        <w:rPr>
          <w:b/>
          <w:bCs/>
          <w:sz w:val="24"/>
          <w:szCs w:val="24"/>
        </w:rPr>
        <w:t>Comité de Derechos Económicos, Sociales y</w:t>
      </w:r>
      <w:r w:rsidR="007A4626">
        <w:rPr>
          <w:b/>
          <w:bCs/>
          <w:sz w:val="24"/>
          <w:szCs w:val="24"/>
        </w:rPr>
        <w:t xml:space="preserve"> </w:t>
      </w:r>
      <w:r w:rsidRPr="005B30A9">
        <w:rPr>
          <w:b/>
          <w:bCs/>
          <w:sz w:val="24"/>
          <w:szCs w:val="24"/>
        </w:rPr>
        <w:t>Culturales</w:t>
      </w:r>
    </w:p>
    <w:p w14:paraId="7CC9EC52" w14:textId="33AF3EED" w:rsidR="009612CC" w:rsidRPr="005B30A9" w:rsidRDefault="009612CC" w:rsidP="009612CC">
      <w:pPr>
        <w:pStyle w:val="HMG"/>
      </w:pPr>
      <w:r w:rsidRPr="005B30A9">
        <w:tab/>
      </w:r>
      <w:r w:rsidRPr="005B30A9">
        <w:tab/>
        <w:t xml:space="preserve">Quinto informe periódico que Austria debía presentar en 2020 en virtud de los </w:t>
      </w:r>
      <w:r w:rsidRPr="005B30A9">
        <w:br/>
        <w:t>artículos 16 y 17 del Pacto</w:t>
      </w:r>
      <w:r w:rsidRPr="005B30A9">
        <w:rPr>
          <w:rStyle w:val="Refdenotaalpie"/>
          <w:b w:val="0"/>
          <w:bCs/>
          <w:sz w:val="20"/>
          <w:vertAlign w:val="baseline"/>
        </w:rPr>
        <w:footnoteReference w:customMarkFollows="1" w:id="1"/>
        <w:t>*</w:t>
      </w:r>
      <w:r w:rsidRPr="005B30A9">
        <w:rPr>
          <w:b w:val="0"/>
          <w:bCs/>
          <w:sz w:val="20"/>
        </w:rPr>
        <w:t xml:space="preserve"> </w:t>
      </w:r>
      <w:r w:rsidRPr="005B30A9">
        <w:rPr>
          <w:rStyle w:val="Refdenotaalpie"/>
          <w:b w:val="0"/>
          <w:bCs/>
          <w:sz w:val="20"/>
          <w:vertAlign w:val="baseline"/>
        </w:rPr>
        <w:footnoteReference w:customMarkFollows="1" w:id="2"/>
        <w:t>**</w:t>
      </w:r>
    </w:p>
    <w:p w14:paraId="1B1C234B" w14:textId="41E157DC" w:rsidR="009612CC" w:rsidRPr="005B30A9" w:rsidRDefault="009612CC" w:rsidP="003F4824">
      <w:pPr>
        <w:pStyle w:val="SingleTxtG"/>
        <w:jc w:val="right"/>
      </w:pPr>
      <w:r w:rsidRPr="005B30A9">
        <w:t>[Fecha de recepción: 31 de mayo de 2024]</w:t>
      </w:r>
    </w:p>
    <w:p w14:paraId="22EDCD68" w14:textId="489B3E01" w:rsidR="009612CC" w:rsidRPr="005B30A9" w:rsidRDefault="009612CC">
      <w:pPr>
        <w:spacing w:line="240" w:lineRule="auto"/>
      </w:pPr>
      <w:r w:rsidRPr="005B30A9">
        <w:br w:type="page"/>
      </w:r>
    </w:p>
    <w:p w14:paraId="3A4DDF04" w14:textId="78A7B1C1" w:rsidR="009612CC" w:rsidRPr="005B30A9" w:rsidRDefault="009612CC" w:rsidP="009612CC">
      <w:pPr>
        <w:pStyle w:val="HChG"/>
      </w:pPr>
      <w:bookmarkStart w:id="0" w:name="_Toc31148942"/>
      <w:r w:rsidRPr="005B30A9">
        <w:lastRenderedPageBreak/>
        <w:tab/>
        <w:t>I.</w:t>
      </w:r>
      <w:r w:rsidRPr="005B30A9">
        <w:tab/>
        <w:t>Cuestiones de particular importancia</w:t>
      </w:r>
    </w:p>
    <w:bookmarkEnd w:id="0"/>
    <w:p w14:paraId="587166B5" w14:textId="2DD49C54" w:rsidR="009612CC" w:rsidRPr="005B30A9" w:rsidRDefault="009612CC" w:rsidP="009612CC">
      <w:pPr>
        <w:pStyle w:val="H1G"/>
      </w:pPr>
      <w:r w:rsidRPr="005B30A9">
        <w:tab/>
      </w:r>
      <w:r w:rsidRPr="005B30A9">
        <w:tab/>
        <w:t xml:space="preserve">Respuesta al párrafo 2 de la lista de cuestiones previa </w:t>
      </w:r>
      <w:r w:rsidRPr="005B30A9">
        <w:br/>
        <w:t>a la presentación del informe</w:t>
      </w:r>
    </w:p>
    <w:p w14:paraId="117E07D2" w14:textId="39372542" w:rsidR="009612CC" w:rsidRPr="005B30A9" w:rsidRDefault="009612CC" w:rsidP="009612CC">
      <w:pPr>
        <w:pStyle w:val="H23G"/>
      </w:pPr>
      <w:r w:rsidRPr="005B30A9">
        <w:tab/>
      </w:r>
      <w:r w:rsidRPr="005B30A9">
        <w:tab/>
        <w:t xml:space="preserve">Prevención de la comisión de violaciones de los derechos humanos </w:t>
      </w:r>
      <w:r w:rsidRPr="005B30A9">
        <w:br/>
        <w:t>por las empresas</w:t>
      </w:r>
    </w:p>
    <w:p w14:paraId="2AFEC381" w14:textId="139D2F45" w:rsidR="009612CC" w:rsidRPr="005B30A9" w:rsidRDefault="009612CC" w:rsidP="009612CC">
      <w:pPr>
        <w:pStyle w:val="H4G"/>
      </w:pPr>
      <w:r w:rsidRPr="005B30A9">
        <w:tab/>
      </w:r>
      <w:r w:rsidRPr="005B30A9">
        <w:tab/>
        <w:t>Recursos previstos en el derecho civil y penal</w:t>
      </w:r>
    </w:p>
    <w:p w14:paraId="0A9EF8E5" w14:textId="77777777" w:rsidR="009612CC" w:rsidRPr="005B30A9" w:rsidRDefault="009612CC" w:rsidP="009612CC">
      <w:pPr>
        <w:pStyle w:val="SingleTxtG"/>
        <w:rPr>
          <w:bCs/>
        </w:rPr>
      </w:pPr>
      <w:r w:rsidRPr="005B30A9">
        <w:t>1.</w:t>
      </w:r>
      <w:r w:rsidRPr="005B30A9">
        <w:tab/>
        <w:t>Las víctimas de violaciones de los derechos humanos cometidas en el extranjero tienen acceso a los tribunales civiles de Austria si existe una reclamación exigible en un procedimiento civil y si los tribunales civiles de Austria tienen competencia nacional e internacional. Conforme al Reglamento 2012/1215/EU (Reglamento europeo sobre competencia judicial y ejecución), los tribunales austríacos toman como ejemplo la jurisdicción internacional cuando una empresa demandada comparece en Austria ante un tribunal o el hecho dañoso se ha producido en Austria.</w:t>
      </w:r>
      <w:bookmarkStart w:id="1" w:name="_Hlk152754427"/>
      <w:bookmarkEnd w:id="1"/>
    </w:p>
    <w:p w14:paraId="0FBF122E" w14:textId="705A3DFE" w:rsidR="009612CC" w:rsidRPr="005B30A9" w:rsidRDefault="009612CC" w:rsidP="009612CC">
      <w:pPr>
        <w:pStyle w:val="SingleTxtG"/>
        <w:rPr>
          <w:bCs/>
        </w:rPr>
      </w:pPr>
      <w:r w:rsidRPr="005B30A9">
        <w:t>2.</w:t>
      </w:r>
      <w:r w:rsidRPr="005B30A9">
        <w:tab/>
        <w:t>La competencia de los tribunales penales de Austria en relación con los delitos cometidos en el extranjero depende en parte de si el autor tiene su domicilio o su residencia en Austria o de si es nacional austríaco (arts</w:t>
      </w:r>
      <w:r w:rsidR="00F67715">
        <w:t>.</w:t>
      </w:r>
      <w:r w:rsidRPr="005B30A9">
        <w:t xml:space="preserve"> 64 y 65 del </w:t>
      </w:r>
      <w:hyperlink r:id="rId9" w:history="1">
        <w:r w:rsidRPr="005B30A9">
          <w:rPr>
            <w:rStyle w:val="Hipervnculo"/>
          </w:rPr>
          <w:t>Código Penal</w:t>
        </w:r>
      </w:hyperlink>
      <w:r w:rsidRPr="005B30A9">
        <w:t xml:space="preserve"> (</w:t>
      </w:r>
      <w:r w:rsidRPr="005B30A9">
        <w:rPr>
          <w:i/>
          <w:iCs/>
        </w:rPr>
        <w:t>Strafgesetzbuch/</w:t>
      </w:r>
      <w:r w:rsidRPr="00510257">
        <w:t>StGB</w:t>
      </w:r>
      <w:r w:rsidRPr="005B30A9">
        <w:t xml:space="preserve">), </w:t>
      </w:r>
      <w:r w:rsidRPr="00F67715">
        <w:rPr>
          <w:i/>
          <w:iCs/>
        </w:rPr>
        <w:t>Boletín Oficial</w:t>
      </w:r>
      <w:r w:rsidRPr="005B30A9">
        <w:t xml:space="preserve"> (</w:t>
      </w:r>
      <w:r w:rsidRPr="00F67715">
        <w:rPr>
          <w:i/>
          <w:iCs/>
        </w:rPr>
        <w:t>Bundesgesetzblatt</w:t>
      </w:r>
      <w:r w:rsidRPr="005B30A9">
        <w:t>/BGBl.) núm. 60/1974). En el caso de las empresas, es preciso saber si su lugar de funcionamiento o de fundación es Austria (art</w:t>
      </w:r>
      <w:r w:rsidR="00F67715">
        <w:t>.</w:t>
      </w:r>
      <w:r w:rsidRPr="005B30A9">
        <w:t xml:space="preserve"> 12, párr</w:t>
      </w:r>
      <w:r w:rsidR="00F67715">
        <w:t>.</w:t>
      </w:r>
      <w:r w:rsidRPr="005B30A9">
        <w:t xml:space="preserve"> 2, de la </w:t>
      </w:r>
      <w:hyperlink r:id="rId10" w:history="1">
        <w:r w:rsidRPr="005B30A9">
          <w:rPr>
            <w:rStyle w:val="Hipervnculo"/>
          </w:rPr>
          <w:t>Ley de Rendición de Cuentas de las Organizaciones Empresariales</w:t>
        </w:r>
      </w:hyperlink>
      <w:r w:rsidRPr="005B30A9">
        <w:t xml:space="preserve"> </w:t>
      </w:r>
      <w:r w:rsidRPr="00831A55">
        <w:rPr>
          <w:i/>
          <w:iCs/>
        </w:rPr>
        <w:t>(Verbandsverantwortlichkeitsgesetz)</w:t>
      </w:r>
      <w:r w:rsidRPr="005B30A9">
        <w:t>, BGBl. I núm. 51/2005).</w:t>
      </w:r>
    </w:p>
    <w:p w14:paraId="30292FE6" w14:textId="7542E33F" w:rsidR="009612CC" w:rsidRPr="005B30A9" w:rsidRDefault="009612CC" w:rsidP="009612CC">
      <w:pPr>
        <w:pStyle w:val="H4G"/>
      </w:pPr>
      <w:r w:rsidRPr="005B30A9">
        <w:tab/>
      </w:r>
      <w:r w:rsidRPr="005B30A9">
        <w:tab/>
        <w:t>Solución de controversias de carácter no judicial</w:t>
      </w:r>
    </w:p>
    <w:p w14:paraId="371F6572" w14:textId="77777777" w:rsidR="009612CC" w:rsidRPr="005B30A9" w:rsidRDefault="009612CC" w:rsidP="009612CC">
      <w:pPr>
        <w:pStyle w:val="SingleTxtG"/>
        <w:rPr>
          <w:bCs/>
        </w:rPr>
      </w:pPr>
      <w:r w:rsidRPr="005B30A9">
        <w:t>3.</w:t>
      </w:r>
      <w:r w:rsidRPr="005B30A9">
        <w:tab/>
        <w:t>Austria alienta a las empresas que operan en el país a cumplir las Líneas Directrices de la OCDE para Empresas Multinacionales sobre Conducta Empresarial Responsable. Con este código de conducta, que no es jurídicamente vinculante, se pretende velar por que las empresas respeten los derechos humanos en sus actividades de ámbito mundial.</w:t>
      </w:r>
    </w:p>
    <w:p w14:paraId="4A83868D" w14:textId="77777777" w:rsidR="009612CC" w:rsidRPr="005B30A9" w:rsidRDefault="009612CC" w:rsidP="009612CC">
      <w:pPr>
        <w:pStyle w:val="SingleTxtG"/>
        <w:rPr>
          <w:bCs/>
        </w:rPr>
      </w:pPr>
      <w:r w:rsidRPr="005B30A9">
        <w:t>4.</w:t>
      </w:r>
      <w:r w:rsidRPr="005B30A9">
        <w:tab/>
        <w:t>El punto de contacto nacional de Austria para las Líneas Directrices de la OCDE en el Ministerio Federal de Trabajo y Economía (</w:t>
      </w:r>
      <w:r w:rsidRPr="005B30A9">
        <w:rPr>
          <w:i/>
          <w:iCs/>
        </w:rPr>
        <w:t>Bundesministerium für Arbeit und Wirtschaft/</w:t>
      </w:r>
      <w:r w:rsidRPr="00831A55">
        <w:t>BMAW</w:t>
      </w:r>
      <w:r w:rsidRPr="005B30A9">
        <w:t>) promueve las Líneas Directrices y asesora a las empresas, los empleados y la sociedad civil en lo relativo a su aplicación. Cuando las Líneas Directrices se violan, ofrece un servicio gratuito de solución de controversias de carácter no judicial y no vinculante. Las personas físicas o jurídicas que tengan interés legítimo en una cuestión pueden presentar una denuncia ante el punto de contacto nacional de Austria si la presunta violación ha tenido lugar en Austria o si la empresa en cuestión tiene su sede en Austria y el país en el que ha tenido lugar la presunta violación no cuenta con un punto de contacto nacional.</w:t>
      </w:r>
    </w:p>
    <w:p w14:paraId="32CDBBA5" w14:textId="0E3ACDF3" w:rsidR="009612CC" w:rsidRPr="005B30A9" w:rsidRDefault="009612CC" w:rsidP="009612CC">
      <w:pPr>
        <w:pStyle w:val="H4G"/>
      </w:pPr>
      <w:r w:rsidRPr="005B30A9">
        <w:tab/>
      </w:r>
      <w:r w:rsidRPr="005B30A9">
        <w:tab/>
        <w:t>La responsabilidad social empresarial en el suministro y las cadenas de valor transnacionales</w:t>
      </w:r>
    </w:p>
    <w:p w14:paraId="19A47C6A" w14:textId="02834F24" w:rsidR="009612CC" w:rsidRPr="005B30A9" w:rsidRDefault="009612CC" w:rsidP="009612CC">
      <w:pPr>
        <w:pStyle w:val="SingleTxtG"/>
        <w:rPr>
          <w:bCs/>
        </w:rPr>
      </w:pPr>
      <w:r w:rsidRPr="005B30A9">
        <w:t>5.</w:t>
      </w:r>
      <w:r w:rsidRPr="005B30A9">
        <w:tab/>
        <w:t>Austria ratificó el Convenio núm. 94 de la Organización Internacional del Trabajo (OIT) sobre las cláusulas de trabajo (contratos celebrados por las autoridades públicas) de</w:t>
      </w:r>
      <w:r w:rsidR="0022056C">
        <w:t> </w:t>
      </w:r>
      <w:r w:rsidRPr="005B30A9">
        <w:t>1951, puesto en práctica en virtud de la Ley de Contratación Pública de 2018 (</w:t>
      </w:r>
      <w:r w:rsidRPr="005B30A9">
        <w:rPr>
          <w:i/>
          <w:iCs/>
        </w:rPr>
        <w:t>Bundesvergabegesetz/</w:t>
      </w:r>
      <w:r w:rsidRPr="0022056C">
        <w:t>BVergG</w:t>
      </w:r>
      <w:r w:rsidRPr="005B30A9">
        <w:t xml:space="preserve"> 2018), BGBl. I núm. 65/2018, especialmente los artículos 93 y 264. En consecuencia, las obligaciones resultantes de los convenios de la OIT núms. 29, 87, 94 (cláusulas de trabajo), 95 (protección del salario), 98, 100, 105, 111, 138, 182 y 183 (protección de la maternidad) deben cumplirse en todos los procedimientos de contratación pública emprendidos en Austria y en el curso de una ejecución (parcial) en el extranjero. Las entidades encargadas de una contratación en el ámbito de aplicación de la Ley BVergG de</w:t>
      </w:r>
      <w:r w:rsidR="0022056C">
        <w:t> </w:t>
      </w:r>
      <w:r w:rsidRPr="005B30A9">
        <w:t>2018 podrán solicitar prueba de cumplimiento a los proveedores.</w:t>
      </w:r>
    </w:p>
    <w:p w14:paraId="5645AF52" w14:textId="77777777" w:rsidR="009612CC" w:rsidRPr="005B30A9" w:rsidRDefault="009612CC" w:rsidP="009612CC">
      <w:pPr>
        <w:pStyle w:val="SingleTxtG"/>
        <w:keepNext/>
        <w:keepLines/>
        <w:rPr>
          <w:bCs/>
        </w:rPr>
      </w:pPr>
      <w:r w:rsidRPr="005B30A9">
        <w:lastRenderedPageBreak/>
        <w:t>6.</w:t>
      </w:r>
      <w:r w:rsidRPr="005B30A9">
        <w:tab/>
        <w:t>Austria ha prestado o presta apoyo a proyectos y estudios sobre responsabilidad social empresarial, entre ellos:</w:t>
      </w:r>
    </w:p>
    <w:p w14:paraId="4A63BB33" w14:textId="3C996657" w:rsidR="009612CC" w:rsidRPr="005B30A9" w:rsidRDefault="009612CC" w:rsidP="009612CC">
      <w:pPr>
        <w:pStyle w:val="Bullet1G"/>
        <w:rPr>
          <w:bCs/>
        </w:rPr>
      </w:pPr>
      <w:r w:rsidRPr="005B30A9">
        <w:t>“Diligencia debida en materia de derechos humanos”</w:t>
      </w:r>
      <w:r w:rsidR="004943F9">
        <w:t xml:space="preserve"> (2017-2018)</w:t>
      </w:r>
      <w:r w:rsidRPr="005B30A9">
        <w:t xml:space="preserve">, llevado a cabo por </w:t>
      </w:r>
      <w:r w:rsidRPr="005B30A9">
        <w:rPr>
          <w:i/>
          <w:iCs/>
        </w:rPr>
        <w:t>Netzwerk Soziale Verantwortung/</w:t>
      </w:r>
      <w:r w:rsidRPr="009F5C9E">
        <w:t>NeSoVe</w:t>
      </w:r>
      <w:r w:rsidRPr="005B30A9">
        <w:t>, en el que se analizan los planes de diligencia debida en materia de derechos humanos y los sistemas de las empresas austríacas en materia de gestión de los riesgos.</w:t>
      </w:r>
    </w:p>
    <w:p w14:paraId="6F116845" w14:textId="3B7D6280" w:rsidR="009612CC" w:rsidRPr="005B30A9" w:rsidRDefault="009612CC" w:rsidP="009612CC">
      <w:pPr>
        <w:pStyle w:val="Bullet1G"/>
        <w:rPr>
          <w:bCs/>
        </w:rPr>
      </w:pPr>
      <w:r w:rsidRPr="005B30A9">
        <w:t>El proyecto de NeSoVe en el que se analiza el potencial de los sellos de calidad y las iniciativas de múltiples interesados a efectos de prevenir y combatir la trata de personas y la explotación laboral a lo largo de la cadena de valor (</w:t>
      </w:r>
      <w:r w:rsidRPr="009F5C9E">
        <w:rPr>
          <w:i/>
          <w:iCs/>
        </w:rPr>
        <w:t>“</w:t>
      </w:r>
      <w:r w:rsidRPr="005B30A9">
        <w:rPr>
          <w:i/>
          <w:iCs/>
        </w:rPr>
        <w:t>Menschenhndel in der Lieferkette – Arbeitsausbeutung in der Lieferkette erfolgreich bekämpfen</w:t>
      </w:r>
      <w:r w:rsidRPr="009F5C9E">
        <w:rPr>
          <w:i/>
          <w:iCs/>
        </w:rPr>
        <w:t>”</w:t>
      </w:r>
      <w:r w:rsidRPr="005B30A9">
        <w:t>, 2018</w:t>
      </w:r>
      <w:r w:rsidR="004943F9">
        <w:noBreakHyphen/>
      </w:r>
      <w:r w:rsidRPr="005B30A9">
        <w:t>2020).</w:t>
      </w:r>
    </w:p>
    <w:p w14:paraId="09DA099E" w14:textId="0305BED3" w:rsidR="009612CC" w:rsidRPr="005B30A9" w:rsidRDefault="009612CC" w:rsidP="009612CC">
      <w:pPr>
        <w:pStyle w:val="Bullet1G"/>
        <w:rPr>
          <w:bCs/>
        </w:rPr>
      </w:pPr>
      <w:r w:rsidRPr="005B30A9">
        <w:t xml:space="preserve">El proyecto de </w:t>
      </w:r>
      <w:r w:rsidRPr="005B30A9">
        <w:rPr>
          <w:i/>
          <w:iCs/>
        </w:rPr>
        <w:t xml:space="preserve">Südwind </w:t>
      </w:r>
      <w:r w:rsidRPr="005B30A9">
        <w:t>sobre fortalecimiento de las estrategias internacionales de los</w:t>
      </w:r>
      <w:r w:rsidR="004943F9">
        <w:t> </w:t>
      </w:r>
      <w:r w:rsidRPr="005B30A9">
        <w:t>sindicatos y los comités de empresa e intensificación de la colaboración con las</w:t>
      </w:r>
      <w:r w:rsidR="004943F9">
        <w:t> </w:t>
      </w:r>
      <w:r w:rsidRPr="005B30A9">
        <w:t>ONG (</w:t>
      </w:r>
      <w:r w:rsidRPr="004943F9">
        <w:rPr>
          <w:i/>
          <w:iCs/>
        </w:rPr>
        <w:t>“Multiplikator/inn/enprogramm: Menschenwürdige Arbeit für ein menschenwürdiges Leben”</w:t>
      </w:r>
      <w:r w:rsidRPr="005B30A9">
        <w:t>, en curso).</w:t>
      </w:r>
    </w:p>
    <w:p w14:paraId="0CAFB144" w14:textId="77777777" w:rsidR="009612CC" w:rsidRPr="005B30A9" w:rsidRDefault="009612CC" w:rsidP="009612CC">
      <w:pPr>
        <w:pStyle w:val="SingleTxtG"/>
        <w:rPr>
          <w:bCs/>
        </w:rPr>
      </w:pPr>
      <w:r w:rsidRPr="005B30A9">
        <w:t>7.</w:t>
      </w:r>
      <w:r w:rsidRPr="005B30A9">
        <w:tab/>
        <w:t>La Unión Europea prepara actualmente dos actos jurídicos (complementarios) respaldados por Austria en la medida en que el establecimiento en toda la Unión Europea de un marco regulatorio previene la fragmentación de las normas jurídicas en el espacio de la Unión Europea, garantiza la seguridad jurídica, mejora el acceso a una protección jurídica eficaz y refuerza la responsabilidad empresarial:</w:t>
      </w:r>
    </w:p>
    <w:p w14:paraId="4B304064" w14:textId="0E765163" w:rsidR="009612CC" w:rsidRPr="005B30A9" w:rsidRDefault="009612CC" w:rsidP="009612CC">
      <w:pPr>
        <w:pStyle w:val="Bullet1G"/>
        <w:rPr>
          <w:bCs/>
        </w:rPr>
      </w:pPr>
      <w:r w:rsidRPr="005B30A9">
        <w:t>Directiva sobre diligencia debida en materia de sostenibilidad empresarial:</w:t>
      </w:r>
    </w:p>
    <w:p w14:paraId="15230922" w14:textId="5481E1CF" w:rsidR="009612CC" w:rsidRPr="005B30A9" w:rsidRDefault="009612CC" w:rsidP="009612CC">
      <w:pPr>
        <w:pStyle w:val="Bullet2G"/>
        <w:rPr>
          <w:bCs/>
        </w:rPr>
      </w:pPr>
      <w:r w:rsidRPr="005B30A9">
        <w:t>Obligaciones impuestas a las empresas por las que se impide que sus actividades (y las de sus filiales o asociados en la cadena global de valor con los que mantengan relaciones) tengan efectos negativos en los derechos humanos y el medio ambiente; normas en materia de responsabilidad civil por el incumplimiento de estas obligaciones.</w:t>
      </w:r>
    </w:p>
    <w:p w14:paraId="7C2217CB" w14:textId="77777777" w:rsidR="009612CC" w:rsidRPr="005B30A9" w:rsidRDefault="009612CC" w:rsidP="009612CC">
      <w:pPr>
        <w:pStyle w:val="Bullet1G"/>
        <w:rPr>
          <w:bCs/>
        </w:rPr>
      </w:pPr>
      <w:r w:rsidRPr="005B30A9">
        <w:t>Reglamento por el que se prohíben en el mercado de la Unión Europea los productos realizados con trabajo forzoso:</w:t>
      </w:r>
    </w:p>
    <w:p w14:paraId="42F7BAA9" w14:textId="77777777" w:rsidR="009612CC" w:rsidRPr="005B30A9" w:rsidRDefault="009612CC" w:rsidP="009612CC">
      <w:pPr>
        <w:pStyle w:val="Bullet2G"/>
        <w:rPr>
          <w:bCs/>
        </w:rPr>
      </w:pPr>
      <w:r w:rsidRPr="005B30A9">
        <w:t>Prohibición general de la colocación y oferta en el mercado de la Unión Europea de productos realizados con trabajo forzoso (incluidos los procedentes de terceros países) y de la exportación de esos productos desde el mercado de la Unión Europea.</w:t>
      </w:r>
    </w:p>
    <w:p w14:paraId="34C0BF3C" w14:textId="5AD34B9B" w:rsidR="009612CC" w:rsidRPr="005B30A9" w:rsidRDefault="009612CC" w:rsidP="009612CC">
      <w:pPr>
        <w:pStyle w:val="H1G"/>
      </w:pPr>
      <w:r w:rsidRPr="005B30A9">
        <w:tab/>
      </w:r>
      <w:r w:rsidRPr="005B30A9">
        <w:tab/>
        <w:t>Respuesta al párrafo 2 a) de la lista de cuestiones</w:t>
      </w:r>
    </w:p>
    <w:p w14:paraId="61753278" w14:textId="42B4A65B" w:rsidR="009612CC" w:rsidRPr="005B30A9" w:rsidRDefault="009612CC" w:rsidP="009612CC">
      <w:pPr>
        <w:pStyle w:val="H23G"/>
      </w:pPr>
      <w:r w:rsidRPr="005B30A9">
        <w:tab/>
      </w:r>
      <w:r w:rsidRPr="005B30A9">
        <w:tab/>
        <w:t xml:space="preserve">Los derechos humanos en los proyectos financiados por el Banco de Desarrollo </w:t>
      </w:r>
      <w:r w:rsidRPr="005B30A9">
        <w:br/>
        <w:t>de Austria</w:t>
      </w:r>
    </w:p>
    <w:p w14:paraId="681DFEFB" w14:textId="77777777" w:rsidR="009612CC" w:rsidRPr="005B30A9" w:rsidRDefault="009612CC" w:rsidP="009612CC">
      <w:pPr>
        <w:pStyle w:val="SingleTxtG"/>
        <w:rPr>
          <w:bCs/>
        </w:rPr>
      </w:pPr>
      <w:r w:rsidRPr="005B30A9">
        <w:t>8.</w:t>
      </w:r>
      <w:r w:rsidRPr="005B30A9">
        <w:tab/>
        <w:t>El Banco de Desarrollo de Austria (</w:t>
      </w:r>
      <w:r w:rsidRPr="005B30A9">
        <w:rPr>
          <w:i/>
          <w:iCs/>
        </w:rPr>
        <w:t>Oesterreichische Entwicklungsbank AG/</w:t>
      </w:r>
      <w:r w:rsidRPr="004943F9">
        <w:t>OeEB</w:t>
      </w:r>
      <w:r w:rsidRPr="005B30A9">
        <w:t>) se propone mejorar las condiciones de vida en los países en desarrollo y emergentes. En sus proyectos de financiación tiene en cuenta la protección del medio ambiente y los recursos; se propone cumplir las normas ambientales, sociales y de derechos humanos locales, nacionales e internacionales, entre ellas los estándares sociales y ambientales de las instituciones de financiación del desarrollo europeas, las normas de desempeño de la Cooperación Internacional para la Financiación, filial del Banco Mundial, las Directrices del Grupo Banco Mundial en materia de medio ambiente, salud y seguridad, los convenios de la OIT y los Principios Rectores sobre las Empresas y los Derechos Humanos de las Naciones Unidas.</w:t>
      </w:r>
    </w:p>
    <w:p w14:paraId="61CBD7C5" w14:textId="77777777" w:rsidR="009612CC" w:rsidRPr="005B30A9" w:rsidRDefault="009612CC" w:rsidP="009612CC">
      <w:pPr>
        <w:pStyle w:val="SingleTxtG"/>
        <w:rPr>
          <w:bCs/>
        </w:rPr>
      </w:pPr>
      <w:r w:rsidRPr="005B30A9">
        <w:t>9.</w:t>
      </w:r>
      <w:r w:rsidRPr="005B30A9">
        <w:tab/>
        <w:t xml:space="preserve">Analiza con detenimiento las solicitudes de financiación para determinar los riesgos ambientales y de compatibilidad social. De ser necesario, confecciona junto con el cliente un catálogo de medidas que pasa a ser condición vinculante conforme al acuerdo de préstamo. En el curso de un proyecto verifica periódicamente el respeto de las normas pertinentes. Cuando se sospechan violaciones de los derechos humanos o un incumplimiento de las normas en materia de riesgos ambientales y de compatibilidad social, las personas o grupos de personas que sientan que se han violado sus derechos humanos como consecuencia de </w:t>
      </w:r>
      <w:r w:rsidRPr="005B30A9">
        <w:lastRenderedPageBreak/>
        <w:t>actos u omisiones por parte del OeEB o de cualquiera de sus clientes podrán presentar una denuncia ante la Unidad sobre Política de Desarrollo del OeEB. El acceso es fácil, y es posible presentar la denuncia por correo electrónico. Por lo general, los posibles riesgos ambientales y de compatibilidad social y los relativos a los derechos humanos se determinan en fases tempranas analizando los riesgos contextuales correspondientes a un país o sector y se examinan específicamente mediante evaluaciones ulteriores centradas en dichos riesgos.</w:t>
      </w:r>
    </w:p>
    <w:p w14:paraId="642192AE" w14:textId="275ED145" w:rsidR="009612CC" w:rsidRPr="005B30A9" w:rsidRDefault="009612CC" w:rsidP="009612CC">
      <w:pPr>
        <w:pStyle w:val="H1G"/>
      </w:pPr>
      <w:r w:rsidRPr="005B30A9">
        <w:tab/>
      </w:r>
      <w:r w:rsidRPr="005B30A9">
        <w:tab/>
        <w:t>Respuesta al párrafo 2 b) de la lista de cuestiones</w:t>
      </w:r>
    </w:p>
    <w:p w14:paraId="77050F8C" w14:textId="06FFAF61" w:rsidR="009612CC" w:rsidRPr="005B30A9" w:rsidRDefault="009612CC" w:rsidP="009612CC">
      <w:pPr>
        <w:pStyle w:val="H23G"/>
      </w:pPr>
      <w:r w:rsidRPr="005B30A9">
        <w:tab/>
      </w:r>
      <w:r w:rsidRPr="005B30A9">
        <w:tab/>
        <w:t>Casos de violaciones de los derechos humanos cometidas por empresas</w:t>
      </w:r>
    </w:p>
    <w:p w14:paraId="1832751C" w14:textId="3D6BACFF" w:rsidR="009612CC" w:rsidRPr="005B30A9" w:rsidRDefault="009612CC" w:rsidP="009612CC">
      <w:pPr>
        <w:pStyle w:val="SingleTxtG"/>
        <w:rPr>
          <w:bCs/>
        </w:rPr>
      </w:pPr>
      <w:r w:rsidRPr="005B30A9">
        <w:t>10.</w:t>
      </w:r>
      <w:r w:rsidR="00F16571">
        <w:tab/>
      </w:r>
      <w:r w:rsidRPr="005B30A9">
        <w:t>En el último caso encomendado al punto de contacto nacional de Austria (2017), las partes llegaron a una solución común en torno al propósito de mejorar la situación de la población local afectada. La empresa afectada respetará las normas internacionales en materia de derechos humanos y de medio ambiente, en particular las Líneas Directrices de la</w:t>
      </w:r>
      <w:r w:rsidR="00F13E49">
        <w:t> </w:t>
      </w:r>
      <w:r w:rsidRPr="005B30A9">
        <w:t>OCDE, en todos los proyectos futuros e incorporará paulatinamente en sus políticas empresariales las normas internacionales actuales, incluidas las Líneas Directrices de la</w:t>
      </w:r>
      <w:r w:rsidR="00F13E49">
        <w:t> </w:t>
      </w:r>
      <w:r w:rsidRPr="005B30A9">
        <w:t>OCDE, en materia de derechos humanos, medio ambiente y diligencia debida. El punto de contacto nacional de Austria no indica si ha tenido lugar una violación de los derechos humanos.</w:t>
      </w:r>
    </w:p>
    <w:p w14:paraId="62C36167" w14:textId="77777777" w:rsidR="009612CC" w:rsidRPr="005B30A9" w:rsidRDefault="009612CC" w:rsidP="009612CC">
      <w:pPr>
        <w:pStyle w:val="SingleTxtG"/>
        <w:rPr>
          <w:bCs/>
        </w:rPr>
      </w:pPr>
      <w:r w:rsidRPr="005B30A9">
        <w:t>11.</w:t>
      </w:r>
      <w:r w:rsidRPr="005B30A9">
        <w:tab/>
        <w:t>El OeEB investiga las denuncias de incumplimiento de las normas relativas a los riesgos ambientales y de compatibilidad social y en materia de derechos humanos o las sospechas de violación de las condiciones vinculantes en el marco de los procesos de examen ordinarios o de un procedimiento de denuncia. Si se corroboran las sospechas de violación de los derechos humanos, se investigan las circunstancias subyacentes. Cada vez el OeEB se esfuerza más por fortalecer las condiciones relativas a los riesgos ambientales y de compatibilidad social y en materia de derechos humanos en lo que se refiere al asociado en el proyecto.</w:t>
      </w:r>
    </w:p>
    <w:p w14:paraId="7C7C8907" w14:textId="19F7D5A3" w:rsidR="009612CC" w:rsidRPr="005B30A9" w:rsidRDefault="009612CC" w:rsidP="009612CC">
      <w:pPr>
        <w:pStyle w:val="H1G"/>
      </w:pPr>
      <w:r w:rsidRPr="005B30A9">
        <w:tab/>
      </w:r>
      <w:r w:rsidRPr="005B30A9">
        <w:tab/>
        <w:t>Respuesta al párrafo 2 c) de la lista de cuestiones</w:t>
      </w:r>
    </w:p>
    <w:p w14:paraId="50A1BEDD" w14:textId="3359200F" w:rsidR="009612CC" w:rsidRPr="005B30A9" w:rsidRDefault="009612CC" w:rsidP="009612CC">
      <w:pPr>
        <w:pStyle w:val="H23G"/>
      </w:pPr>
      <w:r w:rsidRPr="005B30A9">
        <w:tab/>
      </w:r>
      <w:r w:rsidRPr="005B30A9">
        <w:tab/>
        <w:t>Adopción de un plan de acción nacional sobre empresas y derechos humanos</w:t>
      </w:r>
    </w:p>
    <w:p w14:paraId="6823FEB9" w14:textId="35D40AAB" w:rsidR="009612CC" w:rsidRPr="005B30A9" w:rsidRDefault="009612CC" w:rsidP="009612CC">
      <w:pPr>
        <w:pStyle w:val="SingleTxtG"/>
        <w:rPr>
          <w:bCs/>
        </w:rPr>
      </w:pPr>
      <w:r w:rsidRPr="005B30A9">
        <w:t>12.</w:t>
      </w:r>
      <w:r w:rsidRPr="005B30A9">
        <w:tab/>
        <w:t>Actualmente no está previsto.</w:t>
      </w:r>
    </w:p>
    <w:p w14:paraId="47EFE243" w14:textId="69916339" w:rsidR="009612CC" w:rsidRPr="005B30A9" w:rsidRDefault="009612CC" w:rsidP="009612CC">
      <w:pPr>
        <w:pStyle w:val="H1G"/>
      </w:pPr>
      <w:r w:rsidRPr="005B30A9">
        <w:tab/>
      </w:r>
      <w:r w:rsidRPr="005B30A9">
        <w:tab/>
        <w:t>Respuesta al párrafo 3 de la lista de cuestiones</w:t>
      </w:r>
    </w:p>
    <w:p w14:paraId="58C8031F" w14:textId="18D1B69F" w:rsidR="009612CC" w:rsidRPr="005B30A9" w:rsidRDefault="009612CC" w:rsidP="009612CC">
      <w:pPr>
        <w:pStyle w:val="H23G"/>
      </w:pPr>
      <w:r w:rsidRPr="005B30A9">
        <w:tab/>
      </w:r>
      <w:r w:rsidRPr="005B30A9">
        <w:tab/>
        <w:t xml:space="preserve">Repercusión del ingreso mínimo sujeto a la verificación de ingresos </w:t>
      </w:r>
      <w:r w:rsidRPr="005B30A9">
        <w:br/>
        <w:t>y de la ayuda social</w:t>
      </w:r>
    </w:p>
    <w:p w14:paraId="0C2CB3DA" w14:textId="2BE8FF38" w:rsidR="009612CC" w:rsidRPr="005B30A9" w:rsidRDefault="009612CC" w:rsidP="009612CC">
      <w:pPr>
        <w:pStyle w:val="SingleTxtG"/>
        <w:rPr>
          <w:bCs/>
        </w:rPr>
      </w:pPr>
      <w:r w:rsidRPr="005B30A9">
        <w:t>13.</w:t>
      </w:r>
      <w:r w:rsidRPr="005B30A9">
        <w:tab/>
        <w:t xml:space="preserve">El 1 de junio de 2019 entró en vigor la </w:t>
      </w:r>
      <w:hyperlink r:id="rId11" w:history="1">
        <w:r w:rsidRPr="00014A07">
          <w:rPr>
            <w:rStyle w:val="Hipervnculo"/>
          </w:rPr>
          <w:t>Ley sobre los Principios de Ayuda Social</w:t>
        </w:r>
      </w:hyperlink>
      <w:r w:rsidRPr="005B30A9">
        <w:t xml:space="preserve"> (</w:t>
      </w:r>
      <w:r w:rsidRPr="005B30A9">
        <w:rPr>
          <w:i/>
          <w:iCs/>
        </w:rPr>
        <w:t>Sozialhilfe-Grundsatzgesetz/</w:t>
      </w:r>
      <w:r w:rsidRPr="00014A07">
        <w:t>SH-GG</w:t>
      </w:r>
      <w:r w:rsidRPr="005B30A9">
        <w:t xml:space="preserve">), BGBl. I núm. 41/2019. La ayuda social </w:t>
      </w:r>
      <w:r w:rsidRPr="00014A07">
        <w:rPr>
          <w:i/>
          <w:iCs/>
        </w:rPr>
        <w:t>(Sozialhilfe)</w:t>
      </w:r>
      <w:r w:rsidRPr="005B30A9">
        <w:t xml:space="preserve"> sustituye al ingreso mínimo sujeto a la verificación de ingresos </w:t>
      </w:r>
      <w:r w:rsidRPr="00014A07">
        <w:rPr>
          <w:i/>
          <w:iCs/>
        </w:rPr>
        <w:t>(bedarfsorientierte Mindestsicherung)</w:t>
      </w:r>
      <w:r w:rsidRPr="005B30A9">
        <w:t xml:space="preserve"> y su aplicación corresponde a los </w:t>
      </w:r>
      <w:r w:rsidRPr="005B30A9">
        <w:rPr>
          <w:i/>
          <w:iCs/>
        </w:rPr>
        <w:t xml:space="preserve">Länder </w:t>
      </w:r>
      <w:r w:rsidRPr="005B30A9">
        <w:t xml:space="preserve">(regiones). Todos los </w:t>
      </w:r>
      <w:r w:rsidRPr="005B30A9">
        <w:rPr>
          <w:i/>
          <w:iCs/>
        </w:rPr>
        <w:t xml:space="preserve">Länder </w:t>
      </w:r>
      <w:r w:rsidRPr="005B30A9">
        <w:t>con excepción de Viena, el Tirol y Burgenland</w:t>
      </w:r>
      <w:r w:rsidRPr="005B30A9">
        <w:rPr>
          <w:rStyle w:val="Refdenotaalpie"/>
        </w:rPr>
        <w:footnoteReference w:id="3"/>
      </w:r>
      <w:r w:rsidRPr="005B30A9">
        <w:t xml:space="preserve"> han promulgado legislación en materia de aplicación. Viena ha aplicado la SH-GG en parte. En el Tirol y en Burgenland se aplica legislación relativa al ingreso mínimo. La SH-GG ha introducido un nuevo sistema de prestaciones basado en tasas máximas (sumas) en lugar de normas mínimas.</w:t>
      </w:r>
    </w:p>
    <w:p w14:paraId="29FC61C7" w14:textId="77777777" w:rsidR="009612CC" w:rsidRPr="005B30A9" w:rsidRDefault="009612CC" w:rsidP="009612CC">
      <w:pPr>
        <w:pStyle w:val="SingleTxtG"/>
        <w:rPr>
          <w:bCs/>
        </w:rPr>
      </w:pPr>
      <w:r w:rsidRPr="005B30A9">
        <w:t>14.</w:t>
      </w:r>
      <w:r w:rsidRPr="005B30A9">
        <w:tab/>
        <w:t xml:space="preserve">En 2022, recibieron a escala nacional prestaciones de ayuda social o ingreso mínimo 254.149 personas que formaban parte de 147.488 hogares que conviven </w:t>
      </w:r>
      <w:r w:rsidRPr="00014A07">
        <w:rPr>
          <w:i/>
          <w:iCs/>
        </w:rPr>
        <w:t>(Bedarfsgemeinschaften)</w:t>
      </w:r>
      <w:r w:rsidRPr="005B30A9">
        <w:t>. De estas personas:</w:t>
      </w:r>
    </w:p>
    <w:p w14:paraId="523FCFE1" w14:textId="5F1ABC2A" w:rsidR="009612CC" w:rsidRPr="005B30A9" w:rsidRDefault="009612CC" w:rsidP="009612CC">
      <w:pPr>
        <w:pStyle w:val="Bullet1G"/>
        <w:rPr>
          <w:bCs/>
        </w:rPr>
      </w:pPr>
      <w:r w:rsidRPr="005B30A9">
        <w:t>El 51 % eran mujeres y el 49 % hombres.</w:t>
      </w:r>
    </w:p>
    <w:p w14:paraId="7516DA9A" w14:textId="779CC31C" w:rsidR="009612CC" w:rsidRPr="005B30A9" w:rsidRDefault="009612CC" w:rsidP="009612CC">
      <w:pPr>
        <w:pStyle w:val="Bullet1G"/>
        <w:rPr>
          <w:bCs/>
        </w:rPr>
      </w:pPr>
      <w:r w:rsidRPr="005B30A9">
        <w:t>El 35 % eran niños, el 34 % mujeres y el 31 % hombres.</w:t>
      </w:r>
    </w:p>
    <w:p w14:paraId="08CD4D6B" w14:textId="200382EF" w:rsidR="009612CC" w:rsidRPr="005B30A9" w:rsidRDefault="009612CC" w:rsidP="009612CC">
      <w:pPr>
        <w:pStyle w:val="Bullet1G"/>
        <w:rPr>
          <w:bCs/>
        </w:rPr>
      </w:pPr>
      <w:r w:rsidRPr="005B30A9">
        <w:lastRenderedPageBreak/>
        <w:t>El 36 % eran solteras, el 33 % vivían en pareja y el 23 % eran progenitores solos.</w:t>
      </w:r>
    </w:p>
    <w:p w14:paraId="471FC4EF" w14:textId="5497E342" w:rsidR="009612CC" w:rsidRPr="005B30A9" w:rsidRDefault="009612CC" w:rsidP="009612CC">
      <w:pPr>
        <w:pStyle w:val="Bullet1G"/>
        <w:rPr>
          <w:bCs/>
        </w:rPr>
      </w:pPr>
      <w:r w:rsidRPr="005B30A9">
        <w:t>El 53,6 % tenían de 19 a 60 años, el 35,8 % tenían menos de 19 años y el 10,7 % tenían 61 años o más.</w:t>
      </w:r>
    </w:p>
    <w:p w14:paraId="28D2CE1B" w14:textId="302328FC" w:rsidR="009612CC" w:rsidRPr="005B30A9" w:rsidRDefault="009612CC" w:rsidP="009612CC">
      <w:pPr>
        <w:pStyle w:val="Bullet1G"/>
        <w:rPr>
          <w:bCs/>
        </w:rPr>
      </w:pPr>
      <w:r w:rsidRPr="005B30A9">
        <w:t>El 72 % vivía en Viena, el 1 % en Burgenland y el 7 % en Estiria.</w:t>
      </w:r>
    </w:p>
    <w:p w14:paraId="3A39AE03" w14:textId="18AFAFF9" w:rsidR="009612CC" w:rsidRPr="005B30A9" w:rsidRDefault="009612CC" w:rsidP="009612CC">
      <w:pPr>
        <w:pStyle w:val="Bullet1G"/>
        <w:rPr>
          <w:bCs/>
        </w:rPr>
      </w:pPr>
      <w:r w:rsidRPr="005B30A9">
        <w:t>El 43 % eran nacionales austríacos (en 2021: 46 %).</w:t>
      </w:r>
    </w:p>
    <w:p w14:paraId="51D57883" w14:textId="147D4C1F" w:rsidR="009612CC" w:rsidRPr="005B30A9" w:rsidRDefault="009612CC" w:rsidP="009612CC">
      <w:pPr>
        <w:pStyle w:val="Bullet1G"/>
        <w:rPr>
          <w:bCs/>
        </w:rPr>
      </w:pPr>
      <w:r w:rsidRPr="005B30A9">
        <w:t>El 9 % estaban empleadas y el 91 % no estaban empleadas (el 36 % estaban desempleadas, el 42 % se encontraban en edad preescolar o en edad de asistir a la escuela primaria o estaban jubiladas, el 9 % no eran aptas para trabajar y el 5 % estaban escolarizadas más allá de la edad de escolarización obligatoria).</w:t>
      </w:r>
    </w:p>
    <w:p w14:paraId="057D281D" w14:textId="61F646DF" w:rsidR="009612CC" w:rsidRPr="005B30A9" w:rsidRDefault="009612CC" w:rsidP="009612CC">
      <w:pPr>
        <w:pStyle w:val="Bullet1G"/>
        <w:rPr>
          <w:bCs/>
        </w:rPr>
      </w:pPr>
      <w:r w:rsidRPr="005B30A9">
        <w:t>En promedio, el 27 % de los hogares que convivían percibía prestaciones completas y el 73</w:t>
      </w:r>
      <w:r w:rsidR="00014A07">
        <w:t> </w:t>
      </w:r>
      <w:r w:rsidRPr="005B30A9">
        <w:t>% recibía prestaciones parciales (a título de suplemento de los ingresos de un hogar de convivencia).</w:t>
      </w:r>
    </w:p>
    <w:p w14:paraId="2D7890F1" w14:textId="77777777" w:rsidR="009612CC" w:rsidRPr="005B30A9" w:rsidRDefault="009612CC" w:rsidP="009612CC">
      <w:pPr>
        <w:pStyle w:val="SingleTxtG"/>
        <w:rPr>
          <w:bCs/>
        </w:rPr>
      </w:pPr>
      <w:r w:rsidRPr="005B30A9">
        <w:t>15.</w:t>
      </w:r>
      <w:r w:rsidRPr="005B30A9">
        <w:tab/>
        <w:t xml:space="preserve">Los solicitantes de asilo no pueden percibir prestaciones de ayuda social o ingreso mínimo. Quienes padecen necesidad y no pueden sustentarse económicamente perciben prestaciones en concepto de cuidados básicos </w:t>
      </w:r>
      <w:r w:rsidRPr="00014A07">
        <w:rPr>
          <w:i/>
          <w:iCs/>
        </w:rPr>
        <w:t>(Grundversorgung)</w:t>
      </w:r>
      <w:r w:rsidRPr="005B30A9">
        <w:t>.</w:t>
      </w:r>
    </w:p>
    <w:p w14:paraId="055D2E11" w14:textId="77777777" w:rsidR="009612CC" w:rsidRPr="005B30A9" w:rsidRDefault="009612CC" w:rsidP="009612CC">
      <w:pPr>
        <w:pStyle w:val="SingleTxtG"/>
        <w:rPr>
          <w:bCs/>
        </w:rPr>
      </w:pPr>
      <w:r w:rsidRPr="005B30A9">
        <w:t>16.</w:t>
      </w:r>
      <w:r w:rsidRPr="005B30A9">
        <w:tab/>
        <w:t>En 2021, una media del 34 % de quienes percibían prestaciones de ayuda social o ingreso mínimo gozaban de reconocimiento de refugiado (condiciones reunidas una vez cumplidos cuatro meses desde la concesión del asilo). El 4 % de los beneficiarios eran titulares de protección complementaria (véase también la respuesta al párrafo 4 a)).</w:t>
      </w:r>
    </w:p>
    <w:p w14:paraId="62BD04B6" w14:textId="77777777" w:rsidR="009612CC" w:rsidRPr="005B30A9" w:rsidRDefault="009612CC" w:rsidP="009612CC">
      <w:pPr>
        <w:pStyle w:val="SingleTxtG"/>
        <w:rPr>
          <w:bCs/>
        </w:rPr>
      </w:pPr>
      <w:r w:rsidRPr="005B30A9">
        <w:t>17.</w:t>
      </w:r>
      <w:r w:rsidRPr="005B30A9">
        <w:tab/>
        <w:t xml:space="preserve">Los progenitores solos perciben mayores prestaciones de ingreso mínimo que antes de que se introdujera ese sistema. La SH-GG prevé una suma máxima de 1.053,64 euros para los progenitores solos (2023). Los </w:t>
      </w:r>
      <w:r w:rsidRPr="005B30A9">
        <w:rPr>
          <w:i/>
          <w:iCs/>
        </w:rPr>
        <w:t xml:space="preserve">Länder </w:t>
      </w:r>
      <w:r w:rsidRPr="005B30A9">
        <w:t>pueden conceder y han concedido suplementos a los progenitores solos (sobre la base del número de hijos; en 2023 se concedieron de 126 a 32 euros al mes por hijo). Entre los progenitores solos beneficiarios con hijos menores, la proporción de mujeres superaba con diferencia la de hombres (96 % eran mujeres y 4 % eran mujeres) en 2022.</w:t>
      </w:r>
    </w:p>
    <w:p w14:paraId="086A9F59" w14:textId="77777777" w:rsidR="009612CC" w:rsidRPr="005B30A9" w:rsidRDefault="009612CC" w:rsidP="009612CC">
      <w:pPr>
        <w:pStyle w:val="SingleTxtG"/>
        <w:rPr>
          <w:bCs/>
        </w:rPr>
      </w:pPr>
      <w:r w:rsidRPr="005B30A9">
        <w:t>18.</w:t>
      </w:r>
      <w:r w:rsidRPr="005B30A9">
        <w:tab/>
        <w:t xml:space="preserve">Las prestaciones percibidas por las familias que tienen tres hijos o más varían de un </w:t>
      </w:r>
      <w:r w:rsidRPr="005B30A9">
        <w:rPr>
          <w:i/>
          <w:iCs/>
        </w:rPr>
        <w:t xml:space="preserve">Land </w:t>
      </w:r>
      <w:r w:rsidRPr="005B30A9">
        <w:t>a otro. La tasa de referencia media del suplemento por hijo es de unos 224 euros por un hijo y 448 euros por dos hijos.</w:t>
      </w:r>
    </w:p>
    <w:p w14:paraId="7D6FDC04" w14:textId="25DE073F" w:rsidR="009612CC" w:rsidRPr="005B30A9" w:rsidRDefault="009612CC" w:rsidP="009612CC">
      <w:pPr>
        <w:pStyle w:val="H23G"/>
      </w:pPr>
      <w:r w:rsidRPr="005B30A9">
        <w:tab/>
      </w:r>
      <w:r w:rsidRPr="005B30A9">
        <w:tab/>
        <w:t>Conformidad con las decisiones del Tribunal Constitucional</w:t>
      </w:r>
    </w:p>
    <w:p w14:paraId="4758789E" w14:textId="77777777" w:rsidR="009612CC" w:rsidRPr="005B30A9" w:rsidRDefault="009612CC" w:rsidP="009612CC">
      <w:pPr>
        <w:pStyle w:val="SingleTxtG"/>
        <w:rPr>
          <w:bCs/>
        </w:rPr>
      </w:pPr>
      <w:r w:rsidRPr="005B30A9">
        <w:t>19.</w:t>
      </w:r>
      <w:r w:rsidRPr="005B30A9">
        <w:tab/>
        <w:t>El Tribunal Constitucional (</w:t>
      </w:r>
      <w:r w:rsidRPr="005B30A9">
        <w:rPr>
          <w:i/>
          <w:iCs/>
        </w:rPr>
        <w:t>Verfassungsgerichtshof/</w:t>
      </w:r>
      <w:r w:rsidRPr="0050571F">
        <w:t>VfGH</w:t>
      </w:r>
      <w:r w:rsidRPr="005B30A9">
        <w:t>) revocó por inconstitucionales:</w:t>
      </w:r>
    </w:p>
    <w:p w14:paraId="28182648" w14:textId="78BB5CE6" w:rsidR="009612CC" w:rsidRPr="005B30A9" w:rsidRDefault="009612CC" w:rsidP="009612CC">
      <w:pPr>
        <w:pStyle w:val="Bullet1G"/>
      </w:pPr>
      <w:r w:rsidRPr="005B30A9">
        <w:t xml:space="preserve">En virtud de las decisiones G 136/2017 de marzo de 2018 y G 308/2018 de diciembre de 2018, disposiciones de la legislación de los </w:t>
      </w:r>
      <w:r w:rsidRPr="005B30A9">
        <w:rPr>
          <w:i/>
          <w:iCs/>
        </w:rPr>
        <w:t xml:space="preserve">Länder </w:t>
      </w:r>
      <w:r w:rsidRPr="005B30A9">
        <w:t>en materia de ingreso mínimo:</w:t>
      </w:r>
    </w:p>
    <w:p w14:paraId="41816CAD" w14:textId="19015651" w:rsidR="009612CC" w:rsidRPr="005B30A9" w:rsidRDefault="009612CC" w:rsidP="009612CC">
      <w:pPr>
        <w:pStyle w:val="Bullet2G"/>
      </w:pPr>
      <w:r w:rsidRPr="005B30A9">
        <w:t>Por las que se imponía un límite de 1.500 euros por hogar a las prestaciones por ingreso mínimo, independientemente del tamaño del hogar.</w:t>
      </w:r>
    </w:p>
    <w:p w14:paraId="1D32FE7E" w14:textId="6B139400" w:rsidR="009612CC" w:rsidRPr="005B30A9" w:rsidRDefault="009612CC" w:rsidP="009612CC">
      <w:pPr>
        <w:pStyle w:val="Bullet2G"/>
      </w:pPr>
      <w:r w:rsidRPr="005B30A9">
        <w:t>Por las que se establecía un plazo de carencia en relación con las prestaciones completas por ingreso mínimo en el caso de las personas que no hubieran residido en Austria durante un mínimo de cinco de los seis últimos años.</w:t>
      </w:r>
    </w:p>
    <w:p w14:paraId="4859F2DA" w14:textId="5F3BE4B8" w:rsidR="009612CC" w:rsidRPr="005B30A9" w:rsidRDefault="009612CC" w:rsidP="009612CC">
      <w:pPr>
        <w:pStyle w:val="SingleTxtG"/>
        <w:rPr>
          <w:bCs/>
        </w:rPr>
      </w:pPr>
      <w:r w:rsidRPr="005B30A9">
        <w:t>20.</w:t>
      </w:r>
      <w:r w:rsidRPr="005B30A9">
        <w:tab/>
        <w:t xml:space="preserve">Tras la promulgación de las decisiones en el </w:t>
      </w:r>
      <w:r w:rsidR="00666E63" w:rsidRPr="00666E63">
        <w:rPr>
          <w:i/>
          <w:iCs/>
        </w:rPr>
        <w:t>B</w:t>
      </w:r>
      <w:r w:rsidRPr="00666E63">
        <w:rPr>
          <w:i/>
          <w:iCs/>
        </w:rPr>
        <w:t xml:space="preserve">oletín </w:t>
      </w:r>
      <w:r w:rsidR="00666E63" w:rsidRPr="00666E63">
        <w:rPr>
          <w:i/>
          <w:iCs/>
        </w:rPr>
        <w:t>O</w:t>
      </w:r>
      <w:r w:rsidRPr="00666E63">
        <w:rPr>
          <w:i/>
          <w:iCs/>
        </w:rPr>
        <w:t>ficial</w:t>
      </w:r>
      <w:r w:rsidRPr="005B30A9">
        <w:t xml:space="preserve"> del </w:t>
      </w:r>
      <w:r w:rsidRPr="005B30A9">
        <w:rPr>
          <w:i/>
          <w:iCs/>
        </w:rPr>
        <w:t xml:space="preserve">Land </w:t>
      </w:r>
      <w:r w:rsidRPr="005B30A9">
        <w:t>correspondiente, las disposiciones revocadas pasaron a ser inaplicables.</w:t>
      </w:r>
    </w:p>
    <w:p w14:paraId="3DC66F2F" w14:textId="06ADDDA0" w:rsidR="009612CC" w:rsidRPr="005B30A9" w:rsidRDefault="009612CC" w:rsidP="009612CC">
      <w:pPr>
        <w:pStyle w:val="Bullet1G"/>
      </w:pPr>
      <w:r w:rsidRPr="005B30A9">
        <w:t>Decisión G 164/2019, G</w:t>
      </w:r>
      <w:r w:rsidR="00666E63">
        <w:t xml:space="preserve"> </w:t>
      </w:r>
      <w:r w:rsidRPr="005B30A9">
        <w:t>171/2019, de diciembre de 2019: una disposición de la</w:t>
      </w:r>
      <w:r w:rsidR="00666E63">
        <w:t> </w:t>
      </w:r>
      <w:r w:rsidRPr="005B30A9">
        <w:t>SH</w:t>
      </w:r>
      <w:r w:rsidR="00666E63">
        <w:noBreakHyphen/>
      </w:r>
      <w:r w:rsidRPr="005B30A9">
        <w:t>GG (art</w:t>
      </w:r>
      <w:r w:rsidR="00666E63">
        <w:t>.</w:t>
      </w:r>
      <w:r w:rsidRPr="005B30A9">
        <w:t xml:space="preserve"> 5, párr</w:t>
      </w:r>
      <w:r w:rsidR="00666E63">
        <w:t>.</w:t>
      </w:r>
      <w:r w:rsidRPr="005B30A9">
        <w:t xml:space="preserve"> 2 (núm. 3)) sobre la reducción progresiva de las tasas máximas de los suplementos por hijo (que pasó a ser inaplicable el 19 de diciembre de 2019).</w:t>
      </w:r>
    </w:p>
    <w:p w14:paraId="00A43DB0" w14:textId="19917906" w:rsidR="009612CC" w:rsidRPr="005B30A9" w:rsidRDefault="009612CC" w:rsidP="009612CC">
      <w:pPr>
        <w:pStyle w:val="Bullet1G"/>
        <w:rPr>
          <w:bCs/>
        </w:rPr>
      </w:pPr>
      <w:r w:rsidRPr="005B30A9">
        <w:t>Decisión G 270-275/2022, V 223-228/2022, de marzo de 2023: partes de las disposiciones de la SH-GG (art</w:t>
      </w:r>
      <w:r w:rsidR="00666E63">
        <w:t>.</w:t>
      </w:r>
      <w:r w:rsidRPr="005B30A9">
        <w:t xml:space="preserve"> 5. </w:t>
      </w:r>
      <w:r w:rsidR="00666E63">
        <w:t>párr.</w:t>
      </w:r>
      <w:r w:rsidRPr="005B30A9">
        <w:t xml:space="preserve"> 5) sobre las prestaciones en especie obligatorias (que pasaron a ser inaplicables el 24 de abril de 2023); se determinó que partes de las disposiciones (art</w:t>
      </w:r>
      <w:r w:rsidR="00666E63">
        <w:t>.</w:t>
      </w:r>
      <w:r w:rsidRPr="005B30A9">
        <w:t xml:space="preserve"> 6) (ya modificado por el legislador) eran inconstitucionales.</w:t>
      </w:r>
    </w:p>
    <w:p w14:paraId="37DF33B9" w14:textId="77777777" w:rsidR="009612CC" w:rsidRPr="005B30A9" w:rsidRDefault="009612CC" w:rsidP="009612CC">
      <w:pPr>
        <w:pStyle w:val="SingleTxtG"/>
        <w:rPr>
          <w:bCs/>
        </w:rPr>
      </w:pPr>
      <w:r w:rsidRPr="005B30A9">
        <w:lastRenderedPageBreak/>
        <w:t>21.</w:t>
      </w:r>
      <w:r w:rsidRPr="005B30A9">
        <w:tab/>
        <w:t>Con respecto a los titulares de protección complementaria y a otras disposiciones de la SH-GG revocadas por ser inconstitucionales, véase la respuesta al párrafo 4 a).</w:t>
      </w:r>
    </w:p>
    <w:p w14:paraId="08D00F30" w14:textId="53AB8A0A" w:rsidR="009612CC" w:rsidRPr="005B30A9" w:rsidRDefault="009612CC" w:rsidP="009612CC">
      <w:pPr>
        <w:pStyle w:val="H1G"/>
      </w:pPr>
      <w:r w:rsidRPr="005B30A9">
        <w:tab/>
      </w:r>
      <w:r w:rsidRPr="005B30A9">
        <w:tab/>
        <w:t>Respuesta al párrafo 4 a) de la lista de cuestiones</w:t>
      </w:r>
    </w:p>
    <w:p w14:paraId="30E34E40" w14:textId="61E0E45E" w:rsidR="009612CC" w:rsidRPr="005B30A9" w:rsidRDefault="009612CC" w:rsidP="009612CC">
      <w:pPr>
        <w:pStyle w:val="H23G"/>
      </w:pPr>
      <w:r w:rsidRPr="005B30A9">
        <w:tab/>
      </w:r>
      <w:r w:rsidRPr="005B30A9">
        <w:tab/>
        <w:t>Repercusión de la SH-GG en los titulares de protección complementaria</w:t>
      </w:r>
    </w:p>
    <w:p w14:paraId="1B3DAE5E" w14:textId="1A8CC994" w:rsidR="009612CC" w:rsidRPr="005B30A9" w:rsidRDefault="009612CC" w:rsidP="009612CC">
      <w:pPr>
        <w:pStyle w:val="SingleTxtG"/>
        <w:rPr>
          <w:bCs/>
        </w:rPr>
      </w:pPr>
      <w:r w:rsidRPr="005B30A9">
        <w:t>22.</w:t>
      </w:r>
      <w:r w:rsidRPr="005B30A9">
        <w:tab/>
        <w:t>Los titulares de protección complementaria solo reciben prestaciones básicas de ayuda social limitadas al nivel de cuidados básicos (art</w:t>
      </w:r>
      <w:r w:rsidR="00666E63">
        <w:t>.</w:t>
      </w:r>
      <w:r w:rsidRPr="005B30A9">
        <w:t xml:space="preserve"> 4, párr</w:t>
      </w:r>
      <w:r w:rsidR="00666E63">
        <w:t>.</w:t>
      </w:r>
      <w:r w:rsidRPr="005B30A9">
        <w:t xml:space="preserve"> 1, de la SH-GG).</w:t>
      </w:r>
    </w:p>
    <w:p w14:paraId="2856F9B5" w14:textId="77777777" w:rsidR="009612CC" w:rsidRPr="005B30A9" w:rsidRDefault="009612CC" w:rsidP="009612CC">
      <w:pPr>
        <w:pStyle w:val="SingleTxtG"/>
        <w:rPr>
          <w:bCs/>
        </w:rPr>
      </w:pPr>
      <w:r w:rsidRPr="005B30A9">
        <w:t>23.</w:t>
      </w:r>
      <w:r w:rsidRPr="005B30A9">
        <w:tab/>
        <w:t xml:space="preserve">Incluso antes de la entrada en vigor de la SH-GG, en algunos </w:t>
      </w:r>
      <w:r w:rsidRPr="005B30A9">
        <w:rPr>
          <w:i/>
          <w:iCs/>
        </w:rPr>
        <w:t xml:space="preserve">Länder </w:t>
      </w:r>
      <w:r w:rsidRPr="005B30A9">
        <w:t>los titulares de protección complementaria no reunían las condiciones para percibir prestaciones por ingreso mínimo, pero percibían prestaciones a nivel de cuidados básicos (de cuantía inferior). En la decisión E 3297/2016 de 28 de junio de 2019 el Tribunal Constitucional calificó de constitucional que los titulares de protección complementaria reunieran las condiciones para percibir prestaciones a nivel de cuidados básicos, pero no por ingreso mínimo (de mayor cuantía).</w:t>
      </w:r>
    </w:p>
    <w:p w14:paraId="2BB65904" w14:textId="77777777" w:rsidR="009612CC" w:rsidRPr="005B30A9" w:rsidRDefault="009612CC" w:rsidP="009612CC">
      <w:pPr>
        <w:pStyle w:val="SingleTxtG"/>
        <w:rPr>
          <w:bCs/>
        </w:rPr>
      </w:pPr>
      <w:r w:rsidRPr="005B30A9">
        <w:t>24.</w:t>
      </w:r>
      <w:r w:rsidRPr="005B30A9">
        <w:tab/>
        <w:t xml:space="preserve">En Viena y el Tirol los titulares de protección complementaria reciben prestaciones por ingreso mínimo completas. En los otros </w:t>
      </w:r>
      <w:r w:rsidRPr="005B30A9">
        <w:rPr>
          <w:i/>
          <w:iCs/>
        </w:rPr>
        <w:t xml:space="preserve">Länder </w:t>
      </w:r>
      <w:r w:rsidRPr="005B30A9">
        <w:t>reciben prestaciones equivalentes a las correspondientes a cuidados básicos (prestaciones de ayuda social o ingreso mínimo limitadas al nivel de cuidados básicos o prestaciones en concepto de cuidados básicos).</w:t>
      </w:r>
    </w:p>
    <w:p w14:paraId="0D81B424" w14:textId="0F2DB034" w:rsidR="009612CC" w:rsidRPr="005B30A9" w:rsidRDefault="009612CC" w:rsidP="009612CC">
      <w:pPr>
        <w:pStyle w:val="H23G"/>
      </w:pPr>
      <w:r w:rsidRPr="005B30A9">
        <w:tab/>
      </w:r>
      <w:r w:rsidRPr="005B30A9">
        <w:tab/>
        <w:t>Repercusión de la SH-GG en los extranjeros</w:t>
      </w:r>
    </w:p>
    <w:p w14:paraId="43E879B5" w14:textId="281E0F4D" w:rsidR="009612CC" w:rsidRPr="005B30A9" w:rsidRDefault="009612CC" w:rsidP="009612CC">
      <w:pPr>
        <w:pStyle w:val="SingleTxtG"/>
        <w:rPr>
          <w:bCs/>
        </w:rPr>
      </w:pPr>
      <w:r w:rsidRPr="005B30A9">
        <w:t>25.</w:t>
      </w:r>
      <w:r w:rsidRPr="005B30A9">
        <w:tab/>
      </w:r>
      <w:hyperlink r:id="rId12" w:history="1">
        <w:r w:rsidRPr="0032667F">
          <w:rPr>
            <w:rStyle w:val="Hipervnculo"/>
          </w:rPr>
          <w:t>Decisión G 164/2019 de 12 de diciembre de 2019</w:t>
        </w:r>
      </w:hyperlink>
      <w:r w:rsidRPr="005B30A9">
        <w:t>: el Tribunal Constitucional revocó por discriminatoria la disposición de la SH-GG (art</w:t>
      </w:r>
      <w:r w:rsidR="0032667F">
        <w:t>.</w:t>
      </w:r>
      <w:r w:rsidRPr="005B30A9">
        <w:t xml:space="preserve"> 5, párrs</w:t>
      </w:r>
      <w:r w:rsidR="0032667F">
        <w:t>.</w:t>
      </w:r>
      <w:r w:rsidRPr="005B30A9">
        <w:t xml:space="preserve"> 6 a 9) por la que se supeditaba la percepción de prestaciones de ayuda social a la presentación de una prueba de un determinado nivel de dominio del alemán o el inglés (con lo cual pasó a ser inaplicable el</w:t>
      </w:r>
      <w:r w:rsidR="0032667F">
        <w:t> </w:t>
      </w:r>
      <w:r w:rsidRPr="005B30A9">
        <w:t>19</w:t>
      </w:r>
      <w:r w:rsidR="0032667F">
        <w:t> </w:t>
      </w:r>
      <w:r w:rsidRPr="005B30A9">
        <w:t>de diciembre de 2019).</w:t>
      </w:r>
    </w:p>
    <w:p w14:paraId="4891EA2C" w14:textId="66CD7149" w:rsidR="009612CC" w:rsidRPr="005B30A9" w:rsidRDefault="009612CC" w:rsidP="009612CC">
      <w:pPr>
        <w:pStyle w:val="H23G"/>
      </w:pPr>
      <w:r w:rsidRPr="005B30A9">
        <w:tab/>
      </w:r>
      <w:r w:rsidRPr="005B30A9">
        <w:tab/>
        <w:t>Medidas de apoyo lingüístico</w:t>
      </w:r>
    </w:p>
    <w:p w14:paraId="20D17686" w14:textId="39C4FBF5" w:rsidR="009612CC" w:rsidRPr="005B30A9" w:rsidRDefault="009612CC" w:rsidP="009612CC">
      <w:pPr>
        <w:pStyle w:val="SingleTxtG"/>
        <w:rPr>
          <w:bCs/>
        </w:rPr>
      </w:pPr>
      <w:r w:rsidRPr="005B30A9">
        <w:t>26.</w:t>
      </w:r>
      <w:r w:rsidRPr="005B30A9">
        <w:tab/>
        <w:t xml:space="preserve">Quienes tienen reconocida la condición de refugiado y los titulares de protección complementaria de 15 años o más tienen derecho a capacitación gratuita de alfabetización en el alfabeto latino y a la obtención del nivel B1 de alemán (Marco Común Europeo de Referencia para las Lenguas, artículo 4 de la </w:t>
      </w:r>
      <w:hyperlink r:id="rId13" w:history="1">
        <w:r w:rsidRPr="00260C15">
          <w:rPr>
            <w:rStyle w:val="Hipervnculo"/>
          </w:rPr>
          <w:t>Ley de Integración</w:t>
        </w:r>
      </w:hyperlink>
      <w:r w:rsidRPr="005B30A9">
        <w:t xml:space="preserve"> (</w:t>
      </w:r>
      <w:r w:rsidRPr="005B30A9">
        <w:rPr>
          <w:i/>
          <w:iCs/>
        </w:rPr>
        <w:t>Integrationsgesetz/</w:t>
      </w:r>
      <w:r w:rsidRPr="00260C15">
        <w:t>IntG</w:t>
      </w:r>
      <w:r w:rsidRPr="005B30A9">
        <w:t xml:space="preserve">), BGBl. I núm. 68/2017). Puede concederse asistencia a la integración en forma de cursos de alemán a los solicitantes de asilo que presenten grandes posibilidades de permanecer, según el artículo 68 de la </w:t>
      </w:r>
      <w:hyperlink r:id="rId14" w:history="1">
        <w:r w:rsidRPr="00260C15">
          <w:rPr>
            <w:rStyle w:val="Hipervnculo"/>
          </w:rPr>
          <w:t>Ley de Asilo</w:t>
        </w:r>
      </w:hyperlink>
      <w:r w:rsidRPr="005B30A9">
        <w:t xml:space="preserve"> </w:t>
      </w:r>
      <w:r w:rsidRPr="00260C15">
        <w:rPr>
          <w:i/>
          <w:iCs/>
        </w:rPr>
        <w:t>(Asylgesetz)</w:t>
      </w:r>
      <w:r w:rsidRPr="005B30A9">
        <w:t>, BGBl. I núm. 100/2005.</w:t>
      </w:r>
    </w:p>
    <w:p w14:paraId="1EBCB2AC" w14:textId="727FF8C6" w:rsidR="009612CC" w:rsidRPr="005B30A9" w:rsidRDefault="009612CC" w:rsidP="009612CC">
      <w:pPr>
        <w:pStyle w:val="H4G"/>
      </w:pPr>
      <w:r w:rsidRPr="005B30A9">
        <w:tab/>
      </w:r>
      <w:r w:rsidRPr="005B30A9">
        <w:tab/>
        <w:t>Medidas ilustrativas de los Länder</w:t>
      </w:r>
    </w:p>
    <w:p w14:paraId="481F289B" w14:textId="77777777" w:rsidR="009612CC" w:rsidRPr="005B30A9" w:rsidRDefault="009612CC" w:rsidP="009612CC">
      <w:pPr>
        <w:pStyle w:val="SingleTxtG"/>
        <w:rPr>
          <w:bCs/>
        </w:rPr>
      </w:pPr>
      <w:r w:rsidRPr="005B30A9">
        <w:t>27.</w:t>
      </w:r>
      <w:r w:rsidRPr="005B30A9">
        <w:tab/>
        <w:t>Salzburgo: cursos de idiomas gratuitos hasta el nivel A2.</w:t>
      </w:r>
    </w:p>
    <w:p w14:paraId="6E659E05" w14:textId="77777777" w:rsidR="009612CC" w:rsidRPr="005B30A9" w:rsidRDefault="009612CC" w:rsidP="009612CC">
      <w:pPr>
        <w:pStyle w:val="SingleTxtG"/>
        <w:rPr>
          <w:bCs/>
        </w:rPr>
      </w:pPr>
      <w:r w:rsidRPr="005B30A9">
        <w:t>28.</w:t>
      </w:r>
      <w:r w:rsidRPr="005B30A9">
        <w:tab/>
        <w:t>Vorarlberg: cursos de alfabetización e idiomas para los solicitantes de asilo y quienes tienen reconocida la condición de refugiado.</w:t>
      </w:r>
    </w:p>
    <w:p w14:paraId="4B6C0C3E" w14:textId="77777777" w:rsidR="009612CC" w:rsidRPr="005B30A9" w:rsidRDefault="009612CC" w:rsidP="009612CC">
      <w:pPr>
        <w:pStyle w:val="SingleTxtG"/>
        <w:rPr>
          <w:bCs/>
        </w:rPr>
      </w:pPr>
      <w:r w:rsidRPr="005B30A9">
        <w:t>29.</w:t>
      </w:r>
      <w:r w:rsidRPr="005B30A9">
        <w:tab/>
        <w:t xml:space="preserve">Viena: desde 2017, cursos gratuitos de alemán para los solicitantes de asilo; institución de orientación </w:t>
      </w:r>
      <w:r w:rsidRPr="005B30A9">
        <w:rPr>
          <w:i/>
          <w:iCs/>
        </w:rPr>
        <w:t>Wiener Bildungsdrehscheibe</w:t>
      </w:r>
      <w:r w:rsidRPr="005B30A9">
        <w:t>: encuestas sobre el dominio de idiomas, orientación educativa e información sobre los cursos disponibles; cursos acompañados de servicios de guardería que permiten asistir a las mujeres.</w:t>
      </w:r>
    </w:p>
    <w:p w14:paraId="0B1E8C0E" w14:textId="49A88427" w:rsidR="009612CC" w:rsidRPr="005B30A9" w:rsidRDefault="009612CC" w:rsidP="009612CC">
      <w:pPr>
        <w:pStyle w:val="H1G"/>
      </w:pPr>
      <w:r w:rsidRPr="005B30A9">
        <w:tab/>
      </w:r>
      <w:r w:rsidRPr="005B30A9">
        <w:tab/>
        <w:t>Respuesta al párrafo 4 b) de la lista de cuestiones</w:t>
      </w:r>
    </w:p>
    <w:p w14:paraId="2DEFAD49" w14:textId="60E29A17" w:rsidR="009612CC" w:rsidRPr="005B30A9" w:rsidRDefault="009612CC" w:rsidP="009612CC">
      <w:pPr>
        <w:pStyle w:val="H23G"/>
      </w:pPr>
      <w:r w:rsidRPr="005B30A9">
        <w:tab/>
      </w:r>
      <w:r w:rsidRPr="005B30A9">
        <w:tab/>
        <w:t>Prestaciones por desempleo</w:t>
      </w:r>
    </w:p>
    <w:p w14:paraId="5ED785D6" w14:textId="77777777" w:rsidR="009612CC" w:rsidRPr="005B30A9" w:rsidRDefault="009612CC" w:rsidP="009612CC">
      <w:pPr>
        <w:pStyle w:val="SingleTxtG"/>
        <w:rPr>
          <w:bCs/>
        </w:rPr>
      </w:pPr>
      <w:r w:rsidRPr="005B30A9">
        <w:t>30.</w:t>
      </w:r>
      <w:r w:rsidRPr="005B30A9">
        <w:tab/>
        <w:t xml:space="preserve">El Programa Gubernamental 2020-2024 no prevé la supresión de la asistencia por desempleo </w:t>
      </w:r>
      <w:r w:rsidRPr="00260C15">
        <w:rPr>
          <w:i/>
          <w:iCs/>
        </w:rPr>
        <w:t>(Notstandshilfe)</w:t>
      </w:r>
      <w:r w:rsidRPr="005B30A9">
        <w:t xml:space="preserve"> ni una modificación de las condiciones exigidas para percibir prestaciones por desempleo.</w:t>
      </w:r>
    </w:p>
    <w:p w14:paraId="0D36450D" w14:textId="6A4061D8" w:rsidR="009612CC" w:rsidRPr="005B30A9" w:rsidRDefault="009612CC" w:rsidP="009612CC">
      <w:pPr>
        <w:pStyle w:val="H1G"/>
      </w:pPr>
      <w:r w:rsidRPr="005B30A9">
        <w:lastRenderedPageBreak/>
        <w:tab/>
      </w:r>
      <w:r w:rsidRPr="005B30A9">
        <w:tab/>
        <w:t>Respuesta al párrafo 5 de la lista de cuestiones</w:t>
      </w:r>
    </w:p>
    <w:p w14:paraId="7603C32F" w14:textId="42F68318" w:rsidR="009612CC" w:rsidRPr="005B30A9" w:rsidRDefault="009612CC" w:rsidP="009612CC">
      <w:pPr>
        <w:pStyle w:val="H23G"/>
      </w:pPr>
      <w:r w:rsidRPr="005B30A9">
        <w:tab/>
      </w:r>
      <w:r w:rsidRPr="005B30A9">
        <w:tab/>
        <w:t>Datos estadísticos sobre violencia de género</w:t>
      </w:r>
    </w:p>
    <w:p w14:paraId="0963DC83" w14:textId="77777777" w:rsidR="009612CC" w:rsidRPr="005B30A9" w:rsidRDefault="009612CC" w:rsidP="009612CC">
      <w:pPr>
        <w:pStyle w:val="SingleTxtG"/>
        <w:rPr>
          <w:bCs/>
        </w:rPr>
      </w:pPr>
      <w:r w:rsidRPr="005B30A9">
        <w:t>31.</w:t>
      </w:r>
      <w:r w:rsidRPr="005B30A9">
        <w:tab/>
        <w:t>Véanse los cuadros 1 a 6 del anexo estadístico. Pueden consultarse otros datos en el sitio web del órgano nacional de coordinación de la protección de las mujeres contra la violencia</w:t>
      </w:r>
      <w:r w:rsidRPr="005B30A9">
        <w:rPr>
          <w:rStyle w:val="Refdenotaalpie"/>
        </w:rPr>
        <w:footnoteReference w:id="4"/>
      </w:r>
      <w:r w:rsidRPr="005B30A9">
        <w:t>.</w:t>
      </w:r>
    </w:p>
    <w:p w14:paraId="570F3992" w14:textId="35668FB9" w:rsidR="009612CC" w:rsidRPr="005B30A9" w:rsidRDefault="009612CC" w:rsidP="009612CC">
      <w:pPr>
        <w:pStyle w:val="H23G"/>
      </w:pPr>
      <w:r w:rsidRPr="005B30A9">
        <w:tab/>
      </w:r>
      <w:r w:rsidRPr="005B30A9">
        <w:tab/>
        <w:t>Prevención de los feminicidios y protección de las víctimas de violencia</w:t>
      </w:r>
    </w:p>
    <w:p w14:paraId="7E2087C7" w14:textId="5E06FB7E" w:rsidR="009612CC" w:rsidRPr="005B30A9" w:rsidRDefault="009612CC" w:rsidP="009612CC">
      <w:pPr>
        <w:pStyle w:val="H4G"/>
      </w:pPr>
      <w:r w:rsidRPr="005B30A9">
        <w:tab/>
        <w:t>1.</w:t>
      </w:r>
      <w:r w:rsidRPr="005B30A9">
        <w:tab/>
        <w:t>Legislación reciente de prevención de la violencia de género</w:t>
      </w:r>
    </w:p>
    <w:p w14:paraId="4105D328" w14:textId="5E68E092" w:rsidR="009612CC" w:rsidRPr="005B30A9" w:rsidRDefault="009612CC" w:rsidP="009612CC">
      <w:pPr>
        <w:pStyle w:val="SingleTxtG"/>
        <w:rPr>
          <w:bCs/>
        </w:rPr>
      </w:pPr>
      <w:r w:rsidRPr="005B30A9">
        <w:t>32.</w:t>
      </w:r>
      <w:r w:rsidRPr="005B30A9">
        <w:tab/>
        <w:t xml:space="preserve">La </w:t>
      </w:r>
      <w:hyperlink r:id="rId15" w:history="1">
        <w:r w:rsidRPr="005B30A9">
          <w:rPr>
            <w:rStyle w:val="Hipervnculo"/>
          </w:rPr>
          <w:t>Ley de Protección contra la Violencia de 2019</w:t>
        </w:r>
      </w:hyperlink>
      <w:r w:rsidRPr="005B30A9">
        <w:t xml:space="preserve"> </w:t>
      </w:r>
      <w:r w:rsidRPr="00502A03">
        <w:rPr>
          <w:i/>
          <w:iCs/>
        </w:rPr>
        <w:t>(Gewaltschutzgesetz)</w:t>
      </w:r>
      <w:r w:rsidRPr="005B30A9">
        <w:t>, BGBl.</w:t>
      </w:r>
      <w:r w:rsidR="00502A03">
        <w:t> </w:t>
      </w:r>
      <w:r w:rsidRPr="005B30A9">
        <w:t>I</w:t>
      </w:r>
      <w:r w:rsidR="00502A03">
        <w:t> </w:t>
      </w:r>
      <w:r w:rsidRPr="005B30A9">
        <w:t>núm. 105/2019 (en vigor en parte desde el 1 de enero de 2020), por la que se modifica un total de 25 leyes y medidas de aplicación, en particular:</w:t>
      </w:r>
    </w:p>
    <w:p w14:paraId="178274BC" w14:textId="5BEA65C9" w:rsidR="009612CC" w:rsidRPr="005B30A9" w:rsidRDefault="009612CC" w:rsidP="009612CC">
      <w:pPr>
        <w:pStyle w:val="Bullet1G"/>
        <w:rPr>
          <w:bCs/>
        </w:rPr>
      </w:pPr>
      <w:r w:rsidRPr="005B30A9">
        <w:t>Normas más estrictas en materia de derecho penal (especialmente en relación con los actos de violencia de género, por ejemplo respecto de las circunstancias agravantes, las penas, los reincidentes, la responsabilidad penal o las prohibiciones profesionales).</w:t>
      </w:r>
    </w:p>
    <w:p w14:paraId="02C5038D" w14:textId="01162422" w:rsidR="009612CC" w:rsidRPr="005B30A9" w:rsidRDefault="009612CC" w:rsidP="009612CC">
      <w:pPr>
        <w:pStyle w:val="Bullet1G"/>
        <w:rPr>
          <w:bCs/>
        </w:rPr>
      </w:pPr>
      <w:r w:rsidRPr="005B30A9">
        <w:t>Órdenes policiales de alejamiento más amplias y una nueva orden de protección (art</w:t>
      </w:r>
      <w:r w:rsidR="00502A03">
        <w:t>. </w:t>
      </w:r>
      <w:r w:rsidRPr="005B30A9">
        <w:t xml:space="preserve">38 a) de la </w:t>
      </w:r>
      <w:hyperlink r:id="rId16" w:history="1">
        <w:r w:rsidRPr="005B30A9">
          <w:rPr>
            <w:rStyle w:val="Hipervnculo"/>
          </w:rPr>
          <w:t>Ley de la Policía de Seguridad</w:t>
        </w:r>
      </w:hyperlink>
      <w:r w:rsidRPr="005B30A9">
        <w:t xml:space="preserve"> (</w:t>
      </w:r>
      <w:r w:rsidRPr="005B30A9">
        <w:rPr>
          <w:i/>
          <w:iCs/>
        </w:rPr>
        <w:t>Sicherheitspolizeigesetz/</w:t>
      </w:r>
      <w:r w:rsidRPr="00502A03">
        <w:t>SPG</w:t>
      </w:r>
      <w:r w:rsidRPr="005B30A9">
        <w:t>), BGBl.</w:t>
      </w:r>
      <w:r w:rsidR="00502A03">
        <w:t> </w:t>
      </w:r>
      <w:r w:rsidRPr="005B30A9">
        <w:t>núm. 566/1991):</w:t>
      </w:r>
    </w:p>
    <w:p w14:paraId="5B25F4FD" w14:textId="70112D9D" w:rsidR="009612CC" w:rsidRPr="005B30A9" w:rsidRDefault="009612CC" w:rsidP="009612CC">
      <w:pPr>
        <w:pStyle w:val="Bullet2G"/>
        <w:rPr>
          <w:bCs/>
        </w:rPr>
      </w:pPr>
      <w:r w:rsidRPr="005B30A9">
        <w:t>Las órdenes de alejamiento dictadas contra posibles delincuentes violentos ahora comprenden por ley una zona de 100 metros de distancia del hogar de la persona en situación de riesgo.</w:t>
      </w:r>
    </w:p>
    <w:p w14:paraId="5A3473AA" w14:textId="3C6C0667" w:rsidR="009612CC" w:rsidRPr="005B30A9" w:rsidRDefault="009612CC" w:rsidP="009612CC">
      <w:pPr>
        <w:pStyle w:val="Bullet2G"/>
        <w:rPr>
          <w:bCs/>
        </w:rPr>
      </w:pPr>
      <w:r w:rsidRPr="005B30A9">
        <w:t>Las órdenes de alejamiento incluyen ahora una orden de protección (zona de prohibición del paso) en virtud de la cual se prohíbe a los posibles delincuentes violentos acercarse en menos de 100 metros a la persona en situación de riesgo.</w:t>
      </w:r>
    </w:p>
    <w:p w14:paraId="294624DD" w14:textId="41F339A9" w:rsidR="009612CC" w:rsidRPr="005B30A9" w:rsidRDefault="009612CC" w:rsidP="009612CC">
      <w:pPr>
        <w:pStyle w:val="Bullet2G"/>
        <w:rPr>
          <w:bCs/>
        </w:rPr>
      </w:pPr>
      <w:r w:rsidRPr="005B30A9">
        <w:t>Notificación de las órdenes de alejamiento o protección a las personas que cuidan regularmente de los menores en situación de riesgo.</w:t>
      </w:r>
    </w:p>
    <w:p w14:paraId="0300FF8A" w14:textId="2701E1E2" w:rsidR="009612CC" w:rsidRPr="005B30A9" w:rsidRDefault="009612CC" w:rsidP="009612CC">
      <w:pPr>
        <w:pStyle w:val="Bullet1G"/>
        <w:rPr>
          <w:bCs/>
        </w:rPr>
      </w:pPr>
      <w:r w:rsidRPr="005B30A9">
        <w:t xml:space="preserve">Mejora de la reparación provisional concedida judicialmente con fines de protección contra la violencia y protección de la intimidad (en particular: mejoras de la coordinación en relación con los menores, en particular mediante la notificación obligatoria del tribunal de tutela o reglamentos en materia de ciberacoso y de órdenes de protección, artículo 382 b) y siguientes del </w:t>
      </w:r>
      <w:hyperlink r:id="rId17" w:history="1">
        <w:r w:rsidRPr="005B30A9">
          <w:rPr>
            <w:rStyle w:val="Hipervnculo"/>
          </w:rPr>
          <w:t>Código de Ejecución</w:t>
        </w:r>
      </w:hyperlink>
      <w:r w:rsidRPr="005B30A9">
        <w:t xml:space="preserve"> (</w:t>
      </w:r>
      <w:r w:rsidRPr="005B30A9">
        <w:rPr>
          <w:i/>
          <w:iCs/>
        </w:rPr>
        <w:t>Exekutionsordnung/</w:t>
      </w:r>
      <w:r w:rsidRPr="00D22B9F">
        <w:t>EO</w:t>
      </w:r>
      <w:r w:rsidRPr="005B30A9">
        <w:t xml:space="preserve">), </w:t>
      </w:r>
      <w:r w:rsidRPr="00D22B9F">
        <w:rPr>
          <w:i/>
          <w:iCs/>
        </w:rPr>
        <w:t>Boletín Oficial Imperial</w:t>
      </w:r>
      <w:r w:rsidRPr="005B30A9">
        <w:t xml:space="preserve"> (RGBl.) núm. 79/1896.</w:t>
      </w:r>
    </w:p>
    <w:p w14:paraId="58580F06" w14:textId="1D2FD9DB" w:rsidR="009612CC" w:rsidRPr="005B30A9" w:rsidRDefault="009612CC" w:rsidP="009612CC">
      <w:pPr>
        <w:pStyle w:val="Bullet1G"/>
        <w:rPr>
          <w:bCs/>
        </w:rPr>
      </w:pPr>
      <w:r w:rsidRPr="005B30A9">
        <w:t>Fortalecimiento de los derechos de las víctimas de violencia en las actuaciones penales mediante la ampliación del grupo de víctimas calificadas jurídicamente de especialmente vulnerables, además de la ampliación de sus derechos (incluido el derecho a servicios de interpretación durante un interrogatorio, véase la respuesta al párrafo 5.2).</w:t>
      </w:r>
    </w:p>
    <w:p w14:paraId="4545345F" w14:textId="0C595608" w:rsidR="009612CC" w:rsidRPr="005B30A9" w:rsidRDefault="009612CC" w:rsidP="009612CC">
      <w:pPr>
        <w:pStyle w:val="Bullet1G"/>
        <w:rPr>
          <w:bCs/>
        </w:rPr>
      </w:pPr>
      <w:r w:rsidRPr="005B30A9">
        <w:t>Conferencias optativas sobre casos para la policía de seguridad, que aumentan la eficiencia en la coordinación de la protección de las personas en situación de riesgo (art</w:t>
      </w:r>
      <w:r w:rsidR="00902205">
        <w:t>.</w:t>
      </w:r>
      <w:r w:rsidRPr="005B30A9">
        <w:t xml:space="preserve"> 22, párr</w:t>
      </w:r>
      <w:r w:rsidR="00902205">
        <w:t>.</w:t>
      </w:r>
      <w:r w:rsidRPr="005B30A9">
        <w:t xml:space="preserve"> 2, segunda oración, de la SPG).</w:t>
      </w:r>
    </w:p>
    <w:p w14:paraId="0AF6ED2B" w14:textId="43F112C1" w:rsidR="009612CC" w:rsidRPr="005B30A9" w:rsidRDefault="009612CC" w:rsidP="009612CC">
      <w:pPr>
        <w:pStyle w:val="Bullet1G"/>
        <w:rPr>
          <w:bCs/>
        </w:rPr>
      </w:pPr>
      <w:r w:rsidRPr="005B30A9">
        <w:t>Sesiones de orientación obligatoria de seis horas de duración sobre prevención de la violencia en un centro de orientación en la materia, dirigidas a delincuentes violentos contra los que se haya dictado una orden de alejamiento y protección (art</w:t>
      </w:r>
      <w:r w:rsidR="00902205">
        <w:t>.</w:t>
      </w:r>
      <w:r w:rsidRPr="005B30A9">
        <w:t xml:space="preserve"> 38 a), párr</w:t>
      </w:r>
      <w:r w:rsidR="00902205">
        <w:t>. </w:t>
      </w:r>
      <w:r w:rsidRPr="005B30A9">
        <w:t>8, de la SPG).</w:t>
      </w:r>
    </w:p>
    <w:p w14:paraId="3DF53721" w14:textId="77777777" w:rsidR="009612CC" w:rsidRPr="005B30A9" w:rsidRDefault="009612CC" w:rsidP="009612CC">
      <w:pPr>
        <w:pStyle w:val="Bullet1G"/>
        <w:rPr>
          <w:bCs/>
        </w:rPr>
      </w:pPr>
      <w:r w:rsidRPr="005B30A9">
        <w:t>Ampliación de uno a tres años de los períodos de almacenamiento de datos en el expediente de protección contra la violencia en los casos de violencia doméstica (artículo 58 c), párrafo 3, de la SPG).</w:t>
      </w:r>
    </w:p>
    <w:p w14:paraId="0350C2C9" w14:textId="288ECC1C" w:rsidR="009612CC" w:rsidRPr="005B30A9" w:rsidRDefault="009612CC" w:rsidP="009612CC">
      <w:pPr>
        <w:pStyle w:val="SingleTxtG"/>
        <w:rPr>
          <w:bCs/>
        </w:rPr>
      </w:pPr>
      <w:r w:rsidRPr="005B30A9">
        <w:lastRenderedPageBreak/>
        <w:t>33.</w:t>
      </w:r>
      <w:r w:rsidR="00002695">
        <w:tab/>
      </w:r>
      <w:r w:rsidRPr="005B30A9">
        <w:t xml:space="preserve">En la </w:t>
      </w:r>
      <w:hyperlink r:id="rId18" w:history="1">
        <w:r w:rsidRPr="005B30A9">
          <w:rPr>
            <w:rStyle w:val="Hipervnculo"/>
          </w:rPr>
          <w:t>Ley de Lucha contra el Odio en Internet</w:t>
        </w:r>
      </w:hyperlink>
      <w:r w:rsidRPr="005B30A9">
        <w:t xml:space="preserve"> </w:t>
      </w:r>
      <w:r w:rsidRPr="00902205">
        <w:rPr>
          <w:i/>
          <w:iCs/>
        </w:rPr>
        <w:t>(Hass-im-Netz-Bekämpfungs-Gesetz)</w:t>
      </w:r>
      <w:r w:rsidRPr="005B30A9">
        <w:t>, BGBl. I núm. 148/2020 (que entró en vigor el 1 de enero de 2021), figuran las siguientes medidas:</w:t>
      </w:r>
    </w:p>
    <w:p w14:paraId="4C4D4BAC" w14:textId="12694CE2" w:rsidR="009612CC" w:rsidRPr="005B30A9" w:rsidRDefault="009612CC" w:rsidP="009612CC">
      <w:pPr>
        <w:pStyle w:val="Bullet1G"/>
        <w:rPr>
          <w:bCs/>
        </w:rPr>
      </w:pPr>
      <w:r w:rsidRPr="005B30A9">
        <w:t xml:space="preserve">Ampliación del alcance de los delitos de “ciberacoso” y “discurso de odio” y tipificación del delito de “captación no autorizada de imágenes”, con inclusión de las fotografías tomadas desde debajo de la falda de una mujer </w:t>
      </w:r>
      <w:r w:rsidRPr="00902205">
        <w:rPr>
          <w:i/>
          <w:iCs/>
        </w:rPr>
        <w:t>(upskirting)</w:t>
      </w:r>
      <w:r w:rsidRPr="005B30A9">
        <w:t>.</w:t>
      </w:r>
    </w:p>
    <w:p w14:paraId="4C5CD73C" w14:textId="77777777" w:rsidR="009612CC" w:rsidRPr="005B30A9" w:rsidRDefault="009612CC" w:rsidP="009612CC">
      <w:pPr>
        <w:pStyle w:val="Bullet1G"/>
        <w:rPr>
          <w:bCs/>
        </w:rPr>
      </w:pPr>
      <w:r w:rsidRPr="005B30A9">
        <w:t>Fortalecimiento de los derechos de las víctimas en las actuaciones penales:</w:t>
      </w:r>
    </w:p>
    <w:p w14:paraId="20B9E9CC" w14:textId="4EAF1F2A" w:rsidR="009612CC" w:rsidRPr="005B30A9" w:rsidRDefault="009612CC" w:rsidP="009612CC">
      <w:pPr>
        <w:pStyle w:val="Bullet2G"/>
        <w:rPr>
          <w:bCs/>
        </w:rPr>
      </w:pPr>
      <w:r w:rsidRPr="005B30A9">
        <w:t>Reestructuración de la asistencia psicosocial y jurídica en los tribunales (ofrecida ahora también a los menores testigos de violencia en el círculo social</w:t>
      </w:r>
      <w:r w:rsidR="00902205">
        <w:t> </w:t>
      </w:r>
      <w:r w:rsidRPr="005B30A9">
        <w:t>inmediato y a las víctimas de delitos “típicos” de odio en Internet (art</w:t>
      </w:r>
      <w:r w:rsidR="00902205">
        <w:t>. </w:t>
      </w:r>
      <w:r w:rsidRPr="005B30A9">
        <w:t>66</w:t>
      </w:r>
      <w:r w:rsidR="00902205">
        <w:t> </w:t>
      </w:r>
      <w:r w:rsidRPr="005B30A9">
        <w:t xml:space="preserve">del </w:t>
      </w:r>
      <w:hyperlink r:id="rId19" w:history="1">
        <w:r w:rsidRPr="005B30A9">
          <w:rPr>
            <w:rStyle w:val="Hipervnculo"/>
          </w:rPr>
          <w:t>Código de Procedimiento Penal</w:t>
        </w:r>
      </w:hyperlink>
      <w:r w:rsidRPr="005B30A9">
        <w:t xml:space="preserve"> (</w:t>
      </w:r>
      <w:r w:rsidRPr="005B30A9">
        <w:rPr>
          <w:i/>
          <w:iCs/>
        </w:rPr>
        <w:t>Strafprozessordnung/</w:t>
      </w:r>
      <w:r w:rsidRPr="00902205">
        <w:t>StPO</w:t>
      </w:r>
      <w:r w:rsidRPr="005B30A9">
        <w:t>), BGBl. núm. 631/1975)).</w:t>
      </w:r>
    </w:p>
    <w:p w14:paraId="174AF826" w14:textId="16B0FE11" w:rsidR="009612CC" w:rsidRPr="005B30A9" w:rsidRDefault="009612CC" w:rsidP="009612CC">
      <w:pPr>
        <w:pStyle w:val="Bullet2G"/>
        <w:rPr>
          <w:bCs/>
        </w:rPr>
      </w:pPr>
      <w:r w:rsidRPr="005B30A9">
        <w:t>Simplificación de la identificación de los autores de delitos específicos cometidos mediante telecomunicaciones o un sistema informático.</w:t>
      </w:r>
    </w:p>
    <w:p w14:paraId="321E96C2" w14:textId="3056770D" w:rsidR="009612CC" w:rsidRPr="005B30A9" w:rsidRDefault="009612CC" w:rsidP="009612CC">
      <w:pPr>
        <w:pStyle w:val="Bullet2G"/>
        <w:rPr>
          <w:bCs/>
        </w:rPr>
      </w:pPr>
      <w:r w:rsidRPr="005B30A9">
        <w:t>Negación del reembolso de los costos de acusación privada en relación con delitos específicos cometidos mediante telecomunicaciones o un sistema informático.</w:t>
      </w:r>
    </w:p>
    <w:p w14:paraId="5A8A58DB" w14:textId="7E6070A9" w:rsidR="009612CC" w:rsidRPr="005B30A9" w:rsidRDefault="009612CC" w:rsidP="009612CC">
      <w:pPr>
        <w:pStyle w:val="Bullet1G"/>
        <w:rPr>
          <w:bCs/>
        </w:rPr>
      </w:pPr>
      <w:r w:rsidRPr="005B30A9">
        <w:t>Fortalecimiento del cumplimiento del derecho privado en relación con los derechos de las víctimas, incluida la implantación de un procedimiento abreviado rápido y poco costoso (art</w:t>
      </w:r>
      <w:r w:rsidR="00902205">
        <w:t>.</w:t>
      </w:r>
      <w:r w:rsidRPr="005B30A9">
        <w:t xml:space="preserve"> 549 del </w:t>
      </w:r>
      <w:hyperlink r:id="rId20" w:history="1">
        <w:r w:rsidRPr="005B30A9">
          <w:rPr>
            <w:rStyle w:val="Hipervnculo"/>
          </w:rPr>
          <w:t>Código de Procedimiento Civil</w:t>
        </w:r>
      </w:hyperlink>
      <w:r w:rsidRPr="005B30A9">
        <w:t xml:space="preserve"> (</w:t>
      </w:r>
      <w:r w:rsidRPr="005B30A9">
        <w:rPr>
          <w:i/>
          <w:iCs/>
        </w:rPr>
        <w:t>Zivilprozessordnung/</w:t>
      </w:r>
      <w:r w:rsidRPr="00902205">
        <w:t>ZPO</w:t>
      </w:r>
      <w:r w:rsidRPr="005B30A9">
        <w:t>), RGBl. núm. 113/1895), a efectos de:</w:t>
      </w:r>
    </w:p>
    <w:p w14:paraId="087FB53C" w14:textId="16C14065" w:rsidR="009612CC" w:rsidRPr="005B30A9" w:rsidRDefault="009612CC" w:rsidP="009612CC">
      <w:pPr>
        <w:pStyle w:val="Bullet2G"/>
        <w:rPr>
          <w:bCs/>
        </w:rPr>
      </w:pPr>
      <w:r w:rsidRPr="005B30A9">
        <w:t>Retirar de Internet el contenido que infrinja de forma sustantiva los derechos de la personalidad atentando contra la dignidad humana.</w:t>
      </w:r>
    </w:p>
    <w:p w14:paraId="265872F3" w14:textId="77777777" w:rsidR="009612CC" w:rsidRPr="005B30A9" w:rsidRDefault="009612CC" w:rsidP="009612CC">
      <w:pPr>
        <w:pStyle w:val="Bullet2G"/>
        <w:rPr>
          <w:bCs/>
        </w:rPr>
      </w:pPr>
      <w:r w:rsidRPr="005B30A9">
        <w:t>Impedir el envío de ese tipo de contenido mediante servicios de mensajería.</w:t>
      </w:r>
    </w:p>
    <w:p w14:paraId="2A3E97F0" w14:textId="0A2C6C64" w:rsidR="009612CC" w:rsidRPr="005B30A9" w:rsidRDefault="009612CC" w:rsidP="009612CC">
      <w:pPr>
        <w:pStyle w:val="SingleTxtG"/>
        <w:rPr>
          <w:bCs/>
        </w:rPr>
      </w:pPr>
      <w:r w:rsidRPr="005B30A9">
        <w:t>34.</w:t>
      </w:r>
      <w:r w:rsidRPr="005B30A9">
        <w:tab/>
        <w:t>Desde el 1 de julio de 2021 (</w:t>
      </w:r>
      <w:hyperlink r:id="rId21" w:history="1">
        <w:r w:rsidRPr="005B30A9">
          <w:rPr>
            <w:rStyle w:val="Hipervnculo"/>
          </w:rPr>
          <w:t>BGBl. I núm. 86/2021</w:t>
        </w:r>
      </w:hyperlink>
      <w:r w:rsidRPr="005B30A9">
        <w:t>), las organizaciones dedicadas a la protección de las víctimas pueden representar a personas en situación de riesgo, en particular en las solicitudes de reparación provisional relativas a la protección contra la violencia o la protección de la intimidad; deben notificarse sin demora a las instituciones encargadas del bienestar de los niños y jóvenes y al tribunal de tutela los casos en los que un menor viva en un hogar que se ve afectado por una medida de reparación provisional.</w:t>
      </w:r>
    </w:p>
    <w:p w14:paraId="3E57ACDA" w14:textId="2E1CFEA5" w:rsidR="009612CC" w:rsidRPr="005B30A9" w:rsidRDefault="009612CC" w:rsidP="009612CC">
      <w:pPr>
        <w:pStyle w:val="SingleTxtG"/>
        <w:rPr>
          <w:bCs/>
        </w:rPr>
      </w:pPr>
      <w:r w:rsidRPr="005B30A9">
        <w:t>35.</w:t>
      </w:r>
      <w:r w:rsidRPr="005B30A9">
        <w:tab/>
        <w:t>Desde el 7 de julio de 2021, a fin de vincular a las personas en situación de riesgo con el sistema de apoyo, la policía puede transmitir datos a los centros de protección contra la violencia y de asesoramiento en la materia si ello es necesario para proteger a estas personas o asesorarlas en relación con la violencia (art</w:t>
      </w:r>
      <w:r w:rsidR="00452F92">
        <w:t>.</w:t>
      </w:r>
      <w:r w:rsidRPr="005B30A9">
        <w:t xml:space="preserve"> 56, SPG, </w:t>
      </w:r>
      <w:hyperlink r:id="rId22" w:history="1">
        <w:r w:rsidRPr="005B30A9">
          <w:rPr>
            <w:rStyle w:val="Hipervnculo"/>
          </w:rPr>
          <w:t>BGBl. I núm. 124/2021</w:t>
        </w:r>
      </w:hyperlink>
      <w:r w:rsidRPr="005B30A9">
        <w:t>).</w:t>
      </w:r>
    </w:p>
    <w:p w14:paraId="448EF8CB" w14:textId="77B2F469" w:rsidR="009612CC" w:rsidRPr="005B30A9" w:rsidRDefault="009612CC" w:rsidP="009612CC">
      <w:pPr>
        <w:pStyle w:val="SingleTxtG"/>
        <w:rPr>
          <w:bCs/>
        </w:rPr>
      </w:pPr>
      <w:r w:rsidRPr="005B30A9">
        <w:t>36.</w:t>
      </w:r>
      <w:r w:rsidRPr="005B30A9">
        <w:tab/>
        <w:t>Desde el 1 de enero de 2022, cuando se dicta una orden de alejamiento y protección se impone una prohibición temporal de portar armas (art</w:t>
      </w:r>
      <w:r w:rsidR="00452F92">
        <w:t>.</w:t>
      </w:r>
      <w:r w:rsidRPr="005B30A9">
        <w:t xml:space="preserve"> 13, párr</w:t>
      </w:r>
      <w:r w:rsidR="00452F92">
        <w:t>.</w:t>
      </w:r>
      <w:r w:rsidRPr="005B30A9">
        <w:t xml:space="preserve"> 1, segunda frase, de la Ley sobre Armas </w:t>
      </w:r>
      <w:r w:rsidRPr="00452F92">
        <w:rPr>
          <w:i/>
          <w:iCs/>
        </w:rPr>
        <w:t>(Waffengesetz)</w:t>
      </w:r>
      <w:r w:rsidRPr="005B30A9">
        <w:t xml:space="preserve">, </w:t>
      </w:r>
      <w:hyperlink r:id="rId23" w:history="1">
        <w:r w:rsidRPr="005B30A9">
          <w:rPr>
            <w:rStyle w:val="Hipervnculo"/>
          </w:rPr>
          <w:t>BGBl. I núm. 211/2021</w:t>
        </w:r>
      </w:hyperlink>
      <w:r w:rsidRPr="005B30A9">
        <w:t>).</w:t>
      </w:r>
    </w:p>
    <w:p w14:paraId="3BEB562B" w14:textId="0589DA66" w:rsidR="009612CC" w:rsidRPr="005B30A9" w:rsidRDefault="009612CC" w:rsidP="009612CC">
      <w:pPr>
        <w:pStyle w:val="SingleTxtG"/>
        <w:rPr>
          <w:bCs/>
        </w:rPr>
      </w:pPr>
      <w:r w:rsidRPr="005B30A9">
        <w:t>37.</w:t>
      </w:r>
      <w:r w:rsidRPr="005B30A9">
        <w:tab/>
        <w:t>Desde el 1 de julio de 2022, los tribunales también pueden imponer sesiones de</w:t>
      </w:r>
      <w:r w:rsidR="00452F92">
        <w:t xml:space="preserve"> </w:t>
      </w:r>
      <w:r w:rsidRPr="005B30A9">
        <w:t>orientación sobre prevención de la violencia a posibles delincuentes violentos (art</w:t>
      </w:r>
      <w:r w:rsidR="00452F92">
        <w:t>.</w:t>
      </w:r>
      <w:r w:rsidR="00EE35CB" w:rsidRPr="005B30A9">
        <w:t> </w:t>
      </w:r>
      <w:r w:rsidRPr="005B30A9">
        <w:t>382 f), párr</w:t>
      </w:r>
      <w:r w:rsidR="00452F92">
        <w:t>.</w:t>
      </w:r>
      <w:r w:rsidRPr="005B30A9">
        <w:t xml:space="preserve"> 4 y ss</w:t>
      </w:r>
      <w:r w:rsidR="00452F92">
        <w:t>.</w:t>
      </w:r>
      <w:r w:rsidRPr="005B30A9">
        <w:t xml:space="preserve">, EO, </w:t>
      </w:r>
      <w:hyperlink r:id="rId24" w:history="1">
        <w:r w:rsidRPr="005B30A9">
          <w:rPr>
            <w:rStyle w:val="Hipervnculo"/>
          </w:rPr>
          <w:t>BGBl. I núm. 202/2021</w:t>
        </w:r>
      </w:hyperlink>
      <w:r w:rsidRPr="005B30A9">
        <w:t>).</w:t>
      </w:r>
    </w:p>
    <w:p w14:paraId="4E5581F7" w14:textId="018A11D7" w:rsidR="009612CC" w:rsidRPr="005B30A9" w:rsidRDefault="00A62046" w:rsidP="00A62046">
      <w:pPr>
        <w:pStyle w:val="H4G"/>
      </w:pPr>
      <w:r w:rsidRPr="005B30A9">
        <w:tab/>
      </w:r>
      <w:r w:rsidR="009612CC" w:rsidRPr="005B30A9">
        <w:t>2.</w:t>
      </w:r>
      <w:r w:rsidR="009612CC" w:rsidRPr="005B30A9">
        <w:tab/>
        <w:t>Protección especial de las víctimas de violencia en las actuaciones penales</w:t>
      </w:r>
    </w:p>
    <w:p w14:paraId="4167D279" w14:textId="77777777" w:rsidR="009612CC" w:rsidRPr="005B30A9" w:rsidRDefault="009612CC" w:rsidP="009612CC">
      <w:pPr>
        <w:pStyle w:val="SingleTxtG"/>
        <w:rPr>
          <w:bCs/>
        </w:rPr>
      </w:pPr>
      <w:r w:rsidRPr="005B30A9">
        <w:t>38.</w:t>
      </w:r>
      <w:r w:rsidRPr="005B30A9">
        <w:tab/>
        <w:t>En el artículo 66 a), párrafo 1, del StPO se considera especialmente vulnerables a las víctimas:</w:t>
      </w:r>
    </w:p>
    <w:p w14:paraId="47023B75" w14:textId="691F9090" w:rsidR="009612CC" w:rsidRPr="005B30A9" w:rsidRDefault="00EE35CB" w:rsidP="00EE35CB">
      <w:pPr>
        <w:pStyle w:val="Bullet1G"/>
        <w:rPr>
          <w:bCs/>
        </w:rPr>
      </w:pPr>
      <w:r w:rsidRPr="005B30A9">
        <w:t>C</w:t>
      </w:r>
      <w:r w:rsidR="009612CC" w:rsidRPr="005B30A9">
        <w:t>uya integridad o libre determinación sexuales haya sido violada</w:t>
      </w:r>
      <w:r w:rsidRPr="005B30A9">
        <w:t>.</w:t>
      </w:r>
    </w:p>
    <w:p w14:paraId="3BAFC6A1" w14:textId="5B56C073" w:rsidR="009612CC" w:rsidRPr="005B30A9" w:rsidRDefault="00EE35CB" w:rsidP="00EE35CB">
      <w:pPr>
        <w:pStyle w:val="Bullet1G"/>
        <w:rPr>
          <w:bCs/>
        </w:rPr>
      </w:pPr>
      <w:r w:rsidRPr="005B30A9">
        <w:t>R</w:t>
      </w:r>
      <w:r w:rsidR="009612CC" w:rsidRPr="005B30A9">
        <w:t>especto de las cuales podría dictarse con fines de protección una orden de alejamiento y protección de conformidad con el artículo 38 a) de la SPG (incluidas las víctimas que cumplan los requisitos sin que (todavía) se haya dictado una orden de ese tipo)</w:t>
      </w:r>
      <w:r w:rsidRPr="005B30A9">
        <w:t>.</w:t>
      </w:r>
    </w:p>
    <w:p w14:paraId="6163E122" w14:textId="0524C458" w:rsidR="009612CC" w:rsidRPr="005B30A9" w:rsidRDefault="00EE35CB" w:rsidP="00EE35CB">
      <w:pPr>
        <w:pStyle w:val="Bullet1G"/>
        <w:rPr>
          <w:bCs/>
        </w:rPr>
      </w:pPr>
      <w:r w:rsidRPr="005B30A9">
        <w:t>Q</w:t>
      </w:r>
      <w:r w:rsidR="009612CC" w:rsidRPr="005B30A9">
        <w:t>ue sean menores</w:t>
      </w:r>
      <w:r w:rsidRPr="005B30A9">
        <w:t>.</w:t>
      </w:r>
    </w:p>
    <w:p w14:paraId="4FC0BC9A" w14:textId="47A981BE" w:rsidR="009612CC" w:rsidRPr="005B30A9" w:rsidRDefault="00EE35CB" w:rsidP="00EE35CB">
      <w:pPr>
        <w:pStyle w:val="Bullet1G"/>
        <w:rPr>
          <w:bCs/>
        </w:rPr>
      </w:pPr>
      <w:r w:rsidRPr="005B30A9">
        <w:lastRenderedPageBreak/>
        <w:t>Q</w:t>
      </w:r>
      <w:r w:rsidR="009612CC" w:rsidRPr="005B30A9">
        <w:t>ue hayan sido calificadas de especialmente vulnerables a causa de su edad, su estado mental o de salud o el tipo y las circunstancias específicas del delito.</w:t>
      </w:r>
    </w:p>
    <w:p w14:paraId="30104553" w14:textId="05B6D663" w:rsidR="009612CC" w:rsidRPr="005B30A9" w:rsidRDefault="009612CC" w:rsidP="009612CC">
      <w:pPr>
        <w:pStyle w:val="SingleTxtG"/>
        <w:rPr>
          <w:bCs/>
        </w:rPr>
      </w:pPr>
      <w:r w:rsidRPr="005B30A9">
        <w:t>39.</w:t>
      </w:r>
      <w:r w:rsidRPr="005B30A9">
        <w:tab/>
        <w:t>En el artículo 66 a), párrafo 2, del StPO se les confieren derechos de víctima ampliados, entre ellos:</w:t>
      </w:r>
    </w:p>
    <w:p w14:paraId="7B4051C6" w14:textId="6C8119F5" w:rsidR="009612CC" w:rsidRPr="005B30A9" w:rsidRDefault="009612CC" w:rsidP="00EE35CB">
      <w:pPr>
        <w:pStyle w:val="Bullet1G"/>
        <w:rPr>
          <w:bCs/>
        </w:rPr>
      </w:pPr>
      <w:r w:rsidRPr="005B30A9">
        <w:t>Entrevistas (siempre que es posible) realizadas por una persona del mismo género en las investigaciones preliminares</w:t>
      </w:r>
      <w:r w:rsidR="00EE35CB" w:rsidRPr="005B30A9">
        <w:t>.</w:t>
      </w:r>
    </w:p>
    <w:p w14:paraId="6D8E03DA" w14:textId="6B80FE88" w:rsidR="009612CC" w:rsidRPr="005B30A9" w:rsidRDefault="009612CC" w:rsidP="00EE35CB">
      <w:pPr>
        <w:pStyle w:val="Bullet1G"/>
        <w:rPr>
          <w:bCs/>
        </w:rPr>
      </w:pPr>
      <w:r w:rsidRPr="005B30A9">
        <w:t>Servicios de interpretación (siempre que es posible) prestados por una persona del mismo género en las investigaciones preliminares o en la vista del juicio</w:t>
      </w:r>
      <w:r w:rsidR="00EE35CB" w:rsidRPr="005B30A9">
        <w:t>.</w:t>
      </w:r>
    </w:p>
    <w:p w14:paraId="7C36A3D3" w14:textId="128F850D" w:rsidR="009612CC" w:rsidRPr="005B30A9" w:rsidRDefault="009612CC" w:rsidP="00EE35CB">
      <w:pPr>
        <w:pStyle w:val="Bullet1G"/>
        <w:rPr>
          <w:bCs/>
        </w:rPr>
      </w:pPr>
      <w:r w:rsidRPr="005B30A9">
        <w:t>La posibilidad de negarse a responder a las preguntas que indaguen en el delito si la persona considera que le resulta insoportable presentar una relación de los hechos o responder a preguntas que indaguen en su ámbito privado más íntimo</w:t>
      </w:r>
      <w:r w:rsidR="00EE35CB" w:rsidRPr="005B30A9">
        <w:t>.</w:t>
      </w:r>
    </w:p>
    <w:p w14:paraId="5737C991" w14:textId="7598E221" w:rsidR="009612CC" w:rsidRPr="005B30A9" w:rsidRDefault="009612CC" w:rsidP="00EE35CB">
      <w:pPr>
        <w:pStyle w:val="Bullet1G"/>
        <w:rPr>
          <w:bCs/>
        </w:rPr>
      </w:pPr>
      <w:r w:rsidRPr="005B30A9">
        <w:t>Entrevistas respetuosas y sensibles en las investigaciones preliminares o en la vista del juicio (evitar los encuentros entre la víctima y el acusado, presentación de vídeos del examen de los testigos sin exigir una nueva declaración en la vista del juicio, a cargo, cuando proceda, de un experto certificado por el tribunal: arts</w:t>
      </w:r>
      <w:r w:rsidR="00F6125F">
        <w:t>.</w:t>
      </w:r>
      <w:r w:rsidRPr="005B30A9">
        <w:t xml:space="preserve"> 165, 250, párr</w:t>
      </w:r>
      <w:r w:rsidR="00F6125F">
        <w:t>. </w:t>
      </w:r>
      <w:r w:rsidRPr="005B30A9">
        <w:t>3, del StPO)</w:t>
      </w:r>
      <w:r w:rsidR="00EE35CB" w:rsidRPr="005B30A9">
        <w:t>.</w:t>
      </w:r>
    </w:p>
    <w:p w14:paraId="123C9985" w14:textId="6C5B493B" w:rsidR="009612CC" w:rsidRPr="005B30A9" w:rsidRDefault="009612CC" w:rsidP="00EE35CB">
      <w:pPr>
        <w:pStyle w:val="Bullet1G"/>
        <w:rPr>
          <w:bCs/>
        </w:rPr>
      </w:pPr>
      <w:r w:rsidRPr="005B30A9">
        <w:t>Celebración de la vista del juicio a puerta cerrada (art</w:t>
      </w:r>
      <w:r w:rsidR="00F6125F">
        <w:t>.</w:t>
      </w:r>
      <w:r w:rsidRPr="005B30A9">
        <w:t xml:space="preserve"> 229, párr</w:t>
      </w:r>
      <w:r w:rsidR="00F6125F">
        <w:t>.</w:t>
      </w:r>
      <w:r w:rsidRPr="005B30A9">
        <w:t xml:space="preserve"> 1, del StPO)</w:t>
      </w:r>
      <w:r w:rsidR="00EE35CB" w:rsidRPr="005B30A9">
        <w:t>.</w:t>
      </w:r>
    </w:p>
    <w:p w14:paraId="39DA2EA0" w14:textId="05153DC5" w:rsidR="009612CC" w:rsidRPr="005B30A9" w:rsidRDefault="009612CC" w:rsidP="00EE35CB">
      <w:pPr>
        <w:pStyle w:val="Bullet1G"/>
        <w:rPr>
          <w:bCs/>
        </w:rPr>
      </w:pPr>
      <w:r w:rsidRPr="005B30A9">
        <w:t xml:space="preserve">Notificación inmediata y </w:t>
      </w:r>
      <w:r w:rsidRPr="005B30A9">
        <w:rPr>
          <w:i/>
          <w:iCs/>
        </w:rPr>
        <w:t>ex officio</w:t>
      </w:r>
      <w:r w:rsidRPr="005B30A9">
        <w:t xml:space="preserve"> de la liberación o la fuga de un acusado, conforme a los artículos 172, párrafo 4, 177, párrafo 5, y 181 a) del StPO</w:t>
      </w:r>
      <w:r w:rsidR="00EE35CB" w:rsidRPr="005B30A9">
        <w:t>.</w:t>
      </w:r>
    </w:p>
    <w:p w14:paraId="023B8985" w14:textId="2C23F153" w:rsidR="009612CC" w:rsidRPr="005B30A9" w:rsidRDefault="009612CC" w:rsidP="00EE35CB">
      <w:pPr>
        <w:pStyle w:val="Bullet1G"/>
        <w:rPr>
          <w:bCs/>
        </w:rPr>
      </w:pPr>
      <w:r w:rsidRPr="005B30A9">
        <w:t>Entrevistas realizadas en presencia de una persona de confianza (art</w:t>
      </w:r>
      <w:r w:rsidR="00F6125F">
        <w:t>.</w:t>
      </w:r>
      <w:r w:rsidRPr="005B30A9">
        <w:t xml:space="preserve"> 160, párr</w:t>
      </w:r>
      <w:r w:rsidR="00F6125F">
        <w:t>.</w:t>
      </w:r>
      <w:r w:rsidRPr="005B30A9">
        <w:t xml:space="preserve"> 2, del</w:t>
      </w:r>
      <w:r w:rsidR="00F6125F">
        <w:t> </w:t>
      </w:r>
      <w:r w:rsidRPr="005B30A9">
        <w:t>StPO).</w:t>
      </w:r>
    </w:p>
    <w:p w14:paraId="41175B2E" w14:textId="77777777" w:rsidR="009612CC" w:rsidRPr="005B30A9" w:rsidRDefault="009612CC" w:rsidP="009612CC">
      <w:pPr>
        <w:pStyle w:val="SingleTxtG"/>
        <w:rPr>
          <w:bCs/>
        </w:rPr>
      </w:pPr>
      <w:r w:rsidRPr="005B30A9">
        <w:t>40.</w:t>
      </w:r>
      <w:r w:rsidRPr="005B30A9">
        <w:tab/>
        <w:t>Además, las víctimas:</w:t>
      </w:r>
    </w:p>
    <w:p w14:paraId="3811BF77" w14:textId="4DD294ED" w:rsidR="009612CC" w:rsidRPr="005B30A9" w:rsidRDefault="00F6125F" w:rsidP="00EE35CB">
      <w:pPr>
        <w:pStyle w:val="Bullet1G"/>
        <w:rPr>
          <w:bCs/>
        </w:rPr>
      </w:pPr>
      <w:r>
        <w:t>D</w:t>
      </w:r>
      <w:r w:rsidR="009612CC" w:rsidRPr="005B30A9">
        <w:t>e delitos sexuales y delitos por motivos sexuales contra la vida, la integridad física o la libertad podrán formular previa solicitud observaciones antes de que se adopte una decisión a efectos de mantener a los infractores en régimen de arresto domiciliario electrónico y recibir una notificación de que se ha concedido dicha medida (art</w:t>
      </w:r>
      <w:r>
        <w:t>. </w:t>
      </w:r>
      <w:r w:rsidR="009612CC" w:rsidRPr="005B30A9">
        <w:t>156</w:t>
      </w:r>
      <w:r>
        <w:t> </w:t>
      </w:r>
      <w:r w:rsidR="009612CC" w:rsidRPr="005B30A9">
        <w:t>d), párr</w:t>
      </w:r>
      <w:r>
        <w:t>.</w:t>
      </w:r>
      <w:r w:rsidR="009612CC" w:rsidRPr="005B30A9">
        <w:t xml:space="preserve"> 3, primera y segunda frase, de la </w:t>
      </w:r>
      <w:hyperlink r:id="rId25" w:history="1">
        <w:r w:rsidR="009612CC" w:rsidRPr="005B30A9">
          <w:rPr>
            <w:rStyle w:val="Hipervnculo"/>
          </w:rPr>
          <w:t>Ley del Sistema Penitenciario</w:t>
        </w:r>
      </w:hyperlink>
      <w:r w:rsidR="009612CC" w:rsidRPr="005B30A9">
        <w:t xml:space="preserve"> (</w:t>
      </w:r>
      <w:r w:rsidR="009612CC" w:rsidRPr="005B30A9">
        <w:rPr>
          <w:i/>
          <w:iCs/>
        </w:rPr>
        <w:t>Strafvollzugsgesetz/</w:t>
      </w:r>
      <w:r w:rsidR="009612CC" w:rsidRPr="00F6125F">
        <w:t>StVG</w:t>
      </w:r>
      <w:r w:rsidR="009612CC" w:rsidRPr="005B30A9">
        <w:t>), BGBl. núm. 144/1969)</w:t>
      </w:r>
      <w:r w:rsidR="00876109" w:rsidRPr="005B30A9">
        <w:t>.</w:t>
      </w:r>
    </w:p>
    <w:p w14:paraId="1BEB1B37" w14:textId="265F6B2A" w:rsidR="009612CC" w:rsidRPr="005B30A9" w:rsidRDefault="009612CC" w:rsidP="00EE35CB">
      <w:pPr>
        <w:pStyle w:val="Bullet1G"/>
        <w:rPr>
          <w:bCs/>
        </w:rPr>
      </w:pPr>
      <w:r w:rsidRPr="005B30A9">
        <w:t>Podrán por lo general recibir notificación, previa solicitud, de la primera salida sin vigilancia de los detenidos o de su liberación prevista o efectiva (art</w:t>
      </w:r>
      <w:r w:rsidR="0037392E">
        <w:t>.</w:t>
      </w:r>
      <w:r w:rsidRPr="005B30A9">
        <w:t xml:space="preserve"> 149, párr</w:t>
      </w:r>
      <w:r w:rsidR="0037392E">
        <w:t>.</w:t>
      </w:r>
      <w:r w:rsidRPr="005B30A9">
        <w:t xml:space="preserve"> 5, de la StVG).</w:t>
      </w:r>
    </w:p>
    <w:p w14:paraId="257FBE6F" w14:textId="0E924751" w:rsidR="009612CC" w:rsidRPr="005B30A9" w:rsidRDefault="009612CC" w:rsidP="009612CC">
      <w:pPr>
        <w:pStyle w:val="SingleTxtG"/>
        <w:rPr>
          <w:bCs/>
        </w:rPr>
      </w:pPr>
      <w:r w:rsidRPr="005B30A9">
        <w:t>41.</w:t>
      </w:r>
      <w:r w:rsidRPr="005B30A9">
        <w:tab/>
        <w:t>Las autoridades públicas o las entidades de administración pública están obligadas a hacer todo lo que puedan por proteger a las víctimas frente a posibles peligros (art</w:t>
      </w:r>
      <w:r w:rsidR="0037392E">
        <w:t>.</w:t>
      </w:r>
      <w:r w:rsidRPr="005B30A9">
        <w:t xml:space="preserve"> 78, párr</w:t>
      </w:r>
      <w:r w:rsidR="0037392E">
        <w:t>. </w:t>
      </w:r>
      <w:r w:rsidRPr="005B30A9">
        <w:t>3, del StPO)</w:t>
      </w:r>
      <w:r w:rsidR="00876109" w:rsidRPr="005B30A9">
        <w:t>.</w:t>
      </w:r>
    </w:p>
    <w:p w14:paraId="30B97DAB" w14:textId="535ECAE1" w:rsidR="009612CC" w:rsidRPr="005B30A9" w:rsidRDefault="00876109" w:rsidP="00876109">
      <w:pPr>
        <w:pStyle w:val="H4G"/>
      </w:pPr>
      <w:r w:rsidRPr="005B30A9">
        <w:tab/>
      </w:r>
      <w:r w:rsidR="009612CC" w:rsidRPr="005B30A9">
        <w:t>3.</w:t>
      </w:r>
      <w:r w:rsidR="009612CC" w:rsidRPr="005B30A9">
        <w:tab/>
        <w:t>Asistencia psicosocial y jurídica en los tribunales</w:t>
      </w:r>
    </w:p>
    <w:p w14:paraId="5716DEB0" w14:textId="593DB983" w:rsidR="009612CC" w:rsidRPr="005B30A9" w:rsidRDefault="009612CC" w:rsidP="009612CC">
      <w:pPr>
        <w:pStyle w:val="SingleTxtG"/>
        <w:rPr>
          <w:bCs/>
        </w:rPr>
      </w:pPr>
      <w:r w:rsidRPr="005B30A9">
        <w:t>42.</w:t>
      </w:r>
      <w:r w:rsidRPr="005B30A9">
        <w:tab/>
        <w:t>Previa solicitud, las siguientes personas recibirán asistencia psicosocial y jurídica gratuita en los tribunales (art</w:t>
      </w:r>
      <w:r w:rsidR="0037392E">
        <w:t>.</w:t>
      </w:r>
      <w:r w:rsidRPr="005B30A9">
        <w:t xml:space="preserve"> 66 b), párr</w:t>
      </w:r>
      <w:r w:rsidR="0037392E">
        <w:t>.</w:t>
      </w:r>
      <w:r w:rsidRPr="005B30A9">
        <w:t xml:space="preserve"> 1, del StPO):</w:t>
      </w:r>
    </w:p>
    <w:p w14:paraId="2369F06A" w14:textId="76676D64" w:rsidR="009612CC" w:rsidRPr="005B30A9" w:rsidRDefault="009612CC" w:rsidP="00876109">
      <w:pPr>
        <w:pStyle w:val="Bullet1G"/>
        <w:rPr>
          <w:bCs/>
        </w:rPr>
      </w:pPr>
      <w:r w:rsidRPr="005B30A9">
        <w:t>Las víctimas que se hayan visto expuestas a violencia o a una amenaza grave o que</w:t>
      </w:r>
      <w:r w:rsidR="0037392E">
        <w:t> </w:t>
      </w:r>
      <w:r w:rsidRPr="005B30A9">
        <w:t>hayan visto violada su integridad o libre determinación sexuales o que hayan sufrido abusos de su dependencia personal en virtud de un delito cometido intencionadamente</w:t>
      </w:r>
      <w:r w:rsidR="00876109" w:rsidRPr="005B30A9">
        <w:t>.</w:t>
      </w:r>
    </w:p>
    <w:p w14:paraId="3238CA41" w14:textId="6D45F05A" w:rsidR="009612CC" w:rsidRPr="005B30A9" w:rsidRDefault="009612CC" w:rsidP="00876109">
      <w:pPr>
        <w:pStyle w:val="Bullet1G"/>
        <w:rPr>
          <w:bCs/>
        </w:rPr>
      </w:pPr>
      <w:r w:rsidRPr="005B30A9">
        <w:t>Las víctimas de hostigamiento criminal (art</w:t>
      </w:r>
      <w:r w:rsidR="00547DB5">
        <w:t>.</w:t>
      </w:r>
      <w:r w:rsidRPr="005B30A9">
        <w:t xml:space="preserve"> 107 a) del StGB), de un hostigamiento constante cometido mediante telecomunicaciones o un sistema informático (art</w:t>
      </w:r>
      <w:r w:rsidR="00547DB5">
        <w:t>. </w:t>
      </w:r>
      <w:r w:rsidRPr="005B30A9">
        <w:t>107</w:t>
      </w:r>
      <w:r w:rsidR="00547DB5">
        <w:t> </w:t>
      </w:r>
      <w:r w:rsidRPr="005B30A9">
        <w:t>c) del StGB) y de instigación (art</w:t>
      </w:r>
      <w:r w:rsidR="00547DB5">
        <w:t>.</w:t>
      </w:r>
      <w:r w:rsidRPr="005B30A9">
        <w:t xml:space="preserve"> 283 del StGB)</w:t>
      </w:r>
      <w:r w:rsidR="00876109" w:rsidRPr="005B30A9">
        <w:t>.</w:t>
      </w:r>
    </w:p>
    <w:p w14:paraId="47B3FED9" w14:textId="77777777" w:rsidR="009612CC" w:rsidRPr="005B30A9" w:rsidRDefault="009612CC" w:rsidP="00876109">
      <w:pPr>
        <w:pStyle w:val="Bullet1G"/>
        <w:rPr>
          <w:bCs/>
        </w:rPr>
      </w:pPr>
      <w:r w:rsidRPr="005B30A9">
        <w:t>Los menores testigos de violencia en el círculo social inmediato.</w:t>
      </w:r>
    </w:p>
    <w:p w14:paraId="5F449F80" w14:textId="2F229166" w:rsidR="009612CC" w:rsidRPr="005B30A9" w:rsidRDefault="009612CC" w:rsidP="009612CC">
      <w:pPr>
        <w:pStyle w:val="SingleTxtG"/>
        <w:rPr>
          <w:bCs/>
        </w:rPr>
      </w:pPr>
      <w:r w:rsidRPr="005B30A9">
        <w:t>43.</w:t>
      </w:r>
      <w:r w:rsidRPr="005B30A9">
        <w:tab/>
        <w:t>La asistencia psicosocial en el tribunal (facilitada por organizaciones que prestan apoyo a las víctimas conforme a una obligación contractual de respetar determinadas normas en materia de asistencia en el ámbito judicial) consiste en preparar a las personas afectadas para las actuaciones y la tensión emocional conexa y acompañarlas en las entrevistas que se realicen en las investigaciones preliminares y en la vista del juicio.</w:t>
      </w:r>
    </w:p>
    <w:p w14:paraId="66A7D514" w14:textId="77777777" w:rsidR="009612CC" w:rsidRPr="005B30A9" w:rsidRDefault="009612CC" w:rsidP="009612CC">
      <w:pPr>
        <w:pStyle w:val="SingleTxtG"/>
        <w:rPr>
          <w:bCs/>
        </w:rPr>
      </w:pPr>
      <w:r w:rsidRPr="005B30A9">
        <w:lastRenderedPageBreak/>
        <w:t>44.</w:t>
      </w:r>
      <w:r w:rsidRPr="005B30A9">
        <w:tab/>
        <w:t>La asistencia jurídica en el tribunal consiste en asesoramiento y representación jurídicos de un abogado que también puede exigir indemnización por daños y perjuicios en actuaciones penales.</w:t>
      </w:r>
    </w:p>
    <w:p w14:paraId="4FA64977" w14:textId="7B998BDB" w:rsidR="009612CC" w:rsidRPr="005B30A9" w:rsidRDefault="009612CC" w:rsidP="009612CC">
      <w:pPr>
        <w:pStyle w:val="SingleTxtG"/>
        <w:rPr>
          <w:bCs/>
        </w:rPr>
      </w:pPr>
      <w:r w:rsidRPr="005B30A9">
        <w:t>45.</w:t>
      </w:r>
      <w:r w:rsidRPr="005B30A9">
        <w:tab/>
        <w:t>Las organizaciones y los abogados que prestan asistencia en los tribunales actúan de forma confidencial en defensa de los intereses de la víctima. La asistencia en los tribunales comienza incluso antes de que se denuncie un delito (por ejemplo, en el marco de la obtención de asesoramiento antes de presentar una denuncia o en caso de que una organización de protección de víctimas acompañe a la policía criminal cuando realiza una operación). A solicitud de la víctima, la asistencia psicosocial en los tribunales en el marco de actuaciones penales abarca también las actuaciones civiles presentadas contra el acusado siempre que exista un vínculo material entre estos tipos de actuaciones (art</w:t>
      </w:r>
      <w:r w:rsidR="00A02D99">
        <w:t>.</w:t>
      </w:r>
      <w:r w:rsidRPr="005B30A9">
        <w:t xml:space="preserve"> 73 b) del ZPO).</w:t>
      </w:r>
    </w:p>
    <w:p w14:paraId="395D34F8" w14:textId="77777777" w:rsidR="009612CC" w:rsidRPr="005B30A9" w:rsidRDefault="009612CC" w:rsidP="009612CC">
      <w:pPr>
        <w:pStyle w:val="SingleTxtG"/>
        <w:rPr>
          <w:bCs/>
        </w:rPr>
      </w:pPr>
      <w:r w:rsidRPr="005B30A9">
        <w:t>46.</w:t>
      </w:r>
      <w:r w:rsidRPr="005B30A9">
        <w:tab/>
        <w:t>El Ministerio Federal de Justicia (</w:t>
      </w:r>
      <w:r w:rsidRPr="005B30A9">
        <w:rPr>
          <w:i/>
          <w:iCs/>
        </w:rPr>
        <w:t>Bundesministerium für Justiz/</w:t>
      </w:r>
      <w:r w:rsidRPr="00A02D99">
        <w:t>BMJ</w:t>
      </w:r>
      <w:r w:rsidRPr="005B30A9">
        <w:t>) tiene contratadas 46 organizaciones de apoyo a las víctimas, entre ellas el Centro de Intervención para las Mujeres Víctimas de Trata*, centros de protección de la infancia, centros de protección contra la violencia, refugios para mujeres y servicios de orientación para hombres</w:t>
      </w:r>
      <w:r w:rsidRPr="005B30A9">
        <w:rPr>
          <w:rStyle w:val="Refdenotaalpie"/>
        </w:rPr>
        <w:footnoteReference w:id="5"/>
      </w:r>
      <w:r w:rsidRPr="005B30A9">
        <w:t>. El número de mujeres que reciben asistencia y los fondos destinados a prestar asistencia en los tribunales ha aumentado constantemente en los tres últimos años. Véase el cuadro 7 del anexo estadístico.</w:t>
      </w:r>
    </w:p>
    <w:p w14:paraId="47C5E6A9" w14:textId="49CE1D1C" w:rsidR="009612CC" w:rsidRPr="005B30A9" w:rsidRDefault="009612CC" w:rsidP="009612CC">
      <w:pPr>
        <w:pStyle w:val="SingleTxtG"/>
        <w:rPr>
          <w:bCs/>
        </w:rPr>
      </w:pPr>
      <w:r w:rsidRPr="005B30A9">
        <w:t>47.</w:t>
      </w:r>
      <w:r w:rsidRPr="005B30A9">
        <w:tab/>
        <w:t>La carpeta de servicios del BMJ sobre “asistencia en los tribunales” ofrece a las víctimas información sobre posibles indemnizaciones y asistencia en los tribunales y ayuda a encontrar una organización apropiada que preste ese tipo de asistencia. Está disponible en 26 idiomas en línea</w:t>
      </w:r>
      <w:r w:rsidRPr="005B30A9">
        <w:rPr>
          <w:rStyle w:val="Refdenotaalpie"/>
        </w:rPr>
        <w:footnoteReference w:id="6"/>
      </w:r>
      <w:r w:rsidRPr="005B30A9">
        <w:t xml:space="preserve"> y en formato impreso (en fiscalías públicas, tribunales, comisarías de policía y organizaciones de apoyo a las víctimas).</w:t>
      </w:r>
    </w:p>
    <w:p w14:paraId="0E2EAFB3" w14:textId="2BC5085C" w:rsidR="009612CC" w:rsidRPr="005B30A9" w:rsidRDefault="009612CC" w:rsidP="009612CC">
      <w:pPr>
        <w:pStyle w:val="SingleTxtG"/>
        <w:rPr>
          <w:bCs/>
        </w:rPr>
      </w:pPr>
      <w:r w:rsidRPr="005B30A9">
        <w:t>48.</w:t>
      </w:r>
      <w:r w:rsidRPr="005B30A9">
        <w:tab/>
        <w:t xml:space="preserve">Desde 2023 </w:t>
      </w:r>
      <w:r w:rsidRPr="005B30A9">
        <w:rPr>
          <w:i/>
          <w:iCs/>
        </w:rPr>
        <w:t>Weisser Ring</w:t>
      </w:r>
      <w:r w:rsidRPr="005B30A9">
        <w:t xml:space="preserve"> ofrece gratuitamente a las víctimas de delitos el teléfono de asistencia 0800 112 112 los días de diario (de 8.00 a 20</w:t>
      </w:r>
      <w:r w:rsidR="00785651">
        <w:t>.</w:t>
      </w:r>
      <w:r w:rsidRPr="005B30A9">
        <w:t>00 horas). Desde 1998, el teléfono de asistencia frente a la violencia contra las mujeres (0800 222 555) ofrece gratuitamente a escala nacional su servicio especializado a las mujeres víctimas de violencia, 24 horas al día y los 365 días del año.</w:t>
      </w:r>
    </w:p>
    <w:p w14:paraId="30171263" w14:textId="5D8C4A2A" w:rsidR="009612CC" w:rsidRPr="005B30A9" w:rsidRDefault="00876109" w:rsidP="00876109">
      <w:pPr>
        <w:pStyle w:val="H4G"/>
      </w:pPr>
      <w:r w:rsidRPr="005B30A9">
        <w:tab/>
      </w:r>
      <w:r w:rsidR="009612CC" w:rsidRPr="005B30A9">
        <w:t>4.</w:t>
      </w:r>
      <w:r w:rsidR="009612CC" w:rsidRPr="005B30A9">
        <w:tab/>
        <w:t>Ulteriores medidas contra la violencia de género</w:t>
      </w:r>
    </w:p>
    <w:p w14:paraId="002927D3" w14:textId="77777777" w:rsidR="009612CC" w:rsidRPr="005B30A9" w:rsidRDefault="009612CC" w:rsidP="009612CC">
      <w:pPr>
        <w:pStyle w:val="SingleTxtG"/>
        <w:rPr>
          <w:bCs/>
        </w:rPr>
      </w:pPr>
      <w:r w:rsidRPr="005B30A9">
        <w:t>49.</w:t>
      </w:r>
      <w:r w:rsidRPr="005B30A9">
        <w:tab/>
        <w:t>El 12 de mayo de 2021 el Gobierno Federal aprobó una batería de medidas contra la violencia:</w:t>
      </w:r>
    </w:p>
    <w:p w14:paraId="45E9848C" w14:textId="77777777" w:rsidR="009612CC" w:rsidRPr="005B30A9" w:rsidRDefault="009612CC" w:rsidP="00876109">
      <w:pPr>
        <w:pStyle w:val="Bullet1G"/>
        <w:rPr>
          <w:bCs/>
        </w:rPr>
      </w:pPr>
      <w:r w:rsidRPr="005B30A9">
        <w:t>Una suma adicional de 24,6 millones de euros destinados a la protección de las víctimas y la prevención de la violencia, en particular a lo siguiente:</w:t>
      </w:r>
    </w:p>
    <w:p w14:paraId="2A8EBFDC" w14:textId="34B33FC4" w:rsidR="009612CC" w:rsidRPr="005B30A9" w:rsidRDefault="009612CC" w:rsidP="00876109">
      <w:pPr>
        <w:pStyle w:val="Bullet2G"/>
        <w:rPr>
          <w:bCs/>
        </w:rPr>
      </w:pPr>
      <w:r w:rsidRPr="005B30A9">
        <w:t>Ampliación de los contratos suscritos con centros de protección contra la violencia, en particular por lo que se refiere a la cooperación y el intercambio de información con los recién establecidos centros de asesoramiento frente a la violencia; fondos adicionales por valor de 5 millones de euros destinados a organizaciones de protección contra la violencia</w:t>
      </w:r>
      <w:r w:rsidR="00876109" w:rsidRPr="005B30A9">
        <w:t>.</w:t>
      </w:r>
    </w:p>
    <w:p w14:paraId="41632A59" w14:textId="595078B1" w:rsidR="009612CC" w:rsidRPr="005B30A9" w:rsidRDefault="009612CC" w:rsidP="00876109">
      <w:pPr>
        <w:pStyle w:val="Bullet2G"/>
        <w:rPr>
          <w:bCs/>
        </w:rPr>
      </w:pPr>
      <w:r w:rsidRPr="005B30A9">
        <w:t>Ampliación del contrato suscrito con el Centro de Intervención para las Mujeres Víctimas de Trata*, que ahora también lleva a cabo trabajo social en todo el país en el ámbito digital</w:t>
      </w:r>
      <w:r w:rsidR="00876109" w:rsidRPr="005B30A9">
        <w:t>.</w:t>
      </w:r>
    </w:p>
    <w:p w14:paraId="145C607E" w14:textId="77777777" w:rsidR="009612CC" w:rsidRPr="005B30A9" w:rsidRDefault="009612CC" w:rsidP="00876109">
      <w:pPr>
        <w:pStyle w:val="Bullet2G"/>
        <w:rPr>
          <w:bCs/>
        </w:rPr>
      </w:pPr>
      <w:r w:rsidRPr="005B30A9">
        <w:t>Aumento del presupuesto de los centros de orientación para familias.</w:t>
      </w:r>
    </w:p>
    <w:p w14:paraId="36EE722E" w14:textId="77777777" w:rsidR="009612CC" w:rsidRPr="005B30A9" w:rsidRDefault="009612CC" w:rsidP="00876109">
      <w:pPr>
        <w:pStyle w:val="Bullet1G"/>
        <w:rPr>
          <w:bCs/>
        </w:rPr>
      </w:pPr>
      <w:r w:rsidRPr="005B30A9">
        <w:t>Encargo al Instituto de Investigación sobre Conflictos de un estudio sobre los feminicidios (análisis cuantitativo y cualitativo) (publicación en 2023)</w:t>
      </w:r>
      <w:r w:rsidRPr="005B30A9">
        <w:rPr>
          <w:rStyle w:val="Refdenotaalpie"/>
        </w:rPr>
        <w:footnoteReference w:id="7"/>
      </w:r>
      <w:r w:rsidRPr="005B30A9">
        <w:t>:</w:t>
      </w:r>
    </w:p>
    <w:p w14:paraId="749F0F39" w14:textId="78A38051" w:rsidR="009612CC" w:rsidRPr="005B30A9" w:rsidRDefault="009612CC" w:rsidP="00876109">
      <w:pPr>
        <w:pStyle w:val="Bullet2G"/>
        <w:rPr>
          <w:bCs/>
        </w:rPr>
      </w:pPr>
      <w:r w:rsidRPr="005B30A9">
        <w:t>Parte cuantitativa: evaluación, descripción y análisis de los datos sobre género relativos al artículo 75 del StGB (homicidio) procedentes de las estadísticas de la policía sobre delitos 2010-2020</w:t>
      </w:r>
      <w:r w:rsidR="00876109" w:rsidRPr="005B30A9">
        <w:t>.</w:t>
      </w:r>
    </w:p>
    <w:p w14:paraId="1517E69C" w14:textId="77777777" w:rsidR="009612CC" w:rsidRPr="005B30A9" w:rsidRDefault="009612CC" w:rsidP="00876109">
      <w:pPr>
        <w:pStyle w:val="Bullet2G"/>
        <w:rPr>
          <w:bCs/>
        </w:rPr>
      </w:pPr>
      <w:r w:rsidRPr="005B30A9">
        <w:lastRenderedPageBreak/>
        <w:t>Parte cualitativa: análisis científico de los expedientes de 2016 a 2020, con inclusión de la tipología de los delincuentes y de recomendaciones.</w:t>
      </w:r>
    </w:p>
    <w:p w14:paraId="50F6AD89" w14:textId="77777777" w:rsidR="009612CC" w:rsidRPr="005B30A9" w:rsidRDefault="009612CC" w:rsidP="009612CC">
      <w:pPr>
        <w:pStyle w:val="SingleTxtG"/>
        <w:rPr>
          <w:bCs/>
        </w:rPr>
      </w:pPr>
      <w:r w:rsidRPr="005B30A9">
        <w:t>50.</w:t>
      </w:r>
      <w:r w:rsidRPr="005B30A9">
        <w:tab/>
        <w:t>De 2019 a 2023 se aumentó un 33 % la financiación de los servicios de apoyo y orientación dirigidos a mujeres y niñas hasta situar el volumen total de la financiación en 8.138.700 euros. En 2023:</w:t>
      </w:r>
    </w:p>
    <w:p w14:paraId="226C49D2" w14:textId="141612FF" w:rsidR="009612CC" w:rsidRPr="005B30A9" w:rsidRDefault="009612CC" w:rsidP="00876109">
      <w:pPr>
        <w:pStyle w:val="Bullet1G"/>
        <w:rPr>
          <w:bCs/>
        </w:rPr>
      </w:pPr>
      <w:r w:rsidRPr="005B30A9">
        <w:t>57 organizaciones reconocidas que prestan servicios a las mujeres (orientación integral) y nueve dependencias de asesoramiento especializadas en violencia sexual recibieron 68.333 euros cada una (en 2019: 50.000 euros cada una)</w:t>
      </w:r>
      <w:r w:rsidR="00876109" w:rsidRPr="005B30A9">
        <w:t>.</w:t>
      </w:r>
    </w:p>
    <w:p w14:paraId="2F58CA18" w14:textId="6DFF3054" w:rsidR="009612CC" w:rsidRPr="005B30A9" w:rsidRDefault="009612CC" w:rsidP="00876109">
      <w:pPr>
        <w:pStyle w:val="Bullet1G"/>
        <w:rPr>
          <w:bCs/>
        </w:rPr>
      </w:pPr>
      <w:r w:rsidRPr="005B30A9">
        <w:t>Diez organizaciones reconocidas que prestan servicios a las mujeres recibieron 13.674</w:t>
      </w:r>
      <w:r w:rsidR="00362F2A">
        <w:t> </w:t>
      </w:r>
      <w:r w:rsidRPr="005B30A9">
        <w:t>euros cada una (en 2019: 10.000 cada una)</w:t>
      </w:r>
      <w:r w:rsidR="00876109" w:rsidRPr="005B30A9">
        <w:t>.</w:t>
      </w:r>
    </w:p>
    <w:p w14:paraId="7C4DB529" w14:textId="1DD56CF4" w:rsidR="009612CC" w:rsidRPr="005B30A9" w:rsidRDefault="009612CC" w:rsidP="00876109">
      <w:pPr>
        <w:pStyle w:val="Bullet1G"/>
        <w:rPr>
          <w:bCs/>
        </w:rPr>
      </w:pPr>
      <w:r w:rsidRPr="005B30A9">
        <w:t>Se aumentó un 33</w:t>
      </w:r>
      <w:r w:rsidR="00845925">
        <w:t> </w:t>
      </w:r>
      <w:r w:rsidRPr="005B30A9">
        <w:t>% la financiación media de otros 83 centros de asesoramiento para mujeres y niñas por un total de 2.019.616 euros.</w:t>
      </w:r>
    </w:p>
    <w:p w14:paraId="4C2BD9CF" w14:textId="77777777" w:rsidR="009612CC" w:rsidRPr="005B30A9" w:rsidRDefault="009612CC" w:rsidP="009612CC">
      <w:pPr>
        <w:pStyle w:val="SingleTxtG"/>
        <w:rPr>
          <w:bCs/>
        </w:rPr>
      </w:pPr>
      <w:r w:rsidRPr="005B30A9">
        <w:t>51.</w:t>
      </w:r>
      <w:r w:rsidRPr="005B30A9">
        <w:tab/>
        <w:t>Asimismo, en 2023 se destinó a varios proyectos u organizaciones dedicados a la protección contra la violencia y la prevención de esta (entre ellos, Women against Violence Europe, la Asociación de Refugios Autónomos para Mujeres de Austria (AÖF) o la red contra la violencia sexual sufrida por niñas, niños y adolescentes) un 33 % más de financiación en comparación con 2019.</w:t>
      </w:r>
    </w:p>
    <w:p w14:paraId="494FB40A" w14:textId="00386875" w:rsidR="009612CC" w:rsidRPr="005B30A9" w:rsidRDefault="009612CC" w:rsidP="009612CC">
      <w:pPr>
        <w:pStyle w:val="SingleTxtG"/>
        <w:rPr>
          <w:bCs/>
        </w:rPr>
      </w:pPr>
      <w:r w:rsidRPr="005B30A9">
        <w:t>52.</w:t>
      </w:r>
      <w:r w:rsidRPr="005B30A9">
        <w:tab/>
        <w:t>En 2023 se ampliaron los centros de asesoramiento de mujeres y niñas para cubrir el</w:t>
      </w:r>
      <w:r w:rsidR="0085447F">
        <w:t> </w:t>
      </w:r>
      <w:r w:rsidRPr="005B30A9">
        <w:t>100 % del territorio de Austria. Se trata a menudo del primer punto de contacto en caso de violencia, en vista de su proximidad a los domicilios (en 2022: 56.433 consultas en materia de violencia).</w:t>
      </w:r>
    </w:p>
    <w:p w14:paraId="11BAB54F" w14:textId="77777777" w:rsidR="009612CC" w:rsidRPr="005B30A9" w:rsidRDefault="009612CC" w:rsidP="009612CC">
      <w:pPr>
        <w:pStyle w:val="SingleTxtG"/>
        <w:rPr>
          <w:bCs/>
        </w:rPr>
      </w:pPr>
      <w:r w:rsidRPr="005B30A9">
        <w:t>53.</w:t>
      </w:r>
      <w:r w:rsidRPr="005B30A9">
        <w:tab/>
        <w:t xml:space="preserve">En 2023 la Federación y los </w:t>
      </w:r>
      <w:r w:rsidRPr="005B30A9">
        <w:rPr>
          <w:i/>
          <w:iCs/>
        </w:rPr>
        <w:t xml:space="preserve">Länder </w:t>
      </w:r>
      <w:r w:rsidRPr="005B30A9">
        <w:t>acordaron, de conformidad con el artículo 15 a) de la Constitución Federal, facilitar alojamiento protegido y apoyo a las mujeres afectadas por violencia y a sus hijos mediante el aporte de 12 millones de euros durante los cuatro años siguientes, especialmente a fin de aportar más alojamiento temporal (mínimo de 180 plazas adicionales para fines de 2025).</w:t>
      </w:r>
    </w:p>
    <w:p w14:paraId="42CA4ABA" w14:textId="0F0C04A8" w:rsidR="009612CC" w:rsidRPr="005B30A9" w:rsidRDefault="009612CC" w:rsidP="009612CC">
      <w:pPr>
        <w:pStyle w:val="SingleTxtG"/>
        <w:rPr>
          <w:bCs/>
        </w:rPr>
      </w:pPr>
      <w:r w:rsidRPr="005B30A9">
        <w:t>54.</w:t>
      </w:r>
      <w:r w:rsidRPr="005B30A9">
        <w:tab/>
        <w:t>Presupuesto para proyectos de protección contra la violencia mediante convocatorias para la presentación de proyectos sobre lo siguiente:</w:t>
      </w:r>
    </w:p>
    <w:p w14:paraId="65A18FCB" w14:textId="44F2C355" w:rsidR="009612CC" w:rsidRPr="005B30A9" w:rsidRDefault="009612CC" w:rsidP="00876109">
      <w:pPr>
        <w:pStyle w:val="Bullet1G"/>
        <w:rPr>
          <w:bCs/>
        </w:rPr>
      </w:pPr>
      <w:r w:rsidRPr="005B30A9">
        <w:t>Asistencia directa a los afectados por la violencia de género y prevención de esta (1,25</w:t>
      </w:r>
      <w:r w:rsidR="0085447F">
        <w:t> </w:t>
      </w:r>
      <w:r w:rsidRPr="005B30A9">
        <w:t>millones de euros, 2020-2021)</w:t>
      </w:r>
      <w:r w:rsidRPr="005B30A9">
        <w:rPr>
          <w:rStyle w:val="Refdenotaalpie"/>
        </w:rPr>
        <w:footnoteReference w:id="8"/>
      </w:r>
      <w:r w:rsidR="00876109" w:rsidRPr="005B30A9">
        <w:t>.</w:t>
      </w:r>
    </w:p>
    <w:p w14:paraId="021650DE" w14:textId="77777777" w:rsidR="009612CC" w:rsidRPr="005B30A9" w:rsidRDefault="009612CC" w:rsidP="00876109">
      <w:pPr>
        <w:pStyle w:val="Bullet1G"/>
        <w:rPr>
          <w:bCs/>
        </w:rPr>
      </w:pPr>
      <w:r w:rsidRPr="005B30A9">
        <w:t>Medidas de lucha frente a la violencia contra las mujeres y las niñas centradas en la violencia relacionada con la cultura y en la violencia sexual y medidas de protección contra las situaciones de riesgo agudo o en estas situaciones (1,6 millones de euros, 2021-2022)</w:t>
      </w:r>
      <w:r w:rsidRPr="005B30A9">
        <w:rPr>
          <w:rStyle w:val="Refdenotaalpie"/>
        </w:rPr>
        <w:footnoteReference w:id="9"/>
      </w:r>
      <w:r w:rsidRPr="005B30A9">
        <w:t>.</w:t>
      </w:r>
    </w:p>
    <w:p w14:paraId="2D28FA44" w14:textId="77777777" w:rsidR="009612CC" w:rsidRPr="005B30A9" w:rsidRDefault="009612CC" w:rsidP="009612CC">
      <w:pPr>
        <w:pStyle w:val="SingleTxtG"/>
        <w:rPr>
          <w:bCs/>
        </w:rPr>
      </w:pPr>
      <w:r w:rsidRPr="005B30A9">
        <w:t>55.</w:t>
      </w:r>
      <w:r w:rsidRPr="005B30A9">
        <w:tab/>
        <w:t>La cumbre anual sobre protección contra la violencia (celebrada desde 2020 con la cooperación de varios ministerios federales) va dirigida a crear conciencia entre la población y a poner en contacto a las organizaciones con los órganos públicos pertinentes.</w:t>
      </w:r>
    </w:p>
    <w:p w14:paraId="1815BD3A" w14:textId="671F5CEA" w:rsidR="009612CC" w:rsidRPr="005B30A9" w:rsidRDefault="009612CC" w:rsidP="009612CC">
      <w:pPr>
        <w:pStyle w:val="SingleTxtG"/>
        <w:rPr>
          <w:bCs/>
        </w:rPr>
      </w:pPr>
      <w:r w:rsidRPr="005B30A9">
        <w:t>56.</w:t>
      </w:r>
      <w:r w:rsidRPr="005B30A9">
        <w:tab/>
        <w:t>2021-2023: campaña anual en los medios de comunicación durante la campaña 16</w:t>
      </w:r>
      <w:r w:rsidR="00CA1EFE">
        <w:t> </w:t>
      </w:r>
      <w:r w:rsidRPr="005B30A9">
        <w:t>Días de Activismo contra la Violencia de Género, a fin de dar a conocer mejor el apoyo prestado a las mujeres.</w:t>
      </w:r>
    </w:p>
    <w:p w14:paraId="15091F3B" w14:textId="77777777" w:rsidR="009612CC" w:rsidRPr="005B30A9" w:rsidRDefault="009612CC" w:rsidP="009612CC">
      <w:pPr>
        <w:pStyle w:val="SingleTxtG"/>
        <w:rPr>
          <w:bCs/>
        </w:rPr>
      </w:pPr>
      <w:r w:rsidRPr="005B30A9">
        <w:t>57.</w:t>
      </w:r>
      <w:r w:rsidRPr="005B30A9">
        <w:tab/>
        <w:t>En 2019 el BMJ aprobó directrices que sirven a las fiscalías públicas para realizar investigaciones penales orientadas al enjuiciamiento de casos de violencia doméstica contra la mujer (actualizadas en dos ocasiones a raíz de la experiencia de las autoridades públicas y las organizaciones de protección de las víctimas).</w:t>
      </w:r>
    </w:p>
    <w:p w14:paraId="19FFE703" w14:textId="77777777" w:rsidR="009612CC" w:rsidRPr="005B30A9" w:rsidRDefault="009612CC" w:rsidP="009612CC">
      <w:pPr>
        <w:pStyle w:val="SingleTxtG"/>
        <w:rPr>
          <w:bCs/>
        </w:rPr>
      </w:pPr>
      <w:r w:rsidRPr="005B30A9">
        <w:t>58.</w:t>
      </w:r>
      <w:r w:rsidRPr="005B30A9">
        <w:tab/>
        <w:t xml:space="preserve">Desde 2021: intercambio anual de opiniones sobre la violencia en el círculo social inmediato entre las fiscalías públicas, los tribunales, la Oficina de la Policía Criminal Federal </w:t>
      </w:r>
      <w:r w:rsidRPr="00CA1EFE">
        <w:rPr>
          <w:i/>
          <w:iCs/>
        </w:rPr>
        <w:lastRenderedPageBreak/>
        <w:t>(Bundeskriminalamt)</w:t>
      </w:r>
      <w:r w:rsidRPr="005B30A9">
        <w:t xml:space="preserve">, el Ministerio Federal de la Mujer, organizaciones de protección de las víctimas, </w:t>
      </w:r>
      <w:r w:rsidRPr="005B30A9">
        <w:rPr>
          <w:i/>
          <w:iCs/>
        </w:rPr>
        <w:t xml:space="preserve">NEUSTART </w:t>
      </w:r>
      <w:r w:rsidRPr="005B30A9">
        <w:t>y el Colegio de Abogados de Austria, lo cual facilita la comunicación y los contactos y la determinación de las mejores prácticas.</w:t>
      </w:r>
    </w:p>
    <w:p w14:paraId="094E29FF" w14:textId="784AF4D5" w:rsidR="009612CC" w:rsidRPr="005B30A9" w:rsidRDefault="009612CC" w:rsidP="009612CC">
      <w:pPr>
        <w:pStyle w:val="SingleTxtG"/>
        <w:rPr>
          <w:bCs/>
        </w:rPr>
      </w:pPr>
      <w:r w:rsidRPr="005B30A9">
        <w:t>59.</w:t>
      </w:r>
      <w:r w:rsidRPr="005B30A9">
        <w:tab/>
        <w:t>Oficina de la Policía Criminal Federal</w:t>
      </w:r>
    </w:p>
    <w:p w14:paraId="16ADCF31" w14:textId="366A3E46" w:rsidR="009612CC" w:rsidRPr="005B30A9" w:rsidRDefault="009612CC" w:rsidP="00876109">
      <w:pPr>
        <w:pStyle w:val="Bullet1G"/>
        <w:rPr>
          <w:bCs/>
        </w:rPr>
      </w:pPr>
      <w:r w:rsidRPr="005B30A9">
        <w:t>Se trata de un grupo de trabajo contra la violencia establecido en 2022 para elaborar medidas de protección de las víctimas en cooperación con representantes de ONG y ministerios federales pertinentes</w:t>
      </w:r>
      <w:r w:rsidR="00876109" w:rsidRPr="005B30A9">
        <w:t>.</w:t>
      </w:r>
    </w:p>
    <w:p w14:paraId="24F23D14" w14:textId="76A5434B" w:rsidR="009612CC" w:rsidRPr="005B30A9" w:rsidRDefault="009612CC" w:rsidP="00876109">
      <w:pPr>
        <w:pStyle w:val="Bullet1G"/>
        <w:rPr>
          <w:bCs/>
        </w:rPr>
      </w:pPr>
      <w:r w:rsidRPr="005B30A9">
        <w:t>Celebra una reunión anual de los centros de protección contra la violencia y de</w:t>
      </w:r>
      <w:r w:rsidR="00CA1EFE">
        <w:t> </w:t>
      </w:r>
      <w:r w:rsidRPr="005B30A9">
        <w:t>asesoramiento en la materia junto con la Cancillería Federal (</w:t>
      </w:r>
      <w:r w:rsidRPr="005B30A9">
        <w:rPr>
          <w:i/>
          <w:iCs/>
        </w:rPr>
        <w:t>Bundeskanzleramt/</w:t>
      </w:r>
      <w:r w:rsidRPr="00CA1EFE">
        <w:t>BKA</w:t>
      </w:r>
      <w:r w:rsidRPr="005B30A9">
        <w:t xml:space="preserve">) y el Ministerio Federal del Interior </w:t>
      </w:r>
      <w:r w:rsidRPr="00CA1EFE">
        <w:rPr>
          <w:i/>
          <w:iCs/>
        </w:rPr>
        <w:t>(Bundesministerium für Inneres)</w:t>
      </w:r>
      <w:r w:rsidR="00876109" w:rsidRPr="005B30A9">
        <w:t>.</w:t>
      </w:r>
    </w:p>
    <w:p w14:paraId="7C1DFD88" w14:textId="77777777" w:rsidR="009612CC" w:rsidRPr="005B30A9" w:rsidRDefault="009612CC" w:rsidP="00876109">
      <w:pPr>
        <w:pStyle w:val="Bullet1G"/>
        <w:rPr>
          <w:bCs/>
        </w:rPr>
      </w:pPr>
      <w:r w:rsidRPr="005B30A9">
        <w:t>Cuenta con un panel de expertos en protección contra la violencia que garantiza la uniformidad de las normas de calidad en todo el país.</w:t>
      </w:r>
    </w:p>
    <w:p w14:paraId="25943F5F" w14:textId="77777777" w:rsidR="009612CC" w:rsidRPr="005B30A9" w:rsidRDefault="009612CC" w:rsidP="009612CC">
      <w:pPr>
        <w:pStyle w:val="SingleTxtG"/>
        <w:rPr>
          <w:bCs/>
        </w:rPr>
      </w:pPr>
      <w:r w:rsidRPr="005B30A9">
        <w:t>60.</w:t>
      </w:r>
      <w:r w:rsidRPr="005B30A9">
        <w:tab/>
        <w:t>Varias organizaciones de apoyo a las víctimas facilitan alojamiento y refugios de emergencia; los refugios para mujeres ofrecen un espacio seguro a las mujeres que corren peligro de violencia inmediato. Los servicios de orientación prestados en los refugios para mujeres y, en parte, el alojamiento de emergencia, con inclusión de los servicios prestados a las mujeres y niñas víctimas de matrimonios forzados, están cofinanciados.</w:t>
      </w:r>
    </w:p>
    <w:p w14:paraId="434FE7D1" w14:textId="40C0838E" w:rsidR="009612CC" w:rsidRPr="005B30A9" w:rsidRDefault="009612CC" w:rsidP="009612CC">
      <w:pPr>
        <w:pStyle w:val="SingleTxtG"/>
        <w:rPr>
          <w:bCs/>
        </w:rPr>
      </w:pPr>
      <w:r w:rsidRPr="005B30A9">
        <w:t>61.</w:t>
      </w:r>
      <w:r w:rsidR="00A56E0C">
        <w:tab/>
      </w:r>
      <w:r w:rsidRPr="005B30A9">
        <w:t>Para mejorar la protección contra la violencia en la esfera de la atención sanitaria, el Ministerio Federal de Asuntos Sociales, Sanidad, Asistencia y Protección de los Consumidores (</w:t>
      </w:r>
      <w:r w:rsidRPr="005B30A9">
        <w:rPr>
          <w:i/>
          <w:iCs/>
        </w:rPr>
        <w:t>Bundesministerium für Soziales, Gesundheit, Pflege und Konsumentenschutz/</w:t>
      </w:r>
      <w:r w:rsidRPr="00C57EED">
        <w:t>BMSGPK</w:t>
      </w:r>
      <w:r w:rsidRPr="005B30A9">
        <w:t>) ha puesto en marcha un proyecto que comprende la elaboración de normas de protección contra la violencia a escala nacional. A ese respecto, ocupan un lugar central los grupos que se dedican a la protección contra la violencia. Los hospitales están obligados por ley a tener en funcionamiento esos grupos (tasa de funcionamiento del 91 % en 2022) desde 2004 (grupos de protección de la infancia) y 2011 (grupos de protección de las víctimas).</w:t>
      </w:r>
    </w:p>
    <w:p w14:paraId="6B7D21A1" w14:textId="222A7200" w:rsidR="009612CC" w:rsidRPr="005B30A9" w:rsidRDefault="009612CC" w:rsidP="009612CC">
      <w:pPr>
        <w:pStyle w:val="SingleTxtG"/>
        <w:rPr>
          <w:bCs/>
        </w:rPr>
      </w:pPr>
      <w:r w:rsidRPr="005B30A9">
        <w:t>62.</w:t>
      </w:r>
      <w:r w:rsidRPr="005B30A9">
        <w:tab/>
        <w:t>Por lo que se refiere a las familias y las parejas, unos 400 centros de orientación para familias conforman los pilares del apoyo psicosocial y la prevención. Equipos interdisciplinarios prestan asesoramiento gratuito y anónimo en todo el país (2022: 469.000 consultas). De 2021 a 2023 la financiación aumentó de 9,5 millones a 22,1 millones de euros (aumento del 75 % en comparación con 2020).</w:t>
      </w:r>
    </w:p>
    <w:p w14:paraId="3A7FFC20" w14:textId="481E7D01" w:rsidR="009612CC" w:rsidRPr="005B30A9" w:rsidRDefault="009612CC" w:rsidP="009612CC">
      <w:pPr>
        <w:pStyle w:val="SingleTxtG"/>
        <w:rPr>
          <w:bCs/>
        </w:rPr>
      </w:pPr>
      <w:r w:rsidRPr="005B30A9">
        <w:t>63.</w:t>
      </w:r>
      <w:r w:rsidRPr="005B30A9">
        <w:tab/>
        <w:t xml:space="preserve">El centro de asesoramiento </w:t>
      </w:r>
      <w:r w:rsidRPr="005B30A9">
        <w:rPr>
          <w:i/>
          <w:iCs/>
        </w:rPr>
        <w:t>#GegenHassimNetz</w:t>
      </w:r>
      <w:r w:rsidRPr="005B30A9">
        <w:t xml:space="preserve"> presta apoyo a las víctimas y testigos de distintas formas de violencia verbal y psicológica en Internet</w:t>
      </w:r>
      <w:r w:rsidRPr="005B30A9">
        <w:rPr>
          <w:rStyle w:val="Refdenotaalpie"/>
        </w:rPr>
        <w:footnoteReference w:id="10"/>
      </w:r>
      <w:r w:rsidRPr="005B30A9">
        <w:t>. Financiación: 300.000</w:t>
      </w:r>
      <w:r w:rsidR="004B4B7F">
        <w:t> </w:t>
      </w:r>
      <w:r w:rsidRPr="005B30A9">
        <w:t>euros al año desde 2020; en 2023, 330,000 euros.</w:t>
      </w:r>
    </w:p>
    <w:p w14:paraId="5AF81AFC" w14:textId="77777777" w:rsidR="009612CC" w:rsidRPr="005B30A9" w:rsidRDefault="009612CC" w:rsidP="009612CC">
      <w:pPr>
        <w:pStyle w:val="SingleTxtG"/>
        <w:rPr>
          <w:bCs/>
        </w:rPr>
      </w:pPr>
      <w:r w:rsidRPr="005B30A9">
        <w:t>64.</w:t>
      </w:r>
      <w:r w:rsidRPr="005B30A9">
        <w:tab/>
        <w:t>La BKA informa pormenorizadamente en línea sobre el apoyo prestado en los casos de violencia (desde 2023)</w:t>
      </w:r>
      <w:r w:rsidRPr="005B30A9">
        <w:rPr>
          <w:rStyle w:val="Refdenotaalpie"/>
        </w:rPr>
        <w:footnoteReference w:id="11"/>
      </w:r>
      <w:r w:rsidRPr="005B30A9">
        <w:t>.</w:t>
      </w:r>
    </w:p>
    <w:p w14:paraId="7B301AB2" w14:textId="77777777" w:rsidR="009612CC" w:rsidRPr="005B30A9" w:rsidRDefault="009612CC" w:rsidP="009612CC">
      <w:pPr>
        <w:pStyle w:val="SingleTxtG"/>
        <w:rPr>
          <w:bCs/>
        </w:rPr>
      </w:pPr>
      <w:r w:rsidRPr="005B30A9">
        <w:t>65.</w:t>
      </w:r>
      <w:r w:rsidRPr="005B30A9">
        <w:tab/>
        <w:t>La información básica destinada a las escuelas por el Ministerio Federal de Educación, Ciencia e Investigación (</w:t>
      </w:r>
      <w:r w:rsidRPr="005B30A9">
        <w:rPr>
          <w:i/>
          <w:iCs/>
        </w:rPr>
        <w:t>Bundesministerium für Bildung, Wissenschaft und Forschung/</w:t>
      </w:r>
      <w:r w:rsidRPr="00E8050D">
        <w:t>BMBWF</w:t>
      </w:r>
      <w:r w:rsidRPr="005B30A9">
        <w:t>) en relación con la violencia por motivos de honor crea conciencia sobre este tipo de violencia de género que también puede manifestarse en las escuelas y describe los desafíos que supone abordarla en el entorno escolar. Se dispone de seminarios web al respecto dirigidos a las distintas personas que trabajan en la escuela.</w:t>
      </w:r>
    </w:p>
    <w:p w14:paraId="7F7D271B" w14:textId="77777777" w:rsidR="009612CC" w:rsidRPr="005B30A9" w:rsidRDefault="009612CC" w:rsidP="009612CC">
      <w:pPr>
        <w:pStyle w:val="SingleTxtG"/>
        <w:rPr>
          <w:bCs/>
        </w:rPr>
      </w:pPr>
      <w:r w:rsidRPr="005B30A9">
        <w:t>66.</w:t>
      </w:r>
      <w:r w:rsidRPr="005B30A9">
        <w:tab/>
        <w:t>El proyecto PERSPEKTIVE:ARBEIT, puesto en marcha en 2015, tiene como fin el empoderamiento financiero y social de las mujeres víctimas de violencia mediante su integración en el mercado de trabajo, el perfeccionamiento profesional y la formación profesional.</w:t>
      </w:r>
    </w:p>
    <w:p w14:paraId="7F522E2A" w14:textId="4C5175FB" w:rsidR="009612CC" w:rsidRPr="005B30A9" w:rsidRDefault="009612CC" w:rsidP="009612CC">
      <w:pPr>
        <w:pStyle w:val="SingleTxtG"/>
        <w:rPr>
          <w:bCs/>
        </w:rPr>
      </w:pPr>
      <w:r w:rsidRPr="005B30A9">
        <w:t>67.</w:t>
      </w:r>
      <w:r w:rsidRPr="005B30A9">
        <w:tab/>
        <w:t xml:space="preserve">El Centro BAKHTI para el empoderamiento de las niñas y mujeres que son víctimas de violencia, fundado en 2023, es un proyecto piloto de carácter activo basado en la </w:t>
      </w:r>
      <w:r w:rsidRPr="005B30A9">
        <w:lastRenderedPageBreak/>
        <w:t>divulgación de la Asociación de Refugios Autónomos para Mujeres de Austria (AÖF) y del Centro de Protección contra la Violencia de Viena que se centra especialmente en las mujeres y niñas refugiadas y migrantes, aunque también se ocupa de los niños y jóvenes.</w:t>
      </w:r>
    </w:p>
    <w:p w14:paraId="0EC20F1A" w14:textId="6C280BA7" w:rsidR="009612CC" w:rsidRPr="005B30A9" w:rsidRDefault="009612CC" w:rsidP="009612CC">
      <w:pPr>
        <w:pStyle w:val="SingleTxtG"/>
        <w:rPr>
          <w:bCs/>
        </w:rPr>
      </w:pPr>
      <w:r w:rsidRPr="005B30A9">
        <w:t>68.</w:t>
      </w:r>
      <w:r w:rsidRPr="005B30A9">
        <w:tab/>
        <w:t xml:space="preserve">Se promueve mediante enfoques innovadores la valentía cívica en casos de violencia doméstica (con inclusión de </w:t>
      </w:r>
      <w:r w:rsidRPr="005B30A9">
        <w:rPr>
          <w:i/>
          <w:iCs/>
        </w:rPr>
        <w:t>“StoP”</w:t>
      </w:r>
      <w:r w:rsidR="00D63EE0">
        <w:rPr>
          <w:i/>
          <w:iCs/>
        </w:rPr>
        <w:t xml:space="preserve"> </w:t>
      </w:r>
      <w:r w:rsidRPr="005B30A9">
        <w:rPr>
          <w:i/>
          <w:iCs/>
        </w:rPr>
        <w:t>– Stadtteile ohne Partnergewalt</w:t>
      </w:r>
      <w:r w:rsidRPr="005B30A9">
        <w:t xml:space="preserve">); se emprenden nuevas medidas de prevención dirigidas a hombres y niños, entre ellas la línea directa </w:t>
      </w:r>
      <w:r w:rsidRPr="00D63EE0">
        <w:rPr>
          <w:i/>
          <w:iCs/>
        </w:rPr>
        <w:t>“Männerinfo”</w:t>
      </w:r>
      <w:r w:rsidRPr="005B30A9">
        <w:t xml:space="preserve">, la ampliación de los servicios de orientación para hombres con fines de prevención de la violencia, talleres para niños que tienen en cuenta la dimensión de género y la campaña de información </w:t>
      </w:r>
      <w:r w:rsidRPr="00D63EE0">
        <w:rPr>
          <w:i/>
          <w:iCs/>
        </w:rPr>
        <w:t>“Mann spricht’s an”</w:t>
      </w:r>
      <w:r w:rsidRPr="005B30A9">
        <w:rPr>
          <w:rStyle w:val="Refdenotaalpie"/>
        </w:rPr>
        <w:footnoteReference w:id="12"/>
      </w:r>
      <w:r w:rsidRPr="005B30A9">
        <w:t>.</w:t>
      </w:r>
    </w:p>
    <w:p w14:paraId="45CA0614" w14:textId="49F2B4D7" w:rsidR="009612CC" w:rsidRPr="005B30A9" w:rsidRDefault="009612CC" w:rsidP="00876109">
      <w:pPr>
        <w:pStyle w:val="H4G"/>
      </w:pPr>
      <w:r w:rsidRPr="005B30A9">
        <w:tab/>
      </w:r>
      <w:r w:rsidR="00876109" w:rsidRPr="005B30A9">
        <w:tab/>
      </w:r>
      <w:r w:rsidRPr="005B30A9">
        <w:t>Medidas ilustrativas de los Länder</w:t>
      </w:r>
    </w:p>
    <w:p w14:paraId="7257F87E" w14:textId="0A9AE97E" w:rsidR="009612CC" w:rsidRPr="005B30A9" w:rsidRDefault="009612CC" w:rsidP="00876109">
      <w:pPr>
        <w:pStyle w:val="Bullet1G"/>
        <w:rPr>
          <w:bCs/>
        </w:rPr>
      </w:pPr>
      <w:r w:rsidRPr="005B30A9">
        <w:t>Viena: 5 refugios para mujeres (225 lugares de alta seguridad y alojamiento temporal); línea directa de emergencia para mujeres que ofrece 24 horas al día asesoramiento y apoyo en materia jurídica, psicosocial y social por teléfono, en persona y presencialmente (2022; 12.416 consultas; 2018: 8.583); financiación de asociaciones que asesoran a las mujeres víctimas de violencia; medidas regulares de capacitación y sensibilización</w:t>
      </w:r>
      <w:r w:rsidR="00876109" w:rsidRPr="005B30A9">
        <w:t>.</w:t>
      </w:r>
    </w:p>
    <w:p w14:paraId="33E4E1B3" w14:textId="310B1BA0" w:rsidR="009612CC" w:rsidRPr="005B30A9" w:rsidRDefault="009612CC" w:rsidP="00876109">
      <w:pPr>
        <w:pStyle w:val="Bullet1G"/>
        <w:rPr>
          <w:bCs/>
        </w:rPr>
      </w:pPr>
      <w:r w:rsidRPr="005B30A9">
        <w:t>Estiria: implantación de grupos de protección de las víctimas, capacitación y sensibilización sobre el Convenio de Estambul en los hospitales</w:t>
      </w:r>
      <w:r w:rsidR="00876109" w:rsidRPr="005B30A9">
        <w:t>.</w:t>
      </w:r>
    </w:p>
    <w:p w14:paraId="6EB36777" w14:textId="74C35877" w:rsidR="009612CC" w:rsidRPr="005B30A9" w:rsidRDefault="009612CC" w:rsidP="00876109">
      <w:pPr>
        <w:pStyle w:val="Bullet1G"/>
        <w:rPr>
          <w:bCs/>
        </w:rPr>
      </w:pPr>
      <w:r w:rsidRPr="005B30A9">
        <w:t xml:space="preserve">Burgenland: plan de acción contra la violencia; financiación de la asociación </w:t>
      </w:r>
      <w:r w:rsidRPr="0083657C">
        <w:rPr>
          <w:i/>
          <w:iCs/>
        </w:rPr>
        <w:t>“</w:t>
      </w:r>
      <w:r w:rsidRPr="005B30A9">
        <w:t>M</w:t>
      </w:r>
      <w:r w:rsidRPr="005B30A9">
        <w:rPr>
          <w:i/>
          <w:iCs/>
        </w:rPr>
        <w:t>änner</w:t>
      </w:r>
      <w:r w:rsidR="0083657C">
        <w:rPr>
          <w:i/>
          <w:iCs/>
        </w:rPr>
        <w:t xml:space="preserve"> –</w:t>
      </w:r>
      <w:r w:rsidRPr="005B30A9">
        <w:rPr>
          <w:i/>
          <w:iCs/>
        </w:rPr>
        <w:t xml:space="preserve"> und Geschlechterthemen”</w:t>
      </w:r>
      <w:r w:rsidRPr="005B30A9">
        <w:t>; grupo de trabajo para la acción conjunta contra la violencia</w:t>
      </w:r>
      <w:r w:rsidR="00876109" w:rsidRPr="005B30A9">
        <w:t>.</w:t>
      </w:r>
    </w:p>
    <w:p w14:paraId="73953F75" w14:textId="77777777" w:rsidR="009612CC" w:rsidRPr="005B30A9" w:rsidRDefault="009612CC" w:rsidP="00876109">
      <w:pPr>
        <w:pStyle w:val="Bullet1G"/>
        <w:rPr>
          <w:bCs/>
        </w:rPr>
      </w:pPr>
      <w:r w:rsidRPr="005B30A9">
        <w:t>Carintia: financiación del servicio de asesoramiento de hombres de Caritas; servicio de protección de las víctimas de violencia sexual; centro de competencia en materia de género; sensibilización sobre el ciberacoso dirigida a los maestros, los directores de escuela y los progenitores; conexión de los centros de asesoramiento de mujeres con una línea directa que funciona 24 horas al día.</w:t>
      </w:r>
    </w:p>
    <w:p w14:paraId="3FB055D4" w14:textId="78BB343E" w:rsidR="009612CC" w:rsidRPr="005B30A9" w:rsidRDefault="009612CC" w:rsidP="00876109">
      <w:pPr>
        <w:pStyle w:val="H23G"/>
      </w:pPr>
      <w:r w:rsidRPr="005B30A9">
        <w:tab/>
      </w:r>
      <w:r w:rsidR="00876109" w:rsidRPr="005B30A9">
        <w:tab/>
      </w:r>
      <w:r w:rsidRPr="005B30A9">
        <w:t>Financiación de las organizaciones de mujeres</w:t>
      </w:r>
    </w:p>
    <w:p w14:paraId="6AD97643" w14:textId="77777777" w:rsidR="009612CC" w:rsidRPr="005B30A9" w:rsidRDefault="009612CC" w:rsidP="009612CC">
      <w:pPr>
        <w:pStyle w:val="SingleTxtG"/>
        <w:rPr>
          <w:bCs/>
        </w:rPr>
      </w:pPr>
      <w:r w:rsidRPr="005B30A9">
        <w:t>69.</w:t>
      </w:r>
      <w:r w:rsidRPr="005B30A9">
        <w:tab/>
        <w:t>El presupuesto de la Dirección General para las Mujeres y la Igualdad se ha doblado con creces entre 2018 y 2023 (2018: 10,2 millones de euros; 2023: 24,3 millones) y se destina principalmente a combatir la violencia contra las mujeres y las niñas. Véase la respuesta al párrafo 5.4.</w:t>
      </w:r>
    </w:p>
    <w:p w14:paraId="339AD6C9" w14:textId="2CFCC348" w:rsidR="009612CC" w:rsidRPr="005B30A9" w:rsidRDefault="00876109" w:rsidP="00876109">
      <w:pPr>
        <w:pStyle w:val="HChG"/>
      </w:pPr>
      <w:r w:rsidRPr="005B30A9">
        <w:tab/>
      </w:r>
      <w:r w:rsidR="009612CC" w:rsidRPr="005B30A9">
        <w:t>II.</w:t>
      </w:r>
      <w:r w:rsidR="009612CC" w:rsidRPr="005B30A9">
        <w:tab/>
        <w:t>Aplicación en curso del Pacto</w:t>
      </w:r>
    </w:p>
    <w:p w14:paraId="562EACF8" w14:textId="10AE8F55" w:rsidR="009612CC" w:rsidRPr="005B30A9" w:rsidRDefault="00876109" w:rsidP="00876109">
      <w:pPr>
        <w:pStyle w:val="H1G"/>
      </w:pPr>
      <w:r w:rsidRPr="005B30A9">
        <w:tab/>
      </w:r>
      <w:r w:rsidR="009612CC" w:rsidRPr="005B30A9">
        <w:tab/>
        <w:t>Respuesta al párrafo 6 de la lista de cuestiones</w:t>
      </w:r>
    </w:p>
    <w:p w14:paraId="57AE78AA" w14:textId="13BD6DA0" w:rsidR="009612CC" w:rsidRPr="005B30A9" w:rsidRDefault="009612CC" w:rsidP="00876109">
      <w:pPr>
        <w:pStyle w:val="H23G"/>
      </w:pPr>
      <w:r w:rsidRPr="005B30A9">
        <w:tab/>
      </w:r>
      <w:r w:rsidR="00876109" w:rsidRPr="005B30A9">
        <w:tab/>
      </w:r>
      <w:r w:rsidRPr="005B30A9">
        <w:t>Aplicación del Pacto</w:t>
      </w:r>
    </w:p>
    <w:p w14:paraId="5B57F20A" w14:textId="77777777" w:rsidR="009612CC" w:rsidRPr="005B30A9" w:rsidRDefault="009612CC" w:rsidP="009612CC">
      <w:pPr>
        <w:pStyle w:val="SingleTxtG"/>
        <w:rPr>
          <w:bCs/>
        </w:rPr>
      </w:pPr>
      <w:r w:rsidRPr="005B30A9">
        <w:t>70.</w:t>
      </w:r>
      <w:r w:rsidRPr="005B30A9">
        <w:tab/>
        <w:t>El Pacto no es de aplicación directa en Austria, pero, en su mayor parte, los derechos previstos en el Pacto se han incorporado en el derecho interno. Se examina constantemente la compatibilidad del derecho interno con el Pacto y se ajusta el derecho interno según proceda.</w:t>
      </w:r>
    </w:p>
    <w:p w14:paraId="57ED5321" w14:textId="5BFE6A44" w:rsidR="009612CC" w:rsidRPr="005B30A9" w:rsidRDefault="00876109" w:rsidP="00876109">
      <w:pPr>
        <w:pStyle w:val="H23G"/>
      </w:pPr>
      <w:r w:rsidRPr="005B30A9">
        <w:tab/>
      </w:r>
      <w:r w:rsidR="009612CC" w:rsidRPr="005B30A9">
        <w:tab/>
        <w:t>Efectividad práctica del Pacto</w:t>
      </w:r>
    </w:p>
    <w:p w14:paraId="469B0F9A" w14:textId="77777777" w:rsidR="009612CC" w:rsidRPr="005B30A9" w:rsidRDefault="009612CC" w:rsidP="009612CC">
      <w:pPr>
        <w:pStyle w:val="SingleTxtG"/>
        <w:rPr>
          <w:bCs/>
        </w:rPr>
      </w:pPr>
      <w:r w:rsidRPr="005B30A9">
        <w:t>71.</w:t>
      </w:r>
      <w:r w:rsidRPr="005B30A9">
        <w:tab/>
        <w:t xml:space="preserve">Los derechos humanos y fundamentales forman parte de la capacitación básica y permanente de los jueces y los fiscales y de los exámenes para ser juez. Desde 2008 los jueces en prácticas deben cursar un programa sobre derechos fundamentales organizado por los tribunales regionales superiores </w:t>
      </w:r>
      <w:r w:rsidRPr="008E418A">
        <w:rPr>
          <w:i/>
          <w:iCs/>
        </w:rPr>
        <w:t>(Oberlandesgerichte)</w:t>
      </w:r>
      <w:r w:rsidRPr="005B30A9">
        <w:t xml:space="preserve"> junto con el Instituto Ludwig </w:t>
      </w:r>
      <w:r w:rsidRPr="005B30A9">
        <w:lastRenderedPageBreak/>
        <w:t>Boltzmann para los Derechos Humanos de Viena, el Centro Europeo de Capacitación e Investigación en Derechos Humanos y Democracia y el Instituto de Austria de Derechos Humanos en Salzburgo. En el curso de este acto también se trata del Pacto y se alienta a los jueces en prácticas a que hagan referencia expresa a los derechos fundamentales que proceda en el curso de su labor cotidiana.</w:t>
      </w:r>
    </w:p>
    <w:p w14:paraId="45B24F07" w14:textId="77777777" w:rsidR="009612CC" w:rsidRPr="005B30A9" w:rsidRDefault="009612CC" w:rsidP="009612CC">
      <w:pPr>
        <w:pStyle w:val="SingleTxtG"/>
        <w:rPr>
          <w:bCs/>
        </w:rPr>
      </w:pPr>
      <w:r w:rsidRPr="005B30A9">
        <w:t>72.</w:t>
      </w:r>
      <w:r w:rsidRPr="005B30A9">
        <w:tab/>
        <w:t>Puede consultarse en línea una selección de sentencias de interés para el público y para los profesionales del derecho</w:t>
      </w:r>
      <w:r w:rsidRPr="005B30A9">
        <w:rPr>
          <w:rStyle w:val="Refdenotaalpie"/>
        </w:rPr>
        <w:footnoteReference w:id="13"/>
      </w:r>
      <w:r w:rsidRPr="005B30A9">
        <w:t>, entre ellas la decisión 8 ObA 268/97p del Tribunal Supremo (</w:t>
      </w:r>
      <w:r w:rsidRPr="005B30A9">
        <w:rPr>
          <w:i/>
          <w:iCs/>
        </w:rPr>
        <w:t>Oberster Gerichtshof/</w:t>
      </w:r>
      <w:r w:rsidRPr="008E418A">
        <w:t>OGH</w:t>
      </w:r>
      <w:r w:rsidRPr="005B30A9">
        <w:t>) de 25 de junio de 1998, en la que se hace referencia expresa al Pacto.</w:t>
      </w:r>
    </w:p>
    <w:p w14:paraId="648E8F57" w14:textId="5681546F" w:rsidR="009612CC" w:rsidRPr="005B30A9" w:rsidRDefault="009612CC" w:rsidP="00876109">
      <w:pPr>
        <w:pStyle w:val="H1G"/>
      </w:pPr>
      <w:r w:rsidRPr="005B30A9">
        <w:tab/>
      </w:r>
      <w:r w:rsidR="00876109" w:rsidRPr="005B30A9">
        <w:tab/>
      </w:r>
      <w:r w:rsidRPr="005B30A9">
        <w:t>Respuesta al párrafo 7 de la lista de cuestiones</w:t>
      </w:r>
    </w:p>
    <w:p w14:paraId="4C1DE79A" w14:textId="3A911538" w:rsidR="009612CC" w:rsidRPr="005B30A9" w:rsidRDefault="00876109" w:rsidP="00876109">
      <w:pPr>
        <w:pStyle w:val="H23G"/>
      </w:pPr>
      <w:r w:rsidRPr="005B30A9">
        <w:tab/>
      </w:r>
      <w:r w:rsidR="009612CC" w:rsidRPr="005B30A9">
        <w:tab/>
        <w:t>Lucha contra las prácticas fiscales abusivas</w:t>
      </w:r>
    </w:p>
    <w:p w14:paraId="324AE779" w14:textId="751857AA" w:rsidR="009612CC" w:rsidRPr="005B30A9" w:rsidRDefault="009612CC" w:rsidP="009612CC">
      <w:pPr>
        <w:pStyle w:val="SingleTxtG"/>
        <w:rPr>
          <w:bCs/>
        </w:rPr>
      </w:pPr>
      <w:r w:rsidRPr="005B30A9">
        <w:t>73.</w:t>
      </w:r>
      <w:r w:rsidRPr="005B30A9">
        <w:tab/>
        <w:t>Austria está luchando contra todos los tipos de fraude fiscal a escala nacional, europea e internacional. Es crucial subsanar las carencias del derecho fiscal para garantizar un espacio empresarial competitivo y justo. En particular, Austria respalda la labor de la Unión Europea orientada a establecer una base imponible empresarial común eliminando las lagunas fiscales y luchando contra las prácticas de elusión de impuestos. Austria ha aplicado la Directiva 2022/2523/EU, que se aprobó para aplicar y respaldar las Normas modelo contra la erosión de la base imponible global del proyecto de la OCDE y el G20 de prevención de la erosión de la base imponible y traslado de beneficios (BEPS). Véanse, en particular, las medidas siguientes:</w:t>
      </w:r>
    </w:p>
    <w:p w14:paraId="7E9ECF57" w14:textId="644A966C" w:rsidR="009612CC" w:rsidRPr="005B30A9" w:rsidRDefault="009612CC" w:rsidP="00876109">
      <w:pPr>
        <w:pStyle w:val="Bullet1G"/>
        <w:rPr>
          <w:bCs/>
        </w:rPr>
      </w:pPr>
      <w:r w:rsidRPr="005B30A9">
        <w:t>Prohibición de la deducción de los intereses con tributación baja y los derechos de licencias en los grupos (</w:t>
      </w:r>
      <w:hyperlink r:id="rId26" w:history="1">
        <w:r w:rsidRPr="005B30A9">
          <w:rPr>
            <w:rStyle w:val="Hipervnculo"/>
          </w:rPr>
          <w:t>Ley del Impuesto sobre Sociedades de 1988</w:t>
        </w:r>
      </w:hyperlink>
      <w:r w:rsidRPr="005B30A9">
        <w:t xml:space="preserve"> (</w:t>
      </w:r>
      <w:r w:rsidRPr="005B30A9">
        <w:rPr>
          <w:i/>
          <w:iCs/>
        </w:rPr>
        <w:t>Körperschaftsteuergesetz/</w:t>
      </w:r>
      <w:r w:rsidRPr="003502D0">
        <w:t>KStG</w:t>
      </w:r>
      <w:r w:rsidRPr="005B30A9">
        <w:t xml:space="preserve"> 1988), BGBl. I núms. 13/2014 y 105/2014) a fin de luchar contra los modelos de elusión de impuestos que se sirven del pago de derechos de marca y de licencia construidos artificialmente y del pago de intereses intragrupo. El endurecimiento de las normas eliminó lagunas en 2018</w:t>
      </w:r>
      <w:r w:rsidR="00876109" w:rsidRPr="005B30A9">
        <w:t>.</w:t>
      </w:r>
    </w:p>
    <w:p w14:paraId="2D853A43" w14:textId="12C02766" w:rsidR="009612CC" w:rsidRPr="005B30A9" w:rsidRDefault="009612CC" w:rsidP="00876109">
      <w:pPr>
        <w:pStyle w:val="Bullet1G"/>
        <w:rPr>
          <w:bCs/>
        </w:rPr>
      </w:pPr>
      <w:r w:rsidRPr="005B30A9">
        <w:t>Denegación de las desgravaciones fiscales en concepto de ingresos por inversiones cuando las “distribuciones de los beneficios” de empresas extranjeras son deducibles a nivel nacional si el pago es deducible en el extranjero (siendo una de las causas la categorización del instrumento subyacente como capital prestado en el extranjero, pero no a nivel nacional (art</w:t>
      </w:r>
      <w:r w:rsidR="003502D0">
        <w:t>.</w:t>
      </w:r>
      <w:r w:rsidRPr="005B30A9">
        <w:t xml:space="preserve"> 10, párr</w:t>
      </w:r>
      <w:r w:rsidR="003502D0">
        <w:t>.</w:t>
      </w:r>
      <w:r w:rsidRPr="005B30A9">
        <w:t xml:space="preserve"> 4, de la KStG 1988))</w:t>
      </w:r>
      <w:r w:rsidR="00876109" w:rsidRPr="005B30A9">
        <w:t>.</w:t>
      </w:r>
    </w:p>
    <w:p w14:paraId="6B18E757" w14:textId="4B2F34A3" w:rsidR="009612CC" w:rsidRPr="005B30A9" w:rsidRDefault="009612CC" w:rsidP="00876109">
      <w:pPr>
        <w:pStyle w:val="Bullet1G"/>
        <w:rPr>
          <w:bCs/>
        </w:rPr>
      </w:pPr>
      <w:r w:rsidRPr="005B30A9">
        <w:t xml:space="preserve">Normas aplicables a las empresas extranjeras controladas (KStG 1988, </w:t>
      </w:r>
      <w:hyperlink r:id="rId27" w:history="1">
        <w:r w:rsidRPr="005B30A9">
          <w:rPr>
            <w:rStyle w:val="Hipervnculo"/>
          </w:rPr>
          <w:t>BGBl. I núm.</w:t>
        </w:r>
        <w:r w:rsidR="003502D0">
          <w:rPr>
            <w:rStyle w:val="Hipervnculo"/>
          </w:rPr>
          <w:t> </w:t>
        </w:r>
        <w:r w:rsidRPr="005B30A9">
          <w:rPr>
            <w:rStyle w:val="Hipervnculo"/>
          </w:rPr>
          <w:t>62/2018</w:t>
        </w:r>
      </w:hyperlink>
      <w:r w:rsidRPr="005B30A9">
        <w:t>, por la que se aplica la Directiva 2016/1164/EU contra las prácticas de elusión fiscal): impuesto sobre los beneficios pasivos generados por fuentes como las licencias e intereses, especialmente en el caso de las filiales extranjeras, que están sujetos a tipos impositivos bajos en el extranjero, con independencia de su distribución a una compañía matriz nacional</w:t>
      </w:r>
      <w:r w:rsidR="00876109" w:rsidRPr="005B30A9">
        <w:t>.</w:t>
      </w:r>
    </w:p>
    <w:p w14:paraId="356FEDFE" w14:textId="2E71FFEE" w:rsidR="009612CC" w:rsidRPr="005B30A9" w:rsidRDefault="009612CC" w:rsidP="00876109">
      <w:pPr>
        <w:pStyle w:val="Bullet1G"/>
        <w:rPr>
          <w:bCs/>
        </w:rPr>
      </w:pPr>
      <w:r w:rsidRPr="005B30A9">
        <w:t>Intercambio automático de información sobre cuentas financieras, especialmente sobre las cuentas financieras de las que una persona de un país participante es titular en otro país participante, y reglamentación sobre las obligaciones de declarar determinadas cuentas financieras (</w:t>
      </w:r>
      <w:hyperlink r:id="rId28" w:history="1">
        <w:r w:rsidRPr="005B30A9">
          <w:rPr>
            <w:rStyle w:val="Hipervnculo"/>
          </w:rPr>
          <w:t>Ley sobre el Estándar para el Intercambio Automático de Información sobre Cuentas Financieras</w:t>
        </w:r>
      </w:hyperlink>
      <w:r w:rsidRPr="005B30A9">
        <w:t xml:space="preserve"> </w:t>
      </w:r>
      <w:r w:rsidRPr="003502D0">
        <w:rPr>
          <w:i/>
          <w:iCs/>
        </w:rPr>
        <w:t>(</w:t>
      </w:r>
      <w:r w:rsidRPr="005B30A9">
        <w:rPr>
          <w:i/>
          <w:iCs/>
        </w:rPr>
        <w:t>Gemeinsamer Meldestandard-Gesetz</w:t>
      </w:r>
      <w:r w:rsidRPr="003502D0">
        <w:rPr>
          <w:i/>
          <w:iCs/>
        </w:rPr>
        <w:t>)</w:t>
      </w:r>
      <w:r w:rsidRPr="005B30A9">
        <w:t>, BGBl. I núm. 116/2015, por la que se aplica la Directiva 2014/107/EU, relativa a la cooperación administrativa (DAC 2), y el Estándar de la</w:t>
      </w:r>
      <w:r w:rsidR="003502D0">
        <w:t> </w:t>
      </w:r>
      <w:r w:rsidRPr="005B30A9">
        <w:t>OCDE para el Intercambio Automático de Información sobre Cuentas Financieras</w:t>
      </w:r>
      <w:r w:rsidR="00876109" w:rsidRPr="005B30A9">
        <w:t>.</w:t>
      </w:r>
    </w:p>
    <w:p w14:paraId="2209E6A4" w14:textId="7D388B46" w:rsidR="009612CC" w:rsidRPr="005B30A9" w:rsidRDefault="009612CC" w:rsidP="00876109">
      <w:pPr>
        <w:pStyle w:val="Bullet1G"/>
        <w:rPr>
          <w:bCs/>
        </w:rPr>
      </w:pPr>
      <w:r w:rsidRPr="005B30A9">
        <w:t>Intercambio automático de información sobre las resoluciones fiscales para garantizar una competitividad fiscal transparente en la Unión Europea (</w:t>
      </w:r>
      <w:hyperlink r:id="rId29" w:history="1">
        <w:r w:rsidRPr="005B30A9">
          <w:rPr>
            <w:rStyle w:val="Hipervnculo"/>
          </w:rPr>
          <w:t>Ley de Asistencia Mutua de la Unión Europea</w:t>
        </w:r>
      </w:hyperlink>
      <w:r w:rsidRPr="005B30A9">
        <w:t xml:space="preserve"> </w:t>
      </w:r>
      <w:r w:rsidRPr="003502D0">
        <w:rPr>
          <w:i/>
          <w:iCs/>
        </w:rPr>
        <w:t>(</w:t>
      </w:r>
      <w:r w:rsidRPr="005B30A9">
        <w:rPr>
          <w:i/>
          <w:iCs/>
        </w:rPr>
        <w:t>EU-Amtshilfegesetz</w:t>
      </w:r>
      <w:r w:rsidRPr="003502D0">
        <w:rPr>
          <w:i/>
          <w:iCs/>
        </w:rPr>
        <w:t>)</w:t>
      </w:r>
      <w:r w:rsidRPr="005B30A9">
        <w:t>, BGBl. I núm. 102/2012, por la que se aplica la Directiva 2015/2376/EU (DAC 3))</w:t>
      </w:r>
      <w:r w:rsidR="00876109" w:rsidRPr="005B30A9">
        <w:t>.</w:t>
      </w:r>
    </w:p>
    <w:p w14:paraId="70E1F259" w14:textId="10179207" w:rsidR="009612CC" w:rsidRPr="005B30A9" w:rsidRDefault="009612CC" w:rsidP="00876109">
      <w:pPr>
        <w:pStyle w:val="Bullet1G"/>
        <w:rPr>
          <w:bCs/>
        </w:rPr>
      </w:pPr>
      <w:r w:rsidRPr="005B30A9">
        <w:lastRenderedPageBreak/>
        <w:t>Intercambio automático de información país por país (</w:t>
      </w:r>
      <w:hyperlink r:id="rId30" w:history="1">
        <w:r w:rsidRPr="005B30A9">
          <w:rPr>
            <w:rStyle w:val="Hipervnculo"/>
          </w:rPr>
          <w:t>Ley de Documentación de la Fijación de Precios de Transferencia</w:t>
        </w:r>
      </w:hyperlink>
      <w:r w:rsidRPr="005B30A9">
        <w:t xml:space="preserve"> </w:t>
      </w:r>
      <w:r w:rsidRPr="003502D0">
        <w:rPr>
          <w:i/>
          <w:iCs/>
        </w:rPr>
        <w:t>(</w:t>
      </w:r>
      <w:r w:rsidRPr="005B30A9">
        <w:rPr>
          <w:i/>
          <w:iCs/>
        </w:rPr>
        <w:t>Verrechnungspreisdokumentationsgesetz</w:t>
      </w:r>
      <w:r w:rsidRPr="003502D0">
        <w:rPr>
          <w:i/>
          <w:iCs/>
        </w:rPr>
        <w:t>)</w:t>
      </w:r>
      <w:r w:rsidRPr="005B30A9">
        <w:t>, BGBl. I núm. 77/2016, por la que se aplica la Directiva 2016/881/EU (DAC 4) y la medida 13 contra la BEPS: los grupos multinacionales cuyos ingresos superen los 750</w:t>
      </w:r>
      <w:r w:rsidR="003502D0">
        <w:t> </w:t>
      </w:r>
      <w:r w:rsidRPr="005B30A9">
        <w:t xml:space="preserve">millones de euros al año deben preparar información país por país en relación con sus ingresos y sus pagos fiscales en cada país, el número de empleados, etc. Recibirán la información todos los países interesados. En virtud de la ley federal prevista en materia de publicación de la información fiscal país por país </w:t>
      </w:r>
      <w:r w:rsidRPr="003502D0">
        <w:rPr>
          <w:i/>
          <w:iCs/>
        </w:rPr>
        <w:t>(</w:t>
      </w:r>
      <w:r w:rsidRPr="005B30A9">
        <w:rPr>
          <w:i/>
          <w:iCs/>
        </w:rPr>
        <w:t>CBCR-Veröffentlichungsgesetz</w:t>
      </w:r>
      <w:r w:rsidRPr="003502D0">
        <w:rPr>
          <w:i/>
          <w:iCs/>
        </w:rPr>
        <w:t>)</w:t>
      </w:r>
      <w:r w:rsidRPr="005B30A9">
        <w:t xml:space="preserve"> se aplicará la Directiva 2021/2101/EU: es obligatorio que representantes de una compañía matriz última cuyo volumen de negocio consolidado supere los 750 millones de euros en dos fechas de cierre del ejercicio consecutivas preparen al año siguiente a esta última fecha un informe con datos fiscales en el que se indique la cuantía de los impuestos pagados en distintos Estados miembros de la Unión Europea. Este informe debe presentarse al Registro de Empresas de Austria</w:t>
      </w:r>
      <w:r w:rsidR="00876109" w:rsidRPr="005B30A9">
        <w:t>.</w:t>
      </w:r>
    </w:p>
    <w:p w14:paraId="271B3931" w14:textId="4125F52D" w:rsidR="009612CC" w:rsidRPr="005B30A9" w:rsidRDefault="009612CC" w:rsidP="00876109">
      <w:pPr>
        <w:pStyle w:val="Bullet1G"/>
        <w:rPr>
          <w:bCs/>
        </w:rPr>
      </w:pPr>
      <w:r w:rsidRPr="005B30A9">
        <w:t>Obligatoriedad del intercambio automático de información sobre los mecanismos transfronterizos sujetos a comunicación de información ante las autoridades fiscales de Austria (</w:t>
      </w:r>
      <w:hyperlink r:id="rId31" w:history="1">
        <w:r w:rsidRPr="005B30A9">
          <w:rPr>
            <w:rStyle w:val="Hipervnculo"/>
          </w:rPr>
          <w:t>Ley de Obligación de Presentación de Información de la Unión Europea</w:t>
        </w:r>
      </w:hyperlink>
      <w:r w:rsidRPr="005B30A9">
        <w:t xml:space="preserve"> (</w:t>
      </w:r>
      <w:r w:rsidRPr="005B30A9">
        <w:rPr>
          <w:i/>
          <w:iCs/>
        </w:rPr>
        <w:t>EU</w:t>
      </w:r>
      <w:r w:rsidRPr="005B30A9">
        <w:rPr>
          <w:i/>
          <w:iCs/>
        </w:rPr>
        <w:noBreakHyphen/>
        <w:t>Meldepflichtgesetz</w:t>
      </w:r>
      <w:r w:rsidRPr="005B30A9">
        <w:t>), BGBl. I núm. 91/2019, por la que se aplica la Directiva 2018/822/EU (DAC 6)): obligación de presentar información sobre los mecanismos en los que participe más de un Estado miembro de la Unión Europea o uno de esos Estados miembros y un tercer país, con indicación de todo riesgo de elusión de impuestos, elusión de la Ley sobre el Estándar para el Intercambio Automático de Información sobre Cuentas Financieras o falta de identificación de los beneficiarios finales</w:t>
      </w:r>
      <w:r w:rsidR="00876109" w:rsidRPr="005B30A9">
        <w:t>.</w:t>
      </w:r>
    </w:p>
    <w:p w14:paraId="5A6DE630" w14:textId="63EFE399" w:rsidR="009612CC" w:rsidRPr="005B30A9" w:rsidRDefault="009612CC" w:rsidP="00876109">
      <w:pPr>
        <w:pStyle w:val="Bullet1G"/>
        <w:rPr>
          <w:bCs/>
        </w:rPr>
      </w:pPr>
      <w:r w:rsidRPr="005B30A9">
        <w:t>Normas relativas a las asimetrías híbridas derivadas de la doble desgravación de gastos o de la deducción de gastos sin que queden registrados los ingresos correspondientes (</w:t>
      </w:r>
      <w:hyperlink r:id="rId32" w:history="1">
        <w:r w:rsidRPr="005B30A9">
          <w:rPr>
            <w:rStyle w:val="Hipervnculo"/>
          </w:rPr>
          <w:t>Ley de Reforma Fiscal de 2020</w:t>
        </w:r>
      </w:hyperlink>
      <w:r w:rsidRPr="005B30A9">
        <w:t xml:space="preserve"> </w:t>
      </w:r>
      <w:r w:rsidRPr="003502D0">
        <w:rPr>
          <w:i/>
          <w:iCs/>
        </w:rPr>
        <w:t>(</w:t>
      </w:r>
      <w:r w:rsidRPr="005B30A9">
        <w:rPr>
          <w:i/>
          <w:iCs/>
        </w:rPr>
        <w:t>Steuerreformgesetz</w:t>
      </w:r>
      <w:r w:rsidRPr="003502D0">
        <w:rPr>
          <w:i/>
          <w:iCs/>
        </w:rPr>
        <w:t>)</w:t>
      </w:r>
      <w:r w:rsidRPr="005B30A9">
        <w:t>, BGBl.</w:t>
      </w:r>
      <w:r w:rsidR="003502D0">
        <w:t> </w:t>
      </w:r>
      <w:r w:rsidRPr="005B30A9">
        <w:t>I</w:t>
      </w:r>
      <w:r w:rsidR="003502D0">
        <w:t> </w:t>
      </w:r>
      <w:r w:rsidRPr="005B30A9">
        <w:t>núm.</w:t>
      </w:r>
      <w:r w:rsidR="001F207F" w:rsidRPr="005B30A9">
        <w:t> </w:t>
      </w:r>
      <w:r w:rsidRPr="005B30A9">
        <w:t xml:space="preserve">103/2019, por la que se refuerza la aplicación de la Directiva 2017/952/EU (ATAD II)). La Modificación </w:t>
      </w:r>
      <w:hyperlink r:id="rId33" w:history="1">
        <w:r w:rsidRPr="005B30A9">
          <w:rPr>
            <w:rStyle w:val="Hipervnculo"/>
          </w:rPr>
          <w:t>BGBl. I núm. 227/2021</w:t>
        </w:r>
      </w:hyperlink>
      <w:r w:rsidRPr="005B30A9">
        <w:t xml:space="preserve"> agregó normas en materia de asimetrías híbridas inversas (ATAD II)</w:t>
      </w:r>
      <w:r w:rsidR="00876109" w:rsidRPr="005B30A9">
        <w:t>.</w:t>
      </w:r>
    </w:p>
    <w:p w14:paraId="4524B407" w14:textId="22AFA714" w:rsidR="009612CC" w:rsidRPr="005B30A9" w:rsidRDefault="009612CC" w:rsidP="00876109">
      <w:pPr>
        <w:pStyle w:val="Bullet1G"/>
        <w:rPr>
          <w:bCs/>
        </w:rPr>
      </w:pPr>
      <w:r w:rsidRPr="005B30A9">
        <w:t>Impuesto digital sobre la publicidad en línea de los grupos internacionales que genere ingresos globales por valor de 750 millones de euros o más al año y un impuesto sobre los ingresos derivados de la publicidad digital a nivel nacional por valor de 25</w:t>
      </w:r>
      <w:r w:rsidR="00F1381C">
        <w:t> </w:t>
      </w:r>
      <w:r w:rsidRPr="005B30A9">
        <w:t>millones de euros o más al año (</w:t>
      </w:r>
      <w:hyperlink r:id="rId34" w:history="1">
        <w:r w:rsidRPr="005B30A9">
          <w:rPr>
            <w:rStyle w:val="Hipervnculo"/>
          </w:rPr>
          <w:t>Ley de Modificación Fiscal</w:t>
        </w:r>
      </w:hyperlink>
      <w:r w:rsidRPr="005B30A9">
        <w:t xml:space="preserve"> </w:t>
      </w:r>
      <w:r w:rsidRPr="00F1381C">
        <w:rPr>
          <w:i/>
          <w:iCs/>
        </w:rPr>
        <w:t>(</w:t>
      </w:r>
      <w:r w:rsidRPr="005B30A9">
        <w:rPr>
          <w:i/>
          <w:iCs/>
        </w:rPr>
        <w:t>Abgabenänderungsgesetz</w:t>
      </w:r>
      <w:r w:rsidRPr="00F1381C">
        <w:rPr>
          <w:i/>
          <w:iCs/>
        </w:rPr>
        <w:t>)</w:t>
      </w:r>
      <w:r w:rsidRPr="005B30A9">
        <w:t>, BGBl. I núm. 91/2019)</w:t>
      </w:r>
      <w:r w:rsidR="00876109" w:rsidRPr="005B30A9">
        <w:t>.</w:t>
      </w:r>
    </w:p>
    <w:p w14:paraId="2C1B3C4C" w14:textId="3F5D8331" w:rsidR="009612CC" w:rsidRPr="005B30A9" w:rsidRDefault="009612CC" w:rsidP="00876109">
      <w:pPr>
        <w:pStyle w:val="Bullet1G"/>
        <w:rPr>
          <w:bCs/>
        </w:rPr>
      </w:pPr>
      <w:r w:rsidRPr="005B30A9">
        <w:t xml:space="preserve">Obligaciones de registro de las plataformas o “IVA a las importaciones desde el primer céntimo” en relación con las entregas de paquetes procedentes de terceros países sobre la base de la Directiva sobre Comercio Electrónico conforme a las normas de la </w:t>
      </w:r>
      <w:hyperlink r:id="rId35" w:history="1">
        <w:r w:rsidRPr="005B30A9">
          <w:rPr>
            <w:rStyle w:val="Hipervnculo"/>
          </w:rPr>
          <w:t>Ley del Impuesto sobre el Valor Añadido de 1994</w:t>
        </w:r>
      </w:hyperlink>
      <w:r w:rsidRPr="005B30A9">
        <w:t xml:space="preserve"> (</w:t>
      </w:r>
      <w:r w:rsidRPr="005B30A9">
        <w:rPr>
          <w:i/>
          <w:iCs/>
        </w:rPr>
        <w:t>Umsatzsteuergesetz/</w:t>
      </w:r>
      <w:r w:rsidRPr="00F1381C">
        <w:t>UStG</w:t>
      </w:r>
      <w:r w:rsidRPr="005B30A9">
        <w:rPr>
          <w:i/>
          <w:iCs/>
        </w:rPr>
        <w:t xml:space="preserve"> </w:t>
      </w:r>
      <w:r w:rsidRPr="005B30A9">
        <w:t>1994), BGBl. núm. 663/1994</w:t>
      </w:r>
      <w:r w:rsidR="00876109" w:rsidRPr="005B30A9">
        <w:t>.</w:t>
      </w:r>
    </w:p>
    <w:p w14:paraId="2BE4FB97" w14:textId="131D9EA9" w:rsidR="009612CC" w:rsidRPr="005B30A9" w:rsidRDefault="009612CC" w:rsidP="00876109">
      <w:pPr>
        <w:pStyle w:val="Bullet1G"/>
        <w:rPr>
          <w:bCs/>
        </w:rPr>
      </w:pPr>
      <w:r w:rsidRPr="005B30A9">
        <w:t xml:space="preserve">Norma sobre la limitación de los intereses (KStG 1988, </w:t>
      </w:r>
      <w:hyperlink r:id="rId36" w:history="1">
        <w:r w:rsidRPr="005B30A9">
          <w:rPr>
            <w:rStyle w:val="Hipervnculo"/>
          </w:rPr>
          <w:t>BGBl. I núm. 3/2021</w:t>
        </w:r>
      </w:hyperlink>
      <w:r w:rsidRPr="005B30A9">
        <w:t>): la posibilidad de deducir el capital prestando depende de la cuantía del beneficio imponible de una empresa (fortalecimiento de la aplicación de la ATAD)</w:t>
      </w:r>
      <w:r w:rsidR="00876109" w:rsidRPr="005B30A9">
        <w:t>.</w:t>
      </w:r>
    </w:p>
    <w:p w14:paraId="0A948A61" w14:textId="5995BCBD" w:rsidR="009612CC" w:rsidRPr="005B30A9" w:rsidRDefault="009612CC" w:rsidP="00876109">
      <w:pPr>
        <w:pStyle w:val="Bullet1G"/>
        <w:rPr>
          <w:bCs/>
        </w:rPr>
      </w:pPr>
      <w:r w:rsidRPr="005B30A9">
        <w:t>Desde el 1 de julio de 2021, la declaración y el pago del impuesto sobre el valor añadido aplicable a la venta de productos mediante plataformas corresponden (en determinados casos) a las plataformas a través de las cuales se vendieron los productos (UStG 1994)</w:t>
      </w:r>
      <w:r w:rsidR="00876109" w:rsidRPr="005B30A9">
        <w:t>.</w:t>
      </w:r>
    </w:p>
    <w:p w14:paraId="7F8D5964" w14:textId="58974FFE" w:rsidR="009612CC" w:rsidRPr="005B30A9" w:rsidRDefault="009612CC" w:rsidP="00876109">
      <w:pPr>
        <w:pStyle w:val="Bullet1G"/>
        <w:rPr>
          <w:bCs/>
        </w:rPr>
      </w:pPr>
      <w:r w:rsidRPr="005B30A9">
        <w:t xml:space="preserve">Ratificación de la </w:t>
      </w:r>
      <w:hyperlink r:id="rId37" w:history="1">
        <w:r w:rsidRPr="005B30A9">
          <w:rPr>
            <w:rStyle w:val="Hipervnculo"/>
          </w:rPr>
          <w:t>Convención Multilateral para Aplicar las Medidas Relacionadas con los Tratados Fiscales para Prevenir la Erosión de las Bases Imponibles y el Traslado de Beneficios</w:t>
        </w:r>
      </w:hyperlink>
      <w:r w:rsidRPr="005B30A9">
        <w:t xml:space="preserve"> (Convención BEPS), BGBl. III núm. 93/2018</w:t>
      </w:r>
      <w:r w:rsidR="00876109" w:rsidRPr="005B30A9">
        <w:t>.</w:t>
      </w:r>
    </w:p>
    <w:p w14:paraId="6CAB4D55" w14:textId="2FB1C07B" w:rsidR="009612CC" w:rsidRPr="005B30A9" w:rsidRDefault="009612CC" w:rsidP="00876109">
      <w:pPr>
        <w:pStyle w:val="Bullet1G"/>
        <w:rPr>
          <w:bCs/>
        </w:rPr>
      </w:pPr>
      <w:r w:rsidRPr="005B30A9">
        <w:t>Obligaciones amplias en materia de diligencia debida y presentación de información para los operadores de plataformas digitales a fin de luchar contra el fraude fiscal, la evasión de impuestos y la elusión de impuestos (</w:t>
      </w:r>
      <w:hyperlink r:id="rId38" w:history="1">
        <w:r w:rsidRPr="005B30A9">
          <w:rPr>
            <w:rStyle w:val="Hipervnculo"/>
          </w:rPr>
          <w:t>Ley sobre las Obligaciones de Presentación de Información por las Plataformas Digitales</w:t>
        </w:r>
      </w:hyperlink>
      <w:r w:rsidRPr="005B30A9">
        <w:t xml:space="preserve"> </w:t>
      </w:r>
      <w:r w:rsidRPr="00472BAA">
        <w:rPr>
          <w:i/>
          <w:iCs/>
        </w:rPr>
        <w:t>(</w:t>
      </w:r>
      <w:r w:rsidRPr="005B30A9">
        <w:rPr>
          <w:i/>
          <w:iCs/>
        </w:rPr>
        <w:t>Digitale Plattformen-</w:t>
      </w:r>
      <w:r w:rsidRPr="005B30A9">
        <w:rPr>
          <w:i/>
          <w:iCs/>
        </w:rPr>
        <w:lastRenderedPageBreak/>
        <w:t>Meldepflichtgesetz</w:t>
      </w:r>
      <w:r w:rsidRPr="00472BAA">
        <w:rPr>
          <w:i/>
          <w:iCs/>
        </w:rPr>
        <w:t>)</w:t>
      </w:r>
      <w:r w:rsidRPr="005B30A9">
        <w:t>, BGBl. I núm. 108/2022, por la que se aplica la Directiva 2021/514/EU (DAC 7))</w:t>
      </w:r>
      <w:r w:rsidR="00876109" w:rsidRPr="005B30A9">
        <w:t>.</w:t>
      </w:r>
    </w:p>
    <w:p w14:paraId="02C2A766" w14:textId="112E2756" w:rsidR="009612CC" w:rsidRPr="005B30A9" w:rsidRDefault="009612CC" w:rsidP="00876109">
      <w:pPr>
        <w:pStyle w:val="Bullet1G"/>
        <w:rPr>
          <w:bCs/>
        </w:rPr>
      </w:pPr>
      <w:r w:rsidRPr="005B30A9">
        <w:t>Obligaciones en materia de mantenimiento, notificación y retención de registros para los proveedores de servicios de pago a fin de luchar contra el fraude en el pago del</w:t>
      </w:r>
      <w:r w:rsidR="00472BAA">
        <w:t> </w:t>
      </w:r>
      <w:r w:rsidRPr="005B30A9">
        <w:t>IVA, especialmente en las transacciones comerciales electrónicas (</w:t>
      </w:r>
      <w:hyperlink r:id="rId39" w:history="1">
        <w:r w:rsidRPr="005B30A9">
          <w:rPr>
            <w:rStyle w:val="Hipervnculo"/>
          </w:rPr>
          <w:t>Ley de Aplicación del Sistema Electrónico Central de Información sobre los Pagos de 2023</w:t>
        </w:r>
      </w:hyperlink>
      <w:r w:rsidRPr="005B30A9">
        <w:t xml:space="preserve"> </w:t>
      </w:r>
      <w:r w:rsidRPr="00472BAA">
        <w:rPr>
          <w:i/>
          <w:iCs/>
        </w:rPr>
        <w:t>(</w:t>
      </w:r>
      <w:r w:rsidRPr="005B30A9">
        <w:rPr>
          <w:i/>
          <w:iCs/>
        </w:rPr>
        <w:t>CESOP-Umsetzungsgesetz</w:t>
      </w:r>
      <w:r w:rsidRPr="00472BAA">
        <w:rPr>
          <w:i/>
          <w:iCs/>
        </w:rPr>
        <w:t>)</w:t>
      </w:r>
      <w:r w:rsidRPr="005B30A9">
        <w:t>, BGBl. I núm. 106/2023 (en vigor desde el 1 de enero de</w:t>
      </w:r>
      <w:r w:rsidR="00472BAA">
        <w:t> </w:t>
      </w:r>
      <w:r w:rsidRPr="005B30A9">
        <w:t>2024), por la que se aplica la Directiva 2020/284/EU)</w:t>
      </w:r>
      <w:r w:rsidR="00876109" w:rsidRPr="005B30A9">
        <w:t>.</w:t>
      </w:r>
    </w:p>
    <w:p w14:paraId="009CAEBA" w14:textId="6C7F9652" w:rsidR="009612CC" w:rsidRPr="005B30A9" w:rsidRDefault="009612CC" w:rsidP="00876109">
      <w:pPr>
        <w:pStyle w:val="Bullet1G"/>
      </w:pPr>
      <w:r w:rsidRPr="005B30A9">
        <w:t xml:space="preserve">Lucha contra el fraude en relación con la </w:t>
      </w:r>
      <w:hyperlink r:id="rId40" w:history="1">
        <w:r w:rsidRPr="005B30A9">
          <w:rPr>
            <w:rStyle w:val="Hipervnculo"/>
          </w:rPr>
          <w:t>Ley de Modificación Fiscal de 2023</w:t>
        </w:r>
      </w:hyperlink>
      <w:r w:rsidRPr="005B30A9">
        <w:t>, BGBl.</w:t>
      </w:r>
      <w:r w:rsidR="001F207F" w:rsidRPr="005B30A9">
        <w:t> </w:t>
      </w:r>
      <w:r w:rsidRPr="005B30A9">
        <w:t>I</w:t>
      </w:r>
      <w:r w:rsidR="00472BAA">
        <w:t> </w:t>
      </w:r>
      <w:r w:rsidRPr="005B30A9">
        <w:t>núm. 110/2023, con inclusión de lo siguiente:</w:t>
      </w:r>
    </w:p>
    <w:p w14:paraId="15E7D1AB" w14:textId="25B369D6" w:rsidR="009612CC" w:rsidRPr="005B30A9" w:rsidRDefault="009612CC" w:rsidP="001F207F">
      <w:pPr>
        <w:pStyle w:val="Bullet2G"/>
      </w:pPr>
      <w:r w:rsidRPr="005B30A9">
        <w:t>Normas sobre el reparto de dividendos, la acreditación y el reembolso del impuesto sobre los ingresos por inversiones (</w:t>
      </w:r>
      <w:r w:rsidRPr="005B30A9">
        <w:rPr>
          <w:i/>
          <w:iCs/>
        </w:rPr>
        <w:t>Kapitalertragsteuer/KESt</w:t>
      </w:r>
      <w:r w:rsidRPr="005B30A9">
        <w:t>) en el caso de las acciones depositadas a nivel central, especialmente para luchar contra los planes de elusión del KESt</w:t>
      </w:r>
      <w:r w:rsidR="00876109" w:rsidRPr="005B30A9">
        <w:t>.</w:t>
      </w:r>
    </w:p>
    <w:p w14:paraId="79634B27" w14:textId="059A30C7" w:rsidR="009612CC" w:rsidRPr="005B30A9" w:rsidRDefault="009612CC" w:rsidP="001F207F">
      <w:pPr>
        <w:pStyle w:val="Bullet2G"/>
      </w:pPr>
      <w:r w:rsidRPr="005B30A9">
        <w:t>Ampliación del período de prescripción de 10 años respecto de dos delitos fiscales especialmente graves (fraude fiscal y fraude transfronterizo en el pago del IVA</w:t>
      </w:r>
      <w:r w:rsidR="00876109" w:rsidRPr="005B30A9">
        <w:t>.</w:t>
      </w:r>
    </w:p>
    <w:p w14:paraId="71471387" w14:textId="71803402" w:rsidR="009612CC" w:rsidRPr="005B30A9" w:rsidRDefault="009612CC" w:rsidP="00876109">
      <w:pPr>
        <w:pStyle w:val="Bullet1G"/>
      </w:pPr>
      <w:r w:rsidRPr="005B30A9">
        <w:t xml:space="preserve">Mediante una imposición mínima global a los grupos empresariales multinacionales con un volumen mínimo mundial de negocios de 750 millones de euros se garantiza su sujeción a un tipo impositivo efectivo mínimo del 15 % (aplicación de la Directiva 2022/2523/EU mediante la </w:t>
      </w:r>
      <w:hyperlink r:id="rId41" w:history="1">
        <w:r w:rsidRPr="005B30A9">
          <w:rPr>
            <w:rStyle w:val="Hipervnculo"/>
          </w:rPr>
          <w:t>Ley de Reforma de la Imposición Mínima</w:t>
        </w:r>
      </w:hyperlink>
      <w:r w:rsidRPr="005B30A9">
        <w:t xml:space="preserve"> </w:t>
      </w:r>
      <w:r w:rsidRPr="00B401A9">
        <w:rPr>
          <w:i/>
          <w:iCs/>
        </w:rPr>
        <w:t>(</w:t>
      </w:r>
      <w:r w:rsidRPr="005B30A9">
        <w:rPr>
          <w:i/>
          <w:iCs/>
        </w:rPr>
        <w:t>Mindestbesteuerungsreformgesetz</w:t>
      </w:r>
      <w:r w:rsidRPr="00B401A9">
        <w:rPr>
          <w:i/>
          <w:iCs/>
        </w:rPr>
        <w:t>)</w:t>
      </w:r>
      <w:r w:rsidRPr="005B30A9">
        <w:t>, BGBl. I núm. 187/2023). Si el tipo impositivo efectivo de una competencia fiscal es inferior al 15 %, se recauda un impuesto suplementario.</w:t>
      </w:r>
    </w:p>
    <w:p w14:paraId="4EC517E8" w14:textId="72FD760F" w:rsidR="009612CC" w:rsidRPr="005B30A9" w:rsidRDefault="001F207F" w:rsidP="001F207F">
      <w:pPr>
        <w:pStyle w:val="H1G"/>
      </w:pPr>
      <w:r w:rsidRPr="005B30A9">
        <w:tab/>
      </w:r>
      <w:r w:rsidR="009612CC" w:rsidRPr="005B30A9">
        <w:tab/>
        <w:t>Respuesta al párrafo 8 de la lista de cuestiones</w:t>
      </w:r>
    </w:p>
    <w:p w14:paraId="7A32EE7A" w14:textId="085A6768" w:rsidR="009612CC" w:rsidRPr="005B30A9" w:rsidRDefault="001F207F" w:rsidP="001F207F">
      <w:pPr>
        <w:pStyle w:val="H23G"/>
      </w:pPr>
      <w:r w:rsidRPr="005B30A9">
        <w:tab/>
      </w:r>
      <w:r w:rsidR="009612CC" w:rsidRPr="005B30A9">
        <w:tab/>
        <w:t>La Junta de Defensores del Pueblo de Austria y los Principios de París</w:t>
      </w:r>
    </w:p>
    <w:p w14:paraId="0EF3BE4D" w14:textId="3795F6EA" w:rsidR="009612CC" w:rsidRPr="005B30A9" w:rsidRDefault="009612CC" w:rsidP="009612CC">
      <w:pPr>
        <w:pStyle w:val="SingleTxtG"/>
        <w:rPr>
          <w:bCs/>
        </w:rPr>
      </w:pPr>
      <w:r w:rsidRPr="005B30A9">
        <w:t>74.</w:t>
      </w:r>
      <w:r w:rsidRPr="005B30A9">
        <w:tab/>
        <w:t>En marzo de 2022 la Alianza Global de Instituciones Nacionales de Derechos Humanos concedió a la Junta de Defensores del Pueblo de Austria la categoría “A” por cinco años como institución nacional de derechos humanos, con lo cual certificó su plena conformidad con los Principios de París</w:t>
      </w:r>
      <w:r w:rsidRPr="005B30A9">
        <w:rPr>
          <w:rStyle w:val="Refdenotaalpie"/>
        </w:rPr>
        <w:footnoteReference w:id="14"/>
      </w:r>
      <w:r w:rsidRPr="005B30A9">
        <w:t>.</w:t>
      </w:r>
    </w:p>
    <w:p w14:paraId="37D84CBE" w14:textId="77777777" w:rsidR="009612CC" w:rsidRPr="005B30A9" w:rsidRDefault="009612CC" w:rsidP="009612CC">
      <w:pPr>
        <w:pStyle w:val="SingleTxtG"/>
        <w:rPr>
          <w:bCs/>
        </w:rPr>
      </w:pPr>
      <w:r w:rsidRPr="005B30A9">
        <w:t>75.</w:t>
      </w:r>
      <w:r w:rsidRPr="005B30A9">
        <w:tab/>
        <w:t>En el ámbito de la vigilancia preventiva de los derechos humanos en el marco de la Convención contra la Tortura y Otros Tratos o Penas Crueles, Inhumanos o Degradantes, la Junta de Defensores del Pueblo de Austria estableció en julio de 2021 una comisión federal encargada de la vigilancia a escala nacional de las prisiones, los centros forenses y las instalaciones de atención complementaria financiadas por el BMJ que complementa las seis comisiones regionales establecidas en 2012.</w:t>
      </w:r>
    </w:p>
    <w:p w14:paraId="0004D46B" w14:textId="0814F2F0" w:rsidR="009612CC" w:rsidRPr="005B30A9" w:rsidRDefault="001F207F" w:rsidP="001F207F">
      <w:pPr>
        <w:pStyle w:val="H1G"/>
      </w:pPr>
      <w:r w:rsidRPr="005B30A9">
        <w:tab/>
      </w:r>
      <w:r w:rsidR="009612CC" w:rsidRPr="005B30A9">
        <w:tab/>
        <w:t>Respuesta al párrafo 9 de la lista de cuestiones</w:t>
      </w:r>
    </w:p>
    <w:p w14:paraId="5455B39C" w14:textId="1234D7FE" w:rsidR="009612CC" w:rsidRPr="005B30A9" w:rsidRDefault="001F207F" w:rsidP="001F207F">
      <w:pPr>
        <w:pStyle w:val="H23G"/>
      </w:pPr>
      <w:r w:rsidRPr="005B30A9">
        <w:tab/>
      </w:r>
      <w:r w:rsidR="009612CC" w:rsidRPr="005B30A9">
        <w:tab/>
        <w:t>Adopción de un plan de acción nacional sobre derechos humanos</w:t>
      </w:r>
    </w:p>
    <w:p w14:paraId="76D83DFD" w14:textId="77777777" w:rsidR="009612CC" w:rsidRPr="005B30A9" w:rsidRDefault="009612CC" w:rsidP="009612CC">
      <w:pPr>
        <w:pStyle w:val="SingleTxtG"/>
        <w:rPr>
          <w:bCs/>
        </w:rPr>
      </w:pPr>
      <w:r w:rsidRPr="005B30A9">
        <w:t>76.</w:t>
      </w:r>
      <w:r w:rsidRPr="005B30A9">
        <w:tab/>
        <w:t>Pese a los amplios preparativos, la coordinación intensa entre los ministerios y la cooperación con la sociedad civil, en el período legislativo 2013-2017 no pudo ultimarse un plan de acción nacional sobre derechos humanos.</w:t>
      </w:r>
    </w:p>
    <w:p w14:paraId="60CF0433" w14:textId="27415A37" w:rsidR="009612CC" w:rsidRPr="005B30A9" w:rsidRDefault="009612CC" w:rsidP="009612CC">
      <w:pPr>
        <w:pStyle w:val="SingleTxtG"/>
        <w:rPr>
          <w:bCs/>
        </w:rPr>
      </w:pPr>
      <w:r w:rsidRPr="005B30A9">
        <w:t>77.</w:t>
      </w:r>
      <w:r w:rsidRPr="005B30A9">
        <w:tab/>
        <w:t>El Programa Gubernamental 2020</w:t>
      </w:r>
      <w:r w:rsidR="0014218E">
        <w:t>-</w:t>
      </w:r>
      <w:r w:rsidRPr="005B30A9">
        <w:t xml:space="preserve">2024 prevé un plan de acción nacional sobre derechos humanos. Sin embargo, Austria cuenta con varios planes de acción nacionales específicos (en particular, sobre personas con discapacidad, trata de personas, la aplicación de la resolución 1325 (2000) del Consejo de Seguridad de las Naciones Unidas, integración y, en fechas más recientes, la aplicación de la Garantía Infantil Europea) y estrategias (como la Estrategia para la Prevención del Extremismo y la Desradicalización o la Estrategia </w:t>
      </w:r>
      <w:r w:rsidRPr="005B30A9">
        <w:lastRenderedPageBreak/>
        <w:t>Nacional contra el Antisemitismo) que son objeto de evaluaciones y actualizaciones periódicas. Están previstos otros planes de acción nacionales, en particular en materia de lucha conta el racismo y la discriminación. Hay que esperar a que avancen estos proyectos antes de plantearse un plan de acción nacional general sobre derechos humanos.</w:t>
      </w:r>
    </w:p>
    <w:p w14:paraId="00E10AF2" w14:textId="157940DD" w:rsidR="009612CC" w:rsidRPr="005B30A9" w:rsidRDefault="009612CC" w:rsidP="001F207F">
      <w:pPr>
        <w:pStyle w:val="H1G"/>
      </w:pPr>
      <w:r w:rsidRPr="005B30A9">
        <w:tab/>
      </w:r>
      <w:r w:rsidR="001F207F" w:rsidRPr="005B30A9">
        <w:tab/>
      </w:r>
      <w:r w:rsidRPr="005B30A9">
        <w:t>Respuesta al párrafo 10 de la lista de cuestiones</w:t>
      </w:r>
    </w:p>
    <w:p w14:paraId="546DA767" w14:textId="236ABE49" w:rsidR="009612CC" w:rsidRPr="005B30A9" w:rsidRDefault="001F207F" w:rsidP="001F207F">
      <w:pPr>
        <w:pStyle w:val="H23G"/>
      </w:pPr>
      <w:r w:rsidRPr="005B30A9">
        <w:tab/>
      </w:r>
      <w:r w:rsidR="009612CC" w:rsidRPr="005B30A9">
        <w:tab/>
        <w:t>Reducción de las emisiones con arreglo al Acuerdo de París</w:t>
      </w:r>
    </w:p>
    <w:p w14:paraId="0DBBEAD2" w14:textId="1DAE974D" w:rsidR="009612CC" w:rsidRPr="005B30A9" w:rsidRDefault="009612CC" w:rsidP="009612CC">
      <w:pPr>
        <w:pStyle w:val="SingleTxtG"/>
        <w:rPr>
          <w:bCs/>
        </w:rPr>
      </w:pPr>
      <w:r w:rsidRPr="005B30A9">
        <w:t>78.</w:t>
      </w:r>
      <w:r w:rsidRPr="005B30A9">
        <w:tab/>
        <w:t>Como Estado miembro de la Unión Europea, Austria carece de una meta nacional aparte en materia de protección del clima con arreglo al Acuerdo de París. La Unión Europea y sus 27 Estados miembros han presentado una sola contribución determinada a nivel nacional con arreglo al Acuerdo. En consecuencia, la Unión Europea y sus Estados miembros deben reducir sus emisiones un 55 % para 2030 en comparación con los niveles de 1990. Para cumplir esta meta, en la legislación de la Unión Europea se indican metas secundarias para el Régimen de Comercio de Derechos de Emisión de la Unión Europea y sus 27 Estados miembros. La meta de reducción de las emisiones correspondiente a Austria es del 48 % para</w:t>
      </w:r>
      <w:r w:rsidR="006379E7">
        <w:t> </w:t>
      </w:r>
      <w:r w:rsidRPr="005B30A9">
        <w:t>2030 en comparación con los niveles de 2005 en todos los sectores distintos de dicho Régimen.</w:t>
      </w:r>
    </w:p>
    <w:p w14:paraId="7D2C3567" w14:textId="07935960" w:rsidR="009612CC" w:rsidRPr="005B30A9" w:rsidRDefault="009612CC" w:rsidP="009612CC">
      <w:pPr>
        <w:pStyle w:val="SingleTxtG"/>
        <w:rPr>
          <w:bCs/>
        </w:rPr>
      </w:pPr>
      <w:r w:rsidRPr="005B30A9">
        <w:t>79.</w:t>
      </w:r>
      <w:r w:rsidRPr="005B30A9">
        <w:tab/>
        <w:t xml:space="preserve">Incluso antes de la entrada en vigor del Acuerdo de París, la Unión Europea y sus Estados miembros se comprometieron a reducir sus emisiones un 20 % para 2020 en comparación con los niveles de 1990. La meta secundaria de Austria de reducción de las emisiones era del 16 % para 2020 en comparación con los niveles de 2005 (que Austria cumplió o superó por poco en 2013-2020). La </w:t>
      </w:r>
      <w:hyperlink r:id="rId42" w:history="1">
        <w:r w:rsidRPr="005B30A9">
          <w:rPr>
            <w:rStyle w:val="Hipervnculo"/>
          </w:rPr>
          <w:t>Ley de Protección del Clima</w:t>
        </w:r>
      </w:hyperlink>
      <w:r w:rsidRPr="005B30A9">
        <w:t xml:space="preserve"> </w:t>
      </w:r>
      <w:r w:rsidRPr="00E05740">
        <w:rPr>
          <w:i/>
          <w:iCs/>
        </w:rPr>
        <w:t>(</w:t>
      </w:r>
      <w:r w:rsidRPr="005B30A9">
        <w:rPr>
          <w:i/>
          <w:iCs/>
        </w:rPr>
        <w:t>Klimaschutzgesetz</w:t>
      </w:r>
      <w:r w:rsidRPr="00E05740">
        <w:rPr>
          <w:i/>
          <w:iCs/>
        </w:rPr>
        <w:t>)</w:t>
      </w:r>
      <w:r w:rsidRPr="005B30A9">
        <w:t>, BGBl. I núm. 106/2011, agregó metas sectoriales nacionales.</w:t>
      </w:r>
    </w:p>
    <w:p w14:paraId="2409BCB0" w14:textId="77777777" w:rsidR="009612CC" w:rsidRPr="005B30A9" w:rsidRDefault="009612CC" w:rsidP="009612CC">
      <w:pPr>
        <w:pStyle w:val="SingleTxtG"/>
        <w:rPr>
          <w:bCs/>
        </w:rPr>
      </w:pPr>
      <w:r w:rsidRPr="005B30A9">
        <w:t>80.</w:t>
      </w:r>
      <w:r w:rsidRPr="005B30A9">
        <w:tab/>
        <w:t>En el Programa Gubernamental 2020-2024 figura un capítulo dedicado a la protección del clima que plantea la meta de alcanzar para 2040 la neutralidad climática y, con ello, cumplir lo dispuesto en el Acuerdo de París. Entre las políticas y medidas aplicadas cabe mencionar:</w:t>
      </w:r>
    </w:p>
    <w:p w14:paraId="2498609D" w14:textId="6F0EA22A" w:rsidR="009612CC" w:rsidRPr="005B30A9" w:rsidRDefault="009612CC" w:rsidP="001F207F">
      <w:pPr>
        <w:pStyle w:val="Bullet1G"/>
      </w:pPr>
      <w:r w:rsidRPr="005B30A9">
        <w:t>La fijación a escala nacional de los precios del carbono correspondientes a los combustibles fósiles al margen del Régimen de Comercio de Derechos de Emisión de la Unión Europea</w:t>
      </w:r>
      <w:r w:rsidR="001F207F" w:rsidRPr="005B30A9">
        <w:t>.</w:t>
      </w:r>
    </w:p>
    <w:p w14:paraId="04BF351D" w14:textId="77777777" w:rsidR="009612CC" w:rsidRPr="005B30A9" w:rsidRDefault="009612CC" w:rsidP="001F207F">
      <w:pPr>
        <w:pStyle w:val="Bullet1G"/>
      </w:pPr>
      <w:r w:rsidRPr="005B30A9">
        <w:t>El aumento de los fondos destinados a iniciativas en materia de acción climática (como la movilidad eléctrica o la eliminación gradual del petróleo).</w:t>
      </w:r>
    </w:p>
    <w:p w14:paraId="3665575A" w14:textId="77777777" w:rsidR="009612CC" w:rsidRPr="005B30A9" w:rsidRDefault="009612CC" w:rsidP="009612CC">
      <w:pPr>
        <w:pStyle w:val="SingleTxtG"/>
        <w:rPr>
          <w:bCs/>
        </w:rPr>
      </w:pPr>
      <w:r w:rsidRPr="005B30A9">
        <w:t>81.</w:t>
      </w:r>
      <w:r w:rsidRPr="005B30A9">
        <w:tab/>
        <w:t>Las siguientes medidas están en fase de preparación:</w:t>
      </w:r>
    </w:p>
    <w:p w14:paraId="68D4EBEA" w14:textId="38487E36" w:rsidR="009612CC" w:rsidRPr="005B30A9" w:rsidRDefault="009612CC" w:rsidP="001F207F">
      <w:pPr>
        <w:pStyle w:val="Bullet1G"/>
      </w:pPr>
      <w:r w:rsidRPr="005B30A9">
        <w:t>Actualización del Plan Nacional de Energía y Clima</w:t>
      </w:r>
      <w:r w:rsidR="001F207F" w:rsidRPr="005B30A9">
        <w:t>.</w:t>
      </w:r>
    </w:p>
    <w:p w14:paraId="4B6B5024" w14:textId="77777777" w:rsidR="009612CC" w:rsidRPr="005B30A9" w:rsidRDefault="009612CC" w:rsidP="001F207F">
      <w:pPr>
        <w:pStyle w:val="Bullet1G"/>
      </w:pPr>
      <w:r w:rsidRPr="005B30A9">
        <w:t>Proyecto de ley federal sobre la eliminación gradual del suministro de calefacción mediante combustibles fósiles (Ley de Calefacción Renovable).</w:t>
      </w:r>
    </w:p>
    <w:p w14:paraId="6EEE50A3" w14:textId="34C1AED0" w:rsidR="009612CC" w:rsidRPr="005B30A9" w:rsidRDefault="009612CC" w:rsidP="009612CC">
      <w:pPr>
        <w:pStyle w:val="SingleTxtG"/>
        <w:rPr>
          <w:bCs/>
        </w:rPr>
      </w:pPr>
      <w:r w:rsidRPr="005B30A9">
        <w:t>82.</w:t>
      </w:r>
      <w:r w:rsidRPr="005B30A9">
        <w:tab/>
        <w:t>Puede consultarse una sinopsis de las actuales medidas de acción climática y protección del medio ambiente en el informe anual del Ministerio Federal de Finanzas (</w:t>
      </w:r>
      <w:r w:rsidRPr="005B30A9">
        <w:rPr>
          <w:i/>
          <w:iCs/>
        </w:rPr>
        <w:t>Bundesministerium für Finanzen/</w:t>
      </w:r>
      <w:r w:rsidRPr="00CB0234">
        <w:t>BMF</w:t>
      </w:r>
      <w:r w:rsidRPr="005B30A9">
        <w:t>) sobre la protección climática y ambiental</w:t>
      </w:r>
      <w:r w:rsidRPr="005B30A9">
        <w:rPr>
          <w:rStyle w:val="Refdenotaalpie"/>
        </w:rPr>
        <w:footnoteReference w:id="15"/>
      </w:r>
      <w:r w:rsidRPr="005B30A9">
        <w:t>.</w:t>
      </w:r>
    </w:p>
    <w:p w14:paraId="47987C11" w14:textId="501EB1B0" w:rsidR="009612CC" w:rsidRPr="005B30A9" w:rsidRDefault="001F207F" w:rsidP="001F207F">
      <w:pPr>
        <w:pStyle w:val="H4G"/>
      </w:pPr>
      <w:r w:rsidRPr="005B30A9">
        <w:tab/>
      </w:r>
      <w:r w:rsidR="009612CC" w:rsidRPr="005B30A9">
        <w:tab/>
        <w:t>Medidas ilustrativas de los Länder</w:t>
      </w:r>
    </w:p>
    <w:p w14:paraId="3FDC85F2" w14:textId="77777777" w:rsidR="009612CC" w:rsidRPr="005B30A9" w:rsidRDefault="009612CC" w:rsidP="009612CC">
      <w:pPr>
        <w:pStyle w:val="SingleTxtG"/>
      </w:pPr>
      <w:r w:rsidRPr="005B30A9">
        <w:t>83.</w:t>
      </w:r>
      <w:r w:rsidRPr="005B30A9">
        <w:tab/>
        <w:t xml:space="preserve">Las metas de los distintos </w:t>
      </w:r>
      <w:r w:rsidRPr="005B30A9">
        <w:rPr>
          <w:i/>
          <w:iCs/>
        </w:rPr>
        <w:t xml:space="preserve">Länder </w:t>
      </w:r>
      <w:r w:rsidRPr="005B30A9">
        <w:t xml:space="preserve">en materia de clima y energía que aparecen en los documentos de planificación estratégica deben corresponderse, en general, con las metas nacionales: algunos </w:t>
      </w:r>
      <w:r w:rsidRPr="005B30A9">
        <w:rPr>
          <w:i/>
          <w:iCs/>
        </w:rPr>
        <w:t xml:space="preserve">Länder </w:t>
      </w:r>
      <w:r w:rsidRPr="005B30A9">
        <w:t>todavía no han realizado las respectivas adaptaciones.</w:t>
      </w:r>
    </w:p>
    <w:p w14:paraId="0A0B72BA" w14:textId="295A6A5F" w:rsidR="009612CC" w:rsidRPr="005B30A9" w:rsidRDefault="001F207F" w:rsidP="001F207F">
      <w:pPr>
        <w:pStyle w:val="H23G"/>
      </w:pPr>
      <w:r w:rsidRPr="005B30A9">
        <w:lastRenderedPageBreak/>
        <w:tab/>
      </w:r>
      <w:r w:rsidR="009612CC" w:rsidRPr="005B30A9">
        <w:tab/>
        <w:t xml:space="preserve">Efectos del cambio climático en el disfrute de los derechos previstos en el Pacto </w:t>
      </w:r>
      <w:r w:rsidRPr="005B30A9">
        <w:br/>
      </w:r>
      <w:r w:rsidR="009612CC" w:rsidRPr="005B30A9">
        <w:t>y medidas de adaptación</w:t>
      </w:r>
    </w:p>
    <w:p w14:paraId="743D0CEE" w14:textId="77777777" w:rsidR="009612CC" w:rsidRPr="005B30A9" w:rsidRDefault="009612CC" w:rsidP="009612CC">
      <w:pPr>
        <w:pStyle w:val="SingleTxtG"/>
        <w:rPr>
          <w:bCs/>
        </w:rPr>
      </w:pPr>
      <w:r w:rsidRPr="005B30A9">
        <w:t>84.</w:t>
      </w:r>
      <w:r w:rsidRPr="005B30A9">
        <w:tab/>
        <w:t>En 2012 se implantó una estrategia integral de adaptación</w:t>
      </w:r>
      <w:r w:rsidRPr="005B30A9">
        <w:rPr>
          <w:rStyle w:val="Refdenotaalpie"/>
        </w:rPr>
        <w:footnoteReference w:id="16"/>
      </w:r>
      <w:r w:rsidRPr="005B30A9">
        <w:t xml:space="preserve"> elaborada con la participación de los </w:t>
      </w:r>
      <w:r w:rsidRPr="005B30A9">
        <w:rPr>
          <w:i/>
          <w:iCs/>
        </w:rPr>
        <w:t>Länder</w:t>
      </w:r>
      <w:r w:rsidRPr="005B30A9">
        <w:t>, (ampliada en 2017 y actualizada por segunda vez en el momento actual) en la que figuran análisis y recomendaciones detallados con respecto a 14 esferas de acción. Los organismos públicos y el sector privado tienen en cuenta sistemáticamente las posibles consecuencias del cambio climático en todos los procesos pertinentes de planificación y adopción de decisiones, desde el ámbito nacional hasta el local. En informes periódicos (el más reciente de 2021) se documentan los avances en la aplicación de las esferas de acción.</w:t>
      </w:r>
    </w:p>
    <w:p w14:paraId="6525EB9D" w14:textId="77777777" w:rsidR="009612CC" w:rsidRPr="005B30A9" w:rsidRDefault="009612CC" w:rsidP="009612CC">
      <w:pPr>
        <w:pStyle w:val="SingleTxtG"/>
        <w:rPr>
          <w:bCs/>
        </w:rPr>
      </w:pPr>
      <w:r w:rsidRPr="005B30A9">
        <w:t>85.</w:t>
      </w:r>
      <w:r w:rsidRPr="005B30A9">
        <w:tab/>
        <w:t>En la esfera de acción centrada en la economía figuran recomendaciones sobre las dificultades relacionadas con el cambio climático en los sectores de la fabricación, el comercio y los seguros. En un capítulo especial sobre los aspectos sociales del cambio climático se recomiendan ulteriores medidas. La estrategia de adaptación de Austria fue la primera de Europa en analizar los aspectos sociales del cambio climático. En ella se tratan los aspectos culturales de este capítulo y la esfera de acción centrada en el turismo.</w:t>
      </w:r>
    </w:p>
    <w:p w14:paraId="7ACCC843" w14:textId="77777777" w:rsidR="009612CC" w:rsidRPr="005B30A9" w:rsidRDefault="009612CC" w:rsidP="009612CC">
      <w:pPr>
        <w:pStyle w:val="SingleTxtG"/>
        <w:rPr>
          <w:bCs/>
        </w:rPr>
      </w:pPr>
      <w:r w:rsidRPr="005B30A9">
        <w:t>86.</w:t>
      </w:r>
      <w:r w:rsidRPr="005B30A9">
        <w:tab/>
        <w:t>Medidas que atienden (en parte) la demanda de mano de obra (calificada) para la transición energética:</w:t>
      </w:r>
    </w:p>
    <w:p w14:paraId="1D2BB791" w14:textId="296325F3" w:rsidR="009612CC" w:rsidRPr="005B30A9" w:rsidRDefault="009612CC" w:rsidP="001F207F">
      <w:pPr>
        <w:pStyle w:val="Bullet1G"/>
      </w:pPr>
      <w:r w:rsidRPr="005B30A9">
        <w:t>Desde 2022, una nueva fundación ambiental financia la capacitación inicial y ulterior en ámbitos como las energías renovables y la tecnología ambiental de trabajadores poco calificados o personas con calificaciones que ya no se pueden ejercer (en correspondencia con los objetivos ambientales del Programa Gubernamental)</w:t>
      </w:r>
      <w:r w:rsidR="001F207F" w:rsidRPr="005B30A9">
        <w:t>.</w:t>
      </w:r>
    </w:p>
    <w:p w14:paraId="312DE7A7" w14:textId="77777777" w:rsidR="009612CC" w:rsidRPr="005B30A9" w:rsidRDefault="009612CC" w:rsidP="00233C8D">
      <w:pPr>
        <w:pStyle w:val="Bullet1G"/>
      </w:pPr>
      <w:r w:rsidRPr="005B30A9">
        <w:t>El Servicio de Empleo (</w:t>
      </w:r>
      <w:r w:rsidRPr="005B30A9">
        <w:rPr>
          <w:i/>
          <w:iCs/>
        </w:rPr>
        <w:t>Arbeitsmarktservice/</w:t>
      </w:r>
      <w:r w:rsidRPr="00233C8D">
        <w:t>AMS</w:t>
      </w:r>
      <w:r w:rsidRPr="005B30A9">
        <w:t>) prestó apoyo a unas 8.100 personas en 2022 mediante perfeccionamiento profesional y medidas de empleo.</w:t>
      </w:r>
    </w:p>
    <w:p w14:paraId="491CD16D" w14:textId="5BB39199" w:rsidR="009612CC" w:rsidRPr="005B30A9" w:rsidRDefault="001F207F" w:rsidP="001F207F">
      <w:pPr>
        <w:pStyle w:val="H4G"/>
      </w:pPr>
      <w:r w:rsidRPr="005B30A9">
        <w:tab/>
      </w:r>
      <w:r w:rsidR="009612CC" w:rsidRPr="005B30A9">
        <w:tab/>
        <w:t>Medidas ilustrativas de los Länder</w:t>
      </w:r>
    </w:p>
    <w:p w14:paraId="719B21AE" w14:textId="77777777" w:rsidR="009612CC" w:rsidRPr="005B30A9" w:rsidRDefault="009612CC" w:rsidP="009612CC">
      <w:pPr>
        <w:pStyle w:val="SingleTxtG"/>
      </w:pPr>
      <w:r w:rsidRPr="005B30A9">
        <w:t>87.</w:t>
      </w:r>
      <w:r w:rsidRPr="005B30A9">
        <w:tab/>
        <w:t>Vorarlberg, Salzburgo: estrategia de adaptación propia.</w:t>
      </w:r>
    </w:p>
    <w:p w14:paraId="6767FD4E" w14:textId="77777777" w:rsidR="009612CC" w:rsidRPr="005B30A9" w:rsidRDefault="009612CC" w:rsidP="009612CC">
      <w:pPr>
        <w:pStyle w:val="SingleTxtG"/>
      </w:pPr>
      <w:r w:rsidRPr="005B30A9">
        <w:t>88.</w:t>
      </w:r>
      <w:r w:rsidRPr="005B30A9">
        <w:tab/>
        <w:t>Burgenland: medidas de adaptación integradas en los programas y estrategias sectoriales.</w:t>
      </w:r>
    </w:p>
    <w:p w14:paraId="1B6D8529" w14:textId="77777777" w:rsidR="009612CC" w:rsidRPr="005B30A9" w:rsidRDefault="009612CC" w:rsidP="009612CC">
      <w:pPr>
        <w:pStyle w:val="SingleTxtG"/>
      </w:pPr>
      <w:r w:rsidRPr="005B30A9">
        <w:t>89.</w:t>
      </w:r>
      <w:r w:rsidRPr="005B30A9">
        <w:tab/>
        <w:t>Carintia, Viena: medidas de adaptación integradas en los actuales programas de acción climática.</w:t>
      </w:r>
    </w:p>
    <w:p w14:paraId="539A37FB" w14:textId="77777777" w:rsidR="009612CC" w:rsidRPr="005B30A9" w:rsidRDefault="009612CC" w:rsidP="009612CC">
      <w:pPr>
        <w:pStyle w:val="SingleTxtG"/>
      </w:pPr>
      <w:r w:rsidRPr="005B30A9">
        <w:t>90.</w:t>
      </w:r>
      <w:r w:rsidRPr="005B30A9">
        <w:tab/>
        <w:t xml:space="preserve">Demás </w:t>
      </w:r>
      <w:r w:rsidRPr="005B30A9">
        <w:rPr>
          <w:i/>
          <w:iCs/>
        </w:rPr>
        <w:t>Länder</w:t>
      </w:r>
      <w:r w:rsidRPr="005B30A9">
        <w:t>: estrategia integrada de adaptación climática y protección del clima.</w:t>
      </w:r>
    </w:p>
    <w:p w14:paraId="5E6279F7" w14:textId="472DA9EE" w:rsidR="009612CC" w:rsidRPr="005B30A9" w:rsidRDefault="00446ADF" w:rsidP="00446ADF">
      <w:pPr>
        <w:pStyle w:val="H1G"/>
      </w:pPr>
      <w:r w:rsidRPr="005B30A9">
        <w:tab/>
      </w:r>
      <w:r w:rsidR="009612CC" w:rsidRPr="005B30A9">
        <w:tab/>
        <w:t>Respuesta al párrafo 11 de la lista de cuestiones</w:t>
      </w:r>
    </w:p>
    <w:p w14:paraId="02EDD426" w14:textId="29978081" w:rsidR="009612CC" w:rsidRPr="005B30A9" w:rsidRDefault="009612CC" w:rsidP="00446ADF">
      <w:pPr>
        <w:pStyle w:val="H23G"/>
      </w:pPr>
      <w:r w:rsidRPr="005B30A9">
        <w:tab/>
      </w:r>
      <w:r w:rsidR="00446ADF" w:rsidRPr="005B30A9">
        <w:tab/>
      </w:r>
      <w:r w:rsidRPr="005B30A9">
        <w:t xml:space="preserve">Aplicación de las recomendaciones del Tribunal de Cuentas de Austria </w:t>
      </w:r>
      <w:r w:rsidR="00446ADF" w:rsidRPr="005B30A9">
        <w:br/>
      </w:r>
      <w:r w:rsidRPr="005B30A9">
        <w:t>sobre la implementación de la Agenda 2030</w:t>
      </w:r>
    </w:p>
    <w:p w14:paraId="78F059FE" w14:textId="77777777" w:rsidR="009612CC" w:rsidRPr="005B30A9" w:rsidRDefault="009612CC" w:rsidP="009612CC">
      <w:pPr>
        <w:pStyle w:val="SingleTxtG"/>
        <w:rPr>
          <w:bCs/>
        </w:rPr>
      </w:pPr>
      <w:r w:rsidRPr="005B30A9">
        <w:t>91.</w:t>
      </w:r>
      <w:r w:rsidRPr="005B30A9">
        <w:tab/>
        <w:t>Según el informe de seguimiento de 2022 del Tribunal de Cuentas de Austria (</w:t>
      </w:r>
      <w:r w:rsidRPr="005B30A9">
        <w:rPr>
          <w:i/>
          <w:iCs/>
        </w:rPr>
        <w:t>Rechnungshof/RH</w:t>
      </w:r>
      <w:r w:rsidRPr="005B30A9">
        <w:t>), entre las medidas por las que se aplican sus recomendaciones de 2018 figuran las siguientes</w:t>
      </w:r>
      <w:r w:rsidRPr="005B30A9">
        <w:rPr>
          <w:rStyle w:val="Refdenotaalpie"/>
        </w:rPr>
        <w:footnoteReference w:id="17"/>
      </w:r>
      <w:r w:rsidRPr="005B30A9">
        <w:t>:</w:t>
      </w:r>
    </w:p>
    <w:p w14:paraId="37B95B37" w14:textId="3F4153CB" w:rsidR="009612CC" w:rsidRPr="005B30A9" w:rsidRDefault="009612CC" w:rsidP="00446ADF">
      <w:pPr>
        <w:pStyle w:val="Bullet1G"/>
      </w:pPr>
      <w:r w:rsidRPr="005B30A9">
        <w:t>En 2021, un grupo directivo complementó la labor del grupo de trabajo interministerial para la implementación de la Agenda 2030 para el Desarrollo Sostenible” (</w:t>
      </w:r>
      <w:r w:rsidRPr="005B30A9">
        <w:rPr>
          <w:i/>
          <w:iCs/>
        </w:rPr>
        <w:t>Interministerielle Arbeitsgruppe/</w:t>
      </w:r>
      <w:r w:rsidRPr="00070BAA">
        <w:t>IMAG</w:t>
      </w:r>
      <w:r w:rsidRPr="005B30A9">
        <w:t>), creado en 2016, que reúne a representantes oficiales de todos los ministerios federales</w:t>
      </w:r>
      <w:r w:rsidR="00446ADF" w:rsidRPr="005B30A9">
        <w:t>.</w:t>
      </w:r>
    </w:p>
    <w:p w14:paraId="5CED13C9" w14:textId="38991D6E" w:rsidR="009612CC" w:rsidRPr="005B30A9" w:rsidRDefault="009612CC" w:rsidP="00446ADF">
      <w:pPr>
        <w:pStyle w:val="Bullet1G"/>
      </w:pPr>
      <w:r w:rsidRPr="005B30A9">
        <w:t xml:space="preserve">En julio de 2020, Austria presentó su primer informe de examen nacional voluntario sobre la consecución de los Objetivos de Desarrollo Sostenible (ODS) en el foro político de alto nivel sobre el desarrollo sostenible de las Naciones Unidas, celebrado </w:t>
      </w:r>
      <w:r w:rsidRPr="005B30A9">
        <w:lastRenderedPageBreak/>
        <w:t xml:space="preserve">en Nueva York. Fue resultado de un proceso multipartito en el que participaron todos los ministerios federales, los </w:t>
      </w:r>
      <w:r w:rsidRPr="005B30A9">
        <w:rPr>
          <w:i/>
          <w:iCs/>
        </w:rPr>
        <w:t>Länder</w:t>
      </w:r>
      <w:r w:rsidRPr="005B30A9">
        <w:t xml:space="preserve">, la Asociación de Municipios </w:t>
      </w:r>
      <w:r w:rsidRPr="005A41EA">
        <w:rPr>
          <w:i/>
          <w:iCs/>
        </w:rPr>
        <w:t>(</w:t>
      </w:r>
      <w:r w:rsidRPr="005B30A9">
        <w:rPr>
          <w:i/>
          <w:iCs/>
        </w:rPr>
        <w:t>Gemeindebund</w:t>
      </w:r>
      <w:r w:rsidRPr="005A41EA">
        <w:rPr>
          <w:i/>
          <w:iCs/>
        </w:rPr>
        <w:t>)</w:t>
      </w:r>
      <w:r w:rsidRPr="005B30A9">
        <w:t xml:space="preserve">, la Asociación de Ciudades </w:t>
      </w:r>
      <w:r w:rsidRPr="005A41EA">
        <w:rPr>
          <w:i/>
          <w:iCs/>
        </w:rPr>
        <w:t>(</w:t>
      </w:r>
      <w:r w:rsidRPr="005B30A9">
        <w:rPr>
          <w:i/>
          <w:iCs/>
        </w:rPr>
        <w:t>Städtebund</w:t>
      </w:r>
      <w:r w:rsidRPr="005A41EA">
        <w:rPr>
          <w:i/>
          <w:iCs/>
        </w:rPr>
        <w:t>)</w:t>
      </w:r>
      <w:r w:rsidRPr="005B30A9">
        <w:t xml:space="preserve"> y representantes de los interlocutores sociales, la sociedad civil, las empresas y el mundo académico</w:t>
      </w:r>
      <w:r w:rsidR="00446ADF" w:rsidRPr="005B30A9">
        <w:t>.</w:t>
      </w:r>
    </w:p>
    <w:p w14:paraId="0E1CF8D0" w14:textId="77777777" w:rsidR="009612CC" w:rsidRPr="005B30A9" w:rsidRDefault="009612CC" w:rsidP="00446ADF">
      <w:pPr>
        <w:pStyle w:val="Bullet1G"/>
      </w:pPr>
      <w:r w:rsidRPr="005B30A9">
        <w:t>En mayo de 2020, el Órgano de Estadísticas de Austria publicó por encargo de la BKA un extenso informe nacional sobre los indicadores de los ODS</w:t>
      </w:r>
      <w:r w:rsidRPr="005B30A9">
        <w:rPr>
          <w:rStyle w:val="Refdenotaalpie"/>
        </w:rPr>
        <w:footnoteReference w:id="18"/>
      </w:r>
      <w:r w:rsidRPr="005B30A9">
        <w:t xml:space="preserve"> en el que se miden los avances realizados desde 2010 en la implementación de la Agenda 2030. En noviembre de 2020, en un informe complementario</w:t>
      </w:r>
      <w:r w:rsidRPr="005B30A9">
        <w:rPr>
          <w:rStyle w:val="Refdenotaalpie"/>
        </w:rPr>
        <w:footnoteReference w:id="19"/>
      </w:r>
      <w:r w:rsidRPr="005B30A9">
        <w:t xml:space="preserve"> se documentó el impacto de la COVID-19 en los ODS.</w:t>
      </w:r>
    </w:p>
    <w:p w14:paraId="08820188" w14:textId="1C538BE5" w:rsidR="009612CC" w:rsidRPr="005B30A9" w:rsidRDefault="009612CC" w:rsidP="009612CC">
      <w:pPr>
        <w:pStyle w:val="SingleTxtG"/>
        <w:rPr>
          <w:bCs/>
        </w:rPr>
      </w:pPr>
      <w:r w:rsidRPr="005B30A9">
        <w:t>92.</w:t>
      </w:r>
      <w:r w:rsidRPr="005B30A9">
        <w:tab/>
        <w:t>Las recomendaciones que presenta el RH en su informe de seguimiento de 2022 se refieren principalmente a la presentación al Parlamento de informes periódicos sobre la marcha de los trabajos y a la realización de un análisis sistemático de las deficiencias. El</w:t>
      </w:r>
      <w:r w:rsidR="005A41EA">
        <w:t> </w:t>
      </w:r>
      <w:r w:rsidRPr="005B30A9">
        <w:t>12</w:t>
      </w:r>
      <w:r w:rsidR="005A41EA">
        <w:t> </w:t>
      </w:r>
      <w:r w:rsidRPr="005B30A9">
        <w:t>de abril de 2023, el Consejo de Ministros aprobó el informe sobre la implementación de la Agenda 2030 en Austria y por Austria de 2020 a 2022</w:t>
      </w:r>
      <w:r w:rsidRPr="005B30A9">
        <w:rPr>
          <w:rStyle w:val="Refdenotaalpie"/>
        </w:rPr>
        <w:footnoteReference w:id="20"/>
      </w:r>
      <w:r w:rsidRPr="005B30A9">
        <w:t>. El informe es una respuesta a las recomendaciones porque:</w:t>
      </w:r>
    </w:p>
    <w:p w14:paraId="7E817A32" w14:textId="36BAEA81" w:rsidR="009612CC" w:rsidRPr="005B30A9" w:rsidRDefault="009612CC" w:rsidP="00446ADF">
      <w:pPr>
        <w:pStyle w:val="Bullet1G"/>
      </w:pPr>
      <w:r w:rsidRPr="005B30A9">
        <w:t>Incluye un balance de los progresos realizados desde el informe de examen nacional voluntario de 2020</w:t>
      </w:r>
      <w:r w:rsidR="00446ADF" w:rsidRPr="005B30A9">
        <w:t>.</w:t>
      </w:r>
    </w:p>
    <w:p w14:paraId="4839CE6B" w14:textId="46D1E1DC" w:rsidR="009612CC" w:rsidRPr="005B30A9" w:rsidRDefault="009612CC" w:rsidP="00446ADF">
      <w:pPr>
        <w:pStyle w:val="Bullet1G"/>
      </w:pPr>
      <w:r w:rsidRPr="005B30A9">
        <w:t xml:space="preserve">Se hace hincapié en la presentación de nuevos ejemplos de aplicación y de iniciativas emblemáticas de los ministerios federales, teniendo en cuenta a la vez las medidas de los </w:t>
      </w:r>
      <w:r w:rsidRPr="005B30A9">
        <w:rPr>
          <w:i/>
          <w:iCs/>
        </w:rPr>
        <w:t>Länder</w:t>
      </w:r>
      <w:r w:rsidRPr="005B30A9">
        <w:t>, las ciudades y los municipios</w:t>
      </w:r>
      <w:r w:rsidR="00446ADF" w:rsidRPr="005B30A9">
        <w:t>.</w:t>
      </w:r>
    </w:p>
    <w:p w14:paraId="6CB0BB41" w14:textId="35F7D249" w:rsidR="009612CC" w:rsidRPr="005B30A9" w:rsidRDefault="009612CC" w:rsidP="00446ADF">
      <w:pPr>
        <w:pStyle w:val="Bullet1G"/>
      </w:pPr>
      <w:r w:rsidRPr="005B30A9">
        <w:t>Incorpora un capítulo en el que se presentan datos recientes (basados en un informe sobre los indicadores de los ODS encargado específicamente al Órgano de Estadísticas de Austria</w:t>
      </w:r>
      <w:r w:rsidRPr="005B30A9">
        <w:rPr>
          <w:rStyle w:val="Refdenotaalpie"/>
        </w:rPr>
        <w:footnoteReference w:id="21"/>
      </w:r>
      <w:r w:rsidRPr="005B30A9">
        <w:t>) para cada uno de los 17 ODS</w:t>
      </w:r>
      <w:r w:rsidR="00446ADF" w:rsidRPr="005B30A9">
        <w:t>.</w:t>
      </w:r>
    </w:p>
    <w:p w14:paraId="530CAB64" w14:textId="77777777" w:rsidR="009612CC" w:rsidRPr="005B30A9" w:rsidRDefault="009612CC" w:rsidP="00446ADF">
      <w:pPr>
        <w:pStyle w:val="Bullet1G"/>
      </w:pPr>
      <w:r w:rsidRPr="005B30A9">
        <w:t>Se debatió en el Parlamento el 5 de julio de 2023.</w:t>
      </w:r>
    </w:p>
    <w:p w14:paraId="2818020E" w14:textId="77777777" w:rsidR="009612CC" w:rsidRPr="005B30A9" w:rsidRDefault="009612CC" w:rsidP="009612CC">
      <w:pPr>
        <w:pStyle w:val="SingleTxtG"/>
        <w:rPr>
          <w:bCs/>
        </w:rPr>
      </w:pPr>
      <w:r w:rsidRPr="005B30A9">
        <w:t>93.</w:t>
      </w:r>
      <w:r w:rsidRPr="005B30A9">
        <w:tab/>
        <w:t>El 12 de octubre de 2022, el Consejo de Ministros decidió que Austria presentara en julio de 2024 un segundo informe de examen nacional voluntario al foro político de alto nivel sobre el desarrollo sostenible y que una vez más el informe se elaborara mediante un proceso multipartito transparente y participativo. Dirigen la preparación la BKA y el Ministerio Federal de Asuntos Europeos e Internacionales (</w:t>
      </w:r>
      <w:r w:rsidRPr="005B30A9">
        <w:rPr>
          <w:i/>
          <w:iCs/>
        </w:rPr>
        <w:t>Bundesministerium für europäische und internationale Angelegenheiten/</w:t>
      </w:r>
      <w:r w:rsidRPr="005A41EA">
        <w:t>BMEIA</w:t>
      </w:r>
      <w:r w:rsidRPr="005B30A9">
        <w:t>). Una vez más, el IMAG actuará como mecanismo de cooperación e intercambio de información y coordinará a nivel federal la presentación de informes sobre la implementación de la Agenda 2030 a través del grupo directivo. El Órgano de Estadísticas de Austria actualizará el informe sobre los indicadores de los ODS.</w:t>
      </w:r>
    </w:p>
    <w:p w14:paraId="3C13AE0D" w14:textId="4C2A8D8F" w:rsidR="009612CC" w:rsidRPr="005B30A9" w:rsidRDefault="009612CC" w:rsidP="009612CC">
      <w:pPr>
        <w:pStyle w:val="SingleTxtG"/>
        <w:rPr>
          <w:bCs/>
        </w:rPr>
      </w:pPr>
      <w:r w:rsidRPr="005B30A9">
        <w:t>94.</w:t>
      </w:r>
      <w:r w:rsidRPr="005B30A9">
        <w:tab/>
        <w:t>El Foro de Diálogo sobre los ODS reforzará la cooperación entre los agentes gubernamentales y no gubernamentales. El Tercer Foro de Diálogo sobre los ODS (12 de octubre de 2023) se ocupó del segundo Examen Nacional Voluntario. En 2020 se rediseñó el sitio web del Gobierno Federal dedicado a la Agenda 2030</w:t>
      </w:r>
      <w:r w:rsidRPr="005B30A9">
        <w:rPr>
          <w:rStyle w:val="Refdenotaalpie"/>
        </w:rPr>
        <w:footnoteReference w:id="22"/>
      </w:r>
      <w:r w:rsidRPr="005B30A9">
        <w:t>.</w:t>
      </w:r>
    </w:p>
    <w:p w14:paraId="5A08EFD4" w14:textId="77777777" w:rsidR="009612CC" w:rsidRPr="005B30A9" w:rsidRDefault="009612CC" w:rsidP="009612CC">
      <w:pPr>
        <w:pStyle w:val="SingleTxtG"/>
        <w:rPr>
          <w:bCs/>
        </w:rPr>
      </w:pPr>
      <w:r w:rsidRPr="005B30A9">
        <w:t>95.</w:t>
      </w:r>
      <w:r w:rsidRPr="005B30A9">
        <w:tab/>
        <w:t>En distintas publicaciones y clasificaciones, entre ellas el índice ODS de la Red de Soluciones para el Desarrollo Sostenible y el de la Fundación Bertelsmann, Austria aparece en el quinto puesto a nivel mundial y en el cuarto de Europa por lo que se refiere a la implementación de la Agenda 2030.</w:t>
      </w:r>
    </w:p>
    <w:p w14:paraId="23E58051" w14:textId="7F4B1AF3" w:rsidR="009612CC" w:rsidRPr="005B30A9" w:rsidRDefault="00446ADF" w:rsidP="00446ADF">
      <w:pPr>
        <w:pStyle w:val="H1G"/>
      </w:pPr>
      <w:r w:rsidRPr="005B30A9">
        <w:lastRenderedPageBreak/>
        <w:tab/>
      </w:r>
      <w:r w:rsidR="009612CC" w:rsidRPr="005B30A9">
        <w:tab/>
        <w:t>Respuesta al párrafo 12 a) de la lista de cuestiones</w:t>
      </w:r>
    </w:p>
    <w:p w14:paraId="36787745" w14:textId="3490AC68" w:rsidR="009612CC" w:rsidRPr="005B30A9" w:rsidRDefault="009612CC" w:rsidP="00446ADF">
      <w:pPr>
        <w:pStyle w:val="H23G"/>
      </w:pPr>
      <w:r w:rsidRPr="005B30A9">
        <w:tab/>
      </w:r>
      <w:r w:rsidR="00446ADF" w:rsidRPr="005B30A9">
        <w:tab/>
      </w:r>
      <w:r w:rsidRPr="005B30A9">
        <w:t xml:space="preserve">Proporción de personas que viven por debajo del umbral de pobreza </w:t>
      </w:r>
      <w:r w:rsidR="00446ADF" w:rsidRPr="005B30A9">
        <w:br/>
      </w:r>
      <w:r w:rsidRPr="005B30A9">
        <w:t>y nivel de desigualdad</w:t>
      </w:r>
    </w:p>
    <w:p w14:paraId="468475B9" w14:textId="77777777" w:rsidR="009612CC" w:rsidRPr="005B30A9" w:rsidRDefault="009612CC" w:rsidP="009612CC">
      <w:pPr>
        <w:pStyle w:val="SingleTxtG"/>
        <w:rPr>
          <w:bCs/>
        </w:rPr>
      </w:pPr>
      <w:r w:rsidRPr="005B30A9">
        <w:t>96.</w:t>
      </w:r>
      <w:r w:rsidRPr="005B30A9">
        <w:tab/>
        <w:t>En cuanto a la evolución de la proporción de personas en situación de riesgo de pobreza, véase el cuadro 8; en cuanto a la evolución de la distribución de la renta, véase el cuadro 9 del anexo estadístico.</w:t>
      </w:r>
    </w:p>
    <w:p w14:paraId="62A50402" w14:textId="2D32CFAC" w:rsidR="009612CC" w:rsidRPr="005B30A9" w:rsidRDefault="00446ADF" w:rsidP="00446ADF">
      <w:pPr>
        <w:pStyle w:val="H1G"/>
      </w:pPr>
      <w:r w:rsidRPr="005B30A9">
        <w:tab/>
      </w:r>
      <w:r w:rsidR="009612CC" w:rsidRPr="005B30A9">
        <w:tab/>
        <w:t>Respuesta al párrafo 12 b) de la lista de cuestiones</w:t>
      </w:r>
    </w:p>
    <w:p w14:paraId="6F97BDB4" w14:textId="102E548F" w:rsidR="009612CC" w:rsidRPr="005B30A9" w:rsidRDefault="009612CC" w:rsidP="00446ADF">
      <w:pPr>
        <w:pStyle w:val="H23G"/>
      </w:pPr>
      <w:r w:rsidRPr="005B30A9">
        <w:tab/>
      </w:r>
      <w:r w:rsidR="00446ADF" w:rsidRPr="005B30A9">
        <w:tab/>
      </w:r>
      <w:r w:rsidRPr="005B30A9">
        <w:t xml:space="preserve">Relación entre los ingresos públicos y el producto interno bruto (PIB) </w:t>
      </w:r>
      <w:r w:rsidR="00446ADF" w:rsidRPr="005B30A9">
        <w:br/>
      </w:r>
      <w:r w:rsidRPr="005B30A9">
        <w:t xml:space="preserve">y proporción de los ingresos públicos que proceden de la recaudación </w:t>
      </w:r>
      <w:r w:rsidR="00446ADF" w:rsidRPr="005B30A9">
        <w:br/>
      </w:r>
      <w:r w:rsidRPr="005B30A9">
        <w:t>de impuestos</w:t>
      </w:r>
    </w:p>
    <w:p w14:paraId="2B55A1B2" w14:textId="77777777" w:rsidR="009612CC" w:rsidRPr="005B30A9" w:rsidRDefault="009612CC" w:rsidP="009612CC">
      <w:pPr>
        <w:pStyle w:val="SingleTxtG"/>
        <w:rPr>
          <w:bCs/>
        </w:rPr>
      </w:pPr>
      <w:r w:rsidRPr="005B30A9">
        <w:t>97.</w:t>
      </w:r>
      <w:r w:rsidRPr="005B30A9">
        <w:tab/>
        <w:t>Véase el cuadro 10 del anexo estadístico.</w:t>
      </w:r>
    </w:p>
    <w:p w14:paraId="0F28F485" w14:textId="5C6EB3F6" w:rsidR="009612CC" w:rsidRPr="005B30A9" w:rsidRDefault="00446ADF" w:rsidP="00446ADF">
      <w:pPr>
        <w:pStyle w:val="H1G"/>
      </w:pPr>
      <w:r w:rsidRPr="005B30A9">
        <w:tab/>
      </w:r>
      <w:r w:rsidR="009612CC" w:rsidRPr="005B30A9">
        <w:tab/>
        <w:t>Respuesta al párrafo 12 c) de la lista de cuestiones</w:t>
      </w:r>
    </w:p>
    <w:p w14:paraId="31395767" w14:textId="0AFE5BDA" w:rsidR="009612CC" w:rsidRPr="005B30A9" w:rsidRDefault="00446ADF" w:rsidP="00446ADF">
      <w:pPr>
        <w:pStyle w:val="H23G"/>
      </w:pPr>
      <w:r w:rsidRPr="005B30A9">
        <w:tab/>
      </w:r>
      <w:r w:rsidR="009612CC" w:rsidRPr="005B30A9">
        <w:tab/>
        <w:t>Tipos impositivos e impuesto sobre la renta del decil más rico de la población</w:t>
      </w:r>
    </w:p>
    <w:p w14:paraId="7FDAD006" w14:textId="445EB76D" w:rsidR="009612CC" w:rsidRPr="005B30A9" w:rsidRDefault="00446ADF" w:rsidP="00446ADF">
      <w:pPr>
        <w:pStyle w:val="H4G"/>
      </w:pPr>
      <w:r w:rsidRPr="005B30A9">
        <w:tab/>
      </w:r>
      <w:r w:rsidR="009612CC" w:rsidRPr="005B30A9">
        <w:t>1.</w:t>
      </w:r>
      <w:r w:rsidR="009612CC" w:rsidRPr="005B30A9">
        <w:tab/>
        <w:t>Impuesto sobre sociedades</w:t>
      </w:r>
    </w:p>
    <w:p w14:paraId="086B6C92" w14:textId="77777777" w:rsidR="009612CC" w:rsidRPr="005B30A9" w:rsidRDefault="009612CC" w:rsidP="009612CC">
      <w:pPr>
        <w:pStyle w:val="SingleTxtG"/>
        <w:rPr>
          <w:bCs/>
        </w:rPr>
      </w:pPr>
      <w:r w:rsidRPr="005B30A9">
        <w:t>98.</w:t>
      </w:r>
      <w:r w:rsidRPr="005B30A9">
        <w:tab/>
        <w:t>Hasta 2022 inclusive, el tipo del impuesto sobre sociedades era del 25 %; en 2023, era del 24 %, y en 2024 se reducirá en mayor medida hasta el 23 %.</w:t>
      </w:r>
    </w:p>
    <w:p w14:paraId="1C30D038" w14:textId="253EC683" w:rsidR="009612CC" w:rsidRPr="005B30A9" w:rsidRDefault="00446ADF" w:rsidP="00446ADF">
      <w:pPr>
        <w:pStyle w:val="H4G"/>
      </w:pPr>
      <w:r w:rsidRPr="005B30A9">
        <w:tab/>
      </w:r>
      <w:r w:rsidR="009612CC" w:rsidRPr="005B30A9">
        <w:t>2.</w:t>
      </w:r>
      <w:r w:rsidR="009612CC" w:rsidRPr="005B30A9">
        <w:tab/>
        <w:t>Impuesto sobre la renta</w:t>
      </w:r>
    </w:p>
    <w:p w14:paraId="17B0AA25" w14:textId="77777777" w:rsidR="009612CC" w:rsidRPr="005B30A9" w:rsidRDefault="009612CC" w:rsidP="009612CC">
      <w:pPr>
        <w:pStyle w:val="SingleTxtG"/>
        <w:rPr>
          <w:bCs/>
        </w:rPr>
      </w:pPr>
      <w:r w:rsidRPr="005B30A9">
        <w:t>99.</w:t>
      </w:r>
      <w:r w:rsidRPr="005B30A9">
        <w:tab/>
        <w:t>Los tipos del impuesto sobre la renta pueden consultarse en el cuadro 11 del anexo estadístico. Desde el 1 de enero de 2023, las cifras de umbral correspondientes a los tipos del impuesto sobre la renta (con excepción de los ingresos superiores a 1 millón de euros) se ajustan automáticamente cada año en función de la inflación a razón de dos tercios. Al compensar el tercio restante, la política fiscal puede aliviar específicamente la carga fiscal de determinados grupos.</w:t>
      </w:r>
    </w:p>
    <w:p w14:paraId="6F7C10F3" w14:textId="6CF8DB01" w:rsidR="009612CC" w:rsidRPr="005B30A9" w:rsidRDefault="00446ADF" w:rsidP="00446ADF">
      <w:pPr>
        <w:pStyle w:val="H4G"/>
      </w:pPr>
      <w:r w:rsidRPr="005B30A9">
        <w:tab/>
      </w:r>
      <w:r w:rsidR="009612CC" w:rsidRPr="005B30A9">
        <w:t>3.</w:t>
      </w:r>
      <w:r w:rsidR="009612CC" w:rsidRPr="005B30A9">
        <w:tab/>
        <w:t>IVA</w:t>
      </w:r>
    </w:p>
    <w:p w14:paraId="05A32D5F" w14:textId="77777777" w:rsidR="009612CC" w:rsidRPr="005B30A9" w:rsidRDefault="009612CC" w:rsidP="009612CC">
      <w:pPr>
        <w:pStyle w:val="SingleTxtG"/>
        <w:rPr>
          <w:bCs/>
        </w:rPr>
      </w:pPr>
      <w:r w:rsidRPr="005B30A9">
        <w:t>100.</w:t>
      </w:r>
      <w:r w:rsidRPr="005B30A9">
        <w:tab/>
        <w:t>Tipo impositivo normal: 20 %.</w:t>
      </w:r>
    </w:p>
    <w:p w14:paraId="601048FC" w14:textId="3256F38E" w:rsidR="009612CC" w:rsidRPr="005B30A9" w:rsidRDefault="009612CC" w:rsidP="009612CC">
      <w:pPr>
        <w:pStyle w:val="SingleTxtG"/>
        <w:rPr>
          <w:bCs/>
        </w:rPr>
      </w:pPr>
      <w:r w:rsidRPr="005B30A9">
        <w:t>101.</w:t>
      </w:r>
      <w:r w:rsidRPr="005B30A9">
        <w:tab/>
        <w:t>Tipo impositivo reducido del 13 %, por ejemplo para:</w:t>
      </w:r>
    </w:p>
    <w:p w14:paraId="6BCCE394" w14:textId="7F38A0D7" w:rsidR="009612CC" w:rsidRPr="005B30A9" w:rsidRDefault="009612CC" w:rsidP="00446ADF">
      <w:pPr>
        <w:pStyle w:val="Bullet1G"/>
      </w:pPr>
      <w:r w:rsidRPr="005B30A9">
        <w:t>Las piscinas públicas</w:t>
      </w:r>
      <w:r w:rsidR="00446ADF" w:rsidRPr="005B30A9">
        <w:t>.</w:t>
      </w:r>
    </w:p>
    <w:p w14:paraId="2E43A485" w14:textId="40E791D5" w:rsidR="009612CC" w:rsidRPr="005B30A9" w:rsidRDefault="009612CC" w:rsidP="00446ADF">
      <w:pPr>
        <w:pStyle w:val="Bullet1G"/>
      </w:pPr>
      <w:r w:rsidRPr="005B30A9">
        <w:t>Servicios culturales y artísticos, como representaciones teatrales y musicales, zoológicos, parques naturales y circos</w:t>
      </w:r>
      <w:r w:rsidR="00446ADF" w:rsidRPr="005B30A9">
        <w:t>.</w:t>
      </w:r>
    </w:p>
    <w:p w14:paraId="740B509D" w14:textId="77777777" w:rsidR="009612CC" w:rsidRPr="005B30A9" w:rsidRDefault="009612CC" w:rsidP="00446ADF">
      <w:pPr>
        <w:pStyle w:val="Bullet1G"/>
      </w:pPr>
      <w:r w:rsidRPr="005B30A9">
        <w:t>Entradas para actos deportivos.</w:t>
      </w:r>
    </w:p>
    <w:p w14:paraId="7120901E" w14:textId="4CCA522C" w:rsidR="009612CC" w:rsidRPr="005B30A9" w:rsidRDefault="009612CC" w:rsidP="009612CC">
      <w:pPr>
        <w:pStyle w:val="SingleTxtG"/>
        <w:rPr>
          <w:bCs/>
        </w:rPr>
      </w:pPr>
      <w:r w:rsidRPr="005B30A9">
        <w:t>102.</w:t>
      </w:r>
      <w:r w:rsidRPr="005B30A9">
        <w:tab/>
        <w:t>Tipo impositivo reducido del 10 %, por ejemplo para:</w:t>
      </w:r>
    </w:p>
    <w:p w14:paraId="0945BD1F" w14:textId="00B793A8" w:rsidR="009612CC" w:rsidRPr="005B30A9" w:rsidRDefault="009612CC" w:rsidP="00446ADF">
      <w:pPr>
        <w:pStyle w:val="Bullet1G"/>
      </w:pPr>
      <w:r w:rsidRPr="005B30A9">
        <w:t>La eliminación de desechos</w:t>
      </w:r>
      <w:r w:rsidR="00446ADF" w:rsidRPr="005B30A9">
        <w:t>.</w:t>
      </w:r>
    </w:p>
    <w:p w14:paraId="5375093B" w14:textId="5898DCC2" w:rsidR="009612CC" w:rsidRPr="005B30A9" w:rsidRDefault="009612CC" w:rsidP="00446ADF">
      <w:pPr>
        <w:pStyle w:val="Bullet1G"/>
      </w:pPr>
      <w:r w:rsidRPr="005B30A9">
        <w:t>Medicamentos</w:t>
      </w:r>
      <w:r w:rsidR="00446ADF" w:rsidRPr="005B30A9">
        <w:t>.</w:t>
      </w:r>
    </w:p>
    <w:p w14:paraId="4BEFF466" w14:textId="403E2376" w:rsidR="009612CC" w:rsidRPr="005B30A9" w:rsidRDefault="009612CC" w:rsidP="00446ADF">
      <w:pPr>
        <w:pStyle w:val="Bullet1G"/>
      </w:pPr>
      <w:r w:rsidRPr="005B30A9">
        <w:t>Servicios de alojamiento</w:t>
      </w:r>
      <w:r w:rsidR="00446ADF" w:rsidRPr="005B30A9">
        <w:t>.</w:t>
      </w:r>
    </w:p>
    <w:p w14:paraId="4F7FD056" w14:textId="6C51C5F0" w:rsidR="009612CC" w:rsidRPr="005B30A9" w:rsidRDefault="009612CC" w:rsidP="00446ADF">
      <w:pPr>
        <w:pStyle w:val="Bullet1G"/>
      </w:pPr>
      <w:r w:rsidRPr="005B30A9">
        <w:t>Libros físicos y electrónicos</w:t>
      </w:r>
      <w:r w:rsidR="00446ADF" w:rsidRPr="005B30A9">
        <w:t>.</w:t>
      </w:r>
    </w:p>
    <w:p w14:paraId="75684091" w14:textId="25F4F8EC" w:rsidR="009612CC" w:rsidRPr="005B30A9" w:rsidRDefault="009612CC" w:rsidP="00446ADF">
      <w:pPr>
        <w:pStyle w:val="Bullet1G"/>
      </w:pPr>
      <w:r w:rsidRPr="005B30A9">
        <w:t>Entrega de alimentos y agua</w:t>
      </w:r>
      <w:r w:rsidR="00446ADF" w:rsidRPr="005B30A9">
        <w:t>.</w:t>
      </w:r>
    </w:p>
    <w:p w14:paraId="3B81E5E6" w14:textId="51908AFB" w:rsidR="009612CC" w:rsidRPr="005B30A9" w:rsidRDefault="009612CC" w:rsidP="00446ADF">
      <w:pPr>
        <w:pStyle w:val="Bullet1G"/>
      </w:pPr>
      <w:r w:rsidRPr="005B30A9">
        <w:t>Transporte de pasajeros</w:t>
      </w:r>
      <w:r w:rsidR="00446ADF" w:rsidRPr="005B30A9">
        <w:t>.</w:t>
      </w:r>
    </w:p>
    <w:p w14:paraId="015D7FB3" w14:textId="3439C103" w:rsidR="009612CC" w:rsidRPr="005B30A9" w:rsidRDefault="009612CC" w:rsidP="00446ADF">
      <w:pPr>
        <w:pStyle w:val="Bullet1G"/>
      </w:pPr>
      <w:r w:rsidRPr="005B30A9">
        <w:t>Consumo en restaurantes y servicios semejantes</w:t>
      </w:r>
      <w:r w:rsidR="00446ADF" w:rsidRPr="005B30A9">
        <w:t>.</w:t>
      </w:r>
    </w:p>
    <w:p w14:paraId="7AF8B304" w14:textId="09AD1D75" w:rsidR="009612CC" w:rsidRPr="005B30A9" w:rsidRDefault="009612CC" w:rsidP="00446ADF">
      <w:pPr>
        <w:pStyle w:val="Bullet1G"/>
      </w:pPr>
      <w:r w:rsidRPr="005B30A9">
        <w:t>Suministro de agua</w:t>
      </w:r>
      <w:r w:rsidR="00446ADF" w:rsidRPr="005B30A9">
        <w:t>.</w:t>
      </w:r>
    </w:p>
    <w:p w14:paraId="31F89B1D" w14:textId="77777777" w:rsidR="009612CC" w:rsidRPr="005B30A9" w:rsidRDefault="009612CC" w:rsidP="00446ADF">
      <w:pPr>
        <w:pStyle w:val="Bullet1G"/>
      </w:pPr>
      <w:r w:rsidRPr="005B30A9">
        <w:t>Alquiler de viviendas.</w:t>
      </w:r>
    </w:p>
    <w:p w14:paraId="296373E4" w14:textId="77777777" w:rsidR="009612CC" w:rsidRPr="005B30A9" w:rsidRDefault="009612CC" w:rsidP="009612CC">
      <w:pPr>
        <w:pStyle w:val="SingleTxtG"/>
        <w:rPr>
          <w:bCs/>
        </w:rPr>
      </w:pPr>
      <w:r w:rsidRPr="005B30A9">
        <w:lastRenderedPageBreak/>
        <w:t>103.</w:t>
      </w:r>
      <w:r w:rsidRPr="005B30A9">
        <w:tab/>
        <w:t>Tipo impositivo reducido (temporalmente) del 5 % para: impresos, servicios del sector de la hostelería y actividades culturales durante la pandemia de COVID-19.</w:t>
      </w:r>
    </w:p>
    <w:p w14:paraId="6761A8D3" w14:textId="77777777" w:rsidR="009612CC" w:rsidRPr="005B30A9" w:rsidRDefault="009612CC" w:rsidP="009612CC">
      <w:pPr>
        <w:pStyle w:val="SingleTxtG"/>
        <w:rPr>
          <w:bCs/>
        </w:rPr>
      </w:pPr>
      <w:r w:rsidRPr="005B30A9">
        <w:t>104.</w:t>
      </w:r>
      <w:r w:rsidRPr="005B30A9">
        <w:tab/>
        <w:t>Tipo del 0 % sin deducción del impuesto soportado (es decir, una verdadera desgravación fiscal), por ejemplo:</w:t>
      </w:r>
    </w:p>
    <w:p w14:paraId="28968CEE" w14:textId="6B0BE114" w:rsidR="009612CC" w:rsidRPr="005B30A9" w:rsidRDefault="009612CC" w:rsidP="00446ADF">
      <w:pPr>
        <w:pStyle w:val="Bullet1G"/>
      </w:pPr>
      <w:r w:rsidRPr="005B30A9">
        <w:t>En el contexto de las exportaciones o el transporte transfronterizo de mercancías junto con los servicios conexos</w:t>
      </w:r>
      <w:r w:rsidR="00446ADF" w:rsidRPr="005B30A9">
        <w:t>.</w:t>
      </w:r>
    </w:p>
    <w:p w14:paraId="32A95DFA" w14:textId="77777777" w:rsidR="009612CC" w:rsidRPr="005B30A9" w:rsidRDefault="009612CC" w:rsidP="00446ADF">
      <w:pPr>
        <w:pStyle w:val="Bullet1G"/>
      </w:pPr>
      <w:r w:rsidRPr="005B30A9">
        <w:t>Desde el 1 de enero de 2023, para el transporte ferroviario transfronterizo de pasajeros en Austria (antes solo era aplicable al transporte en aeronave o en barco).</w:t>
      </w:r>
    </w:p>
    <w:p w14:paraId="26871FA8" w14:textId="77777777" w:rsidR="009612CC" w:rsidRPr="005B30A9" w:rsidRDefault="009612CC" w:rsidP="009612CC">
      <w:pPr>
        <w:pStyle w:val="SingleTxtG"/>
        <w:rPr>
          <w:bCs/>
        </w:rPr>
      </w:pPr>
      <w:r w:rsidRPr="005B30A9">
        <w:t>105.</w:t>
      </w:r>
      <w:r w:rsidRPr="005B30A9">
        <w:tab/>
        <w:t>Tipo del 0 % con deducción del impuesto soportado (es decir, una desgravación fiscal aparente) para, por ejemplo:</w:t>
      </w:r>
    </w:p>
    <w:p w14:paraId="28D62FB9" w14:textId="7F1DE990" w:rsidR="009612CC" w:rsidRPr="005B30A9" w:rsidRDefault="009612CC" w:rsidP="00446ADF">
      <w:pPr>
        <w:pStyle w:val="Bullet1G"/>
      </w:pPr>
      <w:r w:rsidRPr="005B30A9">
        <w:t>El ejercicio y la promoción del deporte físico en organizaciones sin fines de lucro</w:t>
      </w:r>
      <w:r w:rsidR="00446ADF" w:rsidRPr="005B30A9">
        <w:t>.</w:t>
      </w:r>
    </w:p>
    <w:p w14:paraId="3BF18ED2" w14:textId="513DC4BD" w:rsidR="009612CC" w:rsidRPr="005B30A9" w:rsidRDefault="009612CC" w:rsidP="00446ADF">
      <w:pPr>
        <w:pStyle w:val="Bullet1G"/>
      </w:pPr>
      <w:r w:rsidRPr="005B30A9">
        <w:t>Los servicios financieros y de seguros</w:t>
      </w:r>
      <w:r w:rsidR="00446ADF" w:rsidRPr="005B30A9">
        <w:t>.</w:t>
      </w:r>
    </w:p>
    <w:p w14:paraId="3D00D41F" w14:textId="36DDE882" w:rsidR="009612CC" w:rsidRPr="005B30A9" w:rsidRDefault="009612CC" w:rsidP="00446ADF">
      <w:pPr>
        <w:pStyle w:val="Bullet1G"/>
      </w:pPr>
      <w:r w:rsidRPr="005B30A9">
        <w:t>Las transacciones inmobiliarias (excluido el alquiler de vivienda)</w:t>
      </w:r>
      <w:r w:rsidR="00446ADF" w:rsidRPr="005B30A9">
        <w:t>.</w:t>
      </w:r>
    </w:p>
    <w:p w14:paraId="63D68E30" w14:textId="3F157335" w:rsidR="009612CC" w:rsidRPr="005B30A9" w:rsidRDefault="009612CC" w:rsidP="00446ADF">
      <w:pPr>
        <w:pStyle w:val="Bullet1G"/>
      </w:pPr>
      <w:r w:rsidRPr="005B30A9">
        <w:t>Los servicios culturales prestados por organizaciones públicas y sin fines de lucro</w:t>
      </w:r>
      <w:r w:rsidR="00446ADF" w:rsidRPr="005B30A9">
        <w:t>.</w:t>
      </w:r>
    </w:p>
    <w:p w14:paraId="3919BAFA" w14:textId="318CFF41" w:rsidR="009612CC" w:rsidRPr="005B30A9" w:rsidRDefault="009612CC" w:rsidP="00446ADF">
      <w:pPr>
        <w:pStyle w:val="Bullet1G"/>
      </w:pPr>
      <w:r w:rsidRPr="005B30A9">
        <w:t>Actividades médicas y servicios de atención médica prestados en hospitales y residencias de ancianos, exclusivamente en el caso de las organizaciones públicas y sin fines de lucro</w:t>
      </w:r>
      <w:r w:rsidR="00446ADF" w:rsidRPr="005B30A9">
        <w:t>.</w:t>
      </w:r>
    </w:p>
    <w:p w14:paraId="2B26E61C" w14:textId="0DC5850A" w:rsidR="009612CC" w:rsidRPr="005B30A9" w:rsidRDefault="009612CC" w:rsidP="00446ADF">
      <w:pPr>
        <w:pStyle w:val="Bullet1G"/>
      </w:pPr>
      <w:r w:rsidRPr="005B30A9">
        <w:t>Los servicios postales</w:t>
      </w:r>
      <w:r w:rsidR="00446ADF" w:rsidRPr="005B30A9">
        <w:t>.</w:t>
      </w:r>
    </w:p>
    <w:p w14:paraId="0E56791F" w14:textId="77777777" w:rsidR="009612CC" w:rsidRPr="005B30A9" w:rsidRDefault="009612CC" w:rsidP="00446ADF">
      <w:pPr>
        <w:pStyle w:val="Bullet1G"/>
      </w:pPr>
      <w:r w:rsidRPr="005B30A9">
        <w:t>El transporte de pacientes.</w:t>
      </w:r>
    </w:p>
    <w:p w14:paraId="26714F8A" w14:textId="01E2D5F8" w:rsidR="009612CC" w:rsidRPr="005B30A9" w:rsidRDefault="00446ADF" w:rsidP="00446ADF">
      <w:pPr>
        <w:pStyle w:val="H4G"/>
      </w:pPr>
      <w:r w:rsidRPr="005B30A9">
        <w:tab/>
      </w:r>
      <w:r w:rsidR="009612CC" w:rsidRPr="005B30A9">
        <w:t>4.</w:t>
      </w:r>
      <w:r w:rsidR="009612CC" w:rsidRPr="005B30A9">
        <w:tab/>
        <w:t xml:space="preserve">Impuesto sobre la renta (excluidos los ingresos por inversiones) del decil más rico </w:t>
      </w:r>
      <w:r w:rsidRPr="005B30A9">
        <w:br/>
      </w:r>
      <w:r w:rsidR="009612CC" w:rsidRPr="005B30A9">
        <w:t xml:space="preserve">de la población </w:t>
      </w:r>
    </w:p>
    <w:p w14:paraId="64051A3A" w14:textId="77777777" w:rsidR="009612CC" w:rsidRPr="005B30A9" w:rsidRDefault="009612CC" w:rsidP="009612CC">
      <w:pPr>
        <w:pStyle w:val="SingleTxtG"/>
        <w:rPr>
          <w:bCs/>
        </w:rPr>
      </w:pPr>
      <w:r w:rsidRPr="005B30A9">
        <w:t>106.</w:t>
      </w:r>
      <w:r w:rsidRPr="005B30A9">
        <w:tab/>
        <w:t>En 2019, nueve de cada diez personas registradas percibieron el 68,8 % de los ingresos totales y aportaron el 43 % de los ingresos tributarios; en consecuencia, el decil más rico de la población percibió el 31,2 % de los ingresos totales y pagó el 57 % de los impuestos sobre la renta y sobre la nómina salarial.</w:t>
      </w:r>
    </w:p>
    <w:p w14:paraId="32CC0CA5" w14:textId="76373A38" w:rsidR="009612CC" w:rsidRPr="005B30A9" w:rsidRDefault="009612CC" w:rsidP="00446ADF">
      <w:pPr>
        <w:pStyle w:val="H1G"/>
      </w:pPr>
      <w:r w:rsidRPr="005B30A9">
        <w:tab/>
      </w:r>
      <w:r w:rsidR="00446ADF" w:rsidRPr="005B30A9">
        <w:tab/>
      </w:r>
      <w:r w:rsidRPr="005B30A9">
        <w:t>Respuesta al párrafo 12 d) de la lista de cuestiones</w:t>
      </w:r>
    </w:p>
    <w:p w14:paraId="590DED28" w14:textId="6C14AB79" w:rsidR="009612CC" w:rsidRPr="005B30A9" w:rsidRDefault="009612CC" w:rsidP="00446ADF">
      <w:pPr>
        <w:pStyle w:val="H23G"/>
      </w:pPr>
      <w:r w:rsidRPr="005B30A9">
        <w:tab/>
      </w:r>
      <w:r w:rsidR="00446ADF" w:rsidRPr="005B30A9">
        <w:tab/>
      </w:r>
      <w:r w:rsidRPr="005B30A9">
        <w:t>Gastos sociales</w:t>
      </w:r>
    </w:p>
    <w:p w14:paraId="065001DC" w14:textId="77777777" w:rsidR="009612CC" w:rsidRPr="005B30A9" w:rsidRDefault="009612CC" w:rsidP="009612CC">
      <w:pPr>
        <w:pStyle w:val="SingleTxtG"/>
        <w:rPr>
          <w:bCs/>
        </w:rPr>
      </w:pPr>
      <w:r w:rsidRPr="005B30A9">
        <w:t>107.</w:t>
      </w:r>
      <w:r w:rsidRPr="005B30A9">
        <w:tab/>
        <w:t>Puede consultarse un desglose del presupuesto público asignado a gastos sociales en los últimos cinco años en el cuadro 12 del anexo estadístico.</w:t>
      </w:r>
    </w:p>
    <w:p w14:paraId="4663FEBB" w14:textId="77777777" w:rsidR="009612CC" w:rsidRPr="005B30A9" w:rsidRDefault="009612CC" w:rsidP="009612CC">
      <w:pPr>
        <w:pStyle w:val="SingleTxtG"/>
        <w:rPr>
          <w:bCs/>
        </w:rPr>
      </w:pPr>
      <w:r w:rsidRPr="005B30A9">
        <w:t>108.</w:t>
      </w:r>
      <w:r w:rsidRPr="005B30A9">
        <w:tab/>
        <w:t>Según las estadísticas sociales del Sistema Europeo de Estadísticas Integradas de Protección Social, los gastos sociales ascendieron a 136,1 millones de euros en 2022. La proporción del producto interno bruto correspondiente a gasto social fue del 30,4 % (fuente: Órgano de Estadísticas de Austria).</w:t>
      </w:r>
    </w:p>
    <w:p w14:paraId="0530336A" w14:textId="4426A43F" w:rsidR="009612CC" w:rsidRPr="005B30A9" w:rsidRDefault="00446ADF" w:rsidP="00446ADF">
      <w:pPr>
        <w:pStyle w:val="H1G"/>
      </w:pPr>
      <w:r w:rsidRPr="005B30A9">
        <w:tab/>
      </w:r>
      <w:r w:rsidR="009612CC" w:rsidRPr="005B30A9">
        <w:tab/>
        <w:t>Respuesta al párrafo 12 e) de la lista de cuestiones</w:t>
      </w:r>
    </w:p>
    <w:p w14:paraId="25311711" w14:textId="0A442FE7" w:rsidR="009612CC" w:rsidRPr="005B30A9" w:rsidRDefault="00446ADF" w:rsidP="00446ADF">
      <w:pPr>
        <w:pStyle w:val="H23G"/>
      </w:pPr>
      <w:r w:rsidRPr="005B30A9">
        <w:tab/>
      </w:r>
      <w:r w:rsidR="009612CC" w:rsidRPr="005B30A9">
        <w:tab/>
        <w:t>Niveles absolutos de gasto social</w:t>
      </w:r>
    </w:p>
    <w:p w14:paraId="674EAB6F" w14:textId="77777777" w:rsidR="009612CC" w:rsidRPr="005B30A9" w:rsidRDefault="009612CC" w:rsidP="009612CC">
      <w:pPr>
        <w:pStyle w:val="SingleTxtG"/>
        <w:rPr>
          <w:bCs/>
        </w:rPr>
      </w:pPr>
      <w:r w:rsidRPr="005B30A9">
        <w:t>109.</w:t>
      </w:r>
      <w:r w:rsidRPr="005B30A9">
        <w:tab/>
        <w:t>En el cuadro 13 del anexo estadístico puede consultarse una comparación a lo largo de cinco años de los niveles absolutos del gasto social ajustados en función de la inflación.</w:t>
      </w:r>
    </w:p>
    <w:p w14:paraId="5013AD5F" w14:textId="4FCF7C07" w:rsidR="009612CC" w:rsidRPr="005B30A9" w:rsidRDefault="00446ADF" w:rsidP="00446ADF">
      <w:pPr>
        <w:pStyle w:val="H1G"/>
      </w:pPr>
      <w:r w:rsidRPr="005B30A9">
        <w:tab/>
      </w:r>
      <w:r w:rsidR="009612CC" w:rsidRPr="005B30A9">
        <w:tab/>
        <w:t>Respuesta al párrafo 13 de la lista de cuestiones</w:t>
      </w:r>
    </w:p>
    <w:p w14:paraId="1DEEEC82" w14:textId="496B029D" w:rsidR="009612CC" w:rsidRPr="005B30A9" w:rsidRDefault="00446ADF" w:rsidP="00446ADF">
      <w:pPr>
        <w:pStyle w:val="H23G"/>
      </w:pPr>
      <w:r w:rsidRPr="005B30A9">
        <w:tab/>
      </w:r>
      <w:r w:rsidR="009612CC" w:rsidRPr="005B30A9">
        <w:tab/>
        <w:t>Aumento de la asistencia pública al desarrollo</w:t>
      </w:r>
    </w:p>
    <w:p w14:paraId="71F3E647" w14:textId="4F1E9FC8" w:rsidR="009612CC" w:rsidRPr="005B30A9" w:rsidRDefault="009612CC" w:rsidP="009612CC">
      <w:pPr>
        <w:pStyle w:val="SingleTxtG"/>
        <w:rPr>
          <w:bCs/>
        </w:rPr>
      </w:pPr>
      <w:r w:rsidRPr="005B30A9">
        <w:t>110.</w:t>
      </w:r>
      <w:r w:rsidRPr="005B30A9">
        <w:tab/>
        <w:t>El actual Programa Gubernamental prevé un aumento gradual de la asistencia pública al desarrollo hasta situarse en el 0,7 % del PIB. Tras los aumentos de años anteriores, el presupuesto de la Agencia Austr</w:t>
      </w:r>
      <w:r w:rsidR="00695F62">
        <w:t>í</w:t>
      </w:r>
      <w:r w:rsidRPr="005B30A9">
        <w:t xml:space="preserve">aca de Desarrollo (ADA) permaneció sin cambios en 2022, </w:t>
      </w:r>
      <w:r w:rsidRPr="005B30A9">
        <w:lastRenderedPageBreak/>
        <w:t>pero en 2023 volvió a aumentar en 12 millones de euros. También aumentaron los recursos del Fondo para Desastres en el Extranjero.</w:t>
      </w:r>
    </w:p>
    <w:p w14:paraId="34D634B2" w14:textId="5D5773AA" w:rsidR="009612CC" w:rsidRPr="005B30A9" w:rsidRDefault="00446ADF" w:rsidP="00446ADF">
      <w:pPr>
        <w:pStyle w:val="H23G"/>
      </w:pPr>
      <w:r w:rsidRPr="005B30A9">
        <w:tab/>
      </w:r>
      <w:r w:rsidR="009612CC" w:rsidRPr="005B30A9">
        <w:tab/>
        <w:t xml:space="preserve">Enfoque basado en los derechos humanos en materia de asistencia oficial </w:t>
      </w:r>
      <w:r w:rsidRPr="005B30A9">
        <w:br/>
      </w:r>
      <w:r w:rsidR="009612CC" w:rsidRPr="005B30A9">
        <w:t>para el desarrollo</w:t>
      </w:r>
    </w:p>
    <w:p w14:paraId="18B050BB" w14:textId="77777777" w:rsidR="009612CC" w:rsidRPr="005B30A9" w:rsidRDefault="009612CC" w:rsidP="009612CC">
      <w:pPr>
        <w:pStyle w:val="SingleTxtG"/>
        <w:rPr>
          <w:bCs/>
        </w:rPr>
      </w:pPr>
      <w:r w:rsidRPr="005B30A9">
        <w:t>111.</w:t>
      </w:r>
      <w:r w:rsidRPr="005B30A9">
        <w:tab/>
        <w:t>En el Programa Trienal sobre la Política de Desarrollo de Austria 2022-2024, los derechos humanos en el marco de la cooperación para el desarrollo son, como de costumbre, un principio rector en todos los ámbitos de intervención, en todas las fases de la planificación y ejecución de los programas y proyectos y en el diálogo político. Se presta especial atención a los derechos de las mujeres, los niños, los ancianos, las personas con discapacidad y los grupos especialmente desfavorecidos para lograr sociedades inclusivas y la igualdad de acceso a la justicia para todos y para construir instituciones eficientes y sólidas. La ADA se rige por los ODS, las convenciones internacionales y regionales de derechos humanos y las directrices de la OCDE y la Unión Europea (incluido el Plan de Acción de la Unión Europea sobre Derechos Humanos y Democracia).</w:t>
      </w:r>
    </w:p>
    <w:p w14:paraId="3F15D506" w14:textId="01EA2C21" w:rsidR="009612CC" w:rsidRPr="005B30A9" w:rsidRDefault="009612CC" w:rsidP="009612CC">
      <w:pPr>
        <w:pStyle w:val="SingleTxtG"/>
        <w:rPr>
          <w:bCs/>
        </w:rPr>
      </w:pPr>
      <w:r w:rsidRPr="005B30A9">
        <w:t>112.</w:t>
      </w:r>
      <w:r w:rsidRPr="005B30A9">
        <w:tab/>
        <w:t>La ADA ha establecido un proceso de evaluación sistemática del respeto de las normas sociales, especialmente por lo que se refiere a los derechos humanos. La evaluación corresponde a una unidad independiente que forma parte de la organización o, cuando los asuntos son especialmente delicados, a expertos externos. Los informes sobre la marcha de los proyectos garantizan un seguimiento periódico que se complementa con visitas a los proyectos y conversaciones con todos los grupos locales afectados por un determinado proyecto. Además de los pasos de evaluación previstos en el diseño de los programas de la</w:t>
      </w:r>
      <w:r w:rsidR="00F5247F">
        <w:t> </w:t>
      </w:r>
      <w:r w:rsidRPr="005B30A9">
        <w:t>ADA, existen mecanismos de supervisión dentro del BMEIA.</w:t>
      </w:r>
    </w:p>
    <w:p w14:paraId="439A1EC5" w14:textId="77777777" w:rsidR="009612CC" w:rsidRPr="005B30A9" w:rsidRDefault="009612CC" w:rsidP="009612CC">
      <w:pPr>
        <w:pStyle w:val="SingleTxtG"/>
        <w:rPr>
          <w:bCs/>
        </w:rPr>
      </w:pPr>
      <w:r w:rsidRPr="005B30A9">
        <w:t>113.</w:t>
      </w:r>
      <w:r w:rsidRPr="005B30A9">
        <w:tab/>
        <w:t>En 2022, la ADA adoptó una política de prevención de la explotación, los abusos y el acoso sexuales.</w:t>
      </w:r>
    </w:p>
    <w:p w14:paraId="0A9B525F" w14:textId="7EFD1F64" w:rsidR="009612CC" w:rsidRPr="005B30A9" w:rsidRDefault="00446ADF" w:rsidP="00446ADF">
      <w:pPr>
        <w:pStyle w:val="H1G"/>
      </w:pPr>
      <w:r w:rsidRPr="005B30A9">
        <w:tab/>
      </w:r>
      <w:r w:rsidR="009612CC" w:rsidRPr="005B30A9">
        <w:tab/>
        <w:t>Respuesta al párrafo 14 de la lista de cuestiones</w:t>
      </w:r>
    </w:p>
    <w:p w14:paraId="03B3C215" w14:textId="48801A93" w:rsidR="009612CC" w:rsidRPr="005B30A9" w:rsidRDefault="00446ADF" w:rsidP="00446ADF">
      <w:pPr>
        <w:pStyle w:val="H23G"/>
      </w:pPr>
      <w:r w:rsidRPr="005B30A9">
        <w:tab/>
      </w:r>
      <w:r w:rsidR="009612CC" w:rsidRPr="005B30A9">
        <w:tab/>
        <w:t>Armonización de la legislación contra la discriminación</w:t>
      </w:r>
    </w:p>
    <w:p w14:paraId="2229629E" w14:textId="6E886E85" w:rsidR="009612CC" w:rsidRPr="005B30A9" w:rsidRDefault="009612CC" w:rsidP="009612CC">
      <w:pPr>
        <w:pStyle w:val="SingleTxtG"/>
        <w:rPr>
          <w:bCs/>
        </w:rPr>
      </w:pPr>
      <w:r w:rsidRPr="005B30A9">
        <w:t>114.</w:t>
      </w:r>
      <w:r w:rsidRPr="005B30A9">
        <w:tab/>
        <w:t>A causa de la estructura federal de Austria, las responsabilidades y competencias en</w:t>
      </w:r>
      <w:r w:rsidR="00446ADF" w:rsidRPr="005B30A9">
        <w:t> </w:t>
      </w:r>
      <w:r w:rsidRPr="005B30A9">
        <w:t>materia de legislación e instituciones contra la discriminación están fragmentadas. En primer lugar, la Constitución Federal de Austria reparte las competencias entre la Federación</w:t>
      </w:r>
      <w:r w:rsidR="00446ADF" w:rsidRPr="005B30A9">
        <w:t> </w:t>
      </w:r>
      <w:r w:rsidRPr="005B30A9">
        <w:t>y los</w:t>
      </w:r>
      <w:r w:rsidR="00446ADF" w:rsidRPr="005B30A9">
        <w:t> </w:t>
      </w:r>
      <w:r w:rsidRPr="005B30A9">
        <w:rPr>
          <w:i/>
          <w:iCs/>
        </w:rPr>
        <w:t>Länder</w:t>
      </w:r>
      <w:r w:rsidRPr="005B30A9">
        <w:t xml:space="preserve">; en segundo lugar, la </w:t>
      </w:r>
      <w:hyperlink r:id="rId43" w:history="1">
        <w:r w:rsidRPr="005B30A9">
          <w:rPr>
            <w:rStyle w:val="Hipervnculo"/>
          </w:rPr>
          <w:t>Ley de Ministerios Federales</w:t>
        </w:r>
      </w:hyperlink>
      <w:r w:rsidRPr="005B30A9">
        <w:t xml:space="preserve"> de 1986 </w:t>
      </w:r>
      <w:r w:rsidRPr="001641EF">
        <w:rPr>
          <w:i/>
          <w:iCs/>
        </w:rPr>
        <w:t>(</w:t>
      </w:r>
      <w:r w:rsidRPr="005B30A9">
        <w:rPr>
          <w:i/>
          <w:iCs/>
        </w:rPr>
        <w:t>Bundesministeriengesetz</w:t>
      </w:r>
      <w:r w:rsidRPr="001641EF">
        <w:rPr>
          <w:i/>
          <w:iCs/>
        </w:rPr>
        <w:t>)</w:t>
      </w:r>
      <w:r w:rsidRPr="005B30A9">
        <w:t>, BGBl. núm. 76/1986, encomienda el ejercicio de las competencias de la Federación a numerosos ministerios. Además, la igualdad de trato es un tema transversal que afecta a múltiples ámbitos, lo que dificulta la plena armonización de la legislación sobre igualdad de trato y lucha contra la discriminación. La accesibilidad pública es otro motivo de rechazo a la armonización, que tampoco resulta conveniente en todo momento, como se observa, por ejemplo, en el caso de la legislación contra la discriminación de las personas con discapacidad: su condición especial la dota de mayor eficacia. Por ello, la política en materia de discapacidad favorece el mantenimiento de legislación e instituciones creadas especialmente para las personas con discapacidad.</w:t>
      </w:r>
    </w:p>
    <w:p w14:paraId="28B909B6" w14:textId="77777777" w:rsidR="009612CC" w:rsidRPr="005B30A9" w:rsidRDefault="009612CC" w:rsidP="009612CC">
      <w:pPr>
        <w:pStyle w:val="SingleTxtG"/>
        <w:rPr>
          <w:bCs/>
        </w:rPr>
      </w:pPr>
      <w:r w:rsidRPr="005B30A9">
        <w:t>115.</w:t>
      </w:r>
      <w:r w:rsidRPr="005B30A9">
        <w:tab/>
        <w:t>Entre las medidas que ayudan a las personas afectadas potencialmente a encontrar la institución competente en relación con su caso concreto cabe mencionar:</w:t>
      </w:r>
    </w:p>
    <w:p w14:paraId="5DB65B70" w14:textId="6A9D9811" w:rsidR="009612CC" w:rsidRPr="005B30A9" w:rsidRDefault="009612CC" w:rsidP="00446ADF">
      <w:pPr>
        <w:pStyle w:val="Bullet1G"/>
      </w:pPr>
      <w:r w:rsidRPr="005B30A9">
        <w:t>El establecimiento (en 2015) de una línea directa para luchar contra la discriminación y la intolerancia motivadas por el origen étnico y la religión (actualmente en el marco de la BKA), que deriva las llamadas a las instituciones adecuadas</w:t>
      </w:r>
      <w:r w:rsidR="00446ADF" w:rsidRPr="005B30A9">
        <w:t>.</w:t>
      </w:r>
    </w:p>
    <w:p w14:paraId="37DECD1A" w14:textId="77777777" w:rsidR="009612CC" w:rsidRPr="005B30A9" w:rsidRDefault="009612CC" w:rsidP="00446ADF">
      <w:pPr>
        <w:pStyle w:val="Bullet1G"/>
      </w:pPr>
      <w:r w:rsidRPr="005B30A9">
        <w:t>La ampliación (en 2017) del servicio de asesoramiento de las oficinas regionales del Defensor de la Igualdad de Trato (</w:t>
      </w:r>
      <w:r w:rsidRPr="005B30A9">
        <w:rPr>
          <w:i/>
          <w:iCs/>
        </w:rPr>
        <w:t>Gleichbehandlungsantwaltschaft/</w:t>
      </w:r>
      <w:r w:rsidRPr="002E6691">
        <w:t>GAW</w:t>
      </w:r>
      <w:r w:rsidRPr="005B30A9">
        <w:t>).</w:t>
      </w:r>
    </w:p>
    <w:p w14:paraId="796F2A1F" w14:textId="6D9BDEBE" w:rsidR="009612CC" w:rsidRPr="005B30A9" w:rsidRDefault="00446ADF" w:rsidP="00446ADF">
      <w:pPr>
        <w:pStyle w:val="H1G"/>
      </w:pPr>
      <w:r w:rsidRPr="005B30A9">
        <w:lastRenderedPageBreak/>
        <w:tab/>
      </w:r>
      <w:r w:rsidR="009612CC" w:rsidRPr="005B30A9">
        <w:tab/>
        <w:t>Respuesta al párrafo 14.1 de la lista de cuestiones</w:t>
      </w:r>
    </w:p>
    <w:p w14:paraId="38AFD2A2" w14:textId="187B1076" w:rsidR="009612CC" w:rsidRPr="005B30A9" w:rsidRDefault="00446ADF" w:rsidP="00446ADF">
      <w:pPr>
        <w:pStyle w:val="H23G"/>
      </w:pPr>
      <w:r w:rsidRPr="005B30A9">
        <w:tab/>
      </w:r>
      <w:r w:rsidR="009612CC" w:rsidRPr="005B30A9">
        <w:tab/>
        <w:t>Datos sobre los casos de discriminación recibidos por el GAW</w:t>
      </w:r>
    </w:p>
    <w:p w14:paraId="4C3075EE" w14:textId="77777777" w:rsidR="009612CC" w:rsidRPr="005B30A9" w:rsidRDefault="009612CC" w:rsidP="009612CC">
      <w:pPr>
        <w:pStyle w:val="SingleTxtG"/>
        <w:rPr>
          <w:bCs/>
        </w:rPr>
      </w:pPr>
      <w:r w:rsidRPr="005B30A9">
        <w:t>116.</w:t>
      </w:r>
      <w:r w:rsidRPr="005B30A9">
        <w:tab/>
        <w:t>El GAW ofrece a las personas afectadas por discriminación asesoramiento y apoyo, pero no puede imponer sanciones ni reclamar daños y perjuicios. Los instrumentos disponibles son principalmente arreglos, intervenciones, solicitudes dirigidas a la Comisión para la Igualdad de Trato (</w:t>
      </w:r>
      <w:r w:rsidRPr="005B30A9">
        <w:rPr>
          <w:i/>
          <w:iCs/>
        </w:rPr>
        <w:t>Gleichbehandlungskommission/</w:t>
      </w:r>
      <w:r w:rsidRPr="00695B1A">
        <w:t>GBK</w:t>
      </w:r>
      <w:r w:rsidRPr="005B30A9">
        <w:t>) o la documentación de casos sin más. En el cuadro 14 del anexo estadístico puede consultarse un desglose de los casos recibidos.</w:t>
      </w:r>
    </w:p>
    <w:p w14:paraId="7A290692" w14:textId="2F64F670" w:rsidR="009612CC" w:rsidRPr="005B30A9" w:rsidRDefault="009612CC" w:rsidP="00446ADF">
      <w:pPr>
        <w:pStyle w:val="H1G"/>
      </w:pPr>
      <w:r w:rsidRPr="005B30A9">
        <w:tab/>
      </w:r>
      <w:r w:rsidR="00446ADF" w:rsidRPr="005B30A9">
        <w:tab/>
      </w:r>
      <w:r w:rsidRPr="005B30A9">
        <w:t>Respuesta al párrafo 14.2 de la lista de cuestiones</w:t>
      </w:r>
    </w:p>
    <w:p w14:paraId="12EE0A73" w14:textId="472487D1" w:rsidR="009612CC" w:rsidRPr="005B30A9" w:rsidRDefault="00446ADF" w:rsidP="00446ADF">
      <w:pPr>
        <w:pStyle w:val="H23G"/>
      </w:pPr>
      <w:r w:rsidRPr="005B30A9">
        <w:tab/>
      </w:r>
      <w:r w:rsidR="009612CC" w:rsidRPr="005B30A9">
        <w:tab/>
        <w:t xml:space="preserve">Datos sobre los casos de discriminación recibidos por la GBK en el ámbito </w:t>
      </w:r>
      <w:r w:rsidRPr="005B30A9">
        <w:br/>
      </w:r>
      <w:r w:rsidR="009612CC" w:rsidRPr="005B30A9">
        <w:t>del sector privado</w:t>
      </w:r>
    </w:p>
    <w:p w14:paraId="5113978C" w14:textId="77777777" w:rsidR="009612CC" w:rsidRPr="005B30A9" w:rsidRDefault="009612CC" w:rsidP="009612CC">
      <w:pPr>
        <w:pStyle w:val="SingleTxtG"/>
        <w:rPr>
          <w:bCs/>
        </w:rPr>
      </w:pPr>
      <w:r w:rsidRPr="005B30A9">
        <w:t>117.</w:t>
      </w:r>
      <w:r w:rsidRPr="005B30A9">
        <w:tab/>
        <w:t>La GBK para el sector privado examina la discriminación en el lugar de trabajo por motivos de género (Senado I), origen étnico, edad, orientación sexual, religión o creencias (Senado II) y la discriminación en otros ámbitos por motivos de origen étnico y género (Senado III). Determina si se ha violado el principio de igualdad de trato y formula una recomendación. En los cuadros 15 a 17 del anexo estadístico pueden consultarse las solicitudes presentadas en 2020/21.</w:t>
      </w:r>
    </w:p>
    <w:p w14:paraId="77A9B16B" w14:textId="5F7B3D0F" w:rsidR="009612CC" w:rsidRPr="005B30A9" w:rsidRDefault="009612CC" w:rsidP="00446ADF">
      <w:pPr>
        <w:pStyle w:val="H1G"/>
      </w:pPr>
      <w:r w:rsidRPr="005B30A9">
        <w:tab/>
      </w:r>
      <w:r w:rsidR="00446ADF" w:rsidRPr="005B30A9">
        <w:tab/>
      </w:r>
      <w:r w:rsidRPr="005B30A9">
        <w:t>Respuesta al párrafo 14.3 de la lista de cuestiones</w:t>
      </w:r>
    </w:p>
    <w:p w14:paraId="440854BA" w14:textId="1168882D" w:rsidR="009612CC" w:rsidRPr="005B30A9" w:rsidRDefault="00446ADF" w:rsidP="00446ADF">
      <w:pPr>
        <w:pStyle w:val="H23G"/>
      </w:pPr>
      <w:r w:rsidRPr="005B30A9">
        <w:tab/>
      </w:r>
      <w:r w:rsidR="009612CC" w:rsidRPr="005B30A9">
        <w:tab/>
        <w:t xml:space="preserve">Datos sobre los casos de discriminación recibidos por la Defensora </w:t>
      </w:r>
      <w:r w:rsidRPr="005B30A9">
        <w:br/>
      </w:r>
      <w:r w:rsidR="009612CC" w:rsidRPr="005B30A9">
        <w:t>de las Personas con Discapacidad</w:t>
      </w:r>
    </w:p>
    <w:p w14:paraId="0EA72AFB" w14:textId="423C1E5A" w:rsidR="009612CC" w:rsidRPr="005B30A9" w:rsidRDefault="009612CC" w:rsidP="009612CC">
      <w:pPr>
        <w:pStyle w:val="SingleTxtG"/>
        <w:rPr>
          <w:bCs/>
        </w:rPr>
      </w:pPr>
      <w:r w:rsidRPr="005B30A9">
        <w:t>118.</w:t>
      </w:r>
      <w:r w:rsidRPr="005B30A9">
        <w:tab/>
        <w:t>La Defensora de las Personas con Discapacidad, funcionaria autónoma e independiente que no está sujeta a instrucciones, asesora y presta apoyo a las personas con</w:t>
      </w:r>
      <w:r w:rsidR="00772A82">
        <w:t> </w:t>
      </w:r>
      <w:r w:rsidRPr="005B30A9">
        <w:t>discapacidad que se sienten discriminadas. Según su informe, en 2022 se mantuvieron 1.273 contactos (558 por teléfono), lo que indica un alto nivel de aceptación de la institución. En 2022, la Defensora participó como persona de confianza en 43 actuaciones de conciliación.</w:t>
      </w:r>
    </w:p>
    <w:p w14:paraId="3E2896A2" w14:textId="723CD660" w:rsidR="009612CC" w:rsidRPr="005B30A9" w:rsidRDefault="009612CC" w:rsidP="00446ADF">
      <w:pPr>
        <w:pStyle w:val="H1G"/>
      </w:pPr>
      <w:r w:rsidRPr="005B30A9">
        <w:tab/>
      </w:r>
      <w:r w:rsidR="00446ADF" w:rsidRPr="005B30A9">
        <w:tab/>
      </w:r>
      <w:r w:rsidRPr="005B30A9">
        <w:t>Respuesta al párrafo 15 de la lista de cuestiones</w:t>
      </w:r>
    </w:p>
    <w:p w14:paraId="36278837" w14:textId="4FBF0255" w:rsidR="009612CC" w:rsidRPr="005B30A9" w:rsidRDefault="00446ADF" w:rsidP="00446ADF">
      <w:pPr>
        <w:pStyle w:val="H23G"/>
      </w:pPr>
      <w:r w:rsidRPr="005B30A9">
        <w:tab/>
      </w:r>
      <w:r w:rsidR="009612CC" w:rsidRPr="005B30A9">
        <w:tab/>
        <w:t>Recopilación de datos para evaluar la situación socioeconómica de los grupos minoritarios</w:t>
      </w:r>
    </w:p>
    <w:p w14:paraId="25A164C6" w14:textId="77777777" w:rsidR="009612CC" w:rsidRPr="005B30A9" w:rsidRDefault="009612CC" w:rsidP="009612CC">
      <w:pPr>
        <w:pStyle w:val="SingleTxtG"/>
        <w:rPr>
          <w:bCs/>
        </w:rPr>
      </w:pPr>
      <w:r w:rsidRPr="005B30A9">
        <w:t>119.</w:t>
      </w:r>
      <w:r w:rsidRPr="005B30A9">
        <w:tab/>
        <w:t xml:space="preserve">Desde 2017 es obligatorio el seguimiento anual de la integración </w:t>
      </w:r>
      <w:r w:rsidRPr="00A308F7">
        <w:rPr>
          <w:i/>
          <w:iCs/>
        </w:rPr>
        <w:t>(</w:t>
      </w:r>
      <w:r w:rsidRPr="005B30A9">
        <w:rPr>
          <w:i/>
          <w:iCs/>
        </w:rPr>
        <w:t>IntG</w:t>
      </w:r>
      <w:r w:rsidRPr="00A308F7">
        <w:rPr>
          <w:i/>
          <w:iCs/>
        </w:rPr>
        <w:t>)</w:t>
      </w:r>
      <w:r w:rsidRPr="005B30A9">
        <w:t xml:space="preserve">. Se evalúan datos recopilados en todo el país en materia de asilo y residencia, educación escolar y de adultos, prestaciones sociales, mercado laboral, cursos de alemán, cursos de valores y orientación y ciencia que se incluyen en el informe anual del Comité Asesor sobre Integración </w:t>
      </w:r>
      <w:r w:rsidRPr="00A308F7">
        <w:rPr>
          <w:i/>
          <w:iCs/>
        </w:rPr>
        <w:t>(</w:t>
      </w:r>
      <w:r w:rsidRPr="005B30A9">
        <w:rPr>
          <w:i/>
          <w:iCs/>
        </w:rPr>
        <w:t>Integrationsbeirat</w:t>
      </w:r>
      <w:r w:rsidRPr="00A308F7">
        <w:rPr>
          <w:i/>
          <w:iCs/>
        </w:rPr>
        <w:t>)</w:t>
      </w:r>
      <w:r w:rsidRPr="005B30A9">
        <w:rPr>
          <w:rStyle w:val="Refdenotaalpie"/>
        </w:rPr>
        <w:footnoteReference w:id="23"/>
      </w:r>
      <w:r w:rsidRPr="005B30A9">
        <w:t>.</w:t>
      </w:r>
    </w:p>
    <w:p w14:paraId="3BA3BBA6" w14:textId="0D545037" w:rsidR="009612CC" w:rsidRPr="005B30A9" w:rsidRDefault="009612CC" w:rsidP="009612CC">
      <w:pPr>
        <w:pStyle w:val="SingleTxtG"/>
        <w:rPr>
          <w:bCs/>
        </w:rPr>
      </w:pPr>
      <w:r w:rsidRPr="005B30A9">
        <w:t>120.</w:t>
      </w:r>
      <w:r w:rsidRPr="005B30A9">
        <w:tab/>
        <w:t>Desde 2007, la labor llevada a cabo en Viena para el seguimiento de la integración y la diversidad muestra periódicamente los cambios en las comunidades inmigrantes de Viena. El sexto número se publicó en noviembre de 2023</w:t>
      </w:r>
      <w:r w:rsidRPr="005B30A9">
        <w:rPr>
          <w:rStyle w:val="Refdenotaalpie"/>
        </w:rPr>
        <w:footnoteReference w:id="24"/>
      </w:r>
      <w:r w:rsidRPr="005B30A9">
        <w:t>.</w:t>
      </w:r>
    </w:p>
    <w:p w14:paraId="1362A03B" w14:textId="76960DD1" w:rsidR="009612CC" w:rsidRPr="005B30A9" w:rsidRDefault="00446ADF" w:rsidP="00446ADF">
      <w:pPr>
        <w:pStyle w:val="H23G"/>
      </w:pPr>
      <w:r w:rsidRPr="005B30A9">
        <w:tab/>
      </w:r>
      <w:r w:rsidR="009612CC" w:rsidRPr="005B30A9">
        <w:tab/>
        <w:t>Repercusión de las medidas de integración de los romaníes</w:t>
      </w:r>
    </w:p>
    <w:p w14:paraId="49A9B181" w14:textId="77777777" w:rsidR="009612CC" w:rsidRPr="005B30A9" w:rsidRDefault="009612CC" w:rsidP="009612CC">
      <w:pPr>
        <w:pStyle w:val="SingleTxtG"/>
        <w:rPr>
          <w:bCs/>
        </w:rPr>
      </w:pPr>
      <w:r w:rsidRPr="005B30A9">
        <w:t>121.</w:t>
      </w:r>
      <w:r w:rsidRPr="005B30A9">
        <w:tab/>
        <w:t>En abril de 2021, el Consejo de Ministros aprobó una actualización de la Estrategia Nacional de Austria para la Inclusión de los Romaníes</w:t>
      </w:r>
      <w:r w:rsidRPr="005B30A9">
        <w:rPr>
          <w:rStyle w:val="Refdenotaalpie"/>
        </w:rPr>
        <w:footnoteReference w:id="25"/>
      </w:r>
      <w:r w:rsidRPr="005B30A9">
        <w:t xml:space="preserve">, elaborada en estrecha colaboración con la sociedad civil romaní. Comprende todas las esferas de interés y las metas expuestas en el Marco Estratégico de la UE para la Igualdad, la Inclusión y la Participación de los </w:t>
      </w:r>
      <w:r w:rsidRPr="005B30A9">
        <w:lastRenderedPageBreak/>
        <w:t>Gitanos hasta 2030, que, al igual que su predecesor, va dirigido a la inclusión socioeconómica de los romaníes en la educación, el empleo, la sanidad, los servicios sociales, la vivienda y los servicios esenciales. En 2022, la Universidad de Viena evaluó la estrategia de Austria, también en estrecha colaboración con la sociedad civil romaní. Aunque los resultados</w:t>
      </w:r>
      <w:r w:rsidRPr="005B30A9">
        <w:rPr>
          <w:rStyle w:val="Refdenotaalpie"/>
        </w:rPr>
        <w:footnoteReference w:id="26"/>
      </w:r>
      <w:r w:rsidRPr="005B30A9">
        <w:t xml:space="preserve"> muestran que la estrategia y las medidas aplicadas han contribuido a seguir avanzando en la cuestión de los romaníes, también se observan aspectos problemáticos y posibilidades de futuro desarrollo.</w:t>
      </w:r>
    </w:p>
    <w:p w14:paraId="0E0B72F0" w14:textId="7BB5D8BE" w:rsidR="009612CC" w:rsidRPr="005B30A9" w:rsidRDefault="00446ADF" w:rsidP="00446ADF">
      <w:pPr>
        <w:pStyle w:val="H1G"/>
      </w:pPr>
      <w:r w:rsidRPr="005B30A9">
        <w:tab/>
      </w:r>
      <w:r w:rsidR="009612CC" w:rsidRPr="005B30A9">
        <w:tab/>
        <w:t>Respuesta al párrafo 16 de la lista de cuestiones</w:t>
      </w:r>
    </w:p>
    <w:p w14:paraId="68452931" w14:textId="0FBE4DE9" w:rsidR="009612CC" w:rsidRPr="005B30A9" w:rsidRDefault="009612CC" w:rsidP="00446ADF">
      <w:pPr>
        <w:pStyle w:val="H23G"/>
      </w:pPr>
      <w:r w:rsidRPr="005B30A9">
        <w:tab/>
      </w:r>
      <w:r w:rsidR="00446ADF" w:rsidRPr="005B30A9">
        <w:tab/>
      </w:r>
      <w:r w:rsidRPr="005B30A9">
        <w:t>Plan de acción nacional para las personas con discapacidad</w:t>
      </w:r>
    </w:p>
    <w:p w14:paraId="404A2BFF" w14:textId="6E3F2341" w:rsidR="009612CC" w:rsidRPr="005B30A9" w:rsidRDefault="009612CC" w:rsidP="009612CC">
      <w:pPr>
        <w:pStyle w:val="SingleTxtG"/>
        <w:rPr>
          <w:bCs/>
        </w:rPr>
      </w:pPr>
      <w:r w:rsidRPr="005B30A9">
        <w:t>122.</w:t>
      </w:r>
      <w:r w:rsidRPr="005B30A9">
        <w:tab/>
        <w:t xml:space="preserve">El Plan de Acción Nacional sobre Discapacidad para 2012-2020/21 y otras decisiones políticas han comportado mejoras, entre ellas: </w:t>
      </w:r>
    </w:p>
    <w:p w14:paraId="78869E64" w14:textId="19F7C69A" w:rsidR="009612CC" w:rsidRPr="005B30A9" w:rsidRDefault="009612CC" w:rsidP="00446ADF">
      <w:pPr>
        <w:pStyle w:val="Bullet1G"/>
      </w:pPr>
      <w:r w:rsidRPr="005B30A9">
        <w:t>El fortalecimiento o mejora del apoyo financiero a las organizaciones de personas con discapacidad</w:t>
      </w:r>
      <w:r w:rsidR="00446ADF" w:rsidRPr="005B30A9">
        <w:t>.</w:t>
      </w:r>
    </w:p>
    <w:p w14:paraId="5F774A7A" w14:textId="544A2048" w:rsidR="009612CC" w:rsidRPr="005B30A9" w:rsidRDefault="009612CC" w:rsidP="00446ADF">
      <w:pPr>
        <w:pStyle w:val="Bullet1G"/>
      </w:pPr>
      <w:r w:rsidRPr="005B30A9">
        <w:t>Una rehabilitación más eficaz de los niños con discapacidad</w:t>
      </w:r>
      <w:r w:rsidR="00446ADF" w:rsidRPr="005B30A9">
        <w:t>.</w:t>
      </w:r>
    </w:p>
    <w:p w14:paraId="7E7116BD" w14:textId="3D249B6E" w:rsidR="009612CC" w:rsidRPr="005B30A9" w:rsidRDefault="009612CC" w:rsidP="00446ADF">
      <w:pPr>
        <w:pStyle w:val="Bullet1G"/>
      </w:pPr>
      <w:r w:rsidRPr="005B30A9">
        <w:t>Prohibición de las camas jaula, las inmovilizaciones y las prácticas semejantes en relación con las personas con discapacidad mental en los hospitales psiquiátricos</w:t>
      </w:r>
      <w:r w:rsidR="00446ADF" w:rsidRPr="005B30A9">
        <w:t>.</w:t>
      </w:r>
    </w:p>
    <w:p w14:paraId="53824A7E" w14:textId="7B452DA9" w:rsidR="009612CC" w:rsidRPr="005B30A9" w:rsidRDefault="009612CC" w:rsidP="00446ADF">
      <w:pPr>
        <w:pStyle w:val="Bullet1G"/>
      </w:pPr>
      <w:r w:rsidRPr="005B30A9">
        <w:t>Mejoras de las disposiciones en materia de accesibilidad, mantenimiento del programa de la Unión Europea de Entornos de Vida Activa Asistida (AAL), foro anual de investigación sobre la movilidad para todos: presentación de proyectos de investigación y de soluciones, debates con expertos, concertación de contratos de servicios con operadores ferroviarios: definición de las normas de servicio</w:t>
      </w:r>
      <w:r w:rsidR="00446ADF" w:rsidRPr="005B30A9">
        <w:t>.</w:t>
      </w:r>
    </w:p>
    <w:p w14:paraId="4870AB19" w14:textId="1639035A" w:rsidR="009612CC" w:rsidRPr="005B30A9" w:rsidRDefault="009612CC" w:rsidP="00446ADF">
      <w:pPr>
        <w:pStyle w:val="Bullet1G"/>
      </w:pPr>
      <w:r w:rsidRPr="005B30A9">
        <w:t>Modelo regional inclusivo de apoyo a la educación inclusiva en las escuelas</w:t>
      </w:r>
      <w:r w:rsidR="00446ADF" w:rsidRPr="005B30A9">
        <w:t>.</w:t>
      </w:r>
    </w:p>
    <w:p w14:paraId="2560CA6E" w14:textId="1CB71FE9" w:rsidR="009612CC" w:rsidRPr="005B30A9" w:rsidRDefault="009612CC" w:rsidP="00446ADF">
      <w:pPr>
        <w:pStyle w:val="Bullet1G"/>
      </w:pPr>
      <w:r w:rsidRPr="005B30A9">
        <w:t>Permisos para los cuidadores, a favor de los cuidadores y sus familias</w:t>
      </w:r>
      <w:r w:rsidR="00446ADF" w:rsidRPr="005B30A9">
        <w:t>.</w:t>
      </w:r>
    </w:p>
    <w:p w14:paraId="0D42AA77" w14:textId="6E55D091" w:rsidR="009612CC" w:rsidRPr="005B30A9" w:rsidRDefault="009612CC" w:rsidP="00446ADF">
      <w:pPr>
        <w:pStyle w:val="Bullet1G"/>
      </w:pPr>
      <w:r w:rsidRPr="005B30A9">
        <w:t xml:space="preserve">Reforma en profundidad de la legislación en materia de tutela de adultos, promulgación de un estatuto modernizado de asistencia para la adopción de decisiones (Segunda </w:t>
      </w:r>
      <w:hyperlink r:id="rId44" w:history="1">
        <w:r w:rsidRPr="005B30A9">
          <w:rPr>
            <w:rStyle w:val="Hipervnculo"/>
          </w:rPr>
          <w:t>Ley de Protección de Adultos</w:t>
        </w:r>
      </w:hyperlink>
      <w:r w:rsidRPr="005B30A9">
        <w:t xml:space="preserve"> </w:t>
      </w:r>
      <w:r w:rsidRPr="00D711B0">
        <w:rPr>
          <w:i/>
          <w:iCs/>
        </w:rPr>
        <w:t>(</w:t>
      </w:r>
      <w:r w:rsidRPr="005B30A9">
        <w:rPr>
          <w:i/>
          <w:iCs/>
        </w:rPr>
        <w:t>Zweites Erwachsenenschutzgesetz</w:t>
      </w:r>
      <w:r w:rsidRPr="00D711B0">
        <w:rPr>
          <w:i/>
          <w:iCs/>
        </w:rPr>
        <w:t>)</w:t>
      </w:r>
      <w:r w:rsidRPr="005B30A9">
        <w:t>, BGBl. I núm. 59/2017)</w:t>
      </w:r>
      <w:r w:rsidR="00446ADF" w:rsidRPr="005B30A9">
        <w:t>.</w:t>
      </w:r>
    </w:p>
    <w:p w14:paraId="51925C2A" w14:textId="0C236BE2" w:rsidR="009612CC" w:rsidRPr="005B30A9" w:rsidRDefault="009612CC" w:rsidP="00446ADF">
      <w:pPr>
        <w:pStyle w:val="Bullet1G"/>
      </w:pPr>
      <w:r w:rsidRPr="005B30A9">
        <w:t>Programas de empleo dirigidos a las personas (jóvenes) con discapacidad</w:t>
      </w:r>
      <w:r w:rsidR="00446ADF" w:rsidRPr="005B30A9">
        <w:t>.</w:t>
      </w:r>
    </w:p>
    <w:p w14:paraId="76E6954A" w14:textId="6702D3B4" w:rsidR="009612CC" w:rsidRPr="005B30A9" w:rsidRDefault="009612CC" w:rsidP="00446ADF">
      <w:pPr>
        <w:pStyle w:val="Bullet1G"/>
      </w:pPr>
      <w:r w:rsidRPr="005B30A9">
        <w:t>Mecanismos de ayuda para invidentes y personas con deficiencia visual en los procesos electorales</w:t>
      </w:r>
      <w:r w:rsidR="00446ADF" w:rsidRPr="005B30A9">
        <w:t>.</w:t>
      </w:r>
    </w:p>
    <w:p w14:paraId="06FA3684" w14:textId="48EEB7CD" w:rsidR="009612CC" w:rsidRPr="005B30A9" w:rsidRDefault="009612CC" w:rsidP="00446ADF">
      <w:pPr>
        <w:pStyle w:val="Bullet1G"/>
      </w:pPr>
      <w:r w:rsidRPr="005B30A9">
        <w:t>Recursos adicionales para la financiación de los cuidados a largo plazo</w:t>
      </w:r>
      <w:r w:rsidR="00446ADF" w:rsidRPr="005B30A9">
        <w:t>.</w:t>
      </w:r>
    </w:p>
    <w:p w14:paraId="480A1888" w14:textId="79331DFA" w:rsidR="009612CC" w:rsidRPr="005B30A9" w:rsidRDefault="009612CC" w:rsidP="00446ADF">
      <w:pPr>
        <w:pStyle w:val="Bullet1G"/>
      </w:pPr>
      <w:r w:rsidRPr="005B30A9">
        <w:t>Recomendaciones sobre la representación de las personas con discapacidad en los medios de comunicación</w:t>
      </w:r>
      <w:r w:rsidR="00446ADF" w:rsidRPr="005B30A9">
        <w:t>.</w:t>
      </w:r>
    </w:p>
    <w:p w14:paraId="465BE42F" w14:textId="7F841B5C" w:rsidR="009612CC" w:rsidRPr="005B30A9" w:rsidRDefault="009612CC" w:rsidP="00446ADF">
      <w:pPr>
        <w:pStyle w:val="Bullet1G"/>
      </w:pPr>
      <w:r w:rsidRPr="005B30A9">
        <w:t>Revisión de la traducción al alemán de la Convención de las Naciones Unidas sobre los Derechos de las Personas con Discapacidad (2016), incluida una versión de lectura fácil (2019)</w:t>
      </w:r>
      <w:r w:rsidR="00446ADF" w:rsidRPr="005B30A9">
        <w:t>.</w:t>
      </w:r>
    </w:p>
    <w:p w14:paraId="4E4DC38D" w14:textId="07385533" w:rsidR="009612CC" w:rsidRPr="005B30A9" w:rsidRDefault="009612CC" w:rsidP="00446ADF">
      <w:pPr>
        <w:pStyle w:val="Bullet1G"/>
      </w:pPr>
      <w:r w:rsidRPr="005B30A9">
        <w:t>Fortalecimiento de la legislación sobre igualdad de las personas con discapacidad (</w:t>
      </w:r>
      <w:hyperlink r:id="rId45" w:history="1">
        <w:r w:rsidRPr="005B30A9">
          <w:rPr>
            <w:rStyle w:val="Hipervnculo"/>
          </w:rPr>
          <w:t>Paquete de Medidas de Inclusión de 2017</w:t>
        </w:r>
      </w:hyperlink>
      <w:r w:rsidRPr="005B30A9">
        <w:t xml:space="preserve"> </w:t>
      </w:r>
      <w:r w:rsidRPr="00D711B0">
        <w:rPr>
          <w:i/>
          <w:iCs/>
        </w:rPr>
        <w:t>(Inklusionspaket)</w:t>
      </w:r>
      <w:r w:rsidRPr="005B30A9">
        <w:t>, BGBl. I núm.</w:t>
      </w:r>
      <w:r w:rsidR="00446ADF" w:rsidRPr="005B30A9">
        <w:t> </w:t>
      </w:r>
      <w:r w:rsidRPr="005B30A9">
        <w:t>155/2017): medida facultativa de requerimiento en caso de discriminación en forma de acoso; presentación contra empresas grandes (incluidos bancos, compañías de seguros y empresas con más de 250 empleados) de “demandas colectivas” (en particular, por representantes de personas con discapacidad) con fines de requerimiento y eliminación de la discriminación</w:t>
      </w:r>
      <w:r w:rsidR="00446ADF" w:rsidRPr="005B30A9">
        <w:t>.</w:t>
      </w:r>
    </w:p>
    <w:p w14:paraId="1853E851" w14:textId="7E4B9D8F" w:rsidR="009612CC" w:rsidRPr="005B30A9" w:rsidRDefault="009612CC" w:rsidP="00446ADF">
      <w:pPr>
        <w:pStyle w:val="Bullet1G"/>
      </w:pPr>
      <w:r w:rsidRPr="005B30A9">
        <w:t>Aumento del presupuesto destinado a la promoción del empleo (Paquete de Medidas de Inclusión de 2017)</w:t>
      </w:r>
      <w:r w:rsidR="00446ADF" w:rsidRPr="005B30A9">
        <w:t>.</w:t>
      </w:r>
    </w:p>
    <w:p w14:paraId="66043B13" w14:textId="77777777" w:rsidR="009612CC" w:rsidRPr="005B30A9" w:rsidRDefault="009612CC" w:rsidP="00446ADF">
      <w:pPr>
        <w:pStyle w:val="Bullet1G"/>
      </w:pPr>
      <w:r w:rsidRPr="005B30A9">
        <w:lastRenderedPageBreak/>
        <w:t>Plena independencia política y financiera del Comité Nacional de Seguimiento de la Convención sobre los Derechos de las Personas con Discapacidad conforme a los Principios de París (Paquete de Medidas de Inclusión de 2017).</w:t>
      </w:r>
    </w:p>
    <w:p w14:paraId="4B5B24F7" w14:textId="77777777" w:rsidR="009612CC" w:rsidRPr="005B30A9" w:rsidRDefault="009612CC" w:rsidP="009612CC">
      <w:pPr>
        <w:pStyle w:val="SingleTxtG"/>
        <w:rPr>
          <w:bCs/>
        </w:rPr>
      </w:pPr>
      <w:r w:rsidRPr="005B30A9">
        <w:t>123.</w:t>
      </w:r>
      <w:r w:rsidRPr="005B30A9">
        <w:tab/>
        <w:t xml:space="preserve">El 6 de julio de 2022, el Gobierno Federal aprobó el Plan de Acción Nacional sobre Discapacidad para 2022-2030, fruto de un amplio proceso participativo constante en el que tuvieron cabida los </w:t>
      </w:r>
      <w:r w:rsidRPr="005B30A9">
        <w:rPr>
          <w:i/>
          <w:iCs/>
        </w:rPr>
        <w:t xml:space="preserve">Länder </w:t>
      </w:r>
      <w:r w:rsidRPr="005B30A9">
        <w:t>y representantes de las personas con discapacidad. En él también se tienen en cuenta los resultados de la evaluación por la Universidad de Viena del Plan de Acción Nacional sobre Discapacidad para 2012-2020</w:t>
      </w:r>
      <w:r w:rsidRPr="005B30A9">
        <w:rPr>
          <w:rStyle w:val="Refdenotaalpie"/>
        </w:rPr>
        <w:footnoteReference w:id="27"/>
      </w:r>
      <w:r w:rsidRPr="005B30A9">
        <w:t xml:space="preserve"> y figuran 288 objetivos políticos y 375 medidas cuya aplicación ya ha comenzado. Consta de ocho capítulos:</w:t>
      </w:r>
    </w:p>
    <w:p w14:paraId="02A5E223" w14:textId="6ED1DFDE" w:rsidR="009612CC" w:rsidRPr="005B30A9" w:rsidRDefault="009612CC" w:rsidP="00446ADF">
      <w:pPr>
        <w:pStyle w:val="Bullet1G"/>
      </w:pPr>
      <w:r w:rsidRPr="005B30A9">
        <w:t>Política en materia de discapacidad</w:t>
      </w:r>
      <w:r w:rsidR="00446ADF" w:rsidRPr="005B30A9">
        <w:t>.</w:t>
      </w:r>
    </w:p>
    <w:p w14:paraId="30E11A5A" w14:textId="2DC75038" w:rsidR="009612CC" w:rsidRPr="005B30A9" w:rsidRDefault="009612CC" w:rsidP="00446ADF">
      <w:pPr>
        <w:pStyle w:val="Bullet1G"/>
      </w:pPr>
      <w:r w:rsidRPr="005B30A9">
        <w:t>Igualdad y no discriminación</w:t>
      </w:r>
      <w:r w:rsidR="00446ADF" w:rsidRPr="005B30A9">
        <w:t>.</w:t>
      </w:r>
    </w:p>
    <w:p w14:paraId="46BCCD08" w14:textId="60CF4FC5" w:rsidR="009612CC" w:rsidRPr="005B30A9" w:rsidRDefault="009612CC" w:rsidP="00446ADF">
      <w:pPr>
        <w:pStyle w:val="Bullet1G"/>
      </w:pPr>
      <w:r w:rsidRPr="005B30A9">
        <w:t>Accesibilidad</w:t>
      </w:r>
      <w:r w:rsidR="00446ADF" w:rsidRPr="005B30A9">
        <w:t>.</w:t>
      </w:r>
    </w:p>
    <w:p w14:paraId="541290AF" w14:textId="47ACAF2E" w:rsidR="009612CC" w:rsidRPr="005B30A9" w:rsidRDefault="009612CC" w:rsidP="00446ADF">
      <w:pPr>
        <w:pStyle w:val="Bullet1G"/>
      </w:pPr>
      <w:r w:rsidRPr="005B30A9">
        <w:t>Educación</w:t>
      </w:r>
      <w:r w:rsidR="00446ADF" w:rsidRPr="005B30A9">
        <w:t>.</w:t>
      </w:r>
    </w:p>
    <w:p w14:paraId="67456F2D" w14:textId="3749DD5E" w:rsidR="009612CC" w:rsidRPr="005B30A9" w:rsidRDefault="009612CC" w:rsidP="00446ADF">
      <w:pPr>
        <w:pStyle w:val="Bullet1G"/>
      </w:pPr>
      <w:r w:rsidRPr="005B30A9">
        <w:t>Empleo</w:t>
      </w:r>
      <w:r w:rsidR="00446ADF" w:rsidRPr="005B30A9">
        <w:t>.</w:t>
      </w:r>
    </w:p>
    <w:p w14:paraId="6DC6F6DF" w14:textId="43A0A17E" w:rsidR="009612CC" w:rsidRPr="005B30A9" w:rsidRDefault="009612CC" w:rsidP="00446ADF">
      <w:pPr>
        <w:pStyle w:val="Bullet1G"/>
      </w:pPr>
      <w:r w:rsidRPr="005B30A9">
        <w:t>Vida independiente</w:t>
      </w:r>
      <w:r w:rsidR="00446ADF" w:rsidRPr="005B30A9">
        <w:t>.</w:t>
      </w:r>
    </w:p>
    <w:p w14:paraId="04F9CDF0" w14:textId="7B1DC88E" w:rsidR="009612CC" w:rsidRPr="005B30A9" w:rsidRDefault="009612CC" w:rsidP="00446ADF">
      <w:pPr>
        <w:pStyle w:val="Bullet1G"/>
      </w:pPr>
      <w:r w:rsidRPr="005B30A9">
        <w:t>Salud y rehabilitación</w:t>
      </w:r>
      <w:r w:rsidR="00446ADF" w:rsidRPr="005B30A9">
        <w:t>.</w:t>
      </w:r>
    </w:p>
    <w:p w14:paraId="7E5E2CA7" w14:textId="77777777" w:rsidR="009612CC" w:rsidRPr="005B30A9" w:rsidRDefault="009612CC" w:rsidP="00446ADF">
      <w:pPr>
        <w:pStyle w:val="Bullet1G"/>
      </w:pPr>
      <w:r w:rsidRPr="005B30A9">
        <w:t>Sensibilización e información.</w:t>
      </w:r>
    </w:p>
    <w:p w14:paraId="7DE3F2E8" w14:textId="77777777" w:rsidR="009612CC" w:rsidRPr="005B30A9" w:rsidRDefault="009612CC" w:rsidP="009612CC">
      <w:pPr>
        <w:pStyle w:val="SingleTxtG"/>
        <w:rPr>
          <w:bCs/>
        </w:rPr>
      </w:pPr>
      <w:r w:rsidRPr="005B30A9">
        <w:t>124.</w:t>
      </w:r>
      <w:r w:rsidRPr="005B30A9">
        <w:tab/>
        <w:t>Se ha previsto el seguimiento y evaluación científicos permanentes del Plan de Acción Nacional sobre Discapacidad para 2022-2030 conforme a especificaciones detalladas respecto del contenido a efectos de la contratación pública que se están elaborando actualmente junto con la sociedad civil.</w:t>
      </w:r>
    </w:p>
    <w:p w14:paraId="2CEAB262" w14:textId="3DD1BBC5" w:rsidR="009612CC" w:rsidRPr="005B30A9" w:rsidRDefault="009612CC" w:rsidP="00446ADF">
      <w:pPr>
        <w:pStyle w:val="H23G"/>
      </w:pPr>
      <w:r w:rsidRPr="005B30A9">
        <w:tab/>
      </w:r>
      <w:r w:rsidR="00446ADF" w:rsidRPr="005B30A9">
        <w:tab/>
      </w:r>
      <w:r w:rsidRPr="005B30A9">
        <w:t xml:space="preserve">Cumplimiento por las empresas de su obligación de emplear a personas </w:t>
      </w:r>
      <w:r w:rsidR="00446ADF" w:rsidRPr="005B30A9">
        <w:br/>
      </w:r>
      <w:r w:rsidRPr="005B30A9">
        <w:t>con discapacidad</w:t>
      </w:r>
    </w:p>
    <w:p w14:paraId="42CA1612" w14:textId="77777777" w:rsidR="009612CC" w:rsidRPr="005B30A9" w:rsidRDefault="009612CC" w:rsidP="009612CC">
      <w:pPr>
        <w:pStyle w:val="SingleTxtG"/>
        <w:rPr>
          <w:bCs/>
        </w:rPr>
      </w:pPr>
      <w:r w:rsidRPr="005B30A9">
        <w:t>125.</w:t>
      </w:r>
      <w:r w:rsidRPr="005B30A9">
        <w:tab/>
        <w:t>Véase el cuadro 18 del anexo estadístico.</w:t>
      </w:r>
    </w:p>
    <w:p w14:paraId="5DBD7A6B" w14:textId="321D53F4" w:rsidR="009612CC" w:rsidRPr="005B30A9" w:rsidRDefault="00446ADF" w:rsidP="00446ADF">
      <w:pPr>
        <w:pStyle w:val="H1G"/>
      </w:pPr>
      <w:r w:rsidRPr="005B30A9">
        <w:tab/>
      </w:r>
      <w:r w:rsidR="009612CC" w:rsidRPr="005B30A9">
        <w:tab/>
        <w:t>Respuesta al párrafo 17 de la lista de cuestiones</w:t>
      </w:r>
    </w:p>
    <w:p w14:paraId="490E3875" w14:textId="2E890A8B" w:rsidR="009612CC" w:rsidRPr="005B30A9" w:rsidRDefault="00446ADF" w:rsidP="00446ADF">
      <w:pPr>
        <w:pStyle w:val="H23G"/>
      </w:pPr>
      <w:r w:rsidRPr="005B30A9">
        <w:tab/>
      </w:r>
      <w:r w:rsidR="009612CC" w:rsidRPr="005B30A9">
        <w:tab/>
        <w:t xml:space="preserve">Repercusión de las medidas dirigidas a reducir el desempleo </w:t>
      </w:r>
      <w:r w:rsidRPr="005B30A9">
        <w:br/>
      </w:r>
      <w:r w:rsidR="009612CC" w:rsidRPr="005B30A9">
        <w:t>entre los adolescentes</w:t>
      </w:r>
    </w:p>
    <w:p w14:paraId="4198B553" w14:textId="77777777" w:rsidR="009612CC" w:rsidRPr="005B30A9" w:rsidRDefault="009612CC" w:rsidP="009612CC">
      <w:pPr>
        <w:pStyle w:val="SingleTxtG"/>
        <w:rPr>
          <w:bCs/>
        </w:rPr>
      </w:pPr>
      <w:r w:rsidRPr="005B30A9">
        <w:t>126.</w:t>
      </w:r>
      <w:r w:rsidRPr="005B30A9">
        <w:tab/>
        <w:t>Desde 2017, los adolescentes, al término de su noveno curso de escolaridad obligatoria, deben permanecer en el sistema escolar o asistir a formación profesional hasta obtener una cualificación de nivel superior o cumplir 18 años. Esta obligación en materia de formación puede cumplirse asistiendo a un centro escolar de nivel superior, realizando un aprendizaje o participando en un programa previsto en la política relativa al mercado de trabajo.</w:t>
      </w:r>
    </w:p>
    <w:p w14:paraId="1A70FC4F" w14:textId="77777777" w:rsidR="009612CC" w:rsidRPr="005B30A9" w:rsidRDefault="009612CC" w:rsidP="009612CC">
      <w:pPr>
        <w:pStyle w:val="SingleTxtG"/>
        <w:rPr>
          <w:bCs/>
        </w:rPr>
      </w:pPr>
      <w:r w:rsidRPr="005B30A9">
        <w:t>127.</w:t>
      </w:r>
      <w:r w:rsidRPr="005B30A9">
        <w:tab/>
        <w:t>En 2022, recibieron apoyo 4.299 adolescentes, lo que supone un aumento cercano al 30 % con respecto a 2021. Se remitió con éxito al 90 % de ellos a un curso de formación o a un servicio de orientación para jóvenes, el AMS o una institución semejante donde se les prestó ulterior asesoramiento.</w:t>
      </w:r>
    </w:p>
    <w:p w14:paraId="7B8C1D4A" w14:textId="0CD79BC0" w:rsidR="009612CC" w:rsidRPr="005B30A9" w:rsidRDefault="009612CC" w:rsidP="009612CC">
      <w:pPr>
        <w:pStyle w:val="SingleTxtG"/>
        <w:rPr>
          <w:bCs/>
        </w:rPr>
      </w:pPr>
      <w:r w:rsidRPr="005B30A9">
        <w:t>128.</w:t>
      </w:r>
      <w:r w:rsidRPr="005B30A9">
        <w:tab/>
        <w:t xml:space="preserve">En 2022, 2.145 aprendices y 324 empresas que ofrecían oportunidades de aprendizaje recibieron orientación dentro del programa </w:t>
      </w:r>
      <w:r w:rsidRPr="00D711B0">
        <w:rPr>
          <w:i/>
          <w:iCs/>
        </w:rPr>
        <w:t>“</w:t>
      </w:r>
      <w:r w:rsidRPr="005B30A9">
        <w:rPr>
          <w:i/>
          <w:iCs/>
        </w:rPr>
        <w:t>Lehre statt Leere</w:t>
      </w:r>
      <w:r w:rsidRPr="00D711B0">
        <w:rPr>
          <w:i/>
          <w:iCs/>
        </w:rPr>
        <w:t>”</w:t>
      </w:r>
      <w:r w:rsidRPr="005B30A9">
        <w:t>, dirigido a contrarrestar el abandono en las clases de formación profesional. Desde 2020 se dispone de una línea directa gratuita en la que se responde a las preguntas relativas a estas oportunidades de aprendizaje.</w:t>
      </w:r>
    </w:p>
    <w:p w14:paraId="494CA1BC" w14:textId="4FA3038F" w:rsidR="009612CC" w:rsidRPr="005B30A9" w:rsidRDefault="009612CC" w:rsidP="00D711B0">
      <w:pPr>
        <w:pStyle w:val="SingleTxtG"/>
        <w:keepNext/>
        <w:keepLines/>
        <w:rPr>
          <w:bCs/>
        </w:rPr>
      </w:pPr>
      <w:r w:rsidRPr="005B30A9">
        <w:lastRenderedPageBreak/>
        <w:t>129.</w:t>
      </w:r>
      <w:r w:rsidRPr="005B30A9">
        <w:tab/>
        <w:t>En 2022 evolucionó favorablemente el mercado laboral de los jóvenes de 15 a 24</w:t>
      </w:r>
      <w:r w:rsidR="00D711B0">
        <w:t> </w:t>
      </w:r>
      <w:r w:rsidRPr="005B30A9">
        <w:t>años. En comparación con 2021:</w:t>
      </w:r>
    </w:p>
    <w:p w14:paraId="1BE57AE5" w14:textId="3BCC6DC6" w:rsidR="009612CC" w:rsidRPr="005B30A9" w:rsidRDefault="009612CC" w:rsidP="00446ADF">
      <w:pPr>
        <w:pStyle w:val="Bullet1G"/>
      </w:pPr>
      <w:r w:rsidRPr="005B30A9">
        <w:t>El desempleo disminuyó considerablemente (más del 30</w:t>
      </w:r>
      <w:r w:rsidR="00D711B0">
        <w:t> </w:t>
      </w:r>
      <w:r w:rsidRPr="005B30A9">
        <w:t>%) de enero a marzo</w:t>
      </w:r>
      <w:r w:rsidR="00446ADF" w:rsidRPr="005B30A9">
        <w:t>.</w:t>
      </w:r>
    </w:p>
    <w:p w14:paraId="4DA8759D" w14:textId="19908CEE" w:rsidR="009612CC" w:rsidRPr="005B30A9" w:rsidRDefault="009612CC" w:rsidP="00446ADF">
      <w:pPr>
        <w:pStyle w:val="Bullet1G"/>
      </w:pPr>
      <w:r w:rsidRPr="005B30A9">
        <w:t>El desempleo también se mantuvo considerablemente más bajo en los meses siguientes, y solo se registró un leve aumento en octubre</w:t>
      </w:r>
      <w:r w:rsidR="00446ADF" w:rsidRPr="005B30A9">
        <w:t>.</w:t>
      </w:r>
    </w:p>
    <w:p w14:paraId="52B4DA61" w14:textId="2C9C2331" w:rsidR="009612CC" w:rsidRPr="005B30A9" w:rsidRDefault="009612CC" w:rsidP="00446ADF">
      <w:pPr>
        <w:pStyle w:val="Bullet1G"/>
      </w:pPr>
      <w:r w:rsidRPr="005B30A9">
        <w:t>El número de desempleados registrados a finales de diciembre ante el AMS era un 1,5</w:t>
      </w:r>
      <w:r w:rsidR="00D711B0">
        <w:t> </w:t>
      </w:r>
      <w:r w:rsidRPr="005B30A9">
        <w:t>% inferior.</w:t>
      </w:r>
    </w:p>
    <w:p w14:paraId="7F2AACFA" w14:textId="57558E19" w:rsidR="009612CC" w:rsidRPr="005B30A9" w:rsidRDefault="009612CC" w:rsidP="009612CC">
      <w:pPr>
        <w:pStyle w:val="SingleTxtG"/>
        <w:rPr>
          <w:bCs/>
        </w:rPr>
      </w:pPr>
      <w:r w:rsidRPr="005B30A9">
        <w:t>130.</w:t>
      </w:r>
      <w:r w:rsidRPr="005B30A9">
        <w:tab/>
        <w:t xml:space="preserve">En 2022, el número de personas que buscaban oportunidades de aprendizaje disponibles de forma inmediata aumentó en la mayoría de los </w:t>
      </w:r>
      <w:r w:rsidRPr="005B30A9">
        <w:rPr>
          <w:i/>
          <w:iCs/>
        </w:rPr>
        <w:t xml:space="preserve">Länder </w:t>
      </w:r>
      <w:r w:rsidRPr="005B30A9">
        <w:t>en comparación con</w:t>
      </w:r>
      <w:r w:rsidR="00D711B0">
        <w:t> </w:t>
      </w:r>
      <w:r w:rsidRPr="005B30A9">
        <w:t xml:space="preserve">2021, mientras que el número de oportunidades de aprendizaje disponibles superó al de los solicitantes en todos los </w:t>
      </w:r>
      <w:r w:rsidRPr="005B30A9">
        <w:rPr>
          <w:i/>
          <w:iCs/>
        </w:rPr>
        <w:t xml:space="preserve">Länder </w:t>
      </w:r>
      <w:r w:rsidRPr="005B30A9">
        <w:t>excepto en Viena, donde se registraba el mayor número de ellos. Aun cuando la situación de las colocaciones es favorable, las necesidades de la economía superan con frecuencia las cualificaciones existentes, lo cual genera una necesidad de apoyo y de perfeccionamiento profesional.</w:t>
      </w:r>
    </w:p>
    <w:p w14:paraId="233AE8AF" w14:textId="165C534E" w:rsidR="009612CC" w:rsidRPr="005B30A9" w:rsidRDefault="009612CC" w:rsidP="009612CC">
      <w:pPr>
        <w:pStyle w:val="SingleTxtG"/>
        <w:rPr>
          <w:bCs/>
        </w:rPr>
      </w:pPr>
      <w:r w:rsidRPr="005B30A9">
        <w:t>131.</w:t>
      </w:r>
      <w:r w:rsidRPr="005B30A9">
        <w:tab/>
        <w:t>El sistema escolar austr</w:t>
      </w:r>
      <w:r w:rsidR="00D711B0">
        <w:t>í</w:t>
      </w:r>
      <w:r w:rsidRPr="005B30A9">
        <w:t>aco ofrece múltiples opciones de educación y formación profesional a los adolescentes de 14 a 18 años en atención a diversos intereses, preferencias, aptitudes y potenciales.</w:t>
      </w:r>
    </w:p>
    <w:p w14:paraId="25FD50C6" w14:textId="4AAA8F39" w:rsidR="009612CC" w:rsidRPr="005B30A9" w:rsidRDefault="009612CC" w:rsidP="00446ADF">
      <w:pPr>
        <w:pStyle w:val="H4G"/>
      </w:pPr>
      <w:r w:rsidRPr="005B30A9">
        <w:tab/>
      </w:r>
      <w:r w:rsidR="00446ADF" w:rsidRPr="005B30A9">
        <w:tab/>
      </w:r>
      <w:r w:rsidRPr="005B30A9">
        <w:t>Medidas ilustrativas de los Länder</w:t>
      </w:r>
    </w:p>
    <w:p w14:paraId="0210958C" w14:textId="77777777" w:rsidR="009612CC" w:rsidRPr="005B30A9" w:rsidRDefault="009612CC" w:rsidP="009612CC">
      <w:pPr>
        <w:pStyle w:val="SingleTxtG"/>
      </w:pPr>
      <w:r w:rsidRPr="005B30A9">
        <w:t>132.</w:t>
      </w:r>
      <w:r w:rsidRPr="005B30A9">
        <w:tab/>
        <w:t>Contribuciones financieras a los centros de formación de aprendices del AMS; otras ofertas que promueven el acceso de los jóvenes al empleo son las escuelas de producción (Alta Austria) y proyectos de empleo de acceso fácil (Vorarlberg).</w:t>
      </w:r>
    </w:p>
    <w:p w14:paraId="5145D8A0" w14:textId="237CCD81" w:rsidR="009612CC" w:rsidRPr="005B30A9" w:rsidRDefault="009612CC" w:rsidP="00446ADF">
      <w:pPr>
        <w:pStyle w:val="H23G"/>
      </w:pPr>
      <w:r w:rsidRPr="005B30A9">
        <w:tab/>
      </w:r>
      <w:r w:rsidR="00446ADF" w:rsidRPr="005B30A9">
        <w:tab/>
      </w:r>
      <w:r w:rsidRPr="005B30A9">
        <w:t xml:space="preserve">Repercusión de las medidas de integración de los grupos desfavorecidos </w:t>
      </w:r>
      <w:r w:rsidR="00446ADF" w:rsidRPr="005B30A9">
        <w:br/>
      </w:r>
      <w:r w:rsidRPr="005B30A9">
        <w:t>en el mercado laboral</w:t>
      </w:r>
    </w:p>
    <w:p w14:paraId="7F9457E0" w14:textId="05E4822B" w:rsidR="009612CC" w:rsidRPr="005B30A9" w:rsidRDefault="00446ADF" w:rsidP="00446ADF">
      <w:pPr>
        <w:pStyle w:val="H4G"/>
      </w:pPr>
      <w:r w:rsidRPr="005B30A9">
        <w:tab/>
      </w:r>
      <w:r w:rsidR="009612CC" w:rsidRPr="005B30A9">
        <w:tab/>
        <w:t>Personas de edad y personas con problemas de salud</w:t>
      </w:r>
    </w:p>
    <w:p w14:paraId="78FC36D7" w14:textId="77777777" w:rsidR="009612CC" w:rsidRPr="005B30A9" w:rsidRDefault="009612CC" w:rsidP="009612CC">
      <w:pPr>
        <w:pStyle w:val="SingleTxtG"/>
        <w:rPr>
          <w:bCs/>
        </w:rPr>
      </w:pPr>
      <w:r w:rsidRPr="005B30A9">
        <w:t>133.</w:t>
      </w:r>
      <w:r w:rsidRPr="005B30A9">
        <w:tab/>
        <w:t xml:space="preserve">Entre las medidas matizadas e interconectadas que fomentan la integración de las personas de edad y las personas con problemas de salud en el mercado laboral figuran: </w:t>
      </w:r>
    </w:p>
    <w:p w14:paraId="7ED0C9B7" w14:textId="1DF79A07" w:rsidR="009612CC" w:rsidRPr="005B30A9" w:rsidRDefault="009612CC" w:rsidP="00446ADF">
      <w:pPr>
        <w:pStyle w:val="Bullet1G"/>
      </w:pPr>
      <w:r w:rsidRPr="005B30A9">
        <w:t>Labores de relaciones públicas dirigidas a crear conciencia sobre “el trabajo y la salud” desde etapas tempranas</w:t>
      </w:r>
      <w:r w:rsidR="00446ADF" w:rsidRPr="005B30A9">
        <w:t>.</w:t>
      </w:r>
    </w:p>
    <w:p w14:paraId="2AD77C2D" w14:textId="67727E24" w:rsidR="009612CC" w:rsidRPr="005B30A9" w:rsidRDefault="009612CC" w:rsidP="00446ADF">
      <w:pPr>
        <w:pStyle w:val="Bullet1G"/>
      </w:pPr>
      <w:r w:rsidRPr="005B30A9">
        <w:t>Asesoramiento y apoyo a las personas cuyo puesto de trabajo esté en peligro por problemas de salud y a las empresas que desean que su personal mantenga su aptitud para el trabajo dentro del programa “fit2work”. En 2022:</w:t>
      </w:r>
    </w:p>
    <w:p w14:paraId="27C38638" w14:textId="6BD9772E" w:rsidR="009612CC" w:rsidRPr="005B30A9" w:rsidRDefault="006E0BC0" w:rsidP="00446ADF">
      <w:pPr>
        <w:pStyle w:val="Bullet2G"/>
      </w:pPr>
      <w:r w:rsidRPr="005B30A9">
        <w:t>S</w:t>
      </w:r>
      <w:r w:rsidR="009612CC" w:rsidRPr="005B30A9">
        <w:t>e mantuvieron 28.200 charlas de información básica (en 2019: 22.900)</w:t>
      </w:r>
      <w:r w:rsidRPr="005B30A9">
        <w:t>.</w:t>
      </w:r>
    </w:p>
    <w:p w14:paraId="1300CAD8" w14:textId="465F2FF7" w:rsidR="009612CC" w:rsidRPr="005B30A9" w:rsidRDefault="009612CC" w:rsidP="00446ADF">
      <w:pPr>
        <w:pStyle w:val="Bullet2G"/>
      </w:pPr>
      <w:r w:rsidRPr="005B30A9">
        <w:t>19.900 personas recibieron asesoramiento inicial (en 2019: 17.200)</w:t>
      </w:r>
      <w:r w:rsidR="006E0BC0" w:rsidRPr="005B30A9">
        <w:t>.</w:t>
      </w:r>
    </w:p>
    <w:p w14:paraId="2072724C" w14:textId="7B7137B7" w:rsidR="009612CC" w:rsidRPr="005B30A9" w:rsidRDefault="009612CC" w:rsidP="00446ADF">
      <w:pPr>
        <w:pStyle w:val="Bullet2G"/>
      </w:pPr>
      <w:r w:rsidRPr="005B30A9">
        <w:t>6.300 personas se beneficiaron de actividades de gestión de casos (en 2019: 11.000)</w:t>
      </w:r>
      <w:r w:rsidR="006E0BC0" w:rsidRPr="005B30A9">
        <w:t>.</w:t>
      </w:r>
      <w:r w:rsidRPr="005B30A9">
        <w:t xml:space="preserve"> </w:t>
      </w:r>
    </w:p>
    <w:p w14:paraId="61979F6E" w14:textId="028B9FD7" w:rsidR="009612CC" w:rsidRPr="005B30A9" w:rsidRDefault="009612CC" w:rsidP="00446ADF">
      <w:pPr>
        <w:pStyle w:val="Bullet2G"/>
      </w:pPr>
      <w:r w:rsidRPr="005B30A9">
        <w:t>860 empresas recibieron asesoramiento empresarial (especialmente en materia de gestión de la reintegración) (en 2019: 3.000)</w:t>
      </w:r>
      <w:r w:rsidR="006E0BC0" w:rsidRPr="005B30A9">
        <w:t>.</w:t>
      </w:r>
    </w:p>
    <w:p w14:paraId="10CC264A" w14:textId="5B75EF00" w:rsidR="009612CC" w:rsidRPr="005B30A9" w:rsidRDefault="009612CC" w:rsidP="006E0BC0">
      <w:pPr>
        <w:pStyle w:val="Bullet1G"/>
      </w:pPr>
      <w:r w:rsidRPr="005B30A9">
        <w:t>Apoyo a las empresas en su gestión sanitaria interna</w:t>
      </w:r>
      <w:r w:rsidR="006E0BC0" w:rsidRPr="005B30A9">
        <w:t>.</w:t>
      </w:r>
    </w:p>
    <w:p w14:paraId="02E5AADF" w14:textId="77777777" w:rsidR="009612CC" w:rsidRPr="005B30A9" w:rsidRDefault="009612CC" w:rsidP="006E0BC0">
      <w:pPr>
        <w:pStyle w:val="Bullet1G"/>
      </w:pPr>
      <w:r w:rsidRPr="005B30A9">
        <w:t xml:space="preserve">Oferta de rehabilitación e integración en el mercado laboral antes de la jubilación: </w:t>
      </w:r>
    </w:p>
    <w:p w14:paraId="3FD8D327" w14:textId="08D488E3" w:rsidR="009612CC" w:rsidRPr="005B30A9" w:rsidRDefault="009612CC" w:rsidP="006E0BC0">
      <w:pPr>
        <w:pStyle w:val="Bullet2G"/>
      </w:pPr>
      <w:r w:rsidRPr="005B30A9">
        <w:t>Rehabilitación médica para recuperar la aptitud física; en 2022: 5.800 altas (en 2019: 6.600)</w:t>
      </w:r>
      <w:r w:rsidR="006E0BC0" w:rsidRPr="005B30A9">
        <w:t>.</w:t>
      </w:r>
      <w:r w:rsidRPr="005B30A9">
        <w:t xml:space="preserve"> </w:t>
      </w:r>
    </w:p>
    <w:p w14:paraId="7C29441A" w14:textId="371C0EEF" w:rsidR="009612CC" w:rsidRPr="005B30A9" w:rsidRDefault="009612CC" w:rsidP="006E0BC0">
      <w:pPr>
        <w:pStyle w:val="Bullet2G"/>
      </w:pPr>
      <w:r w:rsidRPr="005B30A9">
        <w:t>Rehabilitación laboral para la reinserción en el mercado de trabajo de las personas que por motivos de salud no puedan seguir trabajando como antes; en 2022 se ofreció esta oportunidad a 3.453 personas (en 2018: 3.200)</w:t>
      </w:r>
      <w:r w:rsidR="006E0BC0" w:rsidRPr="005B30A9">
        <w:t>.</w:t>
      </w:r>
    </w:p>
    <w:p w14:paraId="56268E7B" w14:textId="77777777" w:rsidR="009612CC" w:rsidRPr="005B30A9" w:rsidRDefault="009612CC" w:rsidP="006E0BC0">
      <w:pPr>
        <w:pStyle w:val="Bullet1G"/>
      </w:pPr>
      <w:r w:rsidRPr="005B30A9">
        <w:t>La iniciativa de empleo 50+ integra a las personas de edad en el mercado laboral mediante, por ejemplo:</w:t>
      </w:r>
    </w:p>
    <w:p w14:paraId="2034FA66" w14:textId="217B964C" w:rsidR="009612CC" w:rsidRPr="005B30A9" w:rsidRDefault="009612CC" w:rsidP="006E0BC0">
      <w:pPr>
        <w:pStyle w:val="Bullet2G"/>
      </w:pPr>
      <w:r w:rsidRPr="005B30A9">
        <w:t>La reducción de los costos salariales y no salariales de las empresas</w:t>
      </w:r>
      <w:r w:rsidR="006E0BC0" w:rsidRPr="005B30A9">
        <w:t>.</w:t>
      </w:r>
      <w:r w:rsidRPr="005B30A9">
        <w:t xml:space="preserve"> </w:t>
      </w:r>
    </w:p>
    <w:p w14:paraId="2B76DC3E" w14:textId="78127DE3" w:rsidR="009612CC" w:rsidRPr="005B30A9" w:rsidRDefault="009612CC" w:rsidP="006E0BC0">
      <w:pPr>
        <w:pStyle w:val="Bullet2G"/>
      </w:pPr>
      <w:r w:rsidRPr="005B30A9">
        <w:lastRenderedPageBreak/>
        <w:t>El empleo en empresas sociales</w:t>
      </w:r>
      <w:r w:rsidR="006E0BC0" w:rsidRPr="005B30A9">
        <w:t>.</w:t>
      </w:r>
    </w:p>
    <w:p w14:paraId="09EC116A" w14:textId="21DA3653" w:rsidR="009612CC" w:rsidRPr="005B30A9" w:rsidRDefault="009612CC" w:rsidP="006E0BC0">
      <w:pPr>
        <w:pStyle w:val="Bullet2G"/>
      </w:pPr>
      <w:r w:rsidRPr="005B30A9">
        <w:t>Un salario combinado (el salario más una subvención pública)</w:t>
      </w:r>
      <w:r w:rsidR="006E0BC0" w:rsidRPr="005B30A9">
        <w:t>.</w:t>
      </w:r>
    </w:p>
    <w:p w14:paraId="4064CFA6" w14:textId="2831FD93" w:rsidR="009612CC" w:rsidRPr="005B30A9" w:rsidRDefault="009612CC" w:rsidP="006E0BC0">
      <w:pPr>
        <w:pStyle w:val="Bullet2G"/>
      </w:pPr>
      <w:r w:rsidRPr="005B30A9">
        <w:t>El perfeccionamiento profesional en el puesto de trabajo</w:t>
      </w:r>
      <w:r w:rsidR="006E0BC0" w:rsidRPr="005B30A9">
        <w:t>.</w:t>
      </w:r>
    </w:p>
    <w:p w14:paraId="767ED95C" w14:textId="5A9E6752" w:rsidR="009612CC" w:rsidRPr="005B30A9" w:rsidRDefault="009612CC" w:rsidP="006E0BC0">
      <w:pPr>
        <w:pStyle w:val="Bullet2G"/>
      </w:pPr>
      <w:r w:rsidRPr="005B30A9">
        <w:t>Asesoramiento y apoyo dirigido a grupos específicos</w:t>
      </w:r>
      <w:r w:rsidR="006E0BC0" w:rsidRPr="005B30A9">
        <w:t>.</w:t>
      </w:r>
    </w:p>
    <w:p w14:paraId="7B659841" w14:textId="77777777" w:rsidR="009612CC" w:rsidRPr="005B30A9" w:rsidRDefault="009612CC" w:rsidP="006E0BC0">
      <w:pPr>
        <w:pStyle w:val="Bullet1G"/>
        <w:keepNext/>
        <w:keepLines/>
      </w:pPr>
      <w:r w:rsidRPr="005B30A9">
        <w:t>Incentivos para que las empresas contraten (o retengan) a trabajadores de edad, por ejemplo:</w:t>
      </w:r>
    </w:p>
    <w:p w14:paraId="038EDCF2" w14:textId="20BCFE55" w:rsidR="009612CC" w:rsidRPr="005B30A9" w:rsidRDefault="009612CC" w:rsidP="006E0BC0">
      <w:pPr>
        <w:pStyle w:val="Bullet2G"/>
      </w:pPr>
      <w:r w:rsidRPr="005B30A9">
        <w:t>El servicio de asesoramiento demográfico Digi+, que promueve un entorno digital adecuado a la edad y al envejecimiento</w:t>
      </w:r>
      <w:r w:rsidR="006E0BC0" w:rsidRPr="005B30A9">
        <w:t>.</w:t>
      </w:r>
    </w:p>
    <w:p w14:paraId="1ABECF9D" w14:textId="77777777" w:rsidR="009612CC" w:rsidRPr="005B30A9" w:rsidRDefault="009612CC" w:rsidP="006E0BC0">
      <w:pPr>
        <w:pStyle w:val="Bullet2G"/>
      </w:pPr>
      <w:r w:rsidRPr="005B30A9">
        <w:t>El sello de calidad Nestor Gold para las empresas provistas de una estructura organizativa adecuada a la edad.</w:t>
      </w:r>
    </w:p>
    <w:p w14:paraId="252F6725" w14:textId="77777777" w:rsidR="009612CC" w:rsidRPr="005B30A9" w:rsidRDefault="009612CC" w:rsidP="009612CC">
      <w:pPr>
        <w:pStyle w:val="SingleTxtG"/>
        <w:rPr>
          <w:bCs/>
        </w:rPr>
      </w:pPr>
      <w:r w:rsidRPr="005B30A9">
        <w:t>134.</w:t>
      </w:r>
      <w:r w:rsidRPr="005B30A9">
        <w:tab/>
        <w:t>Los datos correspondientes a 2022 muestran que:</w:t>
      </w:r>
    </w:p>
    <w:p w14:paraId="2694B742" w14:textId="3D20F9AF" w:rsidR="009612CC" w:rsidRPr="005B30A9" w:rsidRDefault="006E0BC0" w:rsidP="006E0BC0">
      <w:pPr>
        <w:pStyle w:val="Bullet1G"/>
      </w:pPr>
      <w:r w:rsidRPr="005B30A9">
        <w:t>S</w:t>
      </w:r>
      <w:r w:rsidR="009612CC" w:rsidRPr="005B30A9">
        <w:t>e empleó a un 3,4 % más de personas de edad que en 2021</w:t>
      </w:r>
      <w:r w:rsidRPr="005B30A9">
        <w:t>.</w:t>
      </w:r>
    </w:p>
    <w:p w14:paraId="32471706" w14:textId="60A5B587" w:rsidR="009612CC" w:rsidRPr="005B30A9" w:rsidRDefault="009612CC" w:rsidP="006E0BC0">
      <w:pPr>
        <w:pStyle w:val="Bullet1G"/>
      </w:pPr>
      <w:r w:rsidRPr="005B30A9">
        <w:t>La tasa de desempleo entre las personas de edad fue 1,9 puntos porcentuales inferior a la de 2021</w:t>
      </w:r>
      <w:r w:rsidR="006E0BC0" w:rsidRPr="005B30A9">
        <w:t>.</w:t>
      </w:r>
    </w:p>
    <w:p w14:paraId="6C4B15EC" w14:textId="23264DEE" w:rsidR="009612CC" w:rsidRPr="005B30A9" w:rsidRDefault="009612CC" w:rsidP="006E0BC0">
      <w:pPr>
        <w:pStyle w:val="Bullet1G"/>
      </w:pPr>
      <w:r w:rsidRPr="005B30A9">
        <w:t>Unas 119.500 personas mayores de 50 años encontraron empleo con ayuda del AMS</w:t>
      </w:r>
      <w:r w:rsidR="006E0BC0" w:rsidRPr="005B30A9">
        <w:t>.</w:t>
      </w:r>
    </w:p>
    <w:p w14:paraId="1794E949" w14:textId="0013DD7B" w:rsidR="009612CC" w:rsidRPr="005B30A9" w:rsidRDefault="009612CC" w:rsidP="006E0BC0">
      <w:pPr>
        <w:pStyle w:val="Bullet1G"/>
      </w:pPr>
      <w:r w:rsidRPr="005B30A9">
        <w:t>Las tasas de empleo de las mujeres y los hombres mayores de 50 años aumentaron (en 1,3 y 1,5 puntos porcentuales, respectivamente, en comparación con 2021)</w:t>
      </w:r>
      <w:r w:rsidR="006E0BC0" w:rsidRPr="005B30A9">
        <w:t>.</w:t>
      </w:r>
    </w:p>
    <w:p w14:paraId="46C65462" w14:textId="77777777" w:rsidR="009612CC" w:rsidRPr="005B30A9" w:rsidRDefault="009612CC" w:rsidP="006E0BC0">
      <w:pPr>
        <w:pStyle w:val="Bullet1G"/>
      </w:pPr>
      <w:r w:rsidRPr="005B30A9">
        <w:t>Unas 113.000 personas de edad recibieron subvenciones o complementos del AMS</w:t>
      </w:r>
      <w:r w:rsidRPr="005B30A9">
        <w:rPr>
          <w:rStyle w:val="Refdenotaalpie"/>
        </w:rPr>
        <w:footnoteReference w:id="28"/>
      </w:r>
      <w:r w:rsidRPr="005B30A9">
        <w:t xml:space="preserve"> cuyo importe ascendió a cerca de 428 millones de euros.</w:t>
      </w:r>
    </w:p>
    <w:p w14:paraId="41A01CA7" w14:textId="15245C54" w:rsidR="009612CC" w:rsidRPr="005B30A9" w:rsidRDefault="009612CC" w:rsidP="006E0BC0">
      <w:pPr>
        <w:pStyle w:val="H4G"/>
      </w:pPr>
      <w:r w:rsidRPr="005B30A9">
        <w:tab/>
      </w:r>
      <w:r w:rsidR="006E0BC0" w:rsidRPr="005B30A9">
        <w:tab/>
      </w:r>
      <w:r w:rsidRPr="005B30A9">
        <w:t>Personas con discapacidad</w:t>
      </w:r>
    </w:p>
    <w:p w14:paraId="3677FF78" w14:textId="467ECA2C" w:rsidR="009612CC" w:rsidRPr="005B30A9" w:rsidRDefault="009612CC" w:rsidP="009612CC">
      <w:pPr>
        <w:pStyle w:val="SingleTxtG"/>
        <w:rPr>
          <w:bCs/>
        </w:rPr>
      </w:pPr>
      <w:r w:rsidRPr="005B30A9">
        <w:t>135.</w:t>
      </w:r>
      <w:r w:rsidRPr="005B30A9">
        <w:tab/>
        <w:t>El logro de la igualdad de las personas con discapacidad es un principio esencial y un objetivo de la política en materia de mercado laboral y discapacidad. El apoyo va dirigido a las distintas situaciones vitales y necesidades de las personas con discapacidad en un régimen de asociación equitativa y justa.</w:t>
      </w:r>
    </w:p>
    <w:p w14:paraId="34907F67" w14:textId="77777777" w:rsidR="009612CC" w:rsidRPr="005B30A9" w:rsidRDefault="009612CC" w:rsidP="009612CC">
      <w:pPr>
        <w:pStyle w:val="SingleTxtG"/>
        <w:rPr>
          <w:bCs/>
        </w:rPr>
      </w:pPr>
      <w:r w:rsidRPr="005B30A9">
        <w:t>136.</w:t>
      </w:r>
      <w:r w:rsidRPr="005B30A9">
        <w:tab/>
        <w:t>El Paquete de Medidas de Inclusión de 2017 comportó un aumento presupuestario notable para las personas con discapacidad, especialmente para los proyectos que promueven la participación laboral, lo cual permite dotar de seguridad a los proyectos satisfactorios y ampliarlos y desarrollar nuevas iniciativas. Se está facilitando financiación adicional para ampliar las posibilidades de acceder a oportunidades de aprendizaje en las denominadas Empresas Integradoras. En 2018, estas Empresas Integradoras, que actualmente son ocho, emplearon en todo el país a unas 3.000 personas, de las cuales 2.000 eran personas con discapacidad.</w:t>
      </w:r>
    </w:p>
    <w:p w14:paraId="26745FF8" w14:textId="77777777" w:rsidR="009612CC" w:rsidRPr="005B30A9" w:rsidRDefault="009612CC" w:rsidP="009612CC">
      <w:pPr>
        <w:pStyle w:val="SingleTxtG"/>
        <w:rPr>
          <w:bCs/>
        </w:rPr>
      </w:pPr>
      <w:r w:rsidRPr="005B30A9">
        <w:t>137.</w:t>
      </w:r>
      <w:r w:rsidRPr="005B30A9">
        <w:tab/>
        <w:t>En junio de 2023, el Gobierno Federal presentó en el Parlamento un proyecto de ley que revisaba las normas por las que se regía la incapacidad laboral de los adolescentes en el marco del seguro de desempleo: los menores de 25 años ya no se clasificarían automáticamente como personas incapaces de trabajar. En su lugar, el AMS les prestaría apoyo y los inscribiría como solicitantes de empleo.</w:t>
      </w:r>
    </w:p>
    <w:p w14:paraId="599286DB" w14:textId="77777777" w:rsidR="009612CC" w:rsidRPr="005B30A9" w:rsidRDefault="009612CC" w:rsidP="009612CC">
      <w:pPr>
        <w:pStyle w:val="SingleTxtG"/>
        <w:rPr>
          <w:bCs/>
        </w:rPr>
      </w:pPr>
      <w:r w:rsidRPr="005B30A9">
        <w:t>138.</w:t>
      </w:r>
      <w:r w:rsidRPr="005B30A9">
        <w:tab/>
        <w:t>Desarrollo de nuevas medidas centradas en las personas y en las empresas junto con los centros regionales del AMS, patrocinadores de proyectos y representantes de las personas con discapacidad. Entre las medidas de apoyo a las empresas para la contratación de personas con discapacidad cabe mencionar:</w:t>
      </w:r>
    </w:p>
    <w:p w14:paraId="654C70A0" w14:textId="182879CC" w:rsidR="009612CC" w:rsidRPr="005B30A9" w:rsidRDefault="009612CC" w:rsidP="006E0BC0">
      <w:pPr>
        <w:pStyle w:val="Bullet1G"/>
      </w:pPr>
      <w:r w:rsidRPr="005B30A9">
        <w:t>El aumento de los subsidios salariales y una concesión de estos más temprana</w:t>
      </w:r>
      <w:r w:rsidR="006E0BC0" w:rsidRPr="005B30A9">
        <w:t>.</w:t>
      </w:r>
    </w:p>
    <w:p w14:paraId="408987A3" w14:textId="240F025B" w:rsidR="009612CC" w:rsidRPr="005B30A9" w:rsidRDefault="009612CC" w:rsidP="006E0BC0">
      <w:pPr>
        <w:pStyle w:val="Bullet1G"/>
      </w:pPr>
      <w:r w:rsidRPr="005B30A9">
        <w:t xml:space="preserve">Menos burocracia en la tramitación de las subvenciones actuales mediante la ampliación de los </w:t>
      </w:r>
      <w:r w:rsidR="00871746">
        <w:t>período</w:t>
      </w:r>
      <w:r w:rsidRPr="005B30A9">
        <w:t>s de concesión</w:t>
      </w:r>
      <w:r w:rsidR="006E0BC0" w:rsidRPr="005B30A9">
        <w:t>.</w:t>
      </w:r>
    </w:p>
    <w:p w14:paraId="77254610" w14:textId="2779D7D5" w:rsidR="009612CC" w:rsidRPr="005B30A9" w:rsidRDefault="009612CC" w:rsidP="006E0BC0">
      <w:pPr>
        <w:pStyle w:val="Bullet1G"/>
      </w:pPr>
      <w:r w:rsidRPr="005B30A9">
        <w:t>Mayor apoyo a los aprendices con discapacidad</w:t>
      </w:r>
      <w:r w:rsidR="006E0BC0" w:rsidRPr="005B30A9">
        <w:t>.</w:t>
      </w:r>
    </w:p>
    <w:p w14:paraId="6BFDC973" w14:textId="77777777" w:rsidR="009612CC" w:rsidRPr="005B30A9" w:rsidRDefault="009612CC" w:rsidP="006E0BC0">
      <w:pPr>
        <w:pStyle w:val="Bullet1G"/>
      </w:pPr>
      <w:r w:rsidRPr="005B30A9">
        <w:lastRenderedPageBreak/>
        <w:t>Sensibilización sobre el enriquecimiento de la vida empresarial derivado del empleo de personas con discapacidad.</w:t>
      </w:r>
    </w:p>
    <w:p w14:paraId="02262184" w14:textId="3F2C2445" w:rsidR="009612CC" w:rsidRPr="005B30A9" w:rsidRDefault="009612CC" w:rsidP="009612CC">
      <w:pPr>
        <w:pStyle w:val="SingleTxtG"/>
        <w:rPr>
          <w:bCs/>
        </w:rPr>
      </w:pPr>
      <w:r w:rsidRPr="005B30A9">
        <w:t>139.</w:t>
      </w:r>
      <w:r w:rsidRPr="005B30A9">
        <w:tab/>
        <w:t xml:space="preserve">Desde 2003, los solicitantes de oportunidades de aprendizaje con obstáculos personales a la colocación pueden optar por un </w:t>
      </w:r>
      <w:r w:rsidR="00871746">
        <w:t>período</w:t>
      </w:r>
      <w:r w:rsidRPr="005B30A9">
        <w:t xml:space="preserve"> de aprendizaje ampliado</w:t>
      </w:r>
      <w:r w:rsidR="006E0BC0" w:rsidRPr="005B30A9">
        <w:t> </w:t>
      </w:r>
      <w:r w:rsidRPr="005B30A9">
        <w:t>(artículo</w:t>
      </w:r>
      <w:r w:rsidR="006E0BC0" w:rsidRPr="005B30A9">
        <w:t> </w:t>
      </w:r>
      <w:r w:rsidRPr="005B30A9">
        <w:t>8</w:t>
      </w:r>
      <w:r w:rsidR="006E0BC0" w:rsidRPr="005B30A9">
        <w:t> </w:t>
      </w:r>
      <w:r w:rsidRPr="005B30A9">
        <w:t xml:space="preserve">b), párrafo 1, de la </w:t>
      </w:r>
      <w:hyperlink r:id="rId46" w:history="1">
        <w:r w:rsidRPr="005B30A9">
          <w:rPr>
            <w:rStyle w:val="Hipervnculo"/>
          </w:rPr>
          <w:t>Ley de Formación Profesional</w:t>
        </w:r>
      </w:hyperlink>
      <w:r w:rsidRPr="005B30A9">
        <w:t xml:space="preserve"> (</w:t>
      </w:r>
      <w:r w:rsidRPr="005B30A9">
        <w:rPr>
          <w:i/>
          <w:iCs/>
        </w:rPr>
        <w:t>Berufsausbildungsgesetz/BAG</w:t>
      </w:r>
      <w:r w:rsidRPr="005B30A9">
        <w:t>), BGBl. núm. 142/1969) o una cualificación parcial (artículo</w:t>
      </w:r>
      <w:r w:rsidR="006E0BC0" w:rsidRPr="005B30A9">
        <w:t> </w:t>
      </w:r>
      <w:r w:rsidRPr="005B30A9">
        <w:t xml:space="preserve">8 b), párrafo 2, de la BAG). El aumento constante del número de adolescentes que asisten a cursos de formación profesional en virtud del artículo 8 b) de la BAG (véase el cuadro 19 del anexo estadístico) es indicio de que se ha afianzado este modelo de formación profesional adaptada individualmente a los adolescentes desfavorecidos. A diciembre de 2022 se capacitaba en empresas a más del 75 % de los aprendices de conformidad con el artículo 8 b) de la BAG. Desde la modificación de la BAG </w:t>
      </w:r>
      <w:hyperlink r:id="rId47" w:history="1">
        <w:r w:rsidRPr="005B30A9">
          <w:rPr>
            <w:rStyle w:val="Hipervnculo"/>
          </w:rPr>
          <w:t>BGBl. I núm. 78/2015</w:t>
        </w:r>
      </w:hyperlink>
      <w:r w:rsidRPr="005B30A9">
        <w:t xml:space="preserve"> pueden definirse programas de capacitación normalizados para las cualificaciones iniciales y parciales de acceso fácil. En Alta Austria se han adoptado en la industria metalúrgica directrices piloto para la capacitación normalizada orientada a la cualificación parcial, con inclusión de la opción de presentarse al examen final de aprendizaje, lo cual aumenta la transparencia y facilita la integración en el mercado laboral de quienes han obtenido una cualificación parcial. Desde la modificación de la BAG </w:t>
      </w:r>
      <w:hyperlink r:id="rId48" w:history="1">
        <w:r w:rsidRPr="005B30A9">
          <w:rPr>
            <w:rStyle w:val="Hipervnculo"/>
          </w:rPr>
          <w:t>BGBl. I núm. 18/2020</w:t>
        </w:r>
      </w:hyperlink>
      <w:r w:rsidRPr="005B30A9">
        <w:t>, las personas con responsabilidades de cuidado de niños o con problemas de salud pueden optar por un aprendizaje a tiempo parcial.</w:t>
      </w:r>
    </w:p>
    <w:p w14:paraId="0BE06540" w14:textId="2657AB18" w:rsidR="009612CC" w:rsidRPr="005B30A9" w:rsidRDefault="006E0BC0" w:rsidP="006E0BC0">
      <w:pPr>
        <w:pStyle w:val="H4G"/>
      </w:pPr>
      <w:r w:rsidRPr="005B30A9">
        <w:tab/>
      </w:r>
      <w:r w:rsidR="009612CC" w:rsidRPr="005B30A9">
        <w:tab/>
        <w:t>Medidas ilustrativas de los Länder</w:t>
      </w:r>
    </w:p>
    <w:p w14:paraId="3A9906BE" w14:textId="77777777" w:rsidR="009612CC" w:rsidRPr="005B30A9" w:rsidRDefault="009612CC" w:rsidP="009612CC">
      <w:pPr>
        <w:pStyle w:val="SingleTxtG"/>
      </w:pPr>
      <w:r w:rsidRPr="005B30A9">
        <w:t>140.</w:t>
      </w:r>
      <w:r w:rsidRPr="005B30A9">
        <w:tab/>
        <w:t>Salzburgo:</w:t>
      </w:r>
    </w:p>
    <w:p w14:paraId="1BA4843A" w14:textId="1BE413AA" w:rsidR="009612CC" w:rsidRPr="005B30A9" w:rsidRDefault="009612CC" w:rsidP="006E0BC0">
      <w:pPr>
        <w:pStyle w:val="Bullet1G"/>
      </w:pPr>
      <w:r w:rsidRPr="005B30A9">
        <w:t>“</w:t>
      </w:r>
      <w:r w:rsidRPr="005B30A9">
        <w:rPr>
          <w:i/>
          <w:iCs/>
        </w:rPr>
        <w:t>CARMI - Caritas Arbeitsmarktintegration</w:t>
      </w:r>
      <w:r w:rsidRPr="005B30A9">
        <w:t>”: oportunidades de empleo de acceso fácil para aumentar gradualmente la empleabilidad de los beneficiarios de ayuda social o ingreso mínimo mayores de 50 años que buscan trabajo</w:t>
      </w:r>
      <w:r w:rsidR="006E0BC0" w:rsidRPr="005B30A9">
        <w:t>.</w:t>
      </w:r>
    </w:p>
    <w:p w14:paraId="11716E21" w14:textId="77777777" w:rsidR="009612CC" w:rsidRPr="005B30A9" w:rsidRDefault="009612CC" w:rsidP="006E0BC0">
      <w:pPr>
        <w:pStyle w:val="Bullet1G"/>
      </w:pPr>
      <w:r w:rsidRPr="005B30A9">
        <w:t>Oportunidades de empleo para las personas con enfermedades mentales.</w:t>
      </w:r>
    </w:p>
    <w:p w14:paraId="479A9F49" w14:textId="77777777" w:rsidR="009612CC" w:rsidRPr="005B30A9" w:rsidRDefault="009612CC" w:rsidP="009612CC">
      <w:pPr>
        <w:pStyle w:val="SingleTxtG"/>
      </w:pPr>
      <w:r w:rsidRPr="005B30A9">
        <w:t>141.</w:t>
      </w:r>
      <w:r w:rsidRPr="005B30A9">
        <w:tab/>
        <w:t>Viena:</w:t>
      </w:r>
    </w:p>
    <w:p w14:paraId="11DD8F4F" w14:textId="47BC932A" w:rsidR="009612CC" w:rsidRPr="005B30A9" w:rsidRDefault="009612CC" w:rsidP="006E0BC0">
      <w:pPr>
        <w:pStyle w:val="Bullet1G"/>
      </w:pPr>
      <w:r w:rsidRPr="005B30A9">
        <w:t>La Oficina para la Política de Adicciones y Drogas (</w:t>
      </w:r>
      <w:r w:rsidRPr="005B30A9">
        <w:rPr>
          <w:i/>
          <w:iCs/>
        </w:rPr>
        <w:t>Sucht- und Drogenkoordination/</w:t>
      </w:r>
      <w:r w:rsidRPr="00002695">
        <w:t>SDW</w:t>
      </w:r>
      <w:r w:rsidRPr="005B30A9">
        <w:t>) financia la rehabilitación a fin de restablecer la capacidad laboral de los adictos y ayudarles a encontrar empleo</w:t>
      </w:r>
      <w:r w:rsidR="006E0BC0" w:rsidRPr="005B30A9">
        <w:t>.</w:t>
      </w:r>
    </w:p>
    <w:p w14:paraId="7BCF90BA" w14:textId="77777777" w:rsidR="009612CC" w:rsidRPr="005B30A9" w:rsidRDefault="009612CC" w:rsidP="006E0BC0">
      <w:pPr>
        <w:pStyle w:val="Bullet1G"/>
      </w:pPr>
      <w:r w:rsidRPr="005B30A9">
        <w:t>De 2019 a principios de 2023: reempleo de más de 2.200 personas mayores de 50 años (</w:t>
      </w:r>
      <w:r w:rsidRPr="005B30A9">
        <w:rPr>
          <w:i/>
          <w:iCs/>
        </w:rPr>
        <w:t>Joboffensive 50plus</w:t>
      </w:r>
      <w:r w:rsidRPr="005B30A9">
        <w:t>).</w:t>
      </w:r>
    </w:p>
    <w:p w14:paraId="64F03743" w14:textId="1CEF17D7" w:rsidR="009612CC" w:rsidRPr="005B30A9" w:rsidRDefault="009612CC" w:rsidP="009612CC">
      <w:pPr>
        <w:pStyle w:val="SingleTxtG"/>
      </w:pPr>
      <w:r w:rsidRPr="005B30A9">
        <w:t>142.</w:t>
      </w:r>
      <w:r w:rsidRPr="005B30A9">
        <w:tab/>
        <w:t>Vorarlberg: “</w:t>
      </w:r>
      <w:r w:rsidRPr="005B30A9">
        <w:rPr>
          <w:i/>
          <w:iCs/>
        </w:rPr>
        <w:t>Come Back Arbeitsplatzcoaching</w:t>
      </w:r>
      <w:r w:rsidRPr="005B30A9">
        <w:t>”, que ayuda a encontrar empleo a las personas mayores de 50 años que tienen problemas de salud.</w:t>
      </w:r>
    </w:p>
    <w:p w14:paraId="6E8503BE" w14:textId="02999184" w:rsidR="009612CC" w:rsidRPr="005B30A9" w:rsidRDefault="009612CC" w:rsidP="009612CC">
      <w:pPr>
        <w:pStyle w:val="SingleTxtG"/>
      </w:pPr>
      <w:r w:rsidRPr="005B30A9">
        <w:t>143.</w:t>
      </w:r>
      <w:r w:rsidRPr="005B30A9">
        <w:tab/>
        <w:t>Estiria: proyectos de ayuda a los</w:t>
      </w:r>
      <w:r w:rsidR="006F43E4">
        <w:t xml:space="preserve"> </w:t>
      </w:r>
      <w:r w:rsidRPr="005B30A9">
        <w:t>desempleados con deficiencias mentales, psiquiátricas o psicosociales para desarrollar perspectivas laborales o acceder al mercado de trabajo y de creación de puestos de trabajo a largo plazo para las personas con discapacidad (entre ellos, “</w:t>
      </w:r>
      <w:r w:rsidRPr="005B30A9">
        <w:rPr>
          <w:i/>
          <w:iCs/>
        </w:rPr>
        <w:t xml:space="preserve">Arbeitsmarktrelevante Kompetenzförderung </w:t>
      </w:r>
      <w:r w:rsidR="006F43E4">
        <w:rPr>
          <w:i/>
          <w:iCs/>
        </w:rPr>
        <w:t>–</w:t>
      </w:r>
      <w:r w:rsidRPr="005B30A9">
        <w:rPr>
          <w:i/>
          <w:iCs/>
        </w:rPr>
        <w:t xml:space="preserve"> berufliches Training</w:t>
      </w:r>
      <w:r w:rsidRPr="005B30A9">
        <w:t>” y “</w:t>
      </w:r>
      <w:r w:rsidRPr="005B30A9">
        <w:rPr>
          <w:i/>
          <w:iCs/>
        </w:rPr>
        <w:t>Berufliche Eingliederung durch betriebliche Arbeit</w:t>
      </w:r>
      <w:r w:rsidRPr="005B30A9">
        <w:t>”).</w:t>
      </w:r>
    </w:p>
    <w:p w14:paraId="7FED7A45" w14:textId="28669337" w:rsidR="009612CC" w:rsidRPr="005B30A9" w:rsidRDefault="009612CC" w:rsidP="006E0BC0">
      <w:pPr>
        <w:pStyle w:val="H1G"/>
      </w:pPr>
      <w:r w:rsidRPr="005B30A9">
        <w:tab/>
      </w:r>
      <w:r w:rsidR="006E0BC0" w:rsidRPr="005B30A9">
        <w:tab/>
      </w:r>
      <w:r w:rsidRPr="005B30A9">
        <w:t>Respuesta al párrafo 18 de la lista de cuestiones</w:t>
      </w:r>
    </w:p>
    <w:p w14:paraId="547898C9" w14:textId="651F85C5" w:rsidR="009612CC" w:rsidRPr="005B30A9" w:rsidRDefault="006E0BC0" w:rsidP="006E0BC0">
      <w:pPr>
        <w:pStyle w:val="H23G"/>
      </w:pPr>
      <w:r w:rsidRPr="005B30A9">
        <w:tab/>
      </w:r>
      <w:r w:rsidR="009612CC" w:rsidRPr="005B30A9">
        <w:tab/>
        <w:t xml:space="preserve">Integración de los migrantes en el mercado laboral </w:t>
      </w:r>
    </w:p>
    <w:p w14:paraId="318A2A44" w14:textId="77777777" w:rsidR="009612CC" w:rsidRPr="005B30A9" w:rsidRDefault="009612CC" w:rsidP="009612CC">
      <w:pPr>
        <w:pStyle w:val="SingleTxtG"/>
        <w:rPr>
          <w:bCs/>
        </w:rPr>
      </w:pPr>
      <w:r w:rsidRPr="005B30A9">
        <w:t>144.</w:t>
      </w:r>
      <w:r w:rsidRPr="005B30A9">
        <w:tab/>
        <w:t>Los migrantes con acceso al mercado laboral pueden participar en todas las medidas y programas del AMS.</w:t>
      </w:r>
    </w:p>
    <w:p w14:paraId="1C8444FA" w14:textId="091EE762" w:rsidR="009612CC" w:rsidRPr="005B30A9" w:rsidRDefault="009612CC" w:rsidP="009612CC">
      <w:pPr>
        <w:pStyle w:val="SingleTxtG"/>
        <w:rPr>
          <w:bCs/>
        </w:rPr>
      </w:pPr>
      <w:r w:rsidRPr="005B30A9">
        <w:t>145.</w:t>
      </w:r>
      <w:r w:rsidRPr="005B30A9">
        <w:tab/>
        <w:t>Cabe mencionar los siguientes tipos de apoyo específico a los migrantes:</w:t>
      </w:r>
    </w:p>
    <w:p w14:paraId="1956EF3C" w14:textId="0E92EFC4" w:rsidR="009612CC" w:rsidRPr="005B30A9" w:rsidRDefault="009612CC" w:rsidP="006E0BC0">
      <w:pPr>
        <w:pStyle w:val="Bullet1G"/>
      </w:pPr>
      <w:r w:rsidRPr="005B30A9">
        <w:t>“Tutoría de migrantes”, puesta en marcha por el Fondo de Integración de Austria, las Cámaras Económicas del país y el AMS para favorecer la integración en el mercado de trabajo</w:t>
      </w:r>
      <w:r w:rsidR="006E0BC0" w:rsidRPr="005B30A9">
        <w:t>.</w:t>
      </w:r>
    </w:p>
    <w:p w14:paraId="37247E0E" w14:textId="019F5593" w:rsidR="009612CC" w:rsidRPr="005B30A9" w:rsidRDefault="009612CC" w:rsidP="00CC7D4B">
      <w:pPr>
        <w:pStyle w:val="Bullet1G"/>
        <w:keepNext/>
        <w:keepLines/>
      </w:pPr>
      <w:r w:rsidRPr="005B30A9">
        <w:lastRenderedPageBreak/>
        <w:t>Ofertas de perfeccionamiento profesional, como:</w:t>
      </w:r>
    </w:p>
    <w:p w14:paraId="0E04ADD7" w14:textId="47E87068" w:rsidR="009612CC" w:rsidRPr="005B30A9" w:rsidRDefault="009612CC" w:rsidP="006E0BC0">
      <w:pPr>
        <w:pStyle w:val="Bullet2G"/>
      </w:pPr>
      <w:r w:rsidRPr="005B30A9">
        <w:t>Cursos especializados que mejoran las posibilidades de acceder al mercado de mano de obra más calificada</w:t>
      </w:r>
      <w:r w:rsidR="006E0BC0" w:rsidRPr="005B30A9">
        <w:t>.</w:t>
      </w:r>
    </w:p>
    <w:p w14:paraId="648DC0E8" w14:textId="4EEED3BE" w:rsidR="009612CC" w:rsidRPr="005B30A9" w:rsidRDefault="009612CC" w:rsidP="006E0BC0">
      <w:pPr>
        <w:pStyle w:val="Bullet2G"/>
      </w:pPr>
      <w:r w:rsidRPr="005B30A9">
        <w:t>Trabajo personalizado y asistencia para la solicitud</w:t>
      </w:r>
      <w:r w:rsidR="006E0BC0" w:rsidRPr="005B30A9">
        <w:t>.</w:t>
      </w:r>
    </w:p>
    <w:p w14:paraId="2D2E8024" w14:textId="77777777" w:rsidR="009612CC" w:rsidRPr="005B30A9" w:rsidRDefault="009612CC" w:rsidP="006E0BC0">
      <w:pPr>
        <w:pStyle w:val="Bullet2G"/>
      </w:pPr>
      <w:r w:rsidRPr="005B30A9">
        <w:t>Cursos de alemán (impartidos por el AMS: en 2021: unos 54.000 participantes; en 2022: 9.000).</w:t>
      </w:r>
    </w:p>
    <w:p w14:paraId="6BF6A238" w14:textId="73B70D57" w:rsidR="009612CC" w:rsidRPr="005B30A9" w:rsidRDefault="009612CC" w:rsidP="006E0BC0">
      <w:pPr>
        <w:pStyle w:val="Bullet1G"/>
      </w:pPr>
      <w:r w:rsidRPr="005B30A9">
        <w:t>Material informativo multilingüe sobre la carrera profesional y el mercado laboral</w:t>
      </w:r>
      <w:r w:rsidR="00D42DAE" w:rsidRPr="005B30A9">
        <w:t>.</w:t>
      </w:r>
      <w:r w:rsidRPr="005B30A9">
        <w:t xml:space="preserve"> </w:t>
      </w:r>
    </w:p>
    <w:p w14:paraId="6FBA2092" w14:textId="004CB35A" w:rsidR="009612CC" w:rsidRPr="005B30A9" w:rsidRDefault="009612CC" w:rsidP="006E0BC0">
      <w:pPr>
        <w:pStyle w:val="Bullet1G"/>
      </w:pPr>
      <w:r w:rsidRPr="005B30A9">
        <w:t>Asesoramiento a empresas en materia de gestión de la diversidad</w:t>
      </w:r>
      <w:r w:rsidR="00D42DAE" w:rsidRPr="005B30A9">
        <w:t>.</w:t>
      </w:r>
    </w:p>
    <w:p w14:paraId="52808656" w14:textId="77777777" w:rsidR="009612CC" w:rsidRPr="005B30A9" w:rsidRDefault="009612CC" w:rsidP="006E0BC0">
      <w:pPr>
        <w:pStyle w:val="Bullet1G"/>
      </w:pPr>
      <w:r w:rsidRPr="005B30A9">
        <w:t xml:space="preserve">Convalidación simplificada de las cualificaciones extranjeras (cualificaciones de formación profesional y logros educativos): </w:t>
      </w:r>
    </w:p>
    <w:p w14:paraId="27AE707A" w14:textId="77777777" w:rsidR="009612CC" w:rsidRPr="005B30A9" w:rsidRDefault="009612CC" w:rsidP="006E0BC0">
      <w:pPr>
        <w:pStyle w:val="Bullet2G"/>
      </w:pPr>
      <w:r w:rsidRPr="005B30A9">
        <w:t>Desde 2016, a través de:</w:t>
      </w:r>
    </w:p>
    <w:p w14:paraId="6A1DCCFD" w14:textId="3E9DD59A" w:rsidR="009612CC" w:rsidRPr="005B30A9" w:rsidRDefault="009612CC" w:rsidP="006E0BC0">
      <w:pPr>
        <w:pStyle w:val="Bullet2G"/>
        <w:ind w:left="2835"/>
      </w:pPr>
      <w:r w:rsidRPr="005B30A9">
        <w:t>Procedimientos de validación simplificados</w:t>
      </w:r>
      <w:r w:rsidR="00D42DAE" w:rsidRPr="005B30A9">
        <w:t>.</w:t>
      </w:r>
    </w:p>
    <w:p w14:paraId="144DE97E" w14:textId="6453D41E" w:rsidR="009612CC" w:rsidRPr="005B30A9" w:rsidRDefault="009612CC" w:rsidP="006E0BC0">
      <w:pPr>
        <w:pStyle w:val="Bullet2G"/>
        <w:ind w:left="2835"/>
      </w:pPr>
      <w:r w:rsidRPr="005B30A9">
        <w:t xml:space="preserve">Contactos en cada </w:t>
      </w:r>
      <w:r w:rsidRPr="00695F62">
        <w:rPr>
          <w:i/>
          <w:iCs/>
        </w:rPr>
        <w:t>Land</w:t>
      </w:r>
      <w:r w:rsidRPr="005B30A9">
        <w:t xml:space="preserve"> para las personas con cualificaciones extranjeras</w:t>
      </w:r>
      <w:r w:rsidR="00D42DAE" w:rsidRPr="005B30A9">
        <w:t>.</w:t>
      </w:r>
    </w:p>
    <w:p w14:paraId="0C03499D" w14:textId="5976C959" w:rsidR="009612CC" w:rsidRPr="005B30A9" w:rsidRDefault="009612CC" w:rsidP="006E0BC0">
      <w:pPr>
        <w:pStyle w:val="Bullet2G"/>
        <w:ind w:left="2835"/>
      </w:pPr>
      <w:r w:rsidRPr="005B30A9">
        <w:t>Normas especiales para los refugiados reconocidos como tales y los titulares de protección subsidiaria que hayan perdido la documentación acreditativa de su educación durante su fuga</w:t>
      </w:r>
      <w:r w:rsidR="00D42DAE" w:rsidRPr="005B30A9">
        <w:t>.</w:t>
      </w:r>
    </w:p>
    <w:p w14:paraId="752BC068" w14:textId="77777777" w:rsidR="009612CC" w:rsidRPr="005B30A9" w:rsidRDefault="009612CC" w:rsidP="006E0BC0">
      <w:pPr>
        <w:pStyle w:val="Bullet2G"/>
      </w:pPr>
      <w:r w:rsidRPr="005B30A9">
        <w:t xml:space="preserve">Del 1 de octubre de 2016 al 30 de septiembre de 2021: </w:t>
      </w:r>
    </w:p>
    <w:p w14:paraId="2A8154B6" w14:textId="3F739E3E" w:rsidR="009612CC" w:rsidRPr="005B30A9" w:rsidRDefault="006E0BC0" w:rsidP="006E0BC0">
      <w:pPr>
        <w:pStyle w:val="Bullet2G"/>
        <w:ind w:left="2835"/>
        <w:rPr>
          <w:bCs/>
        </w:rPr>
      </w:pPr>
      <w:r w:rsidRPr="005B30A9">
        <w:t>S</w:t>
      </w:r>
      <w:r w:rsidR="009612CC" w:rsidRPr="005B30A9">
        <w:t>e reconocieron o convalidaron los logros educativos o las cualificaciones de formación profesional de 34.742 personas</w:t>
      </w:r>
      <w:r w:rsidR="00D42DAE" w:rsidRPr="005B30A9">
        <w:t>.</w:t>
      </w:r>
      <w:r w:rsidR="009612CC" w:rsidRPr="005B30A9">
        <w:t xml:space="preserve"> </w:t>
      </w:r>
    </w:p>
    <w:p w14:paraId="3E9B9891" w14:textId="77777777" w:rsidR="009612CC" w:rsidRPr="005B30A9" w:rsidRDefault="009612CC" w:rsidP="006E0BC0">
      <w:pPr>
        <w:pStyle w:val="Bullet2G"/>
      </w:pPr>
      <w:r w:rsidRPr="005B30A9">
        <w:t xml:space="preserve">Del 1 de octubre de 2021 al 30 de septiembre de 2022: </w:t>
      </w:r>
    </w:p>
    <w:p w14:paraId="7238D355" w14:textId="490DB8ED" w:rsidR="009612CC" w:rsidRPr="005B30A9" w:rsidRDefault="006E0BC0" w:rsidP="006E0BC0">
      <w:pPr>
        <w:pStyle w:val="Bullet2G"/>
        <w:ind w:left="2835"/>
      </w:pPr>
      <w:r w:rsidRPr="005B30A9">
        <w:t>S</w:t>
      </w:r>
      <w:r w:rsidR="009612CC" w:rsidRPr="005B30A9">
        <w:t>e recibieron 10.043 solicitudes de reconocimiento y convalidación</w:t>
      </w:r>
      <w:r w:rsidR="00D42DAE" w:rsidRPr="005B30A9">
        <w:t>.</w:t>
      </w:r>
    </w:p>
    <w:p w14:paraId="091049DC" w14:textId="6D2595C1" w:rsidR="009612CC" w:rsidRPr="005B30A9" w:rsidRDefault="006E0BC0" w:rsidP="006E0BC0">
      <w:pPr>
        <w:pStyle w:val="Bullet2G"/>
        <w:ind w:left="2835"/>
        <w:rPr>
          <w:bCs/>
        </w:rPr>
      </w:pPr>
      <w:r w:rsidRPr="005B30A9">
        <w:t>S</w:t>
      </w:r>
      <w:r w:rsidR="009612CC" w:rsidRPr="005B30A9">
        <w:t>e reconocieron o convalidaron los logros educativos o las cualificaciones de formación profesional de 7.149 personas</w:t>
      </w:r>
      <w:r w:rsidR="00D42DAE" w:rsidRPr="005B30A9">
        <w:t>.</w:t>
      </w:r>
    </w:p>
    <w:p w14:paraId="50EE38A4" w14:textId="4E20F6B5" w:rsidR="009612CC" w:rsidRPr="005B30A9" w:rsidRDefault="009612CC" w:rsidP="006E0BC0">
      <w:pPr>
        <w:pStyle w:val="Bullet1G"/>
      </w:pPr>
      <w:r w:rsidRPr="005B30A9">
        <w:t>Financiación de la formación en oficios que son objeto de gran demanda en el mercado laboral, principalmente para aumentar la tasa de empleo de los migrantes</w:t>
      </w:r>
      <w:r w:rsidR="00D42DAE" w:rsidRPr="005B30A9">
        <w:t>.</w:t>
      </w:r>
    </w:p>
    <w:p w14:paraId="5DFFBC80" w14:textId="209C82B1" w:rsidR="009612CC" w:rsidRPr="005B30A9" w:rsidRDefault="009612CC" w:rsidP="006E0BC0">
      <w:pPr>
        <w:pStyle w:val="Bullet1G"/>
      </w:pPr>
      <w:r w:rsidRPr="005B30A9">
        <w:t>Cursos de alemán especializados y para trabajos específicos impartidos por el Fondo de Integración de Austria</w:t>
      </w:r>
      <w:r w:rsidR="00D42DAE" w:rsidRPr="005B30A9">
        <w:t>.</w:t>
      </w:r>
    </w:p>
    <w:p w14:paraId="36EF5AEF" w14:textId="1CD96869" w:rsidR="009612CC" w:rsidRPr="005B30A9" w:rsidRDefault="009612CC" w:rsidP="006E0BC0">
      <w:pPr>
        <w:pStyle w:val="Bullet1G"/>
      </w:pPr>
      <w:r w:rsidRPr="005B30A9">
        <w:t>Financiación de proyectos, entre ellos:</w:t>
      </w:r>
    </w:p>
    <w:p w14:paraId="178053E6" w14:textId="73C45C89" w:rsidR="009612CC" w:rsidRPr="005B30A9" w:rsidRDefault="00D939FA" w:rsidP="006E0BC0">
      <w:pPr>
        <w:pStyle w:val="Bullet2G"/>
        <w:rPr>
          <w:u w:val="single"/>
        </w:rPr>
      </w:pPr>
      <w:hyperlink r:id="rId49" w:history="1">
        <w:r w:rsidR="009612CC" w:rsidRPr="005B30A9">
          <w:rPr>
            <w:rStyle w:val="Hipervnculo"/>
          </w:rPr>
          <w:t>Proyectos con cargo al Fondo Social Europeo y en el marco de la prioridad de inversión en condiciones de igualdad</w:t>
        </w:r>
      </w:hyperlink>
      <w:r w:rsidR="00D42DAE" w:rsidRPr="005B30A9">
        <w:t>.</w:t>
      </w:r>
    </w:p>
    <w:p w14:paraId="311F6690" w14:textId="6E326F47" w:rsidR="009612CC" w:rsidRPr="005B30A9" w:rsidRDefault="009612CC" w:rsidP="006E0BC0">
      <w:pPr>
        <w:pStyle w:val="Bullet2G"/>
      </w:pPr>
      <w:r w:rsidRPr="005B30A9">
        <w:t xml:space="preserve">El centro de servicios para mujeres </w:t>
      </w:r>
      <w:r w:rsidRPr="00695F62">
        <w:rPr>
          <w:i/>
          <w:iCs/>
        </w:rPr>
        <w:t>“</w:t>
      </w:r>
      <w:r w:rsidRPr="005B30A9">
        <w:rPr>
          <w:i/>
          <w:iCs/>
        </w:rPr>
        <w:t>Miteinander Lernen</w:t>
      </w:r>
      <w:r w:rsidRPr="00695F62">
        <w:rPr>
          <w:i/>
          <w:iCs/>
        </w:rPr>
        <w:t>”</w:t>
      </w:r>
      <w:r w:rsidRPr="005B30A9">
        <w:t>, que ayuda a las mujeres y las niñas a desarrollar la responsabilidad consigo mismas y estilos de vida autodeterminados y a integrarse en el mercado laboral, especialmente en torno a factores específicos de la migración</w:t>
      </w:r>
      <w:r w:rsidR="00D42DAE" w:rsidRPr="005B30A9">
        <w:t>.</w:t>
      </w:r>
    </w:p>
    <w:p w14:paraId="1CAE6B25" w14:textId="77777777" w:rsidR="009612CC" w:rsidRPr="005B30A9" w:rsidRDefault="009612CC" w:rsidP="00D42DAE">
      <w:pPr>
        <w:pStyle w:val="Bullet1G"/>
      </w:pPr>
      <w:r w:rsidRPr="005B30A9">
        <w:t xml:space="preserve">Medidas de integración en el mercado laboral dirigidas a los desplazados de Ucrania, entre ellas: </w:t>
      </w:r>
    </w:p>
    <w:p w14:paraId="6A513332" w14:textId="05AD1BCD" w:rsidR="009612CC" w:rsidRPr="005B30A9" w:rsidRDefault="009612CC" w:rsidP="00D42DAE">
      <w:pPr>
        <w:pStyle w:val="Bullet2G"/>
      </w:pPr>
      <w:r w:rsidRPr="005B30A9">
        <w:t>La “tarjeta de identificación de los desplazados” (Tarjeta Azul), con inclusión del acceso al mercado laboral o al empleo por cuenta propia</w:t>
      </w:r>
      <w:r w:rsidR="00D42DAE" w:rsidRPr="005B30A9">
        <w:t>.</w:t>
      </w:r>
      <w:r w:rsidRPr="005B30A9">
        <w:t xml:space="preserve"> </w:t>
      </w:r>
    </w:p>
    <w:p w14:paraId="4825ED50" w14:textId="77777777" w:rsidR="009612CC" w:rsidRPr="005B30A9" w:rsidRDefault="009612CC" w:rsidP="00D42DAE">
      <w:pPr>
        <w:pStyle w:val="Bullet2G"/>
      </w:pPr>
      <w:r w:rsidRPr="005B30A9">
        <w:t>Material informativo (en alemán, ucraniano, ruso e inglés) y presentaciones sobre temas como el acceso al mercado laboral, los servicios del AMS y la convalidación de las cualificaciones de formación profesional.</w:t>
      </w:r>
    </w:p>
    <w:p w14:paraId="720E0255" w14:textId="19630F05" w:rsidR="009612CC" w:rsidRPr="005B30A9" w:rsidRDefault="00D42DAE" w:rsidP="00D42DAE">
      <w:pPr>
        <w:pStyle w:val="H4G"/>
      </w:pPr>
      <w:r w:rsidRPr="005B30A9">
        <w:tab/>
      </w:r>
      <w:r w:rsidR="009612CC" w:rsidRPr="005B30A9">
        <w:tab/>
        <w:t>Medidas ilustrativas de los Länder</w:t>
      </w:r>
    </w:p>
    <w:p w14:paraId="1E7C62C7" w14:textId="082FE91D" w:rsidR="009612CC" w:rsidRPr="005B30A9" w:rsidRDefault="009612CC" w:rsidP="009612CC">
      <w:pPr>
        <w:pStyle w:val="SingleTxtG"/>
      </w:pPr>
      <w:r w:rsidRPr="005B30A9">
        <w:t>146.</w:t>
      </w:r>
      <w:r w:rsidRPr="005B30A9">
        <w:tab/>
        <w:t xml:space="preserve">Salzburgo: en 2018/19, participación en el proyecto FIER de la Unión Europea (Integración por la vía rápida en las regiones europeas), elaboración de instrumentos y </w:t>
      </w:r>
      <w:r w:rsidRPr="005B30A9">
        <w:lastRenderedPageBreak/>
        <w:t>estrategias para la integración rápida de refugiados y solicitantes de asilo (especialmente mujeres) en el mercado de trabajo</w:t>
      </w:r>
      <w:r w:rsidRPr="005B30A9">
        <w:rPr>
          <w:rStyle w:val="Refdenotaalpie"/>
        </w:rPr>
        <w:footnoteReference w:id="29"/>
      </w:r>
      <w:r w:rsidRPr="005B30A9">
        <w:t>.</w:t>
      </w:r>
    </w:p>
    <w:p w14:paraId="24E6355A" w14:textId="77777777" w:rsidR="009612CC" w:rsidRPr="005B30A9" w:rsidRDefault="009612CC" w:rsidP="009612CC">
      <w:pPr>
        <w:pStyle w:val="SingleTxtG"/>
      </w:pPr>
      <w:r w:rsidRPr="005B30A9">
        <w:t>147.</w:t>
      </w:r>
      <w:r w:rsidRPr="005B30A9">
        <w:tab/>
        <w:t>Viena: apoyo a migrantes en situación de desventaja educativa, con inclusión de información laboral en los idiomas maternos, cursos de educación básica (alemán, matemáticas y tecnologías de la comunicación) y cursos de alemán.</w:t>
      </w:r>
    </w:p>
    <w:p w14:paraId="2E9974FE" w14:textId="310EBA3A" w:rsidR="009612CC" w:rsidRPr="005B30A9" w:rsidRDefault="00D42DAE" w:rsidP="00D42DAE">
      <w:pPr>
        <w:pStyle w:val="H23G"/>
      </w:pPr>
      <w:r w:rsidRPr="005B30A9">
        <w:tab/>
      </w:r>
      <w:r w:rsidR="009612CC" w:rsidRPr="005B30A9">
        <w:tab/>
        <w:t>Integración de los romaníes en el mercado laboral</w:t>
      </w:r>
    </w:p>
    <w:p w14:paraId="502A100F" w14:textId="2FB28189" w:rsidR="009612CC" w:rsidRPr="005B30A9" w:rsidRDefault="009612CC" w:rsidP="009612CC">
      <w:pPr>
        <w:pStyle w:val="SingleTxtG"/>
        <w:rPr>
          <w:bCs/>
        </w:rPr>
      </w:pPr>
      <w:r w:rsidRPr="005B30A9">
        <w:t>148.</w:t>
      </w:r>
      <w:r w:rsidRPr="005B30A9">
        <w:tab/>
        <w:t>La legislación austr</w:t>
      </w:r>
      <w:r w:rsidR="00695F62">
        <w:t>í</w:t>
      </w:r>
      <w:r w:rsidRPr="005B30A9">
        <w:t>aca no permite desglosar los datos del AMS por origen étnico. En consecuencia, no se dispone de información sobre el número de romaníes que han participado en medidas de política laboral financiadas por el AMS, sobre el desempleo de los romaníes o sobre el empleo de estos.</w:t>
      </w:r>
    </w:p>
    <w:p w14:paraId="78B6FCD7" w14:textId="77777777" w:rsidR="009612CC" w:rsidRPr="005B30A9" w:rsidRDefault="009612CC" w:rsidP="009612CC">
      <w:pPr>
        <w:pStyle w:val="SingleTxtG"/>
        <w:rPr>
          <w:bCs/>
        </w:rPr>
      </w:pPr>
      <w:r w:rsidRPr="005B30A9">
        <w:t>149.</w:t>
      </w:r>
      <w:r w:rsidRPr="005B30A9">
        <w:tab/>
        <w:t>Sin embargo, en estudios basados en entrevistas con personas que se identifican voluntariamente como romaníes y en informes de la sociedad civil se observa que la situación del empleo y los ingresos de los romaníes está por debajo de la media y que los romaníes suelen verse más afectados por el desempleo (especialmente el de larga duración).</w:t>
      </w:r>
    </w:p>
    <w:p w14:paraId="1F0ECBCE" w14:textId="36336299" w:rsidR="009612CC" w:rsidRPr="005B30A9" w:rsidRDefault="009612CC" w:rsidP="009612CC">
      <w:pPr>
        <w:pStyle w:val="SingleTxtG"/>
        <w:rPr>
          <w:bCs/>
        </w:rPr>
      </w:pPr>
      <w:r w:rsidRPr="005B30A9">
        <w:t>150.</w:t>
      </w:r>
      <w:r w:rsidRPr="005B30A9">
        <w:tab/>
        <w:t>Por lo tanto, la estrategia de Austria para los romaníes se centra en su integración hasta 2030 en el mercado laboral austr</w:t>
      </w:r>
      <w:r w:rsidR="00D711B0">
        <w:t>í</w:t>
      </w:r>
      <w:r w:rsidRPr="005B30A9">
        <w:t>aco mediante las siguientes medidas:</w:t>
      </w:r>
    </w:p>
    <w:p w14:paraId="15AD4F84" w14:textId="7A969A61" w:rsidR="009612CC" w:rsidRPr="005B30A9" w:rsidRDefault="009612CC" w:rsidP="00D42DAE">
      <w:pPr>
        <w:pStyle w:val="Bullet1G"/>
      </w:pPr>
      <w:r w:rsidRPr="005B30A9">
        <w:t>En 2015 y en 2019, respectivamente, se publicaron convocatorias para presentar proyectos de la sociedad civil destinados a garantizar el acceso sostenible de los romaníes al mercado laboral. En la elaboración y la ejecución de esos proyectos deben participar miembros de la comunidad romaní. A 2022 se habían ejecutado 17</w:t>
      </w:r>
      <w:r w:rsidR="004D438A">
        <w:t> </w:t>
      </w:r>
      <w:r w:rsidRPr="005B30A9">
        <w:t>proyectos. De 2015 a 2022, estos proyectos, ejecutados en dos rondas, brindaron asesoramiento a 5.136 personas (3.093 mujeres y 2.043 hombres).</w:t>
      </w:r>
    </w:p>
    <w:p w14:paraId="34D03ED7" w14:textId="5E7CC5C8" w:rsidR="009612CC" w:rsidRPr="005B30A9" w:rsidRDefault="009612CC" w:rsidP="00D42DAE">
      <w:pPr>
        <w:pStyle w:val="Bullet1G"/>
      </w:pPr>
      <w:r w:rsidRPr="005B30A9">
        <w:t>En 2022, el BMAW aprobó la directiva especial sobre el empoderamiento de los romaníes en el mercado laboral 2023-2030, en el marco de la cual aportó unos 10</w:t>
      </w:r>
      <w:r w:rsidR="004D438A">
        <w:t> </w:t>
      </w:r>
      <w:r w:rsidRPr="005B30A9">
        <w:t>millones de euros destinados a nuevos proyectos de integración de los romaníes en el mercado de trabajo en el curso de los próximos ocho años. Actualmente se financian cuatro proyectos.</w:t>
      </w:r>
    </w:p>
    <w:p w14:paraId="34078750" w14:textId="77777777" w:rsidR="009612CC" w:rsidRPr="005B30A9" w:rsidRDefault="009612CC" w:rsidP="009612CC">
      <w:pPr>
        <w:pStyle w:val="SingleTxtG"/>
        <w:rPr>
          <w:bCs/>
        </w:rPr>
      </w:pPr>
      <w:r w:rsidRPr="005B30A9">
        <w:t>151.</w:t>
      </w:r>
      <w:r w:rsidRPr="005B30A9">
        <w:tab/>
        <w:t>La asociación Romano Centro, que presta importantes servicios de asesoramiento, recibe fondos del presupuesto para la mujer y la igualdad desde 2013.</w:t>
      </w:r>
    </w:p>
    <w:p w14:paraId="1FDECD4C" w14:textId="0A894E66" w:rsidR="009612CC" w:rsidRPr="005B30A9" w:rsidRDefault="009612CC" w:rsidP="00D42DAE">
      <w:pPr>
        <w:pStyle w:val="H23G"/>
      </w:pPr>
      <w:r w:rsidRPr="005B30A9">
        <w:tab/>
      </w:r>
      <w:r w:rsidR="00D42DAE" w:rsidRPr="005B30A9">
        <w:tab/>
      </w:r>
      <w:r w:rsidRPr="005B30A9">
        <w:t xml:space="preserve">Lucha contra la discriminación en la contratación </w:t>
      </w:r>
    </w:p>
    <w:p w14:paraId="4176B028" w14:textId="1FBFF41A" w:rsidR="009612CC" w:rsidRPr="005B30A9" w:rsidRDefault="009612CC" w:rsidP="009612CC">
      <w:pPr>
        <w:pStyle w:val="SingleTxtG"/>
        <w:rPr>
          <w:bCs/>
        </w:rPr>
      </w:pPr>
      <w:r w:rsidRPr="005B30A9">
        <w:t>152.</w:t>
      </w:r>
      <w:r w:rsidRPr="005B30A9">
        <w:tab/>
        <w:t xml:space="preserve">La </w:t>
      </w:r>
      <w:hyperlink r:id="rId50" w:history="1">
        <w:r w:rsidRPr="005B30A9">
          <w:rPr>
            <w:rStyle w:val="Hipervnculo"/>
          </w:rPr>
          <w:t>Ley de Igualdad de Trato</w:t>
        </w:r>
      </w:hyperlink>
      <w:r w:rsidRPr="005B30A9">
        <w:t xml:space="preserve"> (</w:t>
      </w:r>
      <w:r w:rsidRPr="005B30A9">
        <w:rPr>
          <w:i/>
          <w:iCs/>
        </w:rPr>
        <w:t>Gleichbehandlungsgesetz/</w:t>
      </w:r>
      <w:r w:rsidRPr="004D438A">
        <w:t>GlBG</w:t>
      </w:r>
      <w:r w:rsidRPr="005B30A9">
        <w:t>), BGBl. I núm.</w:t>
      </w:r>
      <w:r w:rsidR="004D438A">
        <w:t> </w:t>
      </w:r>
      <w:r w:rsidRPr="005B30A9">
        <w:t xml:space="preserve">66/2004, prohíbe la discriminación en el proceso de contratación por motivos de género, origen étnico, religión o creencias, edad u orientación sexual en relación con el trabajo en el sector privado; la </w:t>
      </w:r>
      <w:hyperlink r:id="rId51" w:history="1">
        <w:r w:rsidRPr="005B30A9">
          <w:rPr>
            <w:rStyle w:val="Hipervnculo"/>
          </w:rPr>
          <w:t>Ley de Igualdad de Trato en el Sector Público</w:t>
        </w:r>
      </w:hyperlink>
      <w:r w:rsidRPr="005B30A9">
        <w:t xml:space="preserve"> </w:t>
      </w:r>
      <w:r w:rsidRPr="004D438A">
        <w:rPr>
          <w:i/>
          <w:iCs/>
        </w:rPr>
        <w:t>(</w:t>
      </w:r>
      <w:r w:rsidRPr="005B30A9">
        <w:rPr>
          <w:i/>
          <w:iCs/>
        </w:rPr>
        <w:t>Bundes-Gleichbehandlungsgesetz</w:t>
      </w:r>
      <w:r w:rsidRPr="004D438A">
        <w:rPr>
          <w:i/>
          <w:iCs/>
        </w:rPr>
        <w:t>)</w:t>
      </w:r>
      <w:r w:rsidRPr="005B30A9">
        <w:t xml:space="preserve">, BGBl. núm. 100/1993, prohíbe la discriminación en el caso de los empleados federales y las leyes pertinentes de los </w:t>
      </w:r>
      <w:r w:rsidRPr="005B30A9">
        <w:rPr>
          <w:i/>
          <w:iCs/>
        </w:rPr>
        <w:t xml:space="preserve">Länder </w:t>
      </w:r>
      <w:r w:rsidRPr="005B30A9">
        <w:t xml:space="preserve">hacen lo propio con respecto a los empleados municipales y de los </w:t>
      </w:r>
      <w:r w:rsidRPr="005B30A9">
        <w:rPr>
          <w:i/>
          <w:iCs/>
        </w:rPr>
        <w:t>Länder</w:t>
      </w:r>
      <w:r w:rsidRPr="005B30A9">
        <w:t>.</w:t>
      </w:r>
    </w:p>
    <w:p w14:paraId="0150B651" w14:textId="77777777" w:rsidR="009612CC" w:rsidRPr="005B30A9" w:rsidRDefault="009612CC" w:rsidP="009612CC">
      <w:pPr>
        <w:pStyle w:val="SingleTxtG"/>
        <w:rPr>
          <w:bCs/>
        </w:rPr>
      </w:pPr>
      <w:r w:rsidRPr="005B30A9">
        <w:t>153.</w:t>
      </w:r>
      <w:r w:rsidRPr="005B30A9">
        <w:tab/>
        <w:t>Mediante cursos y talleres del GAW en materia de no discriminación en el sector laboral privado destinados a empresas y multiplicadores y mediante material informativo específico dirigido a los empleadores</w:t>
      </w:r>
      <w:r w:rsidRPr="005B30A9">
        <w:rPr>
          <w:rStyle w:val="Refdenotaalpie"/>
        </w:rPr>
        <w:footnoteReference w:id="30"/>
      </w:r>
      <w:r w:rsidRPr="005B30A9">
        <w:t xml:space="preserve"> se hace frente a la discriminación en la contratación.</w:t>
      </w:r>
    </w:p>
    <w:p w14:paraId="106EF55B" w14:textId="77777777" w:rsidR="009612CC" w:rsidRPr="005B30A9" w:rsidRDefault="009612CC" w:rsidP="009612CC">
      <w:pPr>
        <w:pStyle w:val="SingleTxtG"/>
        <w:rPr>
          <w:bCs/>
        </w:rPr>
      </w:pPr>
      <w:r w:rsidRPr="005B30A9">
        <w:t>154.</w:t>
      </w:r>
      <w:r w:rsidRPr="005B30A9">
        <w:tab/>
        <w:t>En los cuadros 15, 17 y 20 del anexo estadístico pueden consultarse datos sobre la discriminación en la contratación por motivos de origen étnico y religión o creencias.</w:t>
      </w:r>
    </w:p>
    <w:p w14:paraId="0BC752D2" w14:textId="56DBD686" w:rsidR="009612CC" w:rsidRPr="005B30A9" w:rsidRDefault="009612CC" w:rsidP="00D42DAE">
      <w:pPr>
        <w:pStyle w:val="H1G"/>
      </w:pPr>
      <w:r w:rsidRPr="005B30A9">
        <w:lastRenderedPageBreak/>
        <w:tab/>
      </w:r>
      <w:r w:rsidR="00D42DAE" w:rsidRPr="005B30A9">
        <w:tab/>
      </w:r>
      <w:r w:rsidRPr="005B30A9">
        <w:t>Respuesta al párrafo 19 de la lista de cuestiones</w:t>
      </w:r>
    </w:p>
    <w:p w14:paraId="78C0E816" w14:textId="796FFA30" w:rsidR="009612CC" w:rsidRPr="005B30A9" w:rsidRDefault="009612CC" w:rsidP="00D42DAE">
      <w:pPr>
        <w:pStyle w:val="H23G"/>
      </w:pPr>
      <w:r w:rsidRPr="005B30A9">
        <w:tab/>
      </w:r>
      <w:r w:rsidR="00D42DAE" w:rsidRPr="005B30A9">
        <w:tab/>
      </w:r>
      <w:r w:rsidRPr="005B30A9">
        <w:t xml:space="preserve">Eliminación de los estereotipos de género y ciertas prácticas sociales </w:t>
      </w:r>
      <w:r w:rsidR="00D42DAE" w:rsidRPr="005B30A9">
        <w:br/>
      </w:r>
      <w:r w:rsidRPr="005B30A9">
        <w:t>en la materia</w:t>
      </w:r>
    </w:p>
    <w:p w14:paraId="1B94997B" w14:textId="57DE0D9B" w:rsidR="009612CC" w:rsidRPr="005B30A9" w:rsidRDefault="00D42DAE" w:rsidP="00D42DAE">
      <w:pPr>
        <w:pStyle w:val="H4G"/>
      </w:pPr>
      <w:r w:rsidRPr="005B30A9">
        <w:tab/>
      </w:r>
      <w:r w:rsidR="009612CC" w:rsidRPr="005B30A9">
        <w:t>1.</w:t>
      </w:r>
      <w:r w:rsidR="009612CC" w:rsidRPr="005B30A9">
        <w:tab/>
        <w:t>Superación de los estereotipos de género en la elección de la carrera profesional</w:t>
      </w:r>
    </w:p>
    <w:p w14:paraId="2ED0BAC2" w14:textId="77777777" w:rsidR="009612CC" w:rsidRPr="005B30A9" w:rsidRDefault="009612CC" w:rsidP="009612CC">
      <w:pPr>
        <w:pStyle w:val="SingleTxtG"/>
      </w:pPr>
      <w:r w:rsidRPr="005B30A9">
        <w:t>155.</w:t>
      </w:r>
      <w:r w:rsidRPr="005B30A9">
        <w:tab/>
        <w:t>Sensibilización temprana sobre trayectorias educativas y profesionales no tradicionales mediante, entre otras cosas:</w:t>
      </w:r>
    </w:p>
    <w:p w14:paraId="18996B5D" w14:textId="17A4BE09" w:rsidR="009612CC" w:rsidRPr="005B30A9" w:rsidRDefault="009612CC" w:rsidP="00D42DAE">
      <w:pPr>
        <w:pStyle w:val="Bullet1G"/>
      </w:pPr>
      <w:r w:rsidRPr="005B30A9">
        <w:t>Jornadas de acción anuales en las que las niñas pueden saber de los trabajos en la esfera de la ciencia, la tecnología, la ingeniería y las matemáticas y los niños saber de los empleos en los sectores social, asistencial y educativo (entre ellas, desde 2006 el “Día de las niñas”, para niñas a partir de los seis años, desde 2009 el “Día de los niños”, para niños a partir de los 12 años, y desde 2015 el “Día mini de las niñas”, para niñas de cuatro a seis años)</w:t>
      </w:r>
      <w:r w:rsidR="006B1071">
        <w:t>.</w:t>
      </w:r>
    </w:p>
    <w:p w14:paraId="50B87BD1" w14:textId="7B84EEB2" w:rsidR="009612CC" w:rsidRPr="005B30A9" w:rsidRDefault="009612CC" w:rsidP="00D42DAE">
      <w:pPr>
        <w:pStyle w:val="Bullet1G"/>
      </w:pPr>
      <w:r w:rsidRPr="005B30A9">
        <w:t>Ofertas informativas (entre ellas, el libro de la BKA “Profesiones de la A a la Z”, para niños a partir de los 4 años; talleres, seminarios en línea y grupos de debate organizados por LEA (Let</w:t>
      </w:r>
      <w:r w:rsidR="0094271E">
        <w:t>’</w:t>
      </w:r>
      <w:r w:rsidRPr="005B30A9">
        <w:t>s empower Austria); talleres del Día de los niños celebrados en escuelas a lo largo del año; eliminación de los estereotipos de género en el asesoramiento educativo y profesional impartido en las escuelas)</w:t>
      </w:r>
      <w:r w:rsidR="006B1071">
        <w:t>.</w:t>
      </w:r>
    </w:p>
    <w:p w14:paraId="5072E122" w14:textId="6B798F5E" w:rsidR="009612CC" w:rsidRPr="005B30A9" w:rsidRDefault="009612CC" w:rsidP="00D42DAE">
      <w:pPr>
        <w:pStyle w:val="Bullet1G"/>
      </w:pPr>
      <w:r w:rsidRPr="005B30A9">
        <w:t>“Reto para las niñas en materia de matemáticas, informática, ciencias naturales y tecnología</w:t>
      </w:r>
      <w:r w:rsidR="00D42DAE" w:rsidRPr="005B30A9">
        <w:t>”</w:t>
      </w:r>
      <w:r w:rsidRPr="005B30A9">
        <w:t>, competición anual en la que desde 2021 niñas y jóvenes de 4 a 19 años resuelven retos en esas esferas.</w:t>
      </w:r>
    </w:p>
    <w:p w14:paraId="6233B7E1" w14:textId="01238569" w:rsidR="009612CC" w:rsidRPr="005B30A9" w:rsidRDefault="009612CC" w:rsidP="009612CC">
      <w:pPr>
        <w:pStyle w:val="SingleTxtG"/>
      </w:pPr>
      <w:r w:rsidRPr="005B30A9">
        <w:t>156.</w:t>
      </w:r>
      <w:r w:rsidRPr="005B30A9">
        <w:tab/>
        <w:t>Fortalecimiento de la confianza de las jóvenes y las niñas en su competencia escolar en materia de matemáticas y tecnología (véase el “plan de acción sobre ciencia, tecnología, ingeniería y matemáticas” del BMBWF, cuya “línea de acción 8: sensibilización en la esfera de la ciencia, la tecnología, la ingeniería y las matemáticas” se centra en las niñas y las jóvenes).</w:t>
      </w:r>
    </w:p>
    <w:p w14:paraId="75222D78" w14:textId="5B873A3E" w:rsidR="009612CC" w:rsidRPr="005B30A9" w:rsidRDefault="009612CC" w:rsidP="009612CC">
      <w:pPr>
        <w:pStyle w:val="SingleTxtG"/>
      </w:pPr>
      <w:r w:rsidRPr="005B30A9">
        <w:t>157.</w:t>
      </w:r>
      <w:r w:rsidRPr="005B30A9">
        <w:tab/>
        <w:t>Orientación profesional sensible a las cuestiones de género por parte del AMS y en el marco del asesoramiento educativo y profesional impartido en las escuelas, destacando las ventajas de la formación profesional en artes y oficios y en ingeniería (mejor salario y mejores oportunidades de desarrollo profesional).</w:t>
      </w:r>
    </w:p>
    <w:p w14:paraId="3B3742AA" w14:textId="73895B44" w:rsidR="009612CC" w:rsidRPr="005B30A9" w:rsidRDefault="009612CC" w:rsidP="009612CC">
      <w:pPr>
        <w:pStyle w:val="SingleTxtG"/>
      </w:pPr>
      <w:r w:rsidRPr="005B30A9">
        <w:t>158.</w:t>
      </w:r>
      <w:r w:rsidRPr="005B30A9">
        <w:tab/>
        <w:t xml:space="preserve">Fomento de la capacitación de nivel superior dirigida a mujeres en ámbitos profesionales no tradicionales a través del programa del AMS </w:t>
      </w:r>
      <w:r w:rsidRPr="0094271E">
        <w:rPr>
          <w:i/>
          <w:iCs/>
        </w:rPr>
        <w:t>“</w:t>
      </w:r>
      <w:r w:rsidRPr="005B30A9">
        <w:rPr>
          <w:i/>
          <w:iCs/>
        </w:rPr>
        <w:t>Frauen in Handwerk und Technik</w:t>
      </w:r>
      <w:r w:rsidRPr="0094271E">
        <w:rPr>
          <w:i/>
          <w:iCs/>
        </w:rPr>
        <w:t>”</w:t>
      </w:r>
      <w:r w:rsidRPr="005B30A9">
        <w:t xml:space="preserve"> (en 2022: unas 1.400 participantes). Según una evaluación de 2022, este programa consiguió ayudar a mujeres que buscaban empleo a acceder a puestos de trabajo en las esferas de las artes y oficios, la ingeniería y la informática y a conservarlos. El 75 % de las entrevistadas afirmó que posteriormente habían trabajado de forma exclusiva o mayoritaria en una de estas esferas.</w:t>
      </w:r>
    </w:p>
    <w:p w14:paraId="52054727" w14:textId="6DD23BE8" w:rsidR="009612CC" w:rsidRPr="005B30A9" w:rsidRDefault="009612CC" w:rsidP="009612CC">
      <w:pPr>
        <w:pStyle w:val="SingleTxtG"/>
      </w:pPr>
      <w:r w:rsidRPr="005B30A9">
        <w:t>159.</w:t>
      </w:r>
      <w:r w:rsidRPr="005B30A9">
        <w:tab/>
        <w:t xml:space="preserve">Apoyo financiero a medidas o proyectos de empresas que promueven la igualdad de acceso a las oportunidades de aprendizaje de las mujeres y los hombres jóvenes mediante la subvención de este tipo de oportunidades en empresas </w:t>
      </w:r>
      <w:r w:rsidRPr="0094271E">
        <w:rPr>
          <w:i/>
          <w:iCs/>
        </w:rPr>
        <w:t>(</w:t>
      </w:r>
      <w:r w:rsidRPr="005B30A9">
        <w:rPr>
          <w:i/>
          <w:iCs/>
        </w:rPr>
        <w:t>betriebliche Lehrstellenförderung</w:t>
      </w:r>
      <w:r w:rsidRPr="0094271E">
        <w:rPr>
          <w:i/>
          <w:iCs/>
        </w:rPr>
        <w:t>)</w:t>
      </w:r>
      <w:r w:rsidRPr="005B30A9">
        <w:t xml:space="preserve"> en el marco de la BAG, en particular:</w:t>
      </w:r>
    </w:p>
    <w:p w14:paraId="2F878361" w14:textId="1D98E01F" w:rsidR="009612CC" w:rsidRPr="005B30A9" w:rsidRDefault="009612CC" w:rsidP="00D42DAE">
      <w:pPr>
        <w:pStyle w:val="Bullet1G"/>
      </w:pPr>
      <w:r w:rsidRPr="005B30A9">
        <w:rPr>
          <w:i/>
          <w:iCs/>
        </w:rPr>
        <w:t>Frauenpower 4.0</w:t>
      </w:r>
      <w:r w:rsidRPr="0094271E">
        <w:rPr>
          <w:i/>
          <w:iCs/>
        </w:rPr>
        <w:t>:</w:t>
      </w:r>
      <w:r w:rsidRPr="005B30A9">
        <w:t xml:space="preserve"> incorporación en las empresas teniendo en cuenta el género</w:t>
      </w:r>
      <w:r w:rsidR="00D42DAE" w:rsidRPr="005B30A9">
        <w:t>.</w:t>
      </w:r>
    </w:p>
    <w:p w14:paraId="7CC7DC67" w14:textId="77777777" w:rsidR="009612CC" w:rsidRPr="005B30A9" w:rsidRDefault="009612CC" w:rsidP="00D42DAE">
      <w:pPr>
        <w:pStyle w:val="Bullet1G"/>
      </w:pPr>
      <w:r w:rsidRPr="005B30A9">
        <w:rPr>
          <w:i/>
          <w:iCs/>
        </w:rPr>
        <w:t>Unternehmen für Mädchen 4.0</w:t>
      </w:r>
      <w:r w:rsidRPr="0094271E">
        <w:rPr>
          <w:i/>
          <w:iCs/>
        </w:rPr>
        <w:t>:</w:t>
      </w:r>
      <w:r w:rsidRPr="005B30A9">
        <w:t xml:space="preserve"> sensibilización de los instructores de aprendices en materia de género.</w:t>
      </w:r>
    </w:p>
    <w:p w14:paraId="1A5F5627" w14:textId="77777777" w:rsidR="009612CC" w:rsidRPr="005B30A9" w:rsidRDefault="009612CC" w:rsidP="0094271E">
      <w:pPr>
        <w:pStyle w:val="SingleTxtG"/>
        <w:keepNext/>
        <w:keepLines/>
      </w:pPr>
      <w:r w:rsidRPr="005B30A9">
        <w:lastRenderedPageBreak/>
        <w:t>160.</w:t>
      </w:r>
      <w:r w:rsidRPr="005B30A9">
        <w:tab/>
        <w:t>Convocatorias de proyectos sobre lo siguiente:</w:t>
      </w:r>
    </w:p>
    <w:p w14:paraId="5678DE06" w14:textId="6FAC13D2" w:rsidR="009612CC" w:rsidRPr="005B30A9" w:rsidRDefault="009612CC" w:rsidP="00D42DAE">
      <w:pPr>
        <w:pStyle w:val="Bullet1G"/>
      </w:pPr>
      <w:r w:rsidRPr="005B30A9">
        <w:t>En 2021: “Medidas de empoderamiento de las niñas y las mujeres en la educación, el trabajo y la sociedad haciendo hincapié en las competencias financieras y de ciencia, tecnología, ingeniería y matemáticas” (presupuesto de 1,6 millones de euros)</w:t>
      </w:r>
      <w:r w:rsidRPr="005B30A9">
        <w:rPr>
          <w:rStyle w:val="Refdenotaalpie"/>
        </w:rPr>
        <w:footnoteReference w:id="31"/>
      </w:r>
      <w:r w:rsidR="00D42DAE" w:rsidRPr="005B30A9">
        <w:t>.</w:t>
      </w:r>
    </w:p>
    <w:p w14:paraId="75EA6D6F" w14:textId="2FE54CA7" w:rsidR="009612CC" w:rsidRPr="005B30A9" w:rsidRDefault="009612CC" w:rsidP="00D42DAE">
      <w:pPr>
        <w:pStyle w:val="Bullet1G"/>
      </w:pPr>
      <w:r w:rsidRPr="005B30A9">
        <w:t>En 2022: “Medidas de fortalecimiento de las niñas y las mujeres en el mundo digital y de diversificación de sus opciones educativas y profesionales, haciendo hincapié en las competencias de ciencia, tecnología, ingeniería y matemáticas” (presupuesto de 2</w:t>
      </w:r>
      <w:r w:rsidR="0094271E">
        <w:t> </w:t>
      </w:r>
      <w:r w:rsidRPr="005B30A9">
        <w:t>millones de euros)</w:t>
      </w:r>
      <w:r w:rsidRPr="005B30A9">
        <w:rPr>
          <w:rStyle w:val="Refdenotaalpie"/>
        </w:rPr>
        <w:footnoteReference w:id="32"/>
      </w:r>
      <w:r w:rsidRPr="005B30A9">
        <w:t>.</w:t>
      </w:r>
    </w:p>
    <w:p w14:paraId="3D7532AF" w14:textId="64BA78C8" w:rsidR="009612CC" w:rsidRPr="005B30A9" w:rsidRDefault="009612CC" w:rsidP="009612CC">
      <w:pPr>
        <w:pStyle w:val="SingleTxtG"/>
      </w:pPr>
      <w:r w:rsidRPr="005B30A9">
        <w:t>161.</w:t>
      </w:r>
      <w:r w:rsidRPr="005B30A9">
        <w:tab/>
        <w:t xml:space="preserve">El plan de recursos, metas y rendimiento de las Juntas de Educación para 2024 (RZLP BD) prevé la reducción de la segregación horizontal por motivos de género en las escuelas. Las actividades del personal designado de los </w:t>
      </w:r>
      <w:r w:rsidRPr="005B30A9">
        <w:rPr>
          <w:i/>
          <w:iCs/>
        </w:rPr>
        <w:t xml:space="preserve">Länder </w:t>
      </w:r>
      <w:r w:rsidRPr="005B30A9">
        <w:t xml:space="preserve">sobre la base del RZLP BD contribuirán a aumentar la participación de niñas en las escuelas técnicas y de ingeniería y a alentar a los niños a dedicarse profesionalmente a la educación, los cuidados y el sector social. En virtud de las modificaciones (2012/2016) de la </w:t>
      </w:r>
      <w:hyperlink r:id="rId52" w:history="1">
        <w:r w:rsidRPr="005B30A9">
          <w:rPr>
            <w:rStyle w:val="Hipervnculo"/>
          </w:rPr>
          <w:t>Ley de Organización Escolar</w:t>
        </w:r>
      </w:hyperlink>
      <w:r w:rsidRPr="005B30A9">
        <w:t xml:space="preserve"> </w:t>
      </w:r>
      <w:r w:rsidRPr="00871746">
        <w:rPr>
          <w:i/>
          <w:iCs/>
        </w:rPr>
        <w:t>(</w:t>
      </w:r>
      <w:r w:rsidRPr="005B30A9">
        <w:rPr>
          <w:i/>
          <w:iCs/>
        </w:rPr>
        <w:t>Schulorganisationsgesetz</w:t>
      </w:r>
      <w:r w:rsidRPr="00871746">
        <w:rPr>
          <w:i/>
          <w:iCs/>
        </w:rPr>
        <w:t>)</w:t>
      </w:r>
      <w:r w:rsidRPr="005B30A9">
        <w:t>, BGBl. núm. 242/1962, se redujo la segregación por género al fusionar en el quinto curso las asignaturas optativas de textiles y trabajos técnicos, lo que permitió a niñas y niños adquirir competencias básicas en los dos ámbitos.</w:t>
      </w:r>
    </w:p>
    <w:p w14:paraId="54264B0D" w14:textId="77777777" w:rsidR="009612CC" w:rsidRPr="005B30A9" w:rsidRDefault="009612CC" w:rsidP="009612CC">
      <w:pPr>
        <w:pStyle w:val="SingleTxtG"/>
      </w:pPr>
      <w:r w:rsidRPr="005B30A9">
        <w:t>162.</w:t>
      </w:r>
      <w:r w:rsidRPr="005B30A9">
        <w:tab/>
        <w:t>En 2024 se realizará un metaestudio sobre la presencia de hombres en la docencia y tendrá lugar una conferencia de partes interesadas a raíz de la cual se formularán recomendaciones en materia de esferas de acción y medidas.</w:t>
      </w:r>
    </w:p>
    <w:p w14:paraId="5C1A05A4" w14:textId="21FE3607" w:rsidR="009612CC" w:rsidRPr="005B30A9" w:rsidRDefault="00D42DAE" w:rsidP="00D42DAE">
      <w:pPr>
        <w:pStyle w:val="H4G"/>
      </w:pPr>
      <w:r w:rsidRPr="005B30A9">
        <w:tab/>
      </w:r>
      <w:r w:rsidR="009612CC" w:rsidRPr="005B30A9">
        <w:t>2.</w:t>
      </w:r>
      <w:r w:rsidR="009612CC" w:rsidRPr="005B30A9">
        <w:tab/>
        <w:t>Superación de los estereotipos de género</w:t>
      </w:r>
    </w:p>
    <w:p w14:paraId="6D574F33" w14:textId="1BFD0794" w:rsidR="009612CC" w:rsidRPr="005B30A9" w:rsidRDefault="009612CC" w:rsidP="009612CC">
      <w:pPr>
        <w:pStyle w:val="SingleTxtG"/>
      </w:pPr>
      <w:r w:rsidRPr="005B30A9">
        <w:t>163.</w:t>
      </w:r>
      <w:r w:rsidRPr="005B30A9">
        <w:tab/>
        <w:t>Fortalecimiento de la contribución de los padres al cuidado de los hijos, en particular mediante:</w:t>
      </w:r>
    </w:p>
    <w:p w14:paraId="49864393" w14:textId="77777777" w:rsidR="009612CC" w:rsidRPr="005B30A9" w:rsidRDefault="009612CC" w:rsidP="00D42DAE">
      <w:pPr>
        <w:pStyle w:val="Bullet1G"/>
      </w:pPr>
      <w:r w:rsidRPr="005B30A9">
        <w:t>Incentivos económicos para un reparto equitativo de las tareas parentales:</w:t>
      </w:r>
    </w:p>
    <w:p w14:paraId="3EDB358B" w14:textId="572409CB" w:rsidR="009612CC" w:rsidRPr="005B30A9" w:rsidRDefault="009612CC" w:rsidP="00D42DAE">
      <w:pPr>
        <w:pStyle w:val="Bullet2G"/>
      </w:pPr>
      <w:r w:rsidRPr="005B30A9">
        <w:t>Desde 2017, solo pueden obtenerse el importe íntegro y la duración completa de la prestación por cuidado de los hijos si ambos progenitores se inscriben para percibirla durante un plazo mínimo determinado</w:t>
      </w:r>
      <w:r w:rsidR="00D42DAE" w:rsidRPr="005B30A9">
        <w:t>.</w:t>
      </w:r>
    </w:p>
    <w:p w14:paraId="7AA1F8D9" w14:textId="36960F1F" w:rsidR="009612CC" w:rsidRPr="005B30A9" w:rsidRDefault="009612CC" w:rsidP="00D42DAE">
      <w:pPr>
        <w:pStyle w:val="Bullet2G"/>
      </w:pPr>
      <w:r w:rsidRPr="005B30A9">
        <w:t xml:space="preserve">Cuando el </w:t>
      </w:r>
      <w:r w:rsidR="00871746">
        <w:t>período</w:t>
      </w:r>
      <w:r w:rsidRPr="005B30A9">
        <w:t xml:space="preserve"> durante el cual se percibe la prestación por cuidado de los hijos se reparte fundamentalmente a partes iguales entre los progenitores, cada uno de ellos tiene derecho a percibir un pago único de 500 euros</w:t>
      </w:r>
      <w:r w:rsidR="00D42DAE" w:rsidRPr="005B30A9">
        <w:t>.</w:t>
      </w:r>
    </w:p>
    <w:p w14:paraId="32D4977E" w14:textId="2B24ECC6" w:rsidR="009612CC" w:rsidRPr="005B30A9" w:rsidRDefault="009612CC" w:rsidP="00D42DAE">
      <w:pPr>
        <w:pStyle w:val="Bullet2G"/>
        <w:rPr>
          <w:bCs/>
        </w:rPr>
      </w:pPr>
      <w:r w:rsidRPr="005B30A9">
        <w:t>Apoyo financiero a los padres autónomos que interrumpen su actividad remunerada para dedicar tiempo en exclusiva a su familia inmediatamente después del nacimiento de un hijo o a los padres que se acogen al “mes del papá” (véase lo que sigue) (bonificación por tiempo en familia duplicada a 47,82 euros al día para los nacimientos posteriores al 31 de julio de 2023)</w:t>
      </w:r>
      <w:r w:rsidR="00D42DAE" w:rsidRPr="005B30A9">
        <w:t>.</w:t>
      </w:r>
    </w:p>
    <w:p w14:paraId="20C47D97" w14:textId="7A80AEB1" w:rsidR="009612CC" w:rsidRPr="005B30A9" w:rsidRDefault="009612CC" w:rsidP="00D42DAE">
      <w:pPr>
        <w:pStyle w:val="Bullet1G"/>
      </w:pPr>
      <w:r w:rsidRPr="005B30A9">
        <w:t>Derecho de los padres empleados a tomarse una licencia laboral no remunerada en el marco del nacimiento de su hijo, desde 2019 (“mes del papá”, conforme a la legislación laboral; los empleados federales tienen derecho desde 2011 a tomarse una licencia anticipada no remunerada por paternidad)</w:t>
      </w:r>
      <w:r w:rsidR="00D42DAE" w:rsidRPr="005B30A9">
        <w:t>.</w:t>
      </w:r>
    </w:p>
    <w:p w14:paraId="2D12C1E7" w14:textId="56566B75" w:rsidR="009612CC" w:rsidRPr="005B30A9" w:rsidRDefault="009612CC" w:rsidP="00D42DAE">
      <w:pPr>
        <w:pStyle w:val="Bullet1G"/>
      </w:pPr>
      <w:r w:rsidRPr="005B30A9">
        <w:t xml:space="preserve">Elaboración de estrategias encaminadas a mejorar las condiciones en el lugar de trabajo para que más padres puedan tomar parte en el cuidado de sus hijos (proyecto cofinanciado por la Unión Europea y en cooperación entre ministerios federales, instituciones de investigación y los interlocutores sociales, 2015-2017 </w:t>
      </w:r>
      <w:r w:rsidRPr="00871746">
        <w:rPr>
          <w:i/>
          <w:iCs/>
        </w:rPr>
        <w:t xml:space="preserve">(“Männer und </w:t>
      </w:r>
      <w:r w:rsidRPr="00871746">
        <w:rPr>
          <w:i/>
          <w:iCs/>
        </w:rPr>
        <w:lastRenderedPageBreak/>
        <w:t>Vereinbarkeit von Beruf und Familie: Wege zur gerechten Verteilung von Karenz-, Betreuungs- und Arbeitszeiten”)</w:t>
      </w:r>
      <w:r w:rsidRPr="005B30A9">
        <w:t xml:space="preserve">). </w:t>
      </w:r>
    </w:p>
    <w:p w14:paraId="43A58FA9" w14:textId="77777777" w:rsidR="009612CC" w:rsidRPr="005B30A9" w:rsidRDefault="009612CC" w:rsidP="009612CC">
      <w:pPr>
        <w:pStyle w:val="SingleTxtG"/>
      </w:pPr>
      <w:r w:rsidRPr="005B30A9">
        <w:t>164.</w:t>
      </w:r>
      <w:r w:rsidRPr="005B30A9">
        <w:tab/>
        <w:t>Apoyo y financiación para iniciativas que hagan frente a los roles de género, entre ellas:</w:t>
      </w:r>
    </w:p>
    <w:p w14:paraId="418530F1" w14:textId="7436B368" w:rsidR="009612CC" w:rsidRPr="005B30A9" w:rsidRDefault="009612CC" w:rsidP="00D42DAE">
      <w:pPr>
        <w:pStyle w:val="Bullet1G"/>
      </w:pPr>
      <w:r w:rsidRPr="005B30A9">
        <w:t xml:space="preserve">Talleres de la asociación </w:t>
      </w:r>
      <w:r w:rsidRPr="005B30A9">
        <w:rPr>
          <w:i/>
          <w:iCs/>
        </w:rPr>
        <w:t xml:space="preserve">wendepunkt </w:t>
      </w:r>
      <w:r w:rsidR="00871746">
        <w:rPr>
          <w:i/>
          <w:iCs/>
        </w:rPr>
        <w:t>–</w:t>
      </w:r>
      <w:r w:rsidRPr="005B30A9">
        <w:rPr>
          <w:i/>
          <w:iCs/>
        </w:rPr>
        <w:t xml:space="preserve"> Frauen für Frauen und Kinder</w:t>
      </w:r>
      <w:r w:rsidRPr="005B30A9">
        <w:t xml:space="preserve"> que ofrecen a las niñas y las jóvenes una imagen positiva de las mujeres “fuertes” y las invitan a reflexionar sobre sus propios estereotipos en cuanto a los roles de género o los modelos de pareja </w:t>
      </w:r>
      <w:r w:rsidRPr="00871746">
        <w:rPr>
          <w:i/>
          <w:iCs/>
        </w:rPr>
        <w:t>(“Mutige Mädchen”</w:t>
      </w:r>
      <w:r w:rsidRPr="005B30A9">
        <w:t>, 2019)</w:t>
      </w:r>
      <w:r w:rsidR="00D42DAE" w:rsidRPr="005B30A9">
        <w:t>.</w:t>
      </w:r>
    </w:p>
    <w:p w14:paraId="2DB372A1" w14:textId="46C9733B" w:rsidR="009612CC" w:rsidRPr="005B30A9" w:rsidRDefault="009612CC" w:rsidP="00D42DAE">
      <w:pPr>
        <w:pStyle w:val="Bullet1G"/>
      </w:pPr>
      <w:r w:rsidRPr="005B30A9">
        <w:t xml:space="preserve">El proyecto de la asociación </w:t>
      </w:r>
      <w:r w:rsidRPr="005B30A9">
        <w:rPr>
          <w:i/>
          <w:iCs/>
        </w:rPr>
        <w:t>Frauen* beraten Frauen*</w:t>
      </w:r>
      <w:r w:rsidRPr="005B30A9">
        <w:t>, que se llevó a cabo de 2021 a</w:t>
      </w:r>
      <w:r w:rsidR="00871746">
        <w:t> </w:t>
      </w:r>
      <w:r w:rsidRPr="005B30A9">
        <w:t xml:space="preserve">2022, también creó conciencia sobre la carga mental y la igualdad en la crianza de los hijos </w:t>
      </w:r>
      <w:r w:rsidRPr="00871746">
        <w:rPr>
          <w:i/>
          <w:iCs/>
        </w:rPr>
        <w:t xml:space="preserve">(“Gemeinsam gegen Gewalt </w:t>
      </w:r>
      <w:r w:rsidR="00871746" w:rsidRPr="00871746">
        <w:rPr>
          <w:i/>
          <w:iCs/>
        </w:rPr>
        <w:t>–</w:t>
      </w:r>
      <w:r w:rsidRPr="00871746">
        <w:rPr>
          <w:i/>
          <w:iCs/>
        </w:rPr>
        <w:t xml:space="preserve"> weil Prävention wirkt”)</w:t>
      </w:r>
      <w:r w:rsidR="00D42DAE" w:rsidRPr="005B30A9">
        <w:t>.</w:t>
      </w:r>
    </w:p>
    <w:p w14:paraId="5841659A" w14:textId="47828847" w:rsidR="009612CC" w:rsidRPr="005B30A9" w:rsidRDefault="009612CC" w:rsidP="00D42DAE">
      <w:pPr>
        <w:pStyle w:val="Bullet1G"/>
      </w:pPr>
      <w:r w:rsidRPr="005B30A9">
        <w:t xml:space="preserve">El concurso de guiones del BMAW </w:t>
      </w:r>
      <w:r w:rsidRPr="005E78D7">
        <w:rPr>
          <w:i/>
          <w:iCs/>
        </w:rPr>
        <w:t>“Heldinnen in Serie”</w:t>
      </w:r>
      <w:r w:rsidRPr="005B30A9">
        <w:t xml:space="preserve"> (otorgado dos veces desde</w:t>
      </w:r>
      <w:r w:rsidR="005E78D7">
        <w:t> </w:t>
      </w:r>
      <w:r w:rsidRPr="005B30A9">
        <w:t>2020), que tiene por objeto mejorar la representación de los roles femeninos en el mundo empresarial, la ciencia o la tecnología y reforzar el posicionamiento de las mujeres en la industria (cinematográfica)</w:t>
      </w:r>
      <w:r w:rsidR="00D42DAE" w:rsidRPr="005B30A9">
        <w:t>.</w:t>
      </w:r>
      <w:r w:rsidRPr="005B30A9">
        <w:t xml:space="preserve"> </w:t>
      </w:r>
    </w:p>
    <w:p w14:paraId="5FE399FD" w14:textId="3D461E7F" w:rsidR="009612CC" w:rsidRPr="005B30A9" w:rsidRDefault="009612CC" w:rsidP="00D42DAE">
      <w:pPr>
        <w:pStyle w:val="Bullet1G"/>
      </w:pPr>
      <w:r w:rsidRPr="005B30A9">
        <w:t>Labor sensible a las cuestiones de género llevada a cabo con niños y jóvenes por filiales de la asociación general de Austria que se dedica a la labor con hombres, incluidos talleres dirigidos a adolescentes varones en torno a las imágenes masculinas que promueven la violencia y las actitudes hegemónicas</w:t>
      </w:r>
      <w:r w:rsidR="00D42DAE" w:rsidRPr="005B30A9">
        <w:t>.</w:t>
      </w:r>
    </w:p>
    <w:p w14:paraId="39975EF8" w14:textId="52793A1A" w:rsidR="009612CC" w:rsidRPr="005B30A9" w:rsidRDefault="009612CC" w:rsidP="00D42DAE">
      <w:pPr>
        <w:pStyle w:val="Bullet1G"/>
      </w:pPr>
      <w:r w:rsidRPr="005B30A9">
        <w:t xml:space="preserve">Proyectos “Comprometidos con la igualdad” y “Masculinidades solidarias en acción” de la asociación </w:t>
      </w:r>
      <w:r w:rsidRPr="005B30A9">
        <w:rPr>
          <w:i/>
          <w:iCs/>
        </w:rPr>
        <w:t>Männer</w:t>
      </w:r>
      <w:r w:rsidR="005E78D7">
        <w:rPr>
          <w:i/>
          <w:iCs/>
        </w:rPr>
        <w:t xml:space="preserve"> –</w:t>
      </w:r>
      <w:r w:rsidRPr="005B30A9">
        <w:rPr>
          <w:i/>
          <w:iCs/>
        </w:rPr>
        <w:t xml:space="preserve"> und Geschlechterthemen Steiermark</w:t>
      </w:r>
      <w:r w:rsidRPr="005B30A9">
        <w:t>, encaminados a eliminar los estereotipos de género</w:t>
      </w:r>
      <w:r w:rsidR="00D42DAE" w:rsidRPr="005B30A9">
        <w:t>.</w:t>
      </w:r>
    </w:p>
    <w:p w14:paraId="7F2324AF" w14:textId="72C437FC" w:rsidR="009612CC" w:rsidRPr="005B30A9" w:rsidRDefault="009612CC" w:rsidP="00D42DAE">
      <w:pPr>
        <w:pStyle w:val="Bullet1G"/>
      </w:pPr>
      <w:r w:rsidRPr="005B30A9">
        <w:t>Proyecto “Las niñas en la política” de la BKA y la Asociación de Municipios: desde</w:t>
      </w:r>
      <w:r w:rsidR="005E78D7">
        <w:t> </w:t>
      </w:r>
      <w:r w:rsidRPr="005B30A9">
        <w:t>2022, niñas y mujeres jóvenes realizan visitas de un día a alcaldesas y alcaldes para conocer su jornada laboral y sus tareas e ilusionarse con la política</w:t>
      </w:r>
      <w:r w:rsidRPr="005B30A9">
        <w:rPr>
          <w:rStyle w:val="Refdenotaalpie"/>
        </w:rPr>
        <w:footnoteReference w:id="33"/>
      </w:r>
      <w:r w:rsidRPr="005B30A9">
        <w:t>.</w:t>
      </w:r>
    </w:p>
    <w:p w14:paraId="0243508E" w14:textId="73316BB4" w:rsidR="009612CC" w:rsidRPr="005B30A9" w:rsidRDefault="009612CC" w:rsidP="009612CC">
      <w:pPr>
        <w:pStyle w:val="SingleTxtG"/>
      </w:pPr>
      <w:r w:rsidRPr="005B30A9">
        <w:t>165.</w:t>
      </w:r>
      <w:r w:rsidR="00CA7965">
        <w:tab/>
      </w:r>
      <w:r w:rsidRPr="005B30A9">
        <w:t xml:space="preserve">La igualdad de género en la educación escolar: la circular de 2018 del BMBWF sobre educación de género reflexiva e igualdad en las escuelas ofrece orientación para ocuparse de los temas de la igualdad en la enseñanza y el aprendizaje en todos los tipos de escuelas y de cursos. Los temas tratados (como el sexismo, las normas patriarcales y la violencia de género y la reflexión crítica sobre los estereotipos de género) se han incorporado cada vez más como temas transversales en los nuevos planes de estudios. Todas las Juntas de Educación deben aplicar la circular en sus </w:t>
      </w:r>
      <w:r w:rsidRPr="005B30A9">
        <w:rPr>
          <w:i/>
          <w:iCs/>
        </w:rPr>
        <w:t xml:space="preserve">Länder </w:t>
      </w:r>
      <w:r w:rsidRPr="005B30A9">
        <w:t>y sus regiones educativas.</w:t>
      </w:r>
    </w:p>
    <w:p w14:paraId="6B75F82D" w14:textId="1DE17843" w:rsidR="009612CC" w:rsidRPr="005B30A9" w:rsidRDefault="00D42DAE" w:rsidP="00D42DAE">
      <w:pPr>
        <w:pStyle w:val="H4G"/>
      </w:pPr>
      <w:r w:rsidRPr="005B30A9">
        <w:tab/>
      </w:r>
      <w:r w:rsidR="009612CC" w:rsidRPr="005B30A9">
        <w:tab/>
        <w:t>Medidas ilustrativas de los Länder</w:t>
      </w:r>
    </w:p>
    <w:p w14:paraId="27BED714" w14:textId="69F291E4" w:rsidR="009612CC" w:rsidRPr="005B30A9" w:rsidRDefault="009612CC" w:rsidP="009612CC">
      <w:pPr>
        <w:pStyle w:val="SingleTxtG"/>
      </w:pPr>
      <w:r w:rsidRPr="005B30A9">
        <w:t>166.</w:t>
      </w:r>
      <w:r w:rsidRPr="005B30A9">
        <w:tab/>
        <w:t>Viena: “Día de las hijas”, destinado a que las niñas se hagan una idea de las artes y oficios y las profesiones técnicas; talleres gratuitos para niñas en materia de empoderamiento y derechos de las mujeres y las niñas; financiación del proyecto “RoboManiac”, que permite a las niñas acceder a la programación; “caja educativa” de apoyo a la enseñanza con perspectiva de género de los docentes y multiplicadores que trabajan en guarderías y en la escuela primaria.</w:t>
      </w:r>
    </w:p>
    <w:p w14:paraId="5F4DE711" w14:textId="0262C8D0" w:rsidR="009612CC" w:rsidRPr="005B30A9" w:rsidRDefault="009612CC" w:rsidP="009612CC">
      <w:pPr>
        <w:pStyle w:val="SingleTxtG"/>
      </w:pPr>
      <w:r w:rsidRPr="005B30A9">
        <w:t>167.</w:t>
      </w:r>
      <w:r w:rsidRPr="005B30A9">
        <w:tab/>
        <w:t xml:space="preserve">Estiria: medidas de promoción de las mujeres, como </w:t>
      </w:r>
      <w:r w:rsidRPr="00D2556C">
        <w:rPr>
          <w:i/>
          <w:iCs/>
        </w:rPr>
        <w:t>“</w:t>
      </w:r>
      <w:r w:rsidRPr="005B30A9">
        <w:rPr>
          <w:i/>
          <w:iCs/>
        </w:rPr>
        <w:t>Führen in Teilzeit</w:t>
      </w:r>
      <w:r w:rsidRPr="00D2556C">
        <w:rPr>
          <w:i/>
          <w:iCs/>
        </w:rPr>
        <w:t>”</w:t>
      </w:r>
      <w:r w:rsidRPr="005B30A9">
        <w:t xml:space="preserve"> o cursos especializados en la Academia de Administración Pública del </w:t>
      </w:r>
      <w:r w:rsidRPr="005B30A9">
        <w:rPr>
          <w:i/>
          <w:iCs/>
        </w:rPr>
        <w:t>Land</w:t>
      </w:r>
      <w:r w:rsidRPr="005B30A9">
        <w:t>.</w:t>
      </w:r>
    </w:p>
    <w:p w14:paraId="4AA657FC" w14:textId="45050818" w:rsidR="009612CC" w:rsidRPr="005B30A9" w:rsidRDefault="009612CC" w:rsidP="009612CC">
      <w:pPr>
        <w:pStyle w:val="SingleTxtG"/>
      </w:pPr>
      <w:r w:rsidRPr="005B30A9">
        <w:t>168.</w:t>
      </w:r>
      <w:r w:rsidRPr="005B30A9">
        <w:tab/>
        <w:t xml:space="preserve">Baja Austria: </w:t>
      </w:r>
      <w:r w:rsidRPr="005B30A9">
        <w:rPr>
          <w:i/>
          <w:iCs/>
        </w:rPr>
        <w:t>Charta Eltern&amp;Wirtschaft</w:t>
      </w:r>
      <w:r w:rsidRPr="005B30A9">
        <w:t>: promoción de una cultura empresarial que refuerce la participación de los padres en el cuidado de sus hijos.</w:t>
      </w:r>
    </w:p>
    <w:p w14:paraId="6A8A2C18" w14:textId="65C7C3B5" w:rsidR="009612CC" w:rsidRPr="005B30A9" w:rsidRDefault="009612CC" w:rsidP="009612CC">
      <w:pPr>
        <w:pStyle w:val="SingleTxtG"/>
      </w:pPr>
      <w:r w:rsidRPr="005B30A9">
        <w:t>169.</w:t>
      </w:r>
      <w:r w:rsidRPr="005B30A9">
        <w:tab/>
        <w:t xml:space="preserve">Vorarlberg: Programa de tutoría cruzada dirigido a aumentar la proporción de mujeres que ocupan puestos ejecutivos; día de las niñas; campaña de respeto; financiación del proyecto de la asociación </w:t>
      </w:r>
      <w:r w:rsidRPr="005B30A9">
        <w:rPr>
          <w:i/>
          <w:iCs/>
        </w:rPr>
        <w:t xml:space="preserve">Amazone </w:t>
      </w:r>
      <w:r w:rsidRPr="005B30A9">
        <w:t xml:space="preserve">de incorporación permanente de las niñas y las mujeres jóvenes en profesiones masculinizadas </w:t>
      </w:r>
      <w:r w:rsidRPr="00D2556C">
        <w:rPr>
          <w:i/>
          <w:iCs/>
        </w:rPr>
        <w:t>(“I</w:t>
      </w:r>
      <w:r w:rsidR="00D2556C">
        <w:rPr>
          <w:i/>
          <w:iCs/>
        </w:rPr>
        <w:t>’</w:t>
      </w:r>
      <w:r w:rsidRPr="00D2556C">
        <w:rPr>
          <w:i/>
          <w:iCs/>
        </w:rPr>
        <w:t>kanns”)</w:t>
      </w:r>
      <w:r w:rsidRPr="005B30A9">
        <w:t>; jornadas tecnológicas para las niñas en los centros de información profesional; asesoramiento profesional con perspectiva de género en las escuelas.</w:t>
      </w:r>
    </w:p>
    <w:p w14:paraId="51CA94D8" w14:textId="4A43DDAA" w:rsidR="009612CC" w:rsidRPr="005B30A9" w:rsidRDefault="00D42DAE" w:rsidP="00D42DAE">
      <w:pPr>
        <w:pStyle w:val="H23G"/>
      </w:pPr>
      <w:r w:rsidRPr="005B30A9">
        <w:lastRenderedPageBreak/>
        <w:tab/>
      </w:r>
      <w:r w:rsidR="009612CC" w:rsidRPr="005B30A9">
        <w:tab/>
        <w:t>Promoción de las mujeres en el mercado laboral</w:t>
      </w:r>
    </w:p>
    <w:p w14:paraId="63BD1389" w14:textId="77777777" w:rsidR="009612CC" w:rsidRPr="005B30A9" w:rsidRDefault="009612CC" w:rsidP="009612CC">
      <w:pPr>
        <w:pStyle w:val="SingleTxtG"/>
      </w:pPr>
      <w:r w:rsidRPr="005B30A9">
        <w:t>170.</w:t>
      </w:r>
      <w:r w:rsidRPr="005B30A9">
        <w:tab/>
        <w:t>Medidas para las mujeres con responsabilidades de prestación de cuidados, entre ellas:</w:t>
      </w:r>
    </w:p>
    <w:p w14:paraId="67A34C47" w14:textId="00DC232E" w:rsidR="009612CC" w:rsidRPr="005B30A9" w:rsidRDefault="009612CC" w:rsidP="00D42DAE">
      <w:pPr>
        <w:pStyle w:val="Bullet1G"/>
      </w:pPr>
      <w:r w:rsidRPr="005B30A9">
        <w:t xml:space="preserve">Programa del AMS </w:t>
      </w:r>
      <w:r w:rsidRPr="00D2556C">
        <w:rPr>
          <w:i/>
          <w:iCs/>
        </w:rPr>
        <w:t>“Kompetenz mit System”</w:t>
      </w:r>
      <w:r w:rsidRPr="005B30A9">
        <w:t>: realización de un aprendizaje mediante una estructura programática flexible con módulos cronológicamente independientes (en 2022, más de 1.100 participantes)</w:t>
      </w:r>
      <w:r w:rsidR="00D42DAE" w:rsidRPr="005B30A9">
        <w:t>.</w:t>
      </w:r>
    </w:p>
    <w:p w14:paraId="7EB23401" w14:textId="073C2712" w:rsidR="009612CC" w:rsidRPr="005B30A9" w:rsidRDefault="009612CC" w:rsidP="00D42DAE">
      <w:pPr>
        <w:pStyle w:val="Bullet1G"/>
      </w:pPr>
      <w:r w:rsidRPr="005B30A9">
        <w:t>Prestación del AMS para servicios de guardería: durante un máximo de 156 semanas para los progenitores con ingresos bajos que necesiten servicios de guardería a jornada completa, a media jornada o por horas para empezar a trabajar o tomar parte en una medida de política laboral</w:t>
      </w:r>
      <w:r w:rsidR="00D42DAE" w:rsidRPr="005B30A9">
        <w:t>.</w:t>
      </w:r>
    </w:p>
    <w:p w14:paraId="15820001" w14:textId="77777777" w:rsidR="009612CC" w:rsidRPr="005B30A9" w:rsidRDefault="009612CC" w:rsidP="00D42DAE">
      <w:pPr>
        <w:pStyle w:val="Bullet1G"/>
      </w:pPr>
      <w:r w:rsidRPr="005B30A9">
        <w:t>Para mejorar la conciliación de la vida laboral y familiar y la igualdad de género, la Federación invierte en la ampliación de los servicios de educación y atención en la primera infancia, principalmente mediante: el mantenimiento del año de guardería obligatorio gratuito para los niños de cinco años; la ampliación de la oferta de servicios de guardería para los niños menores de tres años en función de la demanda regional; la mayor flexibilidad y la ampliación de los horarios de apertura; la promoción de los cuidadores como alternativa a los centros de educación en la primera infancia (véase también la respuesta a la pregunta 23).</w:t>
      </w:r>
    </w:p>
    <w:p w14:paraId="3746E0BC" w14:textId="77777777" w:rsidR="009612CC" w:rsidRPr="005B30A9" w:rsidRDefault="009612CC" w:rsidP="00D42DAE">
      <w:pPr>
        <w:pStyle w:val="SingleTxtG"/>
        <w:keepNext/>
        <w:keepLines/>
      </w:pPr>
      <w:r w:rsidRPr="005B30A9">
        <w:t>171.</w:t>
      </w:r>
      <w:r w:rsidRPr="005B30A9">
        <w:tab/>
        <w:t xml:space="preserve">Apoyo a las mujeres que se reincorporan al mercado laboral, en particular: </w:t>
      </w:r>
    </w:p>
    <w:p w14:paraId="352852E1" w14:textId="054E2E25" w:rsidR="009612CC" w:rsidRPr="005B30A9" w:rsidRDefault="009612CC" w:rsidP="00D42DAE">
      <w:pPr>
        <w:pStyle w:val="Bullet1G"/>
      </w:pPr>
      <w:r w:rsidRPr="005B30A9">
        <w:t xml:space="preserve">Programa del AMS </w:t>
      </w:r>
      <w:r w:rsidRPr="007A3EDE">
        <w:rPr>
          <w:i/>
          <w:iCs/>
        </w:rPr>
        <w:t>“Wiedereinstieg unterstützen”</w:t>
      </w:r>
      <w:r w:rsidRPr="005B30A9">
        <w:t>: apoyo específico a grupos destinatarios por parte de asesores especiales en el marco de presentaciones itinerantes con fines especiales</w:t>
      </w:r>
      <w:r w:rsidR="00D42DAE" w:rsidRPr="005B30A9">
        <w:t>.</w:t>
      </w:r>
    </w:p>
    <w:p w14:paraId="67005F9F" w14:textId="583D657C" w:rsidR="009612CC" w:rsidRPr="005B30A9" w:rsidRDefault="009612CC" w:rsidP="00D42DAE">
      <w:pPr>
        <w:pStyle w:val="Bullet1G"/>
      </w:pPr>
      <w:r w:rsidRPr="005B30A9">
        <w:t xml:space="preserve">Curso del AMS </w:t>
      </w:r>
      <w:r w:rsidRPr="007A3EDE">
        <w:rPr>
          <w:i/>
          <w:iCs/>
        </w:rPr>
        <w:t>“Wiedereinstieg mit Zukunft”</w:t>
      </w:r>
      <w:r w:rsidRPr="005B30A9">
        <w:t>: orientado específicamente en función de las circunstancias y los problemas del grupo destinatario (evaluación de la conciliación de la vida laboral y familiar, análisis del potencial y las aptitudes, debate sobre la trayectoria profesional y posible reorientación)</w:t>
      </w:r>
      <w:r w:rsidR="00D42DAE" w:rsidRPr="005B30A9">
        <w:t>.</w:t>
      </w:r>
    </w:p>
    <w:p w14:paraId="14614775" w14:textId="77777777" w:rsidR="009612CC" w:rsidRPr="005B30A9" w:rsidRDefault="009612CC" w:rsidP="00D42DAE">
      <w:pPr>
        <w:pStyle w:val="Bullet1G"/>
      </w:pPr>
      <w:r w:rsidRPr="005B30A9">
        <w:t>En 2022, recibieron en total ayudas o subvenciones del AMS cerca de 47.000 mujeres reincorporadas.</w:t>
      </w:r>
    </w:p>
    <w:p w14:paraId="72FF0E2C" w14:textId="77777777" w:rsidR="009612CC" w:rsidRPr="005B30A9" w:rsidRDefault="009612CC" w:rsidP="009612CC">
      <w:pPr>
        <w:pStyle w:val="SingleTxtG"/>
      </w:pPr>
      <w:r w:rsidRPr="005B30A9">
        <w:t>172.</w:t>
      </w:r>
      <w:r w:rsidRPr="005B30A9">
        <w:tab/>
        <w:t>Medidas dirigidas a las mujeres que trabajan a tiempo parcial, entre ellas:</w:t>
      </w:r>
    </w:p>
    <w:p w14:paraId="3DCF9071" w14:textId="4FEA81C2" w:rsidR="009612CC" w:rsidRPr="005B30A9" w:rsidRDefault="009612CC" w:rsidP="00D42DAE">
      <w:pPr>
        <w:pStyle w:val="Bullet1G"/>
      </w:pPr>
      <w:r w:rsidRPr="005B30A9">
        <w:t>Desde 2016 los empleadores tienen que informar a los trabajadores a tiempo parcial de los planes de publicación en la empresa de todo puesto que conlleve más horas o de todo puesto a tiempo completo</w:t>
      </w:r>
      <w:r w:rsidR="00D42DAE" w:rsidRPr="005B30A9">
        <w:t>.</w:t>
      </w:r>
    </w:p>
    <w:p w14:paraId="5EE50C9A" w14:textId="77777777" w:rsidR="009612CC" w:rsidRPr="005B30A9" w:rsidRDefault="009612CC" w:rsidP="00D42DAE">
      <w:pPr>
        <w:pStyle w:val="Bullet1G"/>
      </w:pPr>
      <w:r w:rsidRPr="005B30A9">
        <w:t>Información temprana sobre el sistema de pensiones, los efectos de los ingresos inferiores como consecuencia del trabajo a tiempo parcial y las formas que tienen a su disposición las mujeres para obtener y ampliar los derechos a percibir pensiones sobre la base de abundante material informativo de acceso fácil</w:t>
      </w:r>
      <w:r w:rsidRPr="005B30A9">
        <w:rPr>
          <w:rStyle w:val="Refdenotaalpie"/>
        </w:rPr>
        <w:footnoteReference w:id="34"/>
      </w:r>
      <w:r w:rsidRPr="005B30A9">
        <w:t>.</w:t>
      </w:r>
    </w:p>
    <w:p w14:paraId="142149B6" w14:textId="77777777" w:rsidR="009612CC" w:rsidRPr="005B30A9" w:rsidRDefault="009612CC" w:rsidP="009612CC">
      <w:pPr>
        <w:pStyle w:val="SingleTxtG"/>
      </w:pPr>
      <w:r w:rsidRPr="005B30A9">
        <w:t>173.</w:t>
      </w:r>
      <w:r w:rsidRPr="005B30A9">
        <w:tab/>
        <w:t>Medidas dirigidas a las mujeres en general, entre ellas:</w:t>
      </w:r>
    </w:p>
    <w:p w14:paraId="5C1595D2" w14:textId="52052D2A" w:rsidR="009612CC" w:rsidRPr="005B30A9" w:rsidRDefault="009612CC" w:rsidP="00D42DAE">
      <w:pPr>
        <w:pStyle w:val="Bullet1G"/>
      </w:pPr>
      <w:r w:rsidRPr="005B30A9">
        <w:t>Los Centros de Orientación Profesional para Mujeres (que ayudaron a 16.400 mujeres en 2022) ofrecen en todo el país asesoramiento y orientación profesional a las mujeres que buscan perfeccionamiento profesional y ayuda para acceder a los servicios del</w:t>
      </w:r>
      <w:r w:rsidR="007A3EDE">
        <w:t> </w:t>
      </w:r>
      <w:r w:rsidRPr="005B30A9">
        <w:t>AMS y a ofertas educativas adecuadas</w:t>
      </w:r>
      <w:r w:rsidR="00D42DAE" w:rsidRPr="005B30A9">
        <w:t>.</w:t>
      </w:r>
    </w:p>
    <w:p w14:paraId="432176CD" w14:textId="462EA883" w:rsidR="009612CC" w:rsidRPr="005B30A9" w:rsidRDefault="009612CC" w:rsidP="00D42DAE">
      <w:pPr>
        <w:pStyle w:val="Bullet1G"/>
      </w:pPr>
      <w:r w:rsidRPr="005B30A9">
        <w:t>El BMAW concede el sello de calidad equalitA a las empresas y organizaciones que promuevan la igualdad de género (desde 2020)</w:t>
      </w:r>
      <w:r w:rsidR="00D42DAE" w:rsidRPr="005B30A9">
        <w:t>.</w:t>
      </w:r>
    </w:p>
    <w:p w14:paraId="75D76452" w14:textId="77777777" w:rsidR="009612CC" w:rsidRPr="005B30A9" w:rsidRDefault="009612CC" w:rsidP="00D42DAE">
      <w:pPr>
        <w:pStyle w:val="Bullet1G"/>
      </w:pPr>
      <w:r w:rsidRPr="005B30A9">
        <w:t>Cursos y talleres del GAW sobre la prohibición de la discriminación de género en el empleo ofrecido por el sector privado y en el mundo empresarial.</w:t>
      </w:r>
    </w:p>
    <w:p w14:paraId="6330936D" w14:textId="07037832" w:rsidR="009612CC" w:rsidRPr="005B30A9" w:rsidRDefault="009612CC" w:rsidP="00D42DAE">
      <w:pPr>
        <w:pStyle w:val="H4G"/>
      </w:pPr>
      <w:r w:rsidRPr="005B30A9">
        <w:tab/>
      </w:r>
      <w:r w:rsidR="00D42DAE" w:rsidRPr="005B30A9">
        <w:tab/>
      </w:r>
      <w:r w:rsidRPr="005B30A9">
        <w:t>Medidas ilustrativas de los Länder</w:t>
      </w:r>
    </w:p>
    <w:p w14:paraId="59949D54" w14:textId="2C36450F" w:rsidR="009612CC" w:rsidRPr="005B30A9" w:rsidRDefault="009612CC" w:rsidP="009612CC">
      <w:pPr>
        <w:pStyle w:val="SingleTxtG"/>
      </w:pPr>
      <w:r w:rsidRPr="005B30A9">
        <w:t>174.</w:t>
      </w:r>
      <w:r w:rsidRPr="005B30A9">
        <w:tab/>
        <w:t xml:space="preserve">Entre los programas del Fondo de Promoción de los Empleados de Viena </w:t>
      </w:r>
      <w:r w:rsidRPr="007A3EDE">
        <w:rPr>
          <w:i/>
          <w:iCs/>
        </w:rPr>
        <w:t>(waff)</w:t>
      </w:r>
      <w:r w:rsidRPr="005B30A9">
        <w:t xml:space="preserve"> cabe mencionar: </w:t>
      </w:r>
      <w:r w:rsidRPr="007A3EDE">
        <w:rPr>
          <w:i/>
          <w:iCs/>
        </w:rPr>
        <w:t>“FRECH”</w:t>
      </w:r>
      <w:r w:rsidRPr="005B30A9">
        <w:t xml:space="preserve">, que ofrece asesoramiento y apoyo financiero a las mujeres que </w:t>
      </w:r>
      <w:r w:rsidRPr="005B30A9">
        <w:lastRenderedPageBreak/>
        <w:t xml:space="preserve">buscan reorientación profesional; </w:t>
      </w:r>
      <w:r w:rsidRPr="007A3EDE">
        <w:rPr>
          <w:i/>
          <w:iCs/>
        </w:rPr>
        <w:t>“Karenz und Wiedereinstieg”</w:t>
      </w:r>
      <w:r w:rsidRPr="005B30A9">
        <w:t>; apoyo financiero al perfeccionamiento profesional.</w:t>
      </w:r>
    </w:p>
    <w:p w14:paraId="35648C76" w14:textId="00EF8FCB" w:rsidR="009612CC" w:rsidRPr="005B30A9" w:rsidRDefault="009612CC" w:rsidP="00D42DAE">
      <w:pPr>
        <w:pStyle w:val="H1G"/>
      </w:pPr>
      <w:r w:rsidRPr="005B30A9">
        <w:tab/>
      </w:r>
      <w:r w:rsidR="00D42DAE" w:rsidRPr="005B30A9">
        <w:tab/>
      </w:r>
      <w:r w:rsidRPr="005B30A9">
        <w:t>Respuesta al párrafo 20 de la lista de cuestiones</w:t>
      </w:r>
    </w:p>
    <w:p w14:paraId="6D6D68C0" w14:textId="1B7588CF" w:rsidR="009612CC" w:rsidRPr="005B30A9" w:rsidRDefault="00D42DAE" w:rsidP="00D42DAE">
      <w:pPr>
        <w:pStyle w:val="H23G"/>
      </w:pPr>
      <w:r w:rsidRPr="005B30A9">
        <w:tab/>
      </w:r>
      <w:r w:rsidR="009612CC" w:rsidRPr="005B30A9">
        <w:tab/>
        <w:t>Obstáculos a la eliminación de la brecha salarial de género</w:t>
      </w:r>
    </w:p>
    <w:p w14:paraId="19587E72" w14:textId="77777777" w:rsidR="009612CC" w:rsidRPr="005B30A9" w:rsidRDefault="009612CC" w:rsidP="009612CC">
      <w:pPr>
        <w:pStyle w:val="SingleTxtG"/>
        <w:rPr>
          <w:bCs/>
        </w:rPr>
      </w:pPr>
      <w:r w:rsidRPr="005B30A9">
        <w:t>175.</w:t>
      </w:r>
      <w:r w:rsidRPr="005B30A9">
        <w:tab/>
        <w:t>En 2021, la brecha salarial de género era del 18,8 %, mientras que en 2018 se situaba en el 20,4 %. Según el Órgano de Estadísticas de Austria, no cabe explicar estadísticamente más de dos tercios de la brecha</w:t>
      </w:r>
      <w:r w:rsidRPr="005B30A9">
        <w:rPr>
          <w:rStyle w:val="Refdenotaalpie"/>
        </w:rPr>
        <w:footnoteReference w:id="35"/>
      </w:r>
      <w:r w:rsidRPr="005B30A9">
        <w:t>. Los mayores efectos sobre esta tienen que ver con lo siguiente:</w:t>
      </w:r>
    </w:p>
    <w:p w14:paraId="72F79615" w14:textId="77777777" w:rsidR="009612CC" w:rsidRPr="005B30A9" w:rsidRDefault="009612CC" w:rsidP="00D42DAE">
      <w:pPr>
        <w:pStyle w:val="Bullet1G"/>
      </w:pPr>
      <w:r w:rsidRPr="005B30A9">
        <w:t xml:space="preserve">El sector (2,9 puntos porcentuales): </w:t>
      </w:r>
    </w:p>
    <w:p w14:paraId="1F458616" w14:textId="20214AFB" w:rsidR="009612CC" w:rsidRPr="005B30A9" w:rsidRDefault="009612CC" w:rsidP="00D42DAE">
      <w:pPr>
        <w:pStyle w:val="Bullet2G"/>
      </w:pPr>
      <w:r w:rsidRPr="005B30A9">
        <w:t>Una acusada segregación horizontal</w:t>
      </w:r>
      <w:r w:rsidR="00D42DAE" w:rsidRPr="005B30A9">
        <w:t>.</w:t>
      </w:r>
    </w:p>
    <w:p w14:paraId="4935C78B" w14:textId="3FA63DBB" w:rsidR="009612CC" w:rsidRPr="005B30A9" w:rsidRDefault="009612CC" w:rsidP="00D42DAE">
      <w:pPr>
        <w:pStyle w:val="Bullet2G"/>
      </w:pPr>
      <w:r w:rsidRPr="005B30A9">
        <w:t>Los sectores donde es grande la proporción de mujeres (los servicios de comedores y la hostelería, la atención sanitaria y los servicios sociales, la educación y el cuidado de los niños, los servicios y el comercio minorista) suelen pagar sueldos bajos; la diferencia entre la proporción de sueldos bajos entre trabajadoras y trabajadores es grande en comparación con la de otros Estados miembros de la Unión Europea: en 2018 percibían sueldos bajos el</w:t>
      </w:r>
      <w:r w:rsidR="007A3EDE">
        <w:t> </w:t>
      </w:r>
      <w:r w:rsidRPr="005B30A9">
        <w:t>22,4</w:t>
      </w:r>
      <w:r w:rsidR="007A3EDE">
        <w:t> </w:t>
      </w:r>
      <w:r w:rsidRPr="005B30A9">
        <w:t>% de las mujeres y el 9,3 % de los hombres</w:t>
      </w:r>
      <w:r w:rsidR="00B80B24" w:rsidRPr="005B30A9">
        <w:t>.</w:t>
      </w:r>
    </w:p>
    <w:p w14:paraId="2F34F943" w14:textId="77777777" w:rsidR="009612CC" w:rsidRPr="005B30A9" w:rsidRDefault="009612CC" w:rsidP="00D42DAE">
      <w:pPr>
        <w:pStyle w:val="Bullet1G"/>
      </w:pPr>
      <w:r w:rsidRPr="005B30A9">
        <w:t xml:space="preserve">Las horas semanales trabajadas (2,6 puntos porcentuales): </w:t>
      </w:r>
    </w:p>
    <w:p w14:paraId="1E4B4A0C" w14:textId="0B0120CB" w:rsidR="009612CC" w:rsidRPr="005B30A9" w:rsidRDefault="009612CC" w:rsidP="00D42DAE">
      <w:pPr>
        <w:pStyle w:val="Bullet2G"/>
      </w:pPr>
      <w:r w:rsidRPr="005B30A9">
        <w:t>La tasa de trabajo a tiempo parcial entre mujeres supera el 50 %; el 40 % (aproximadamente 1 millón) se debe al cuidado de los hijos u otras responsabilidades de prestación de cuidados (2022)</w:t>
      </w:r>
      <w:r w:rsidR="00B80B24" w:rsidRPr="005B30A9">
        <w:t>.</w:t>
      </w:r>
    </w:p>
    <w:p w14:paraId="49646582" w14:textId="3B70E1A2" w:rsidR="009612CC" w:rsidRPr="005B30A9" w:rsidRDefault="009612CC" w:rsidP="00D42DAE">
      <w:pPr>
        <w:pStyle w:val="Bullet1G"/>
      </w:pPr>
      <w:r w:rsidRPr="005B30A9">
        <w:t>Los años de antigüedad en la misma empresa (1,7 puntos porcentuales)</w:t>
      </w:r>
      <w:r w:rsidR="00B80B24" w:rsidRPr="005B30A9">
        <w:t>.</w:t>
      </w:r>
    </w:p>
    <w:p w14:paraId="2B96FA14" w14:textId="77777777" w:rsidR="009612CC" w:rsidRPr="005B30A9" w:rsidRDefault="009612CC" w:rsidP="00D42DAE">
      <w:pPr>
        <w:pStyle w:val="Bullet1G"/>
      </w:pPr>
      <w:r w:rsidRPr="005B30A9">
        <w:t>La profesión (1,6 puntos porcentuales).</w:t>
      </w:r>
    </w:p>
    <w:p w14:paraId="5A04A08A" w14:textId="77777777" w:rsidR="009612CC" w:rsidRPr="005B30A9" w:rsidRDefault="009612CC" w:rsidP="009612CC">
      <w:pPr>
        <w:pStyle w:val="SingleTxtG"/>
        <w:rPr>
          <w:bCs/>
        </w:rPr>
      </w:pPr>
      <w:r w:rsidRPr="005B30A9">
        <w:t>176.</w:t>
      </w:r>
      <w:r w:rsidRPr="005B30A9">
        <w:tab/>
        <w:t>Por lo tanto, para reducir la brecha salarial es necesario:</w:t>
      </w:r>
    </w:p>
    <w:p w14:paraId="7E8FAEB6" w14:textId="77777777" w:rsidR="009612CC" w:rsidRPr="005B30A9" w:rsidRDefault="009612CC" w:rsidP="00B80B24">
      <w:pPr>
        <w:pStyle w:val="Bullet1G"/>
      </w:pPr>
      <w:r w:rsidRPr="005B30A9">
        <w:t>Aumentar la transparencia de los ingresos, en particular mediante:</w:t>
      </w:r>
    </w:p>
    <w:p w14:paraId="692E817D" w14:textId="7DE5A59F" w:rsidR="009612CC" w:rsidRPr="005B30A9" w:rsidRDefault="009612CC" w:rsidP="00B80B24">
      <w:pPr>
        <w:pStyle w:val="Bullet2G"/>
      </w:pPr>
      <w:r w:rsidRPr="005B30A9">
        <w:t>La calculadora en línea de una remuneración justa</w:t>
      </w:r>
      <w:r w:rsidRPr="005B30A9">
        <w:rPr>
          <w:rStyle w:val="Refdenotaalpie"/>
        </w:rPr>
        <w:footnoteReference w:id="36"/>
      </w:r>
      <w:r w:rsidRPr="005B30A9">
        <w:t>, que desde 2011 proporciona información sobre la remuneración efectiva que cabe esperar en determinados sectores, profesiones y regiones, así como sobre la brecha de género</w:t>
      </w:r>
      <w:r w:rsidR="00B80B24" w:rsidRPr="005B30A9">
        <w:t>.</w:t>
      </w:r>
    </w:p>
    <w:p w14:paraId="382A7E8A" w14:textId="6F9F170E" w:rsidR="009612CC" w:rsidRPr="005B30A9" w:rsidRDefault="009612CC" w:rsidP="00B80B24">
      <w:pPr>
        <w:pStyle w:val="Bullet2G"/>
      </w:pPr>
      <w:r w:rsidRPr="005B30A9">
        <w:t>La caja de herramientas para la notificación de ingresos a título de buena práctica</w:t>
      </w:r>
      <w:r w:rsidRPr="005B30A9">
        <w:rPr>
          <w:rStyle w:val="Refdenotaalpie"/>
        </w:rPr>
        <w:footnoteReference w:id="37"/>
      </w:r>
      <w:r w:rsidRPr="005B30A9">
        <w:t>, que ayuda a las empresas, los miembros de los comités de empresa y los encargados de la igualdad de oportunidades a elaborar, analizar y utilizar notificaciones de los ingresos a nivel empresarial</w:t>
      </w:r>
      <w:r w:rsidR="00B80B24" w:rsidRPr="005B30A9">
        <w:t>.</w:t>
      </w:r>
    </w:p>
    <w:p w14:paraId="51453DB6" w14:textId="77777777" w:rsidR="009612CC" w:rsidRPr="005B30A9" w:rsidRDefault="009612CC" w:rsidP="00B80B24">
      <w:pPr>
        <w:pStyle w:val="Bullet1G"/>
      </w:pPr>
      <w:r w:rsidRPr="005B30A9">
        <w:t>Reducir la segregación en el mercado laboral, entre otras cosas mediante lo siguiente:</w:t>
      </w:r>
    </w:p>
    <w:p w14:paraId="685D5731" w14:textId="679B13A3" w:rsidR="009612CC" w:rsidRPr="005B30A9" w:rsidRDefault="009612CC" w:rsidP="00B80B24">
      <w:pPr>
        <w:pStyle w:val="Bullet2G"/>
      </w:pPr>
      <w:r w:rsidRPr="005B30A9">
        <w:t>Mejora de las perspectivas profesionales de las mujeres (véase la respuesta a la pregunta 19)</w:t>
      </w:r>
      <w:r w:rsidR="00B80B24" w:rsidRPr="005B30A9">
        <w:t>.</w:t>
      </w:r>
    </w:p>
    <w:p w14:paraId="5FE6D81A" w14:textId="434D32D9" w:rsidR="009612CC" w:rsidRPr="005B30A9" w:rsidRDefault="009612CC" w:rsidP="00B80B24">
      <w:pPr>
        <w:pStyle w:val="Bullet2G"/>
      </w:pPr>
      <w:r w:rsidRPr="005B30A9">
        <w:t>Un aumento del porcentaje de mujeres que ocupan puestos ejecutivos</w:t>
      </w:r>
      <w:r w:rsidR="00B80B24" w:rsidRPr="005B30A9">
        <w:t>.</w:t>
      </w:r>
    </w:p>
    <w:p w14:paraId="35FD4D77" w14:textId="03A4987C" w:rsidR="009612CC" w:rsidRPr="005B30A9" w:rsidRDefault="009612CC" w:rsidP="00B80B24">
      <w:pPr>
        <w:pStyle w:val="Bullet2G"/>
      </w:pPr>
      <w:r w:rsidRPr="005B30A9">
        <w:t>La revalorización de los empleos y actividades de los sectores donde predominan las mujeres</w:t>
      </w:r>
      <w:r w:rsidR="00B80B24" w:rsidRPr="005B30A9">
        <w:t>.</w:t>
      </w:r>
    </w:p>
    <w:p w14:paraId="519196E9" w14:textId="77777777" w:rsidR="009612CC" w:rsidRPr="005B30A9" w:rsidRDefault="009612CC" w:rsidP="00B80B24">
      <w:pPr>
        <w:pStyle w:val="Bullet1G"/>
      </w:pPr>
      <w:r w:rsidRPr="005B30A9">
        <w:t>Ulteriores mejoras de la conciliación de la vida laboral y personal y reparto equitativo del trabajo remunerado y no remunerado en las parejas (véase la respuesta a la pregunta 19).</w:t>
      </w:r>
    </w:p>
    <w:p w14:paraId="595749D3" w14:textId="531C662A" w:rsidR="009612CC" w:rsidRPr="005B30A9" w:rsidRDefault="009612CC" w:rsidP="00B80B24">
      <w:pPr>
        <w:pStyle w:val="H23G"/>
      </w:pPr>
      <w:r w:rsidRPr="005B30A9">
        <w:lastRenderedPageBreak/>
        <w:tab/>
      </w:r>
      <w:r w:rsidR="00B80B24" w:rsidRPr="005B30A9">
        <w:tab/>
      </w:r>
      <w:r w:rsidRPr="005B30A9">
        <w:t xml:space="preserve">La igualdad en el mercado de trabajo </w:t>
      </w:r>
    </w:p>
    <w:p w14:paraId="04B8140C" w14:textId="77777777" w:rsidR="009612CC" w:rsidRPr="005B30A9" w:rsidRDefault="009612CC" w:rsidP="009612CC">
      <w:pPr>
        <w:pStyle w:val="SingleTxtG"/>
        <w:rPr>
          <w:bCs/>
        </w:rPr>
      </w:pPr>
      <w:r w:rsidRPr="005B30A9">
        <w:t>177.</w:t>
      </w:r>
      <w:r w:rsidRPr="005B30A9">
        <w:tab/>
        <w:t>Las mujeres reciben un volumen de fondos proporcionalmente alto con arreglo a las medidas activas de política laboral. Desde 2022, la proporción de los fondos asignados a mujeres ha sido 4 puntos porcentuales superior a la destinada a los desempleados y supone una contribución notable: en 2022, unas 328.000 mujeres recibieron apoyo con arreglo a medidas activas de política laboral; de ellas, cerca de 137.500 recibieron perfeccionamiento profesional.</w:t>
      </w:r>
    </w:p>
    <w:p w14:paraId="24E5D585" w14:textId="77777777" w:rsidR="009612CC" w:rsidRPr="005B30A9" w:rsidRDefault="009612CC" w:rsidP="009612CC">
      <w:pPr>
        <w:pStyle w:val="SingleTxtG"/>
        <w:rPr>
          <w:bCs/>
        </w:rPr>
      </w:pPr>
      <w:r w:rsidRPr="005B30A9">
        <w:t>178.</w:t>
      </w:r>
      <w:r w:rsidRPr="005B30A9">
        <w:tab/>
        <w:t>De las 55 medidas del plan de acción nacional sobre igualdad de género en el mercado laboral para 2010-2013, 38 se aplicaron por completo, 16 en parte y una no se aplicó. Entre las medidas aplicadas para reducir la brecha salarial o aumentar el número de mujeres que ocupan puestos directivos figuran las siguientes:</w:t>
      </w:r>
    </w:p>
    <w:p w14:paraId="203D1BE5" w14:textId="4103F6CA" w:rsidR="009612CC" w:rsidRPr="005B30A9" w:rsidRDefault="009612CC" w:rsidP="00B80B24">
      <w:pPr>
        <w:pStyle w:val="Bullet1G"/>
      </w:pPr>
      <w:r w:rsidRPr="005B30A9">
        <w:t>Presentación obligatoria cada dos años de notificaciones de los ingresos en el caso de las empresas que tengan más de 150 empleados</w:t>
      </w:r>
      <w:r w:rsidR="00B80B24" w:rsidRPr="005B30A9">
        <w:t>.</w:t>
      </w:r>
    </w:p>
    <w:p w14:paraId="6363EC18" w14:textId="60895A7E" w:rsidR="009612CC" w:rsidRPr="005B30A9" w:rsidRDefault="009612CC" w:rsidP="00B80B24">
      <w:pPr>
        <w:pStyle w:val="Bullet1G"/>
      </w:pPr>
      <w:r w:rsidRPr="005B30A9">
        <w:t>Información obligatoria en los anuncios de empleo:</w:t>
      </w:r>
    </w:p>
    <w:p w14:paraId="0B652EA3" w14:textId="65586B41" w:rsidR="009612CC" w:rsidRPr="005B30A9" w:rsidRDefault="009612CC" w:rsidP="00B80B24">
      <w:pPr>
        <w:pStyle w:val="Bullet2G"/>
      </w:pPr>
      <w:r w:rsidRPr="005B30A9">
        <w:t>El salario mínimo previsto en el convenio colectivo y la disposición efectiva a pagar una cuantía superior</w:t>
      </w:r>
      <w:r w:rsidR="00B80B24" w:rsidRPr="005B30A9">
        <w:t>.</w:t>
      </w:r>
    </w:p>
    <w:p w14:paraId="43BAD57E" w14:textId="7CD17EAB" w:rsidR="009612CC" w:rsidRPr="005B30A9" w:rsidRDefault="009612CC" w:rsidP="00B80B24">
      <w:pPr>
        <w:pStyle w:val="Bullet2G"/>
      </w:pPr>
      <w:r w:rsidRPr="005B30A9">
        <w:t>Los criterios para negociar la remuneración en los sectores carentes de un salario mínimo previsto en los convenios colectivos</w:t>
      </w:r>
      <w:r w:rsidR="00B80B24" w:rsidRPr="005B30A9">
        <w:t>.</w:t>
      </w:r>
    </w:p>
    <w:p w14:paraId="719D180A" w14:textId="60E789F3" w:rsidR="009612CC" w:rsidRPr="005B30A9" w:rsidRDefault="009612CC" w:rsidP="00B80B24">
      <w:pPr>
        <w:pStyle w:val="Bullet1G"/>
      </w:pPr>
      <w:r w:rsidRPr="005B30A9">
        <w:t>En caso de sospecha de discriminación salarial, el GAW y la GBK tienen derecho a recabar de la institución de seguridad social que corresponda datos sobre los ingresos de personas comparables</w:t>
      </w:r>
      <w:r w:rsidR="00B80B24" w:rsidRPr="005B30A9">
        <w:t>.</w:t>
      </w:r>
    </w:p>
    <w:p w14:paraId="32B02C99" w14:textId="0A4EE671" w:rsidR="009612CC" w:rsidRPr="005B30A9" w:rsidRDefault="009612CC" w:rsidP="00B80B24">
      <w:pPr>
        <w:pStyle w:val="Bullet1G"/>
      </w:pPr>
      <w:r w:rsidRPr="005B30A9">
        <w:t>Elaboración de una directriz para las notificaciones de ingresos (actualizada y revisada de nuevo en 2022)</w:t>
      </w:r>
      <w:r w:rsidRPr="005B30A9">
        <w:rPr>
          <w:rStyle w:val="Refdenotaalpie"/>
        </w:rPr>
        <w:footnoteReference w:id="38"/>
      </w:r>
      <w:r w:rsidR="00B80B24" w:rsidRPr="005B30A9">
        <w:t>.</w:t>
      </w:r>
    </w:p>
    <w:p w14:paraId="2BABB1E4" w14:textId="4F1B80E9" w:rsidR="009612CC" w:rsidRPr="005B30A9" w:rsidRDefault="009612CC" w:rsidP="00B80B24">
      <w:pPr>
        <w:pStyle w:val="Bullet1G"/>
      </w:pPr>
      <w:r w:rsidRPr="005B30A9">
        <w:t>El Gobierno Federal se comprometió a aumentar la proporción de mujeres que formaban parte de los consejos de supervisión nombrados por los ministerios federales (índice de género a nivel federal) hasta el 40 % en las empresas en las que la Federación tuviera una participación superior al 50 % (en 2022 el porcentaje medio en las 54 empresas afiliadas al Estado fue del 50 %)</w:t>
      </w:r>
      <w:r w:rsidR="00B80B24" w:rsidRPr="005B30A9">
        <w:t>.</w:t>
      </w:r>
    </w:p>
    <w:p w14:paraId="74D4362A" w14:textId="10618930" w:rsidR="009612CC" w:rsidRPr="005B30A9" w:rsidRDefault="009612CC" w:rsidP="00B80B24">
      <w:pPr>
        <w:pStyle w:val="Bullet1G"/>
      </w:pPr>
      <w:r w:rsidRPr="005B30A9">
        <w:t xml:space="preserve">Programa de liderazgo </w:t>
      </w:r>
      <w:r w:rsidRPr="00A971CF">
        <w:rPr>
          <w:i/>
          <w:iCs/>
        </w:rPr>
        <w:t>“Zukunft.Frauen”</w:t>
      </w:r>
      <w:r w:rsidRPr="005B30A9">
        <w:t xml:space="preserve"> (472 mujeres participantes desde 2010), que incorpora a más mujeres en puestos directivos y de las juntas de gobierno y dota a los puestos ejecutivos de mayor atractivo. Una base de datos de acceso público sobre las mujeres que forman parte de juntas de gobierno (ya hay unas 830 registradas) elevará la visibilidad de las candidatas altamente cualificadas a ocupar puestos en estas juntas.</w:t>
      </w:r>
    </w:p>
    <w:p w14:paraId="0C2EEE42" w14:textId="107C33F7" w:rsidR="009612CC" w:rsidRPr="005B30A9" w:rsidRDefault="009612CC" w:rsidP="00B80B24">
      <w:pPr>
        <w:pStyle w:val="H1G"/>
      </w:pPr>
      <w:r w:rsidRPr="005B30A9">
        <w:tab/>
      </w:r>
      <w:r w:rsidR="00B80B24" w:rsidRPr="005B30A9">
        <w:tab/>
      </w:r>
      <w:r w:rsidRPr="005B30A9">
        <w:t>Respuesta al párrafo 21 de la lista de cuestiones</w:t>
      </w:r>
    </w:p>
    <w:p w14:paraId="7F771D55" w14:textId="771218D8" w:rsidR="009612CC" w:rsidRPr="005B30A9" w:rsidRDefault="00B80B24" w:rsidP="00B80B24">
      <w:pPr>
        <w:pStyle w:val="H23G"/>
      </w:pPr>
      <w:r w:rsidRPr="005B30A9">
        <w:tab/>
      </w:r>
      <w:r w:rsidR="009612CC" w:rsidRPr="005B30A9">
        <w:tab/>
        <w:t>Acceso de las personas con discapacidad al trabajo decente</w:t>
      </w:r>
    </w:p>
    <w:p w14:paraId="17AD5166" w14:textId="6A1DFCA8" w:rsidR="009612CC" w:rsidRPr="005B30A9" w:rsidRDefault="009612CC" w:rsidP="009612CC">
      <w:pPr>
        <w:pStyle w:val="SingleTxtG"/>
        <w:rPr>
          <w:bCs/>
        </w:rPr>
      </w:pPr>
      <w:r w:rsidRPr="005B30A9">
        <w:t>179.</w:t>
      </w:r>
      <w:r w:rsidRPr="005B30A9">
        <w:tab/>
        <w:t xml:space="preserve">El artículo 7 a) y siguientes de la </w:t>
      </w:r>
      <w:hyperlink r:id="rId53" w:history="1">
        <w:r w:rsidRPr="005B30A9">
          <w:rPr>
            <w:rStyle w:val="Hipervnculo"/>
          </w:rPr>
          <w:t>Ley de Empleo de Personas con Discapacidad</w:t>
        </w:r>
      </w:hyperlink>
      <w:r w:rsidRPr="005B30A9">
        <w:t xml:space="preserve"> (</w:t>
      </w:r>
      <w:r w:rsidRPr="005B30A9">
        <w:rPr>
          <w:i/>
          <w:iCs/>
        </w:rPr>
        <w:t>Behinderteneinstellungsgesetz/</w:t>
      </w:r>
      <w:r w:rsidRPr="00846E07">
        <w:t>BEinstG</w:t>
      </w:r>
      <w:r w:rsidRPr="005B30A9">
        <w:t>), BGBl. núm. 22/1970, protege a las personas con discapacidad contra la discriminación en el trabajo. Para los casos de discriminación múltiple, el artículo 7 o) de la BEinstG asigna la competencia exclusiva a la Junta de Conciliación del BMSGPK en aras de la seguridad jurídica.</w:t>
      </w:r>
    </w:p>
    <w:p w14:paraId="6F1871EB" w14:textId="77777777" w:rsidR="009612CC" w:rsidRPr="005B30A9" w:rsidRDefault="009612CC" w:rsidP="009612CC">
      <w:pPr>
        <w:pStyle w:val="SingleTxtG"/>
        <w:rPr>
          <w:bCs/>
        </w:rPr>
      </w:pPr>
      <w:r w:rsidRPr="005B30A9">
        <w:t>180.</w:t>
      </w:r>
      <w:r w:rsidRPr="005B30A9">
        <w:tab/>
        <w:t xml:space="preserve">De acuerdo con la legislación de los </w:t>
      </w:r>
      <w:r w:rsidRPr="005B30A9">
        <w:rPr>
          <w:i/>
          <w:iCs/>
        </w:rPr>
        <w:t xml:space="preserve">Länder </w:t>
      </w:r>
      <w:r w:rsidRPr="005B30A9">
        <w:t xml:space="preserve">en la materia, las personas con discapacidad que no pueden incorporarse al mercado laboral y están clasificadas como no aptas para el trabajo pueden trabajar en centros con rutinas diarias estructuradas que ofrezcan diversos servicios (como talleres especializados, talleres clásicos o grupos de trabajo asistido) y actividades (con inclusión de trabajo de base, trabajo creativo y trabajo industrial). Según la jurisprudencia del OGH, la principal finalidad de esos centros es terapéutica; en consecuencia, las personas con discapacidad que realizan actividades en ellos no cuentan como trabajadores asalariados. Las personas que trabajan en estos centros disponen de un </w:t>
      </w:r>
      <w:r w:rsidRPr="005B30A9">
        <w:lastRenderedPageBreak/>
        <w:t>seguro de accidentes y de enfermedad (coaseguro), pero no de un seguro de pensiones. La capacidad para trabajar se determina principalmente desde una perspectiva médica. Si la capacidad para trabajar de una persona es inferior al 50 %, se considerará que carece de capacidad para trabajar.</w:t>
      </w:r>
    </w:p>
    <w:p w14:paraId="17D74999" w14:textId="77777777" w:rsidR="009612CC" w:rsidRPr="005B30A9" w:rsidRDefault="009612CC" w:rsidP="009612CC">
      <w:pPr>
        <w:pStyle w:val="SingleTxtG"/>
        <w:rPr>
          <w:bCs/>
        </w:rPr>
      </w:pPr>
      <w:r w:rsidRPr="005B30A9">
        <w:t>181.</w:t>
      </w:r>
      <w:r w:rsidRPr="005B30A9">
        <w:tab/>
        <w:t xml:space="preserve">Según el actual Programa Gubernamental, las personas con discapacidad que trabajen en centros como talleres protegidos percibirán en adelante una paga en lugar de un subsidio. La Federación y los </w:t>
      </w:r>
      <w:r w:rsidRPr="005B30A9">
        <w:rPr>
          <w:i/>
          <w:iCs/>
        </w:rPr>
        <w:t xml:space="preserve">Länder </w:t>
      </w:r>
      <w:r w:rsidRPr="005B30A9">
        <w:t>elaboran soluciones actualmente.</w:t>
      </w:r>
    </w:p>
    <w:p w14:paraId="392F248F" w14:textId="77777777" w:rsidR="009612CC" w:rsidRPr="005B30A9" w:rsidRDefault="009612CC" w:rsidP="009612CC">
      <w:pPr>
        <w:pStyle w:val="SingleTxtG"/>
        <w:rPr>
          <w:bCs/>
        </w:rPr>
      </w:pPr>
      <w:r w:rsidRPr="005B30A9">
        <w:t>182.</w:t>
      </w:r>
      <w:r w:rsidRPr="005B30A9">
        <w:tab/>
        <w:t>Entre las medidas que promueven la integración laboral de las personas con discapacidad y su transición de los centros de ergoterapia al mercado laboral cabe mencionar:</w:t>
      </w:r>
    </w:p>
    <w:p w14:paraId="609A61B5" w14:textId="6AFB71DC" w:rsidR="009612CC" w:rsidRPr="005B30A9" w:rsidRDefault="009612CC" w:rsidP="00B80B24">
      <w:pPr>
        <w:pStyle w:val="Bullet1G"/>
      </w:pPr>
      <w:r w:rsidRPr="005B30A9">
        <w:t>La supresión de la clasificación automática de las personas con discapacidad menores de 25 años como personas carentes de capacidad para trabajar; véase la respuesta a la pregunta 17.2</w:t>
      </w:r>
      <w:r w:rsidR="00B80B24" w:rsidRPr="005B30A9">
        <w:t>.</w:t>
      </w:r>
    </w:p>
    <w:p w14:paraId="1DA33BD7" w14:textId="77777777" w:rsidR="009612CC" w:rsidRPr="005B30A9" w:rsidRDefault="009612CC" w:rsidP="00B80B24">
      <w:pPr>
        <w:pStyle w:val="Bullet1G"/>
      </w:pPr>
      <w:r w:rsidRPr="005B30A9">
        <w:t xml:space="preserve">Los servicios de </w:t>
      </w:r>
      <w:r w:rsidRPr="005B30A9">
        <w:rPr>
          <w:i/>
          <w:iCs/>
        </w:rPr>
        <w:t>Netzwerk Berufliche Assistenz/</w:t>
      </w:r>
      <w:r w:rsidRPr="009703AD">
        <w:t>NEBA</w:t>
      </w:r>
      <w:r w:rsidRPr="005B30A9">
        <w:t>, incluida la orientación de jóvenes, el apoyo a la siguiente fase de capacitación, la asistencia para la formación profesional, la asistencia en el trabajo y la orientación laboral para jóvenes con discapacidad, incluso si están clasificados como personas carentes de capacidad para trabajar.</w:t>
      </w:r>
    </w:p>
    <w:p w14:paraId="1A3B6DD7" w14:textId="4B4BFDDB" w:rsidR="009612CC" w:rsidRPr="005B30A9" w:rsidRDefault="00B80B24" w:rsidP="00B80B24">
      <w:pPr>
        <w:pStyle w:val="H4G"/>
      </w:pPr>
      <w:r w:rsidRPr="005B30A9">
        <w:tab/>
      </w:r>
      <w:r w:rsidR="009612CC" w:rsidRPr="005B30A9">
        <w:tab/>
        <w:t>Medidas ilustrativas de los Länder</w:t>
      </w:r>
    </w:p>
    <w:p w14:paraId="74F19690" w14:textId="28C75BB8" w:rsidR="009612CC" w:rsidRPr="005B30A9" w:rsidRDefault="009612CC" w:rsidP="00B80B24">
      <w:pPr>
        <w:pStyle w:val="Bullet1G"/>
      </w:pPr>
      <w:r w:rsidRPr="005B30A9">
        <w:t xml:space="preserve">Contratación de más personas con discapacidad como empleados de los </w:t>
      </w:r>
      <w:r w:rsidRPr="005B30A9">
        <w:rPr>
          <w:i/>
          <w:iCs/>
        </w:rPr>
        <w:t>Länder</w:t>
      </w:r>
      <w:r w:rsidRPr="005B30A9">
        <w:t>, incluso fuera del organigrama previsto, y adaptación de las condiciones de trabajo a sus necesidades (Vorarlberg, Viena)</w:t>
      </w:r>
      <w:r w:rsidR="00B80B24" w:rsidRPr="005B30A9">
        <w:t>.</w:t>
      </w:r>
    </w:p>
    <w:p w14:paraId="7329FAC2" w14:textId="430D966B" w:rsidR="009612CC" w:rsidRPr="005B30A9" w:rsidRDefault="009612CC" w:rsidP="00B80B24">
      <w:pPr>
        <w:pStyle w:val="Bullet1G"/>
      </w:pPr>
      <w:r w:rsidRPr="005B30A9">
        <w:t>Adaptación a la GlBG de las leyes antidiscriminatorias en materia de trabajo</w:t>
      </w:r>
      <w:r w:rsidR="00B80B24" w:rsidRPr="005B30A9">
        <w:t>.</w:t>
      </w:r>
    </w:p>
    <w:p w14:paraId="2C85ECC6" w14:textId="4841FEBB" w:rsidR="009612CC" w:rsidRPr="005B30A9" w:rsidRDefault="009612CC" w:rsidP="00B80B24">
      <w:pPr>
        <w:pStyle w:val="Bullet1G"/>
      </w:pPr>
      <w:r w:rsidRPr="005B30A9">
        <w:t>Vorarlberg: plan marco para la igualdad de oportunidades</w:t>
      </w:r>
      <w:r w:rsidRPr="005B30A9">
        <w:rPr>
          <w:rStyle w:val="Refdenotaalpie"/>
        </w:rPr>
        <w:footnoteReference w:id="39"/>
      </w:r>
      <w:r w:rsidRPr="005B30A9">
        <w:t xml:space="preserve">; subvenciones salariales a favor de que las personas con discapacidad mantengan el empleo a largo plazo; financiación de programas de incorporación en el mercado laboral para las personas que necesiten ayuda adicional (incluido el proyecto </w:t>
      </w:r>
      <w:r w:rsidRPr="005B30A9">
        <w:rPr>
          <w:i/>
          <w:iCs/>
        </w:rPr>
        <w:t>SPAGAT</w:t>
      </w:r>
      <w:r w:rsidRPr="005B30A9">
        <w:t>)</w:t>
      </w:r>
      <w:r w:rsidR="00B80B24" w:rsidRPr="005B30A9">
        <w:t>.</w:t>
      </w:r>
    </w:p>
    <w:p w14:paraId="28D92AFE" w14:textId="01A780C5" w:rsidR="009612CC" w:rsidRPr="005B30A9" w:rsidRDefault="009612CC" w:rsidP="00B80B24">
      <w:pPr>
        <w:pStyle w:val="Bullet1G"/>
      </w:pPr>
      <w:r w:rsidRPr="005B30A9">
        <w:t>Viena: el Fondo Social de Viena previsto en la Ley de Igualdad de Oportunidades de Viena, la Junta de Servicios Psicosociales de Viena (</w:t>
      </w:r>
      <w:r w:rsidRPr="005B30A9">
        <w:rPr>
          <w:i/>
          <w:iCs/>
        </w:rPr>
        <w:t>Kuratorium für Psychosoziale Dienste/</w:t>
      </w:r>
      <w:r w:rsidRPr="009703AD">
        <w:t>PSD</w:t>
      </w:r>
      <w:r w:rsidRPr="005B30A9">
        <w:t>) y la SDW prestan apoyo a las personas que padecen una enfermedad mental o una adicción para que se incorporen al mercado laboral o accedan a él</w:t>
      </w:r>
      <w:r w:rsidR="00B80B24" w:rsidRPr="005B30A9">
        <w:t>.</w:t>
      </w:r>
    </w:p>
    <w:p w14:paraId="2E531B8E" w14:textId="7B50631B" w:rsidR="009612CC" w:rsidRPr="005B30A9" w:rsidRDefault="009612CC" w:rsidP="00B80B24">
      <w:pPr>
        <w:pStyle w:val="Bullet1G"/>
      </w:pPr>
      <w:r w:rsidRPr="005B30A9">
        <w:t>Baja Austria: subvenciones de los costos salariales para los talleres protegidos y las empresas que contraten a personas con discapacidad</w:t>
      </w:r>
      <w:r w:rsidR="00B80B24" w:rsidRPr="005B30A9">
        <w:t>.</w:t>
      </w:r>
    </w:p>
    <w:p w14:paraId="4554E2CA" w14:textId="7DEE166B" w:rsidR="009612CC" w:rsidRPr="005B30A9" w:rsidRDefault="009612CC" w:rsidP="00B80B24">
      <w:pPr>
        <w:pStyle w:val="Bullet1G"/>
      </w:pPr>
      <w:r w:rsidRPr="005B30A9">
        <w:t xml:space="preserve">Estiria: apoyo a la inclusión laboral de las personas con discapacidad; proyectos de ayuda a los desempleados con deficiencia mental, psiquiátrica o psicosocial para desarrollar perspectivas laborales y acceder al mercado de trabajo (entre ellos, </w:t>
      </w:r>
      <w:r w:rsidRPr="009703AD">
        <w:rPr>
          <w:i/>
          <w:iCs/>
        </w:rPr>
        <w:t>“</w:t>
      </w:r>
      <w:r w:rsidRPr="005B30A9">
        <w:rPr>
          <w:i/>
          <w:iCs/>
        </w:rPr>
        <w:t xml:space="preserve">Arbeitsmarktrelevante Kompetenzförderung </w:t>
      </w:r>
      <w:r w:rsidR="009703AD">
        <w:rPr>
          <w:i/>
          <w:iCs/>
        </w:rPr>
        <w:t>–</w:t>
      </w:r>
      <w:r w:rsidRPr="005B30A9">
        <w:rPr>
          <w:i/>
          <w:iCs/>
        </w:rPr>
        <w:t xml:space="preserve"> berufliches Training</w:t>
      </w:r>
      <w:r w:rsidRPr="009703AD">
        <w:rPr>
          <w:i/>
          <w:iCs/>
        </w:rPr>
        <w:t>”</w:t>
      </w:r>
      <w:r w:rsidRPr="005B30A9">
        <w:t xml:space="preserve"> y </w:t>
      </w:r>
      <w:r w:rsidRPr="009703AD">
        <w:rPr>
          <w:i/>
          <w:iCs/>
        </w:rPr>
        <w:t>“</w:t>
      </w:r>
      <w:r w:rsidRPr="005B30A9">
        <w:rPr>
          <w:i/>
          <w:iCs/>
        </w:rPr>
        <w:t>Berufliche Eingliederung durch betriebliche Arbeit</w:t>
      </w:r>
      <w:r w:rsidRPr="009703AD">
        <w:rPr>
          <w:i/>
          <w:iCs/>
        </w:rPr>
        <w:t>”</w:t>
      </w:r>
      <w:r w:rsidRPr="005B30A9">
        <w:t>).</w:t>
      </w:r>
    </w:p>
    <w:p w14:paraId="648D2ECE" w14:textId="6F55DF54" w:rsidR="009612CC" w:rsidRPr="005B30A9" w:rsidRDefault="00B80B24" w:rsidP="00B80B24">
      <w:pPr>
        <w:pStyle w:val="H1G"/>
      </w:pPr>
      <w:r w:rsidRPr="005B30A9">
        <w:tab/>
      </w:r>
      <w:r w:rsidR="009612CC" w:rsidRPr="005B30A9">
        <w:tab/>
        <w:t>Respuesta al párrafo 22 de la lista de cuestiones</w:t>
      </w:r>
    </w:p>
    <w:p w14:paraId="1749835C" w14:textId="5C163098" w:rsidR="009612CC" w:rsidRPr="005B30A9" w:rsidRDefault="009612CC" w:rsidP="00B80B24">
      <w:pPr>
        <w:pStyle w:val="H23G"/>
      </w:pPr>
      <w:r w:rsidRPr="005B30A9">
        <w:tab/>
      </w:r>
      <w:r w:rsidR="00B80B24" w:rsidRPr="005B30A9">
        <w:tab/>
      </w:r>
      <w:r w:rsidRPr="005B30A9">
        <w:t>Acceso al mercado laboral por los solicitantes de asilo</w:t>
      </w:r>
    </w:p>
    <w:p w14:paraId="7A4110D3" w14:textId="09D6D0F4" w:rsidR="009612CC" w:rsidRPr="005B30A9" w:rsidRDefault="009612CC" w:rsidP="009612CC">
      <w:pPr>
        <w:pStyle w:val="SingleTxtG"/>
        <w:rPr>
          <w:bCs/>
        </w:rPr>
      </w:pPr>
      <w:r w:rsidRPr="005B30A9">
        <w:t>183.</w:t>
      </w:r>
      <w:r w:rsidRPr="005B30A9">
        <w:tab/>
        <w:t>De conformidad con la Directiva 2013/33/UE, los solicitantes de asilo obtienen acceso al mercado laboral no antes de nueve meses cumplidos desde la presentación de una solicitud de asilo en relación con la cual todavía no se haya adoptado una decisión en primera instancia. Por término medio, los procedimientos austr</w:t>
      </w:r>
      <w:r w:rsidR="00D711B0">
        <w:t>í</w:t>
      </w:r>
      <w:r w:rsidRPr="005B30A9">
        <w:t>acos en primera instancia duran ahora menos de seis meses. Los solicitantes de asilo que tengan un procedimiento en curso pueden acceder al mercado laboral en todos los sectores con un permiso de trabajo al cabo de tres meses desde su admisión al procedimiento de asilo. El empleador debe solicitarlo. Se concederá si el AMS no puede cubrir el puesto en cuestión con un nacional austr</w:t>
      </w:r>
      <w:r w:rsidR="00D711B0">
        <w:t>í</w:t>
      </w:r>
      <w:r w:rsidRPr="005B30A9">
        <w:t xml:space="preserve">aco objetivamente apto o con un </w:t>
      </w:r>
      <w:r w:rsidRPr="005B30A9">
        <w:lastRenderedPageBreak/>
        <w:t>trabajador extranjero integrado que tenga derecho a prestaciones por desempleo. Los solicitantes de asilo tienen prioridad si se conceden permisos en virtud de cuotas especiales para trabajadores de temporada. Según la legislación de la Unión Europea, los refugiados reconocidos como tales y los titulares de protección subsidiaria tienen el mismo acceso (sin restricciones) al mercado laboral que los nacionales austr</w:t>
      </w:r>
      <w:r w:rsidR="00D711B0">
        <w:t>í</w:t>
      </w:r>
      <w:r w:rsidRPr="005B30A9">
        <w:t>acos una vez se les ha concedido la condición de protección.</w:t>
      </w:r>
    </w:p>
    <w:p w14:paraId="2D2F5588" w14:textId="77777777" w:rsidR="009612CC" w:rsidRPr="005B30A9" w:rsidRDefault="009612CC" w:rsidP="009612CC">
      <w:pPr>
        <w:pStyle w:val="SingleTxtG"/>
        <w:rPr>
          <w:bCs/>
        </w:rPr>
      </w:pPr>
      <w:r w:rsidRPr="005B30A9">
        <w:t>184.</w:t>
      </w:r>
      <w:r w:rsidRPr="005B30A9">
        <w:tab/>
        <w:t>La política laboral se centra en los refugiados reconocidos como tales y los titulares de protección subsidiaria, es decir, las personas a las que ya se ha concedido la condición de protección. Tienen acceso a:</w:t>
      </w:r>
    </w:p>
    <w:p w14:paraId="0BF10505" w14:textId="186745C2" w:rsidR="009612CC" w:rsidRPr="005B30A9" w:rsidRDefault="009612CC" w:rsidP="00B80B24">
      <w:pPr>
        <w:pStyle w:val="Bullet1G"/>
      </w:pPr>
      <w:r w:rsidRPr="005B30A9">
        <w:t>Todos los servicios y subvenciones del AMS</w:t>
      </w:r>
      <w:r w:rsidR="00B80B24" w:rsidRPr="005B30A9">
        <w:t>.</w:t>
      </w:r>
    </w:p>
    <w:p w14:paraId="385A56A6" w14:textId="31DF1563" w:rsidR="009612CC" w:rsidRPr="005B30A9" w:rsidRDefault="009612CC" w:rsidP="00B80B24">
      <w:pPr>
        <w:pStyle w:val="Bullet1G"/>
      </w:pPr>
      <w:r w:rsidRPr="005B30A9">
        <w:t>Medidas especiales (véanse también las respuestas a las preguntas 18 y 34), entre ellas: proyectos financiados con cargo a fondos asignados para la subvención de oportunidades de aprendizaje en empresas (julio de 2023: seis proyectos en fase de ejecución) a fin de mejorar la integración en el mercado laboral o la capacitación para el aprendizaje mediante:</w:t>
      </w:r>
    </w:p>
    <w:p w14:paraId="7CBB033B" w14:textId="0FB33408" w:rsidR="009612CC" w:rsidRPr="005B30A9" w:rsidRDefault="009612CC" w:rsidP="00B80B24">
      <w:pPr>
        <w:pStyle w:val="Bullet2G"/>
      </w:pPr>
      <w:r w:rsidRPr="005B30A9">
        <w:t>La preparación de la transición al aprendizaje</w:t>
      </w:r>
      <w:r w:rsidR="00B80B24" w:rsidRPr="005B30A9">
        <w:t>.</w:t>
      </w:r>
    </w:p>
    <w:p w14:paraId="2D77E1F9" w14:textId="6B24D1A0" w:rsidR="009612CC" w:rsidRPr="005B30A9" w:rsidRDefault="009612CC" w:rsidP="00B80B24">
      <w:pPr>
        <w:pStyle w:val="Bullet2G"/>
      </w:pPr>
      <w:r w:rsidRPr="005B30A9">
        <w:t>La cooperación de las empresas, los centros de formación profesional y las organizaciones de acogida para garantizar introducciones a las profesiones orientadas a la práctica y la especialización y el acceso sin contratiempos a las oportunidades de aprendizaje</w:t>
      </w:r>
      <w:r w:rsidR="00B80B24" w:rsidRPr="005B30A9">
        <w:t>.</w:t>
      </w:r>
    </w:p>
    <w:p w14:paraId="6B24EAE4" w14:textId="77777777" w:rsidR="009612CC" w:rsidRPr="005B30A9" w:rsidRDefault="009612CC" w:rsidP="00B80B24">
      <w:pPr>
        <w:pStyle w:val="Bullet2G"/>
      </w:pPr>
      <w:r w:rsidRPr="005B30A9">
        <w:t>Prácticas de aprendizaje en todas las regiones</w:t>
      </w:r>
      <w:r w:rsidRPr="005B30A9">
        <w:rPr>
          <w:rStyle w:val="Refdenotaalpie"/>
        </w:rPr>
        <w:footnoteReference w:id="40"/>
      </w:r>
      <w:r w:rsidRPr="005B30A9">
        <w:t>.</w:t>
      </w:r>
    </w:p>
    <w:p w14:paraId="02541A14" w14:textId="76C375AD" w:rsidR="009612CC" w:rsidRPr="005B30A9" w:rsidRDefault="009612CC" w:rsidP="00B80B24">
      <w:pPr>
        <w:pStyle w:val="H4G"/>
      </w:pPr>
      <w:r w:rsidRPr="005B30A9">
        <w:tab/>
      </w:r>
      <w:r w:rsidR="00B80B24" w:rsidRPr="005B30A9">
        <w:tab/>
      </w:r>
      <w:r w:rsidRPr="005B30A9">
        <w:t>Medidas ilustrativas de los Länder</w:t>
      </w:r>
    </w:p>
    <w:p w14:paraId="6F791E72" w14:textId="77777777" w:rsidR="009612CC" w:rsidRPr="005B30A9" w:rsidRDefault="009612CC" w:rsidP="009612CC">
      <w:pPr>
        <w:pStyle w:val="SingleTxtG"/>
      </w:pPr>
      <w:r w:rsidRPr="005B30A9">
        <w:t>185.</w:t>
      </w:r>
      <w:r w:rsidRPr="005B30A9">
        <w:tab/>
        <w:t>Viena financia centros de asesoramiento que ayudan a los solicitantes de asilo a elegir una carrera profesional.</w:t>
      </w:r>
    </w:p>
    <w:p w14:paraId="1491E990" w14:textId="0BB75841" w:rsidR="009612CC" w:rsidRPr="005B30A9" w:rsidRDefault="009612CC" w:rsidP="00B80B24">
      <w:pPr>
        <w:pStyle w:val="H23G"/>
      </w:pPr>
      <w:r w:rsidRPr="005B30A9">
        <w:tab/>
      </w:r>
      <w:r w:rsidR="00B80B24" w:rsidRPr="005B30A9">
        <w:tab/>
      </w:r>
      <w:r w:rsidRPr="005B30A9">
        <w:t>Refugiados empleados en labores agrícolas de temporada</w:t>
      </w:r>
    </w:p>
    <w:p w14:paraId="3CBA0451" w14:textId="77777777" w:rsidR="009612CC" w:rsidRPr="005B30A9" w:rsidRDefault="009612CC" w:rsidP="009612CC">
      <w:pPr>
        <w:pStyle w:val="SingleTxtG"/>
        <w:rPr>
          <w:bCs/>
        </w:rPr>
      </w:pPr>
      <w:r w:rsidRPr="005B30A9">
        <w:t>186.</w:t>
      </w:r>
      <w:r w:rsidRPr="005B30A9">
        <w:tab/>
        <w:t>El AMS y la Cámara Agrícola de Viena cooperan en la colocación de los refugiados y los titulares de protección subsidiaria en empleos agrícolas. El Instituto de Capacitación Rural imparte cursos de capacitación desde 2019.</w:t>
      </w:r>
    </w:p>
    <w:p w14:paraId="47446A72" w14:textId="35F576AD" w:rsidR="009612CC" w:rsidRPr="005B30A9" w:rsidRDefault="009612CC" w:rsidP="00B80B24">
      <w:pPr>
        <w:pStyle w:val="H1G"/>
      </w:pPr>
      <w:r w:rsidRPr="005B30A9">
        <w:tab/>
      </w:r>
      <w:r w:rsidR="00B80B24" w:rsidRPr="005B30A9">
        <w:tab/>
      </w:r>
      <w:r w:rsidRPr="005B30A9">
        <w:t>Respuesta al párrafo 23 de la lista de cuestiones</w:t>
      </w:r>
    </w:p>
    <w:p w14:paraId="26B47B25" w14:textId="1349ACDD" w:rsidR="009612CC" w:rsidRPr="005B30A9" w:rsidRDefault="009612CC" w:rsidP="00B80B24">
      <w:pPr>
        <w:pStyle w:val="H23G"/>
      </w:pPr>
      <w:r w:rsidRPr="005B30A9">
        <w:tab/>
      </w:r>
      <w:r w:rsidR="00B80B24" w:rsidRPr="005B30A9">
        <w:tab/>
      </w:r>
      <w:r w:rsidRPr="005B30A9">
        <w:t>Reducción de los riesgos de pobreza y marginación</w:t>
      </w:r>
    </w:p>
    <w:p w14:paraId="74E50B36" w14:textId="77777777" w:rsidR="009612CC" w:rsidRPr="005B30A9" w:rsidRDefault="009612CC" w:rsidP="009612CC">
      <w:pPr>
        <w:pStyle w:val="SingleTxtG"/>
        <w:rPr>
          <w:bCs/>
        </w:rPr>
      </w:pPr>
      <w:r w:rsidRPr="005B30A9">
        <w:t>187.</w:t>
      </w:r>
      <w:r w:rsidRPr="005B30A9">
        <w:tab/>
        <w:t>El Gobierno Federal apuesta por un amplio sistema de bienestar sujeto a mejoras y adaptaciones constantes. Protege a todas las personas que viven en Austria frente a los riesgos en diversas situaciones vitales mediante una combinación de medidas preventivas y terapéuticas en forma de prestaciones en efectivo o en especie que van dirigidas especialmente a los grupos vulnerables. El sistema de bienestar contribuye sustancialmente a evitar y prevenir la pobreza y la exclusión social, sienta las bases de la cohesión social y facilita la recuperación después de las crisis.</w:t>
      </w:r>
    </w:p>
    <w:p w14:paraId="11EC0F7B" w14:textId="77777777" w:rsidR="009612CC" w:rsidRPr="005B30A9" w:rsidRDefault="009612CC" w:rsidP="009612CC">
      <w:pPr>
        <w:pStyle w:val="SingleTxtG"/>
        <w:rPr>
          <w:bCs/>
        </w:rPr>
      </w:pPr>
      <w:r w:rsidRPr="005B30A9">
        <w:t>188.</w:t>
      </w:r>
      <w:r w:rsidRPr="005B30A9">
        <w:tab/>
        <w:t>El Gobierno Federal pretende reducir a la mitad el número de personas en situación de riesgo de padecer pobreza durante la presente legislatura (2020-2024). En cuanto a la aplicación del Plan de Acción del Pilar Europeo de Derechos Sociales hasta 2030, Austria se propone reducir en 204.000 el número de quienes corren riesgo de pobreza o exclusión social de aquí a 2030 haciendo hincapié en la reducción de la pobreza infantil.</w:t>
      </w:r>
    </w:p>
    <w:p w14:paraId="281A94B6" w14:textId="680C6145" w:rsidR="009612CC" w:rsidRPr="005B30A9" w:rsidRDefault="009612CC" w:rsidP="009612CC">
      <w:pPr>
        <w:pStyle w:val="SingleTxtG"/>
        <w:rPr>
          <w:bCs/>
        </w:rPr>
      </w:pPr>
      <w:r w:rsidRPr="005B30A9">
        <w:t>189.</w:t>
      </w:r>
      <w:r w:rsidRPr="005B30A9">
        <w:tab/>
        <w:t xml:space="preserve">El Gobierno Federal está contrarrestando los efectos socioeconómicos de la pandemia de COVID-19 y de la crisis del costo de la vida con medidas y programas de gran alcance que se adaptan constantemente para prestar apoyo especial a los hogares que corren riesgo de pobreza y marginación, entre otras cosas mediante la </w:t>
      </w:r>
      <w:hyperlink r:id="rId54" w:history="1">
        <w:r w:rsidRPr="005B30A9">
          <w:rPr>
            <w:rStyle w:val="Hipervnculo"/>
          </w:rPr>
          <w:t>Ley Federal de Lucha contra las Consecuencias de la Pobreza Derivada de la Pandemia</w:t>
        </w:r>
      </w:hyperlink>
      <w:r w:rsidRPr="005B30A9">
        <w:t xml:space="preserve"> </w:t>
      </w:r>
      <w:r w:rsidRPr="009703AD">
        <w:rPr>
          <w:i/>
          <w:iCs/>
        </w:rPr>
        <w:t>(</w:t>
      </w:r>
      <w:r w:rsidRPr="005B30A9">
        <w:rPr>
          <w:i/>
          <w:iCs/>
        </w:rPr>
        <w:t xml:space="preserve">Bundesgesetz zur Bekämpfung </w:t>
      </w:r>
      <w:r w:rsidRPr="005B30A9">
        <w:rPr>
          <w:i/>
          <w:iCs/>
        </w:rPr>
        <w:lastRenderedPageBreak/>
        <w:t>pandemiebedingter Armutsfolgen</w:t>
      </w:r>
      <w:r w:rsidRPr="009703AD">
        <w:rPr>
          <w:i/>
          <w:iCs/>
        </w:rPr>
        <w:t>)</w:t>
      </w:r>
      <w:r w:rsidRPr="005B30A9">
        <w:t xml:space="preserve">, BGBl. I núm. 135/2020, y la </w:t>
      </w:r>
      <w:hyperlink r:id="rId55" w:history="1">
        <w:r w:rsidRPr="005B30A9">
          <w:rPr>
            <w:rStyle w:val="Hipervnculo"/>
          </w:rPr>
          <w:t>Ley Federal sobre Compensación del Alto Costo de la Vida y la Vivienda Derivado de la Inflación</w:t>
        </w:r>
      </w:hyperlink>
      <w:r w:rsidRPr="005B30A9">
        <w:t xml:space="preserve"> </w:t>
      </w:r>
      <w:r w:rsidRPr="009703AD">
        <w:rPr>
          <w:i/>
          <w:iCs/>
        </w:rPr>
        <w:t>(</w:t>
      </w:r>
      <w:r w:rsidRPr="005B30A9">
        <w:rPr>
          <w:i/>
          <w:iCs/>
        </w:rPr>
        <w:t>Bundesgesetz über einen Ausgleich inflationsbedingt hoher Lebenshaltungs- und Wohnkosten</w:t>
      </w:r>
      <w:r w:rsidRPr="009703AD">
        <w:rPr>
          <w:i/>
          <w:iCs/>
        </w:rPr>
        <w:t>)</w:t>
      </w:r>
      <w:r w:rsidRPr="005B30A9">
        <w:t>, BGBl. I núm. 93/2022.</w:t>
      </w:r>
    </w:p>
    <w:p w14:paraId="1EC7D858" w14:textId="77777777" w:rsidR="009612CC" w:rsidRPr="005B30A9" w:rsidRDefault="009612CC" w:rsidP="009612CC">
      <w:pPr>
        <w:pStyle w:val="SingleTxtG"/>
        <w:rPr>
          <w:bCs/>
        </w:rPr>
      </w:pPr>
      <w:r w:rsidRPr="005B30A9">
        <w:t>190.</w:t>
      </w:r>
      <w:r w:rsidRPr="005B30A9">
        <w:tab/>
        <w:t>Se analizan constantemente las condiciones de vida de los distintos grupos destinatarios, especialmente las de los niños de hogares cuyos ingresos son bajos.</w:t>
      </w:r>
    </w:p>
    <w:p w14:paraId="73C373B8" w14:textId="15FC9933" w:rsidR="009612CC" w:rsidRPr="005B30A9" w:rsidRDefault="00B80B24" w:rsidP="00B80B24">
      <w:pPr>
        <w:pStyle w:val="H4G"/>
      </w:pPr>
      <w:r w:rsidRPr="005B30A9">
        <w:tab/>
      </w:r>
      <w:r w:rsidR="009612CC" w:rsidRPr="005B30A9">
        <w:t>1.</w:t>
      </w:r>
      <w:r w:rsidR="009612CC" w:rsidRPr="005B30A9">
        <w:tab/>
        <w:t>Familias y niños</w:t>
      </w:r>
    </w:p>
    <w:p w14:paraId="2C3B4C30" w14:textId="77777777" w:rsidR="009612CC" w:rsidRPr="005B30A9" w:rsidRDefault="009612CC" w:rsidP="009612CC">
      <w:pPr>
        <w:pStyle w:val="SingleTxtG"/>
        <w:rPr>
          <w:bCs/>
        </w:rPr>
      </w:pPr>
      <w:r w:rsidRPr="005B30A9">
        <w:t>191.</w:t>
      </w:r>
      <w:r w:rsidRPr="005B30A9">
        <w:tab/>
        <w:t xml:space="preserve">Austria presta apoyo a las familias a nivel federal, de los </w:t>
      </w:r>
      <w:r w:rsidRPr="005B30A9">
        <w:rPr>
          <w:i/>
          <w:iCs/>
        </w:rPr>
        <w:t xml:space="preserve">Länder </w:t>
      </w:r>
      <w:r w:rsidRPr="005B30A9">
        <w:t>y local sobre la base de un modelo de tres pilares: prestaciones en efectivo, prestaciones en especie y descuentos fiscales. En cuanto a las familias y los niños que corren riesgo de pobreza o marginación, Austria se sitúa sustancialmente por debajo de la media de la Unión Europea. En el último informe sobre las familias</w:t>
      </w:r>
      <w:r w:rsidRPr="005B30A9">
        <w:rPr>
          <w:rStyle w:val="Refdenotaalpie"/>
        </w:rPr>
        <w:footnoteReference w:id="41"/>
      </w:r>
      <w:r w:rsidRPr="005B30A9">
        <w:t xml:space="preserve"> se observa que las prestaciones económicas familiares de Austria se encuentran entre las más altas de Europa. Aunque las prestaciones familiares no tienen como principal objeto la lucha contra la pobreza, tienen un efecto de reducción o mitigación de la pobreza. En un estudio de 2022 sobre las prestaciones familiares y sociales por hijos</w:t>
      </w:r>
      <w:r w:rsidRPr="005B30A9">
        <w:rPr>
          <w:rStyle w:val="Refdenotaalpie"/>
        </w:rPr>
        <w:footnoteReference w:id="42"/>
      </w:r>
      <w:r w:rsidRPr="005B30A9">
        <w:t xml:space="preserve"> se observa que en Austria se dispone de una media de 340 a 690 euros por niño al mes que cubren todos los gastos de los niños menores de seis años y de los progenitores solos con ingresos bajos. En 2021, las prestaciones familiares contribuyeron a reducir en 10 puntos porcentuales el riesgo de pobreza entre las personas que vivían en familias con hijos menores de 24 años. Así, por ejemplo, en 2022 la tasa de riesgo de pobreza bajó del 31 % sin prestaciones familiares al 19 % con prestaciones familiares. En consecuencia, 330.000 personas (unos 150.000 niños) ya no corren riesgo de pobreza gracias a las prestaciones familiares.</w:t>
      </w:r>
    </w:p>
    <w:p w14:paraId="79E6881A" w14:textId="77777777" w:rsidR="009612CC" w:rsidRPr="005B30A9" w:rsidRDefault="009612CC" w:rsidP="009612CC">
      <w:pPr>
        <w:pStyle w:val="SingleTxtG"/>
        <w:rPr>
          <w:bCs/>
        </w:rPr>
      </w:pPr>
      <w:r w:rsidRPr="005B30A9">
        <w:t>192.</w:t>
      </w:r>
      <w:r w:rsidRPr="005B30A9">
        <w:tab/>
        <w:t>Cabe citar medidas como las siguientes:</w:t>
      </w:r>
    </w:p>
    <w:p w14:paraId="1C005644" w14:textId="4DF4062F" w:rsidR="009612CC" w:rsidRPr="005B30A9" w:rsidRDefault="009612CC" w:rsidP="00B80B24">
      <w:pPr>
        <w:pStyle w:val="Bullet1G"/>
      </w:pPr>
      <w:r w:rsidRPr="005B30A9">
        <w:t>Durante la pandemia de COVID-19 (marzo de 2020 a finales de 2021), la Federación destinó 1.034 millones de euros a la prestación de apoyo adicional a las familias con hijos</w:t>
      </w:r>
      <w:r w:rsidR="00B80B24" w:rsidRPr="005B30A9">
        <w:t>.</w:t>
      </w:r>
    </w:p>
    <w:p w14:paraId="53FA3C41" w14:textId="3CE68591" w:rsidR="009612CC" w:rsidRPr="005B30A9" w:rsidRDefault="00B80B24" w:rsidP="00B80B24">
      <w:pPr>
        <w:pStyle w:val="Bullet1G"/>
      </w:pPr>
      <w:r w:rsidRPr="005B30A9">
        <w:t>S</w:t>
      </w:r>
      <w:r w:rsidR="009612CC" w:rsidRPr="005B30A9">
        <w:t>e han destinado 1.000 millones de euros a los años de guardería 2022/23 a 2026/27 (incluida la ampliación de la oferta de servicios de guardería)</w:t>
      </w:r>
      <w:r w:rsidRPr="005B30A9">
        <w:t>.</w:t>
      </w:r>
    </w:p>
    <w:p w14:paraId="41E66361" w14:textId="77777777" w:rsidR="009612CC" w:rsidRPr="005B30A9" w:rsidRDefault="009612CC" w:rsidP="00B80B24">
      <w:pPr>
        <w:pStyle w:val="Bullet1G"/>
      </w:pPr>
      <w:r w:rsidRPr="005B30A9">
        <w:t>Al cabo de tres paquetes de ayuda para sufragar el costo de la vida con fines generales en 2022, cuyo valor total ascendió a 32.000 millones de euros, el Gobierno Federal aprobó en mayo de 2023 un paquete de medidas de asistencia a las familias con hijos (del que se benefician unos 400.000 niños):</w:t>
      </w:r>
    </w:p>
    <w:p w14:paraId="3E7F4AF1" w14:textId="554DA552" w:rsidR="009612CC" w:rsidRPr="005B30A9" w:rsidRDefault="009612CC" w:rsidP="00B80B24">
      <w:pPr>
        <w:pStyle w:val="Bullet2G"/>
      </w:pPr>
      <w:r w:rsidRPr="005B30A9">
        <w:t>60 euros más por niño y por mes hasta fines de 2024 para los progenitores que perciben prestaciones por desempleo, prestaciones de ayuda social o una pensión mínima y para los progenitores solos y los que perciben un único sueldo cuyos ingresos son inferiores a 2.000 euros al mes antes de los impuestos</w:t>
      </w:r>
      <w:r w:rsidR="00B80B24" w:rsidRPr="005B30A9">
        <w:t>.</w:t>
      </w:r>
    </w:p>
    <w:p w14:paraId="346ADD10" w14:textId="199E8F5D" w:rsidR="009612CC" w:rsidRPr="005B30A9" w:rsidRDefault="009612CC" w:rsidP="00B80B24">
      <w:pPr>
        <w:pStyle w:val="Bullet2G"/>
      </w:pPr>
      <w:r w:rsidRPr="005B30A9">
        <w:t>15 millones de euros para el “paquete de inicio escolar” destinado a los niños en situación de precariedad económica: 150 euros en lugar de 120 euros, ahora dos veces al año</w:t>
      </w:r>
      <w:r w:rsidR="00B80B24" w:rsidRPr="005B30A9">
        <w:t>.</w:t>
      </w:r>
    </w:p>
    <w:p w14:paraId="02AF7CAB" w14:textId="4A686793" w:rsidR="009612CC" w:rsidRPr="005B30A9" w:rsidRDefault="009612CC" w:rsidP="00B80B24">
      <w:pPr>
        <w:pStyle w:val="Bullet2G"/>
      </w:pPr>
      <w:r w:rsidRPr="005B30A9">
        <w:t>10 millones de euros en concepto de apoyo al aprendizaje gratuito de los niños y adolescentes desfavorecidos socialmente</w:t>
      </w:r>
      <w:r w:rsidRPr="005B30A9">
        <w:rPr>
          <w:rStyle w:val="Refdenotaalpie"/>
        </w:rPr>
        <w:footnoteReference w:id="43"/>
      </w:r>
      <w:r w:rsidR="00B80B24" w:rsidRPr="005B30A9">
        <w:t>.</w:t>
      </w:r>
    </w:p>
    <w:p w14:paraId="214E5509" w14:textId="7DB5B1FC" w:rsidR="009612CC" w:rsidRPr="005B30A9" w:rsidRDefault="009612CC" w:rsidP="00B80B24">
      <w:pPr>
        <w:pStyle w:val="Bullet1G"/>
      </w:pPr>
      <w:r w:rsidRPr="005B30A9">
        <w:t>Desde enero de 2023, las prestaciones familiares se ajustan anualmente en función de la inflación, lo que contribuye a que estas prestaciones también reduzcan la pobreza en años venideros</w:t>
      </w:r>
      <w:r w:rsidR="00B80B24" w:rsidRPr="005B30A9">
        <w:t>.</w:t>
      </w:r>
    </w:p>
    <w:p w14:paraId="5520F47D" w14:textId="68027162" w:rsidR="009612CC" w:rsidRPr="005B30A9" w:rsidRDefault="009612CC" w:rsidP="00B80B24">
      <w:pPr>
        <w:pStyle w:val="Bullet1G"/>
      </w:pPr>
      <w:r w:rsidRPr="005B30A9">
        <w:lastRenderedPageBreak/>
        <w:t>Programa “</w:t>
      </w:r>
      <w:r w:rsidRPr="005B30A9">
        <w:rPr>
          <w:i/>
          <w:iCs/>
        </w:rPr>
        <w:t>Frühe Hilfen</w:t>
      </w:r>
      <w:r w:rsidRPr="005B30A9">
        <w:t>”: apoyo de acceso fácil para las embarazadas y las familias con hijos menores de tres años que se encuentren en situaciones vitales difíciles (véase también la respuesta a la pregunta 27).</w:t>
      </w:r>
    </w:p>
    <w:p w14:paraId="6C50556B" w14:textId="77777777" w:rsidR="009612CC" w:rsidRPr="005B30A9" w:rsidRDefault="009612CC" w:rsidP="009612CC">
      <w:pPr>
        <w:pStyle w:val="SingleTxtG"/>
        <w:rPr>
          <w:bCs/>
        </w:rPr>
      </w:pPr>
      <w:r w:rsidRPr="005B30A9">
        <w:t>193.</w:t>
      </w:r>
      <w:r w:rsidRPr="005B30A9">
        <w:tab/>
        <w:t>En diciembre de 2023, el Gobierno Federal aprobó y presentó a la Comisión Europea un Plan de Acción Nacional para la Aplicación de la Garantía Infantil Europea. La Garantía Infantil Europea tiene por objeto garantizar el acceso efectivo de los niños necesitados a un conjunto de servicios esenciales de aquí a 2030.</w:t>
      </w:r>
    </w:p>
    <w:p w14:paraId="60E9ED4B" w14:textId="3E7A0A4E" w:rsidR="009612CC" w:rsidRPr="005B30A9" w:rsidRDefault="00B80B24" w:rsidP="00B80B24">
      <w:pPr>
        <w:pStyle w:val="H4G"/>
      </w:pPr>
      <w:r w:rsidRPr="005B30A9">
        <w:tab/>
      </w:r>
      <w:r w:rsidR="009612CC" w:rsidRPr="005B30A9">
        <w:t>2.</w:t>
      </w:r>
      <w:r w:rsidR="009612CC" w:rsidRPr="005B30A9">
        <w:tab/>
        <w:t>Progenitores solos</w:t>
      </w:r>
    </w:p>
    <w:p w14:paraId="0941472B" w14:textId="77777777" w:rsidR="009612CC" w:rsidRPr="005B30A9" w:rsidRDefault="009612CC" w:rsidP="009612CC">
      <w:pPr>
        <w:pStyle w:val="SingleTxtG"/>
        <w:rPr>
          <w:bCs/>
        </w:rPr>
      </w:pPr>
      <w:r w:rsidRPr="005B30A9">
        <w:t>194.</w:t>
      </w:r>
      <w:r w:rsidRPr="005B30A9">
        <w:tab/>
        <w:t>Cabe citar medidas como las siguientes:</w:t>
      </w:r>
    </w:p>
    <w:p w14:paraId="2853E5D5" w14:textId="1CDCAD59" w:rsidR="009612CC" w:rsidRPr="005B30A9" w:rsidRDefault="009612CC" w:rsidP="00B80B24">
      <w:pPr>
        <w:pStyle w:val="Bullet1G"/>
      </w:pPr>
      <w:r w:rsidRPr="005B30A9">
        <w:t>Prestación especial de 60 euros por hijo al mes para los progenitores solos que perciben ingresos bajos, desde julio de 2023 (véase la respuesta a la pregunta 23.1)</w:t>
      </w:r>
      <w:r w:rsidR="00054DC9">
        <w:t>.</w:t>
      </w:r>
    </w:p>
    <w:p w14:paraId="35A4F279" w14:textId="7D3DFF77" w:rsidR="009612CC" w:rsidRPr="005B30A9" w:rsidRDefault="009612CC" w:rsidP="00B80B24">
      <w:pPr>
        <w:pStyle w:val="Bullet1G"/>
      </w:pPr>
      <w:r w:rsidRPr="005B30A9">
        <w:t>Suplemento por hijo a cargo para los progenitores solos que perciban ingresos bajos o no perciban ingresos, desde 2019, con una cuantía máxima elevada a 550 euros por hijo al año en 2022</w:t>
      </w:r>
      <w:r w:rsidR="00054DC9">
        <w:t>.</w:t>
      </w:r>
    </w:p>
    <w:p w14:paraId="13F6DA7C" w14:textId="77777777" w:rsidR="009612CC" w:rsidRPr="005B30A9" w:rsidRDefault="009612CC" w:rsidP="00B80B24">
      <w:pPr>
        <w:pStyle w:val="Bullet1G"/>
      </w:pPr>
      <w:r w:rsidRPr="005B30A9">
        <w:t>Aumento de un 5,8 % en la deducción fiscal de los progenitores solos en 2023: para los hogares con un hijo a 520 euros al año, con dos hijos a 704 euros al año, con tres hijos a 936 euros al año y por cada hijo más a 232 euros al año.</w:t>
      </w:r>
    </w:p>
    <w:p w14:paraId="00288850" w14:textId="5A617AF4" w:rsidR="009612CC" w:rsidRPr="005B30A9" w:rsidRDefault="009612CC" w:rsidP="00B80B24">
      <w:pPr>
        <w:pStyle w:val="H4G"/>
      </w:pPr>
      <w:r w:rsidRPr="005B30A9">
        <w:tab/>
      </w:r>
      <w:r w:rsidR="00B80B24" w:rsidRPr="005B30A9">
        <w:tab/>
      </w:r>
      <w:r w:rsidRPr="005B30A9">
        <w:t>Medidas ilustrativas de los Länder</w:t>
      </w:r>
    </w:p>
    <w:p w14:paraId="2E02208F" w14:textId="77777777" w:rsidR="009612CC" w:rsidRPr="005B30A9" w:rsidRDefault="009612CC" w:rsidP="009612CC">
      <w:pPr>
        <w:pStyle w:val="SingleTxtG"/>
      </w:pPr>
      <w:r w:rsidRPr="005B30A9">
        <w:t>195.</w:t>
      </w:r>
      <w:r w:rsidRPr="005B30A9">
        <w:tab/>
        <w:t>Viena: Desde 2020, la condición de progenitor solo es motivo para formar parte de la categoría de necesidad de vivienda.</w:t>
      </w:r>
    </w:p>
    <w:p w14:paraId="22A7C9F8" w14:textId="77777777" w:rsidR="009612CC" w:rsidRPr="005B30A9" w:rsidRDefault="009612CC" w:rsidP="009612CC">
      <w:pPr>
        <w:pStyle w:val="SingleTxtG"/>
      </w:pPr>
      <w:r w:rsidRPr="005B30A9">
        <w:t>196.</w:t>
      </w:r>
      <w:r w:rsidRPr="005B30A9">
        <w:tab/>
        <w:t xml:space="preserve">Salzburgo: Cofinanciación de las iniciativas </w:t>
      </w:r>
      <w:r w:rsidRPr="005B30A9">
        <w:rPr>
          <w:i/>
          <w:iCs/>
        </w:rPr>
        <w:t xml:space="preserve">SAFI </w:t>
      </w:r>
      <w:r w:rsidRPr="005B30A9">
        <w:t xml:space="preserve">y </w:t>
      </w:r>
      <w:r w:rsidRPr="005B30A9">
        <w:rPr>
          <w:i/>
          <w:iCs/>
        </w:rPr>
        <w:t>SINNERGIE</w:t>
      </w:r>
      <w:r w:rsidRPr="005B30A9">
        <w:t>, que ofrecen asesoramiento, apoyo y empleo de acceso fácil a las mujeres con ingresos bajos en situación de pobreza; financiación para los progenitores solos.</w:t>
      </w:r>
    </w:p>
    <w:p w14:paraId="19FC03EA" w14:textId="77777777" w:rsidR="009612CC" w:rsidRPr="005B30A9" w:rsidRDefault="009612CC" w:rsidP="009612CC">
      <w:pPr>
        <w:pStyle w:val="SingleTxtG"/>
      </w:pPr>
      <w:r w:rsidRPr="005B30A9">
        <w:t>197.</w:t>
      </w:r>
      <w:r w:rsidRPr="005B30A9">
        <w:tab/>
        <w:t>Carintia: ayudas a las familias en una situación social difícil o de penuria económica.</w:t>
      </w:r>
    </w:p>
    <w:p w14:paraId="742EF328" w14:textId="77777777" w:rsidR="009612CC" w:rsidRPr="005B30A9" w:rsidRDefault="009612CC" w:rsidP="009612CC">
      <w:pPr>
        <w:pStyle w:val="SingleTxtG"/>
      </w:pPr>
      <w:r w:rsidRPr="005B30A9">
        <w:t>198.</w:t>
      </w:r>
      <w:r w:rsidRPr="005B30A9">
        <w:tab/>
        <w:t xml:space="preserve">Vorarlberg: el centro de información para mujeres </w:t>
      </w:r>
      <w:r w:rsidRPr="005B30A9">
        <w:rPr>
          <w:i/>
          <w:iCs/>
        </w:rPr>
        <w:t xml:space="preserve">femail </w:t>
      </w:r>
      <w:r w:rsidRPr="005B30A9">
        <w:t>organiza desde 2018 encuentros de progenitores solos en un contexto psicosocial.</w:t>
      </w:r>
    </w:p>
    <w:p w14:paraId="48334CDA" w14:textId="2D93C287" w:rsidR="009612CC" w:rsidRPr="005B30A9" w:rsidRDefault="00B80B24" w:rsidP="00B80B24">
      <w:pPr>
        <w:pStyle w:val="H4G"/>
      </w:pPr>
      <w:r w:rsidRPr="005B30A9">
        <w:tab/>
      </w:r>
      <w:r w:rsidR="009612CC" w:rsidRPr="005B30A9">
        <w:t>3.</w:t>
      </w:r>
      <w:r w:rsidR="00563492">
        <w:tab/>
      </w:r>
      <w:r w:rsidR="009612CC" w:rsidRPr="005B30A9">
        <w:t>Pensionistas</w:t>
      </w:r>
    </w:p>
    <w:p w14:paraId="731822D4" w14:textId="6356805C" w:rsidR="009612CC" w:rsidRPr="005B30A9" w:rsidRDefault="009612CC" w:rsidP="009612CC">
      <w:pPr>
        <w:pStyle w:val="SingleTxtG"/>
        <w:rPr>
          <w:bCs/>
        </w:rPr>
      </w:pPr>
      <w:r w:rsidRPr="005B30A9">
        <w:t>199.</w:t>
      </w:r>
      <w:r w:rsidRPr="005B30A9">
        <w:tab/>
        <w:t>La cuantía de las pensiones depende del historial personal de empleo e ingresos. A causa de la frecuencia del trabajo a tiempo parcial, de las interrupciones más largas de la carrera profesional y de las diferencias salariales específicas de cada sector, la brecha salarial de género hace que las mujeres pensionistas corran un riesgo de pobreza notablemente mayor que los hombres pensionistas. Cabe citar las siguientes contramedidas:</w:t>
      </w:r>
    </w:p>
    <w:p w14:paraId="7FFD24D6" w14:textId="77777777" w:rsidR="009612CC" w:rsidRPr="005B30A9" w:rsidRDefault="009612CC" w:rsidP="00B80B24">
      <w:pPr>
        <w:pStyle w:val="Bullet1G"/>
      </w:pPr>
      <w:r w:rsidRPr="005B30A9">
        <w:t>Tipo de referencia del complemento de compensación: en el marco del régimen reglamentario del seguro de pensiones, las personas con necesidades económicas perciben un complemento para elevar las pensiones bajas hasta el tipo de referencia, que en 2023 era de 1.110,26 euros para las personas solteras y de 1.751,56 euros para las parejas.</w:t>
      </w:r>
    </w:p>
    <w:p w14:paraId="2D7B0F78" w14:textId="41D2AFCA" w:rsidR="009612CC" w:rsidRPr="005B30A9" w:rsidRDefault="009612CC" w:rsidP="00B80B24">
      <w:pPr>
        <w:pStyle w:val="Bullet1G"/>
      </w:pPr>
      <w:r w:rsidRPr="005B30A9">
        <w:t>El proyecto “TRAPEZ”</w:t>
      </w:r>
      <w:r w:rsidRPr="005B30A9">
        <w:rPr>
          <w:rStyle w:val="Refdenotaalpie"/>
        </w:rPr>
        <w:footnoteReference w:id="44"/>
      </w:r>
      <w:r w:rsidRPr="005B30A9">
        <w:t xml:space="preserve"> analiza los factores y las causas de la brecha de género en las pensiones poniendo de relieve los conocimientos de las mujeres y sus opciones de acción y aumentando la sensibilización y la capacidad de las empresas a efectos de apoyar a las empleadas en la previsión para la vejez. Se evaluó y adaptó (desde 2015) la notificación anual de las cuentas de las pensiones para las personas cercanas a la jubilación (a efectos de informar de la cuantía probable de la pensión que se percibirá). De este modo, TRAPEZ elaboró opciones de acción para reducir la brecha de género en las pensiones centrándose en distintos grupos destinatarios y etapas vitales. Los vídeos informativos y la caja de herramientas de TRAPEZ, que ayudan a las empresas </w:t>
      </w:r>
      <w:r w:rsidRPr="005B30A9">
        <w:lastRenderedPageBreak/>
        <w:t>a asegurar las solicitudes de pensión de sus empleados, complementan las ofertas de información de la BKA (véase también la respuesta a la pregunta 19).</w:t>
      </w:r>
    </w:p>
    <w:p w14:paraId="650D2D75" w14:textId="77777777" w:rsidR="009612CC" w:rsidRPr="005B30A9" w:rsidRDefault="009612CC" w:rsidP="00B80B24">
      <w:pPr>
        <w:pStyle w:val="Bullet1G"/>
      </w:pPr>
      <w:r w:rsidRPr="005B30A9">
        <w:t>Bonificaciones para la pensión: tienen derecho a percibirlas los pensionistas que hayan acumulado un determinado número de años de cotización al seguro de pensiones por medio de una actividad remunerada conforme a las condiciones siguientes:</w:t>
      </w:r>
    </w:p>
    <w:p w14:paraId="4595CA8E" w14:textId="77777777" w:rsidR="009612CC" w:rsidRPr="005B30A9" w:rsidRDefault="009612CC" w:rsidP="00B80B24">
      <w:pPr>
        <w:pStyle w:val="Bullet2G"/>
      </w:pPr>
      <w:r w:rsidRPr="005B30A9">
        <w:t>Persona soltera con más de 30 años de cotización:</w:t>
      </w:r>
    </w:p>
    <w:p w14:paraId="1E887664" w14:textId="195DA824" w:rsidR="009612CC" w:rsidRPr="005B30A9" w:rsidRDefault="009612CC" w:rsidP="00B80B24">
      <w:pPr>
        <w:pStyle w:val="Bullet2G"/>
        <w:ind w:left="2835"/>
      </w:pPr>
      <w:r w:rsidRPr="005B30A9">
        <w:t>Ingresos totales inferiores a 1.208,06 euros al mes</w:t>
      </w:r>
      <w:r w:rsidR="005C4C50">
        <w:t>.</w:t>
      </w:r>
    </w:p>
    <w:p w14:paraId="743294C5" w14:textId="08DB4D7E" w:rsidR="009612CC" w:rsidRPr="005B30A9" w:rsidRDefault="009612CC" w:rsidP="00B80B24">
      <w:pPr>
        <w:pStyle w:val="Bullet2G"/>
        <w:ind w:left="2835"/>
      </w:pPr>
      <w:r w:rsidRPr="005B30A9">
        <w:t>Por la diferencia entre 1.208,06 euros y los ingresos totales, con un límite máximo de 164,34 euros</w:t>
      </w:r>
      <w:r w:rsidR="005C4C50">
        <w:t>.</w:t>
      </w:r>
    </w:p>
    <w:p w14:paraId="53823D7B" w14:textId="77777777" w:rsidR="009612CC" w:rsidRPr="005B30A9" w:rsidRDefault="009612CC" w:rsidP="00B80B24">
      <w:pPr>
        <w:pStyle w:val="Bullet2G"/>
      </w:pPr>
      <w:r w:rsidRPr="005B30A9">
        <w:t>Persona soltera, con más de 40 años de cotización:</w:t>
      </w:r>
    </w:p>
    <w:p w14:paraId="467D7186" w14:textId="75EF50D3" w:rsidR="009612CC" w:rsidRPr="005B30A9" w:rsidRDefault="009612CC" w:rsidP="00B80B24">
      <w:pPr>
        <w:pStyle w:val="Bullet2G"/>
        <w:ind w:left="2835"/>
      </w:pPr>
      <w:r w:rsidRPr="005B30A9">
        <w:t>Ingresos totales inferiores a 1.443,23 euros al mes</w:t>
      </w:r>
      <w:r w:rsidR="005C4C50">
        <w:t>.</w:t>
      </w:r>
    </w:p>
    <w:p w14:paraId="5578F35A" w14:textId="0CA8291B" w:rsidR="009612CC" w:rsidRPr="005B30A9" w:rsidRDefault="009612CC" w:rsidP="00B80B24">
      <w:pPr>
        <w:pStyle w:val="Bullet2G"/>
        <w:ind w:left="2835"/>
        <w:rPr>
          <w:bCs/>
        </w:rPr>
      </w:pPr>
      <w:r w:rsidRPr="005B30A9">
        <w:t>Por la diferencia entre 1.443,23 euros y los ingresos totales, con un límite máximo de 419,19 euros</w:t>
      </w:r>
      <w:r w:rsidR="005C4C50">
        <w:t>.</w:t>
      </w:r>
    </w:p>
    <w:p w14:paraId="1C1C9D16" w14:textId="2D2EB713" w:rsidR="009612CC" w:rsidRPr="005B30A9" w:rsidRDefault="009612CC" w:rsidP="00B80B24">
      <w:pPr>
        <w:pStyle w:val="Bullet2G"/>
      </w:pPr>
      <w:r w:rsidRPr="005B30A9">
        <w:t>Persona casada, con más de 40 años de cotización:</w:t>
      </w:r>
    </w:p>
    <w:p w14:paraId="10C32338" w14:textId="19C8D6B6" w:rsidR="009612CC" w:rsidRPr="005B30A9" w:rsidRDefault="009612CC" w:rsidP="00B80B24">
      <w:pPr>
        <w:pStyle w:val="Bullet2G"/>
        <w:ind w:left="2835"/>
      </w:pPr>
      <w:r w:rsidRPr="005B30A9">
        <w:t>Ingresos totales de los cónyuges que conviven en el mismo hogar inferiores a 1.948,08 euros al mes</w:t>
      </w:r>
      <w:r w:rsidR="005C4C50">
        <w:t>.</w:t>
      </w:r>
    </w:p>
    <w:p w14:paraId="292AE719" w14:textId="18B43838" w:rsidR="009612CC" w:rsidRPr="005B30A9" w:rsidRDefault="009612CC" w:rsidP="00B80B24">
      <w:pPr>
        <w:pStyle w:val="Bullet2G"/>
        <w:ind w:left="2835"/>
        <w:rPr>
          <w:bCs/>
        </w:rPr>
      </w:pPr>
      <w:r w:rsidRPr="005B30A9">
        <w:t>Por la diferencia entre 1.948,08 euros y los ingresos totales, con un límite máximo de 418,74 euros</w:t>
      </w:r>
      <w:r w:rsidR="005C4C50">
        <w:t>.</w:t>
      </w:r>
    </w:p>
    <w:p w14:paraId="6DF0760F" w14:textId="4E179CF6" w:rsidR="009612CC" w:rsidRPr="005B30A9" w:rsidRDefault="009612CC" w:rsidP="00B80B24">
      <w:pPr>
        <w:pStyle w:val="Bullet1G"/>
        <w:rPr>
          <w:bCs/>
        </w:rPr>
      </w:pPr>
      <w:r w:rsidRPr="005B30A9">
        <w:t>La bonificación aumentó el impuesto negativo de los pensionistas (devolución del seguro social) de 110 a 300 euros al año (se pagó por primera vez en 2021)</w:t>
      </w:r>
      <w:r w:rsidR="005C4C50">
        <w:t>.</w:t>
      </w:r>
    </w:p>
    <w:p w14:paraId="3CEDFE55" w14:textId="77777777" w:rsidR="009612CC" w:rsidRPr="005B30A9" w:rsidRDefault="009612CC" w:rsidP="00B80B24">
      <w:pPr>
        <w:pStyle w:val="Bullet1G"/>
        <w:rPr>
          <w:bCs/>
        </w:rPr>
      </w:pPr>
      <w:r w:rsidRPr="005B30A9">
        <w:t>Mitigación de la inflación mediante:</w:t>
      </w:r>
    </w:p>
    <w:p w14:paraId="1142D77A" w14:textId="74F597B2" w:rsidR="009612CC" w:rsidRPr="005B30A9" w:rsidRDefault="009612CC" w:rsidP="00B80B24">
      <w:pPr>
        <w:pStyle w:val="Bullet2G"/>
        <w:rPr>
          <w:bCs/>
        </w:rPr>
      </w:pPr>
      <w:r w:rsidRPr="005B30A9">
        <w:t>Un ajuste anual de las pensiones en función de la inflación: con arreglo a la subida media de los precios al consumo, las pensiones se incrementaron un</w:t>
      </w:r>
      <w:r w:rsidR="005C4C50">
        <w:t> </w:t>
      </w:r>
      <w:r w:rsidRPr="005B30A9">
        <w:t>5,8</w:t>
      </w:r>
      <w:r w:rsidR="005C4C50">
        <w:t> </w:t>
      </w:r>
      <w:r w:rsidRPr="005B30A9">
        <w:t>% en 2023 (las que superaban los 5.670 euros mediante un importe fijo de 328,86 euros); en 2024, se aumentarán las pensiones un 9,7</w:t>
      </w:r>
      <w:r w:rsidR="005C4C50">
        <w:t> </w:t>
      </w:r>
      <w:r w:rsidRPr="005B30A9">
        <w:t>%</w:t>
      </w:r>
      <w:r w:rsidR="005C4C50">
        <w:t>.</w:t>
      </w:r>
    </w:p>
    <w:p w14:paraId="4C511991" w14:textId="27B0C0F4" w:rsidR="009612CC" w:rsidRPr="005B30A9" w:rsidRDefault="009612CC" w:rsidP="00B80B24">
      <w:pPr>
        <w:pStyle w:val="Bullet2G"/>
        <w:rPr>
          <w:bCs/>
        </w:rPr>
      </w:pPr>
      <w:r w:rsidRPr="005B30A9">
        <w:t>En 2023 los tipos de referencia del complemento de compensación se aumentaron excepcionalmente un 7,74 %</w:t>
      </w:r>
      <w:r w:rsidR="005C4C50">
        <w:t>.</w:t>
      </w:r>
    </w:p>
    <w:p w14:paraId="5E4EBCFF" w14:textId="77777777" w:rsidR="009612CC" w:rsidRPr="005B30A9" w:rsidRDefault="009612CC" w:rsidP="00B80B24">
      <w:pPr>
        <w:pStyle w:val="Bullet2G"/>
        <w:rPr>
          <w:bCs/>
        </w:rPr>
      </w:pPr>
      <w:r w:rsidRPr="005B30A9">
        <w:t>Concesión de pagos únicos (desde marzo de 2021):</w:t>
      </w:r>
    </w:p>
    <w:p w14:paraId="0DB55D01" w14:textId="35C64B5A" w:rsidR="009612CC" w:rsidRPr="005B30A9" w:rsidRDefault="009612CC" w:rsidP="00B80B24">
      <w:pPr>
        <w:pStyle w:val="Bullet2G"/>
        <w:ind w:left="2835"/>
      </w:pPr>
      <w:r w:rsidRPr="005B30A9">
        <w:t>Tres para los beneficiarios del complemento de compensación (por un total de 600 euros)</w:t>
      </w:r>
      <w:r w:rsidR="005C4C50">
        <w:t>.</w:t>
      </w:r>
    </w:p>
    <w:p w14:paraId="01BDA517" w14:textId="6FC2D7B9" w:rsidR="009612CC" w:rsidRPr="005B30A9" w:rsidRDefault="009612CC" w:rsidP="00B80B24">
      <w:pPr>
        <w:pStyle w:val="Bullet2G"/>
        <w:ind w:left="2835"/>
      </w:pPr>
      <w:r w:rsidRPr="005B30A9">
        <w:t>Un pago único graduado limitado a 500 euros a partir del 1 de septiembre de 2022; también se aplicó a las pensiones de ingresos medios, ya que se abonó el importe máximo de 500 euros para las pensiones de 1.200 a 1.800 euros</w:t>
      </w:r>
      <w:r w:rsidR="005C4C50">
        <w:t>.</w:t>
      </w:r>
    </w:p>
    <w:p w14:paraId="63731FE5" w14:textId="07A651A8" w:rsidR="009612CC" w:rsidRPr="005B30A9" w:rsidRDefault="009612CC" w:rsidP="00B80B24">
      <w:pPr>
        <w:pStyle w:val="Bullet2G"/>
        <w:ind w:left="2835"/>
      </w:pPr>
      <w:r w:rsidRPr="005B30A9">
        <w:t>Un pago directo graduado en función de las necesidades consistente en el 30 % de la pensión mensual (con un límite de 500 euros) a partir del 1 de marzo de 2023</w:t>
      </w:r>
      <w:r w:rsidR="005C4C50">
        <w:t>.</w:t>
      </w:r>
    </w:p>
    <w:p w14:paraId="529B8B67" w14:textId="0489C3B0" w:rsidR="009612CC" w:rsidRPr="005B30A9" w:rsidRDefault="009612CC" w:rsidP="00B80B24">
      <w:pPr>
        <w:pStyle w:val="Bullet2G"/>
        <w:ind w:left="2835"/>
        <w:rPr>
          <w:bCs/>
        </w:rPr>
      </w:pPr>
      <w:r w:rsidRPr="005B30A9">
        <w:t>Ampliación del pago directo del 30 % del complemento de compensación mensual, abonado en junio de 2023</w:t>
      </w:r>
      <w:r w:rsidR="005C4C50">
        <w:t>.</w:t>
      </w:r>
    </w:p>
    <w:p w14:paraId="343FDEE3" w14:textId="52D596C4" w:rsidR="009612CC" w:rsidRPr="005B30A9" w:rsidRDefault="009612CC" w:rsidP="00B80B24">
      <w:pPr>
        <w:pStyle w:val="Bullet2G"/>
        <w:rPr>
          <w:bCs/>
        </w:rPr>
      </w:pPr>
      <w:r w:rsidRPr="005B30A9">
        <w:t>El 30 de marzo de 2023, el Parlamento decidió suspender el ajuste prorrateado de las pensiones en función de la inflación (prorrateo) para 2024 y 2025 (</w:t>
      </w:r>
      <w:hyperlink r:id="rId56" w:history="1">
        <w:r w:rsidRPr="005B30A9">
          <w:rPr>
            <w:rStyle w:val="Hipervnculo"/>
          </w:rPr>
          <w:t>BGBl.</w:t>
        </w:r>
        <w:r w:rsidR="00091DE6" w:rsidRPr="005B30A9">
          <w:rPr>
            <w:rStyle w:val="Hipervnculo"/>
          </w:rPr>
          <w:t> </w:t>
        </w:r>
        <w:r w:rsidRPr="005B30A9">
          <w:rPr>
            <w:rStyle w:val="Hipervnculo"/>
          </w:rPr>
          <w:t>I núm. 36/2023</w:t>
        </w:r>
      </w:hyperlink>
      <w:r w:rsidRPr="005B30A9">
        <w:t>): las personas jubiladas en 2023 o 2024 percibirán el ajuste de la pensión completa para el año siguiente, independientemente del mes de jubilación</w:t>
      </w:r>
      <w:r w:rsidR="005C4C50">
        <w:t>.</w:t>
      </w:r>
    </w:p>
    <w:p w14:paraId="11567698" w14:textId="6C8CFBDF" w:rsidR="009612CC" w:rsidRPr="005B30A9" w:rsidRDefault="009612CC" w:rsidP="005C4C50">
      <w:pPr>
        <w:pStyle w:val="Bullet1G"/>
        <w:keepNext/>
        <w:keepLines/>
        <w:rPr>
          <w:bCs/>
        </w:rPr>
      </w:pPr>
      <w:r w:rsidRPr="005B30A9">
        <w:lastRenderedPageBreak/>
        <w:t>La bonificación por incorporación temprana en el mercado laboral es un complemento de la pensión (1,03 euros al mes en 2023 con un nivel máximo de 61,80 euros) introducido en 2022 para quienes:</w:t>
      </w:r>
    </w:p>
    <w:p w14:paraId="3D106DAD" w14:textId="70D1A462" w:rsidR="009612CC" w:rsidRPr="005B30A9" w:rsidRDefault="009612CC" w:rsidP="00B80B24">
      <w:pPr>
        <w:pStyle w:val="Bullet2G"/>
        <w:rPr>
          <w:bCs/>
        </w:rPr>
      </w:pPr>
      <w:r w:rsidRPr="005B30A9">
        <w:t>Ya trabajaban entre los 15 y los 20 años y habían acumulado al menos 12 meses de cotización al seguro de pensiones durante este período de actividad remunerada</w:t>
      </w:r>
      <w:r w:rsidR="005C4C50">
        <w:t>.</w:t>
      </w:r>
    </w:p>
    <w:p w14:paraId="3A4C5220" w14:textId="77777777" w:rsidR="009612CC" w:rsidRPr="005B30A9" w:rsidRDefault="009612CC" w:rsidP="00B80B24">
      <w:pPr>
        <w:pStyle w:val="Bullet2G"/>
        <w:rPr>
          <w:bCs/>
        </w:rPr>
      </w:pPr>
      <w:r w:rsidRPr="005B30A9">
        <w:t>Habían acumulado en total 300 meses de cotización (25 años) a través de una actividad remunerada.</w:t>
      </w:r>
    </w:p>
    <w:p w14:paraId="1CF76C05" w14:textId="46A80531" w:rsidR="009612CC" w:rsidRPr="005B30A9" w:rsidRDefault="009612CC" w:rsidP="00091DE6">
      <w:pPr>
        <w:pStyle w:val="H1G"/>
      </w:pPr>
      <w:r w:rsidRPr="005B30A9">
        <w:tab/>
      </w:r>
      <w:r w:rsidR="00091DE6" w:rsidRPr="005B30A9">
        <w:tab/>
      </w:r>
      <w:r w:rsidRPr="005B30A9">
        <w:t>Respuesta al párrafo 24 de la lista de cuestiones</w:t>
      </w:r>
    </w:p>
    <w:p w14:paraId="5AF7BFDA" w14:textId="0880A3A8" w:rsidR="009612CC" w:rsidRPr="005B30A9" w:rsidRDefault="009612CC" w:rsidP="00091DE6">
      <w:pPr>
        <w:pStyle w:val="H23G"/>
      </w:pPr>
      <w:r w:rsidRPr="005B30A9">
        <w:tab/>
      </w:r>
      <w:r w:rsidR="00091DE6" w:rsidRPr="005B30A9">
        <w:tab/>
      </w:r>
      <w:r w:rsidRPr="005B30A9">
        <w:t>Garantía de una vivienda adecuada</w:t>
      </w:r>
    </w:p>
    <w:p w14:paraId="6D87E556" w14:textId="265F6F47" w:rsidR="009612CC" w:rsidRPr="005B30A9" w:rsidRDefault="009612CC" w:rsidP="009612CC">
      <w:pPr>
        <w:pStyle w:val="SingleTxtG"/>
        <w:rPr>
          <w:bCs/>
        </w:rPr>
      </w:pPr>
      <w:r w:rsidRPr="005B30A9">
        <w:t>200.</w:t>
      </w:r>
      <w:r w:rsidRPr="005B30A9">
        <w:tab/>
        <w:t>Austria mejora constantemente las condiciones por las que se rigen la asequibilidad y la calidad a largo plazo de la vivienda. Las medidas tienen por objeto prevenir la falta de vivienda permanente y el sinhogarismo, ofrecer alojamiento temporal, ampliar los programas a largo plazo y socialmente integradores de apoyo a la vivienda (por ejemplo, Primero la vivienda) y mejorar las pruebas y los datos científicos sobre la falta de vivienda permanente y el sinhogarismo.</w:t>
      </w:r>
    </w:p>
    <w:p w14:paraId="1175F79A" w14:textId="77777777" w:rsidR="009612CC" w:rsidRPr="005B30A9" w:rsidRDefault="009612CC" w:rsidP="00091DE6">
      <w:pPr>
        <w:pStyle w:val="SingleTxtG"/>
        <w:keepNext/>
        <w:keepLines/>
        <w:rPr>
          <w:bCs/>
        </w:rPr>
      </w:pPr>
      <w:r w:rsidRPr="005B30A9">
        <w:t>201.</w:t>
      </w:r>
      <w:r w:rsidRPr="005B30A9">
        <w:tab/>
        <w:t>Son ejemplos de ello:</w:t>
      </w:r>
    </w:p>
    <w:p w14:paraId="75A87D06" w14:textId="54819B04" w:rsidR="009612CC" w:rsidRPr="005B30A9" w:rsidRDefault="009612CC" w:rsidP="00091DE6">
      <w:pPr>
        <w:pStyle w:val="Bullet1G"/>
        <w:rPr>
          <w:bCs/>
        </w:rPr>
      </w:pPr>
      <w:r w:rsidRPr="005B30A9">
        <w:t xml:space="preserve">El BMSGPK financia el proyecto </w:t>
      </w:r>
      <w:r w:rsidRPr="007B1CE8">
        <w:rPr>
          <w:i/>
          <w:iCs/>
        </w:rPr>
        <w:t>“</w:t>
      </w:r>
      <w:r w:rsidRPr="005B30A9">
        <w:rPr>
          <w:i/>
          <w:iCs/>
        </w:rPr>
        <w:t>zuhause ankommen</w:t>
      </w:r>
      <w:r w:rsidRPr="007B1CE8">
        <w:rPr>
          <w:i/>
          <w:iCs/>
        </w:rPr>
        <w:t>”</w:t>
      </w:r>
      <w:r w:rsidRPr="005B30A9">
        <w:t xml:space="preserve"> (2021-2023, proyecto sucesor de </w:t>
      </w:r>
      <w:r w:rsidRPr="007B1CE8">
        <w:rPr>
          <w:i/>
          <w:iCs/>
        </w:rPr>
        <w:t>“</w:t>
      </w:r>
      <w:r w:rsidRPr="005B30A9">
        <w:rPr>
          <w:i/>
          <w:iCs/>
        </w:rPr>
        <w:t xml:space="preserve">Housing First Österreich </w:t>
      </w:r>
      <w:r w:rsidR="007B1CE8">
        <w:rPr>
          <w:i/>
          <w:iCs/>
        </w:rPr>
        <w:t>–</w:t>
      </w:r>
      <w:r w:rsidRPr="005B30A9">
        <w:rPr>
          <w:i/>
          <w:iCs/>
        </w:rPr>
        <w:t xml:space="preserve"> zuhause ankommen</w:t>
      </w:r>
      <w:r w:rsidRPr="007B1CE8">
        <w:rPr>
          <w:i/>
          <w:iCs/>
        </w:rPr>
        <w:t>”</w:t>
      </w:r>
      <w:r w:rsidRPr="005B30A9">
        <w:t>, cuya duración programada se extiende hasta fines de septiembre de 2024), que lucha de forma sostenible contra la falta de vivienda permanente a partir del principio de “primero la vivienda” mediante la búsqueda directa de alojamiento en complejos de viviendas sociales para las personas que corren riesgo de pobreza y exclusión; el pago de las contribuciones de financiación necesarias para dichas viviendas y, de ser necesaria, la asistencia de trabajadores sociales en cuanto a la mudanza y la sensación de estar en casa; hasta abril de 2023, se habían encontrado 565 viviendas y se había ayudado a 1.146 personas</w:t>
      </w:r>
      <w:r w:rsidR="00091DE6" w:rsidRPr="005B30A9">
        <w:t>.</w:t>
      </w:r>
    </w:p>
    <w:p w14:paraId="5BD14437" w14:textId="398DA279" w:rsidR="009612CC" w:rsidRPr="005B30A9" w:rsidRDefault="009612CC" w:rsidP="00091DE6">
      <w:pPr>
        <w:pStyle w:val="Bullet1G"/>
        <w:rPr>
          <w:bCs/>
        </w:rPr>
      </w:pPr>
      <w:r w:rsidRPr="005B30A9">
        <w:t>El BMSGPK encargó un estudio de viabilidad: las medidas con base empírica para hacer frente al sinhogarismo y la falta de vivienda permanente deben fundarse en datos amplios sobre el sinhogarismo, la falta de vivienda permanente, la falta encubierta de vivienda permanente y las viviendas precarias. El estudio, puesto en marcha en agosto de 2023, generará para principios de 2024 una presentación estructurada de los datos disponibles y determinará las posibilidades de ampliación, además de formular recomendaciones para que este tema pueda describirse estadísticamente en su totalidad</w:t>
      </w:r>
      <w:r w:rsidR="00091DE6" w:rsidRPr="005B30A9">
        <w:t>.</w:t>
      </w:r>
    </w:p>
    <w:p w14:paraId="0632E7B2" w14:textId="668DB0B0" w:rsidR="009612CC" w:rsidRPr="005B30A9" w:rsidRDefault="009612CC" w:rsidP="00091DE6">
      <w:pPr>
        <w:pStyle w:val="Bullet1G"/>
        <w:rPr>
          <w:bCs/>
        </w:rPr>
      </w:pPr>
      <w:r w:rsidRPr="005B30A9">
        <w:t xml:space="preserve">Las asociaciones de vivienda sin fines de lucro conceden contratos de arrendamiento indefinidos en función de la necesidad de vivienda, el tamaño de la unidad familiar y los ingresos de los solicitantes, y dan prioridad a las víctimas de violencia doméstica (véase la modificación de la </w:t>
      </w:r>
      <w:hyperlink r:id="rId57" w:history="1">
        <w:r w:rsidRPr="007B1CE8">
          <w:rPr>
            <w:rStyle w:val="Hipervnculo"/>
          </w:rPr>
          <w:t>Ley de Viviendas Sujetas a Limitaciones</w:t>
        </w:r>
      </w:hyperlink>
      <w:r w:rsidRPr="005B30A9">
        <w:t xml:space="preserve"> de los Beneficios </w:t>
      </w:r>
      <w:r w:rsidRPr="007B1CE8">
        <w:rPr>
          <w:i/>
          <w:iCs/>
        </w:rPr>
        <w:t>(</w:t>
      </w:r>
      <w:r w:rsidRPr="005B30A9">
        <w:rPr>
          <w:i/>
          <w:iCs/>
        </w:rPr>
        <w:t>Wohnungsgemeinnützigkeitsgesetz</w:t>
      </w:r>
      <w:r w:rsidRPr="007B1CE8">
        <w:rPr>
          <w:i/>
          <w:iCs/>
        </w:rPr>
        <w:t>)</w:t>
      </w:r>
      <w:r w:rsidRPr="005B30A9">
        <w:t>, BGBl. I núm. 85/2019, en vigor desde 2019).</w:t>
      </w:r>
    </w:p>
    <w:p w14:paraId="69EF58D9" w14:textId="099EC4DE" w:rsidR="009612CC" w:rsidRPr="005B30A9" w:rsidRDefault="009612CC" w:rsidP="00091DE6">
      <w:pPr>
        <w:pStyle w:val="H4G"/>
      </w:pPr>
      <w:r w:rsidRPr="005B30A9">
        <w:tab/>
      </w:r>
      <w:r w:rsidR="00091DE6" w:rsidRPr="005B30A9">
        <w:tab/>
      </w:r>
      <w:r w:rsidRPr="005B30A9">
        <w:t>Medidas ilustrativas de los Länder</w:t>
      </w:r>
    </w:p>
    <w:p w14:paraId="1E307E16" w14:textId="64C04D37" w:rsidR="009612CC" w:rsidRPr="005B30A9" w:rsidRDefault="009612CC" w:rsidP="009612CC">
      <w:pPr>
        <w:pStyle w:val="SingleTxtG"/>
        <w:rPr>
          <w:bCs/>
        </w:rPr>
      </w:pPr>
      <w:r w:rsidRPr="005B30A9">
        <w:t>202.</w:t>
      </w:r>
      <w:r w:rsidRPr="005B30A9">
        <w:tab/>
        <w:t xml:space="preserve">Viena: unos 220.000 apartamentos comunales con contratos de arrendamiento indefinidos y exención de las directrices de asignación en los casos de situación apurada; asignación de viviendas a personas sin hogar por razones sociales; ayudas a la vivienda; Ley de Seguridad en la Vivienda </w:t>
      </w:r>
      <w:r w:rsidRPr="007B1CE8">
        <w:rPr>
          <w:i/>
          <w:iCs/>
        </w:rPr>
        <w:t>(</w:t>
      </w:r>
      <w:r w:rsidRPr="005B30A9">
        <w:rPr>
          <w:i/>
          <w:iCs/>
        </w:rPr>
        <w:t>Wohnungssicherungsgesetz</w:t>
      </w:r>
      <w:r w:rsidRPr="007B1CE8">
        <w:rPr>
          <w:i/>
          <w:iCs/>
        </w:rPr>
        <w:t>)</w:t>
      </w:r>
      <w:r w:rsidRPr="005B30A9">
        <w:t>.</w:t>
      </w:r>
    </w:p>
    <w:p w14:paraId="4561D221" w14:textId="77777777" w:rsidR="009612CC" w:rsidRPr="005B30A9" w:rsidRDefault="009612CC" w:rsidP="009612CC">
      <w:pPr>
        <w:pStyle w:val="SingleTxtG"/>
        <w:rPr>
          <w:bCs/>
        </w:rPr>
      </w:pPr>
      <w:r w:rsidRPr="005B30A9">
        <w:t>203.</w:t>
      </w:r>
      <w:r w:rsidRPr="005B30A9">
        <w:tab/>
        <w:t xml:space="preserve">Instrumentos de los </w:t>
      </w:r>
      <w:r w:rsidRPr="005B30A9">
        <w:rPr>
          <w:i/>
          <w:iCs/>
        </w:rPr>
        <w:t xml:space="preserve">Länder </w:t>
      </w:r>
      <w:r w:rsidRPr="005B30A9">
        <w:t>que garantizan una vivienda adecuada:</w:t>
      </w:r>
    </w:p>
    <w:p w14:paraId="54C72869" w14:textId="4949910E" w:rsidR="009612CC" w:rsidRPr="005B30A9" w:rsidRDefault="009612CC" w:rsidP="00091DE6">
      <w:pPr>
        <w:pStyle w:val="Bullet1G"/>
        <w:rPr>
          <w:bCs/>
        </w:rPr>
      </w:pPr>
      <w:r w:rsidRPr="005B30A9">
        <w:t>Necesidades especiales o adicionales (con inclusión del pago de alquileres atrasados y los pagos de las facturas de servicios públicos con saldos pendientes) cubiertas por prestaciones por ayuda social o ingreso mínimo</w:t>
      </w:r>
      <w:r w:rsidR="00091DE6" w:rsidRPr="005B30A9">
        <w:t>.</w:t>
      </w:r>
    </w:p>
    <w:p w14:paraId="7766179D" w14:textId="3193962F" w:rsidR="009612CC" w:rsidRPr="005B30A9" w:rsidRDefault="009612CC" w:rsidP="00091DE6">
      <w:pPr>
        <w:pStyle w:val="Bullet1G"/>
        <w:rPr>
          <w:bCs/>
        </w:rPr>
      </w:pPr>
      <w:r w:rsidRPr="005B30A9">
        <w:lastRenderedPageBreak/>
        <w:t xml:space="preserve">Ayudas a la vivienda </w:t>
      </w:r>
      <w:r w:rsidRPr="007B1CE8">
        <w:rPr>
          <w:i/>
          <w:iCs/>
        </w:rPr>
        <w:t>(</w:t>
      </w:r>
      <w:r w:rsidRPr="005B30A9">
        <w:rPr>
          <w:i/>
          <w:iCs/>
        </w:rPr>
        <w:t>Wohnbeihilfe</w:t>
      </w:r>
      <w:r w:rsidRPr="007B1CE8">
        <w:rPr>
          <w:i/>
          <w:iCs/>
        </w:rPr>
        <w:t>)</w:t>
      </w:r>
      <w:r w:rsidRPr="005B30A9">
        <w:t xml:space="preserve"> para las personas con ingresos bajos a fin de financiar la vivienda</w:t>
      </w:r>
      <w:r w:rsidR="00091DE6" w:rsidRPr="005B30A9">
        <w:t>.</w:t>
      </w:r>
    </w:p>
    <w:p w14:paraId="22A4C937" w14:textId="77777777" w:rsidR="009612CC" w:rsidRPr="005B30A9" w:rsidRDefault="009612CC" w:rsidP="00091DE6">
      <w:pPr>
        <w:pStyle w:val="Bullet1G"/>
        <w:rPr>
          <w:bCs/>
        </w:rPr>
      </w:pPr>
      <w:r w:rsidRPr="005B30A9">
        <w:t xml:space="preserve">Subvención al fomento de la vivienda </w:t>
      </w:r>
      <w:r w:rsidRPr="007B1CE8">
        <w:rPr>
          <w:i/>
          <w:iCs/>
        </w:rPr>
        <w:t>(</w:t>
      </w:r>
      <w:r w:rsidRPr="005B30A9">
        <w:rPr>
          <w:i/>
          <w:iCs/>
        </w:rPr>
        <w:t>Wohnbauförderung</w:t>
      </w:r>
      <w:r w:rsidRPr="007B1CE8">
        <w:rPr>
          <w:i/>
          <w:iCs/>
        </w:rPr>
        <w:t>)</w:t>
      </w:r>
      <w:r w:rsidRPr="005B30A9">
        <w:t xml:space="preserve"> con fines de construcción y renovación de viviendas, de la que se beneficia cerca del 80 % de la población.</w:t>
      </w:r>
    </w:p>
    <w:p w14:paraId="26C7FB1B" w14:textId="05F55CC6" w:rsidR="009612CC" w:rsidRPr="005B30A9" w:rsidRDefault="009612CC" w:rsidP="00091DE6">
      <w:pPr>
        <w:pStyle w:val="H1G"/>
      </w:pPr>
      <w:r w:rsidRPr="005B30A9">
        <w:tab/>
      </w:r>
      <w:r w:rsidR="00091DE6" w:rsidRPr="005B30A9">
        <w:tab/>
      </w:r>
      <w:r w:rsidRPr="005B30A9">
        <w:t>Respuesta al párrafo 24 a) de la lista de cuestiones</w:t>
      </w:r>
    </w:p>
    <w:p w14:paraId="60F8F028" w14:textId="3E487F8D" w:rsidR="009612CC" w:rsidRPr="005B30A9" w:rsidRDefault="009612CC" w:rsidP="00091DE6">
      <w:pPr>
        <w:pStyle w:val="H23G"/>
      </w:pPr>
      <w:r w:rsidRPr="005B30A9">
        <w:tab/>
      </w:r>
      <w:r w:rsidR="00091DE6" w:rsidRPr="005B30A9">
        <w:tab/>
      </w:r>
      <w:r w:rsidRPr="005B30A9">
        <w:t>Prevención del sinhogarismo</w:t>
      </w:r>
    </w:p>
    <w:p w14:paraId="492214F5" w14:textId="359368B3" w:rsidR="009612CC" w:rsidRPr="005B30A9" w:rsidRDefault="009612CC" w:rsidP="009612CC">
      <w:pPr>
        <w:pStyle w:val="SingleTxtG"/>
        <w:rPr>
          <w:bCs/>
        </w:rPr>
      </w:pPr>
      <w:r w:rsidRPr="005B30A9">
        <w:t>204.</w:t>
      </w:r>
      <w:r w:rsidRPr="005B30A9">
        <w:tab/>
        <w:t xml:space="preserve">Una medida esencial para evitar los desahucios es el programa </w:t>
      </w:r>
      <w:r w:rsidRPr="005B30A9">
        <w:rPr>
          <w:i/>
          <w:iCs/>
        </w:rPr>
        <w:t xml:space="preserve">WOHNSCHIRM </w:t>
      </w:r>
      <w:r w:rsidRPr="005B30A9">
        <w:t>del</w:t>
      </w:r>
      <w:r w:rsidR="007B1CE8">
        <w:t> </w:t>
      </w:r>
      <w:r w:rsidRPr="005B30A9">
        <w:t>BMSGPK para inquilinos que tengan su residencia principal en Austria y atrasos en el pago del alquiler, con el consiguiente riesgo de desahucio, como consecuencia de la pandemia de COVID-19 o del aumento de los costos. Ofrece asesoramiento de trabajadores sociales y apoyo financiero (pago de los alquileres atrasados si el actual contrato es a largo plazo y, en general, asequible o aporte de una cantidad a tanto alzado para mudarse si es probable que de ese modo se suscriba un contrato de alquiler a largo plazo que sea asequible). La ayuda está sujeta a una verificación de los ingresos y tiene carácter subsidiario, lo que quiere decir que complementa otras prestaciones que previenen el desahucio. De marzo de</w:t>
      </w:r>
      <w:r w:rsidR="007B1CE8">
        <w:t> </w:t>
      </w:r>
      <w:r w:rsidRPr="005B30A9">
        <w:t>2022 a octubre de 2023 se aprobaron unas 6.400 solicitudes de pago de alquileres atrasados y unas 700 solicitudes de mudanza, lo cual benefició a unas 12.000 personas.</w:t>
      </w:r>
    </w:p>
    <w:p w14:paraId="3B8AE075" w14:textId="35C6FBEE" w:rsidR="009612CC" w:rsidRPr="005B30A9" w:rsidRDefault="00091DE6" w:rsidP="00091DE6">
      <w:pPr>
        <w:pStyle w:val="H4G"/>
      </w:pPr>
      <w:r w:rsidRPr="005B30A9">
        <w:tab/>
      </w:r>
      <w:r w:rsidR="009612CC" w:rsidRPr="005B30A9">
        <w:tab/>
        <w:t>Medidas ilustrativas de los Länder</w:t>
      </w:r>
    </w:p>
    <w:p w14:paraId="59D1C018" w14:textId="77777777" w:rsidR="009612CC" w:rsidRPr="005B30A9" w:rsidRDefault="009612CC" w:rsidP="009612CC">
      <w:pPr>
        <w:pStyle w:val="SingleTxtG"/>
        <w:rPr>
          <w:bCs/>
        </w:rPr>
      </w:pPr>
      <w:r w:rsidRPr="005B30A9">
        <w:t>205.</w:t>
      </w:r>
      <w:r w:rsidRPr="005B30A9">
        <w:tab/>
        <w:t>Viena:</w:t>
      </w:r>
    </w:p>
    <w:p w14:paraId="5EC33F85" w14:textId="72263547" w:rsidR="009612CC" w:rsidRPr="005B30A9" w:rsidRDefault="009612CC" w:rsidP="00091DE6">
      <w:pPr>
        <w:pStyle w:val="Bullet1G"/>
      </w:pPr>
      <w:r w:rsidRPr="005B30A9">
        <w:t>Apoyo financiero contra la pérdida de vivienda y el desahucio</w:t>
      </w:r>
      <w:r w:rsidR="00091DE6" w:rsidRPr="005B30A9">
        <w:t>.</w:t>
      </w:r>
    </w:p>
    <w:p w14:paraId="0368B340" w14:textId="77777777" w:rsidR="009612CC" w:rsidRPr="005B30A9" w:rsidRDefault="009612CC" w:rsidP="00091DE6">
      <w:pPr>
        <w:pStyle w:val="Bullet1G"/>
      </w:pPr>
      <w:r w:rsidRPr="005B30A9">
        <w:t xml:space="preserve">Los servicios de </w:t>
      </w:r>
      <w:r w:rsidRPr="005B30A9">
        <w:rPr>
          <w:i/>
          <w:iCs/>
        </w:rPr>
        <w:t>Wiener Wohnungslosenhilfe</w:t>
      </w:r>
      <w:r w:rsidRPr="005B30A9">
        <w:t xml:space="preserve"> tienen por objeto hacer posible una vida independiente e incluyen servicios móviles (trabajo en la calle, centros diurnos, etc.), servicios sanitarios para las personas sin hogar, apoyo móvil en domicilios privados y admisión a servicios de vida asistida.</w:t>
      </w:r>
    </w:p>
    <w:p w14:paraId="62B1613C" w14:textId="732464FB" w:rsidR="009612CC" w:rsidRPr="005B30A9" w:rsidRDefault="009612CC" w:rsidP="009612CC">
      <w:pPr>
        <w:pStyle w:val="SingleTxtG"/>
        <w:rPr>
          <w:bCs/>
        </w:rPr>
      </w:pPr>
      <w:r w:rsidRPr="005B30A9">
        <w:t>206.</w:t>
      </w:r>
      <w:r w:rsidRPr="005B30A9">
        <w:tab/>
        <w:t>Vorarlberg: 220 plazas para personas sin hogar y 22 plazas en tres centros de alojamiento de emergencia; unas 40.000 horas al año de trabajo social de asesoramiento móvil sobre vivienda, apoyo a la vivienda y prevención de desahucios.</w:t>
      </w:r>
    </w:p>
    <w:p w14:paraId="49EC2379" w14:textId="77777777" w:rsidR="009612CC" w:rsidRPr="005B30A9" w:rsidRDefault="009612CC" w:rsidP="009612CC">
      <w:pPr>
        <w:pStyle w:val="SingleTxtG"/>
        <w:rPr>
          <w:bCs/>
        </w:rPr>
      </w:pPr>
      <w:r w:rsidRPr="005B30A9">
        <w:t>207.</w:t>
      </w:r>
      <w:r w:rsidRPr="005B30A9">
        <w:tab/>
        <w:t xml:space="preserve">Baja Austria: </w:t>
      </w:r>
      <w:r w:rsidRPr="005B30A9">
        <w:rPr>
          <w:i/>
          <w:iCs/>
        </w:rPr>
        <w:t>NÖ Wohnassistenz</w:t>
      </w:r>
      <w:r w:rsidRPr="005B30A9">
        <w:t xml:space="preserve"> ayuda desde 2006 a las personas en peligro de quedarse sin hogar o de ser desahuciadas prestando asistencia en unos 300 apartamentos al año.</w:t>
      </w:r>
    </w:p>
    <w:p w14:paraId="0319A949" w14:textId="3ED6DF14" w:rsidR="009612CC" w:rsidRPr="005B30A9" w:rsidRDefault="009612CC" w:rsidP="00091DE6">
      <w:pPr>
        <w:pStyle w:val="H1G"/>
      </w:pPr>
      <w:r w:rsidRPr="005B30A9">
        <w:tab/>
      </w:r>
      <w:r w:rsidR="00091DE6" w:rsidRPr="005B30A9">
        <w:tab/>
      </w:r>
      <w:r w:rsidRPr="005B30A9">
        <w:t>Respuesta al párrafo 24 b) de la lista de cuestiones</w:t>
      </w:r>
    </w:p>
    <w:p w14:paraId="0A7FFE36" w14:textId="2460BB68" w:rsidR="009612CC" w:rsidRPr="005B30A9" w:rsidRDefault="009612CC" w:rsidP="00091DE6">
      <w:pPr>
        <w:pStyle w:val="H23G"/>
      </w:pPr>
      <w:r w:rsidRPr="005B30A9">
        <w:tab/>
      </w:r>
      <w:r w:rsidR="00091DE6" w:rsidRPr="005B30A9">
        <w:tab/>
      </w:r>
      <w:r w:rsidRPr="005B30A9">
        <w:t>Medidas de política energética</w:t>
      </w:r>
    </w:p>
    <w:p w14:paraId="6B4802EE" w14:textId="28A1F1B7" w:rsidR="009612CC" w:rsidRPr="005B30A9" w:rsidRDefault="009612CC" w:rsidP="009612CC">
      <w:pPr>
        <w:pStyle w:val="SingleTxtG"/>
        <w:rPr>
          <w:bCs/>
        </w:rPr>
      </w:pPr>
      <w:r w:rsidRPr="005B30A9">
        <w:t>208.</w:t>
      </w:r>
      <w:r w:rsidRPr="005B30A9">
        <w:tab/>
        <w:t xml:space="preserve">El programa energético </w:t>
      </w:r>
      <w:r w:rsidRPr="005B30A9">
        <w:rPr>
          <w:i/>
          <w:iCs/>
        </w:rPr>
        <w:t xml:space="preserve">WOHNSCHIRM </w:t>
      </w:r>
      <w:r w:rsidRPr="005B30A9">
        <w:t>del BMSGPK apoya desde principios de</w:t>
      </w:r>
      <w:r w:rsidR="00091DE6" w:rsidRPr="005B30A9">
        <w:t> </w:t>
      </w:r>
      <w:r w:rsidRPr="005B30A9">
        <w:t xml:space="preserve">2023 a las personas que tienen su residencia principal en Austria y tienen o corren el riesgo de tener atrasos en el pago de las facturas de servicios energéticos a raíz del aumento de los costos y no puedan pagarlas sin ayuda. Complementa las prestaciones de los </w:t>
      </w:r>
      <w:r w:rsidRPr="005B30A9">
        <w:rPr>
          <w:i/>
          <w:iCs/>
        </w:rPr>
        <w:t>Länder</w:t>
      </w:r>
      <w:r w:rsidRPr="005B30A9">
        <w:t>, las ciudades y las comunidades locales. Ofrece asesoramiento de trabajadores sociales y apoyo financiero (pago de atrasos en las facturas de servicios energéticos o pagos a tanto alzado para sufragar atrasos inminentes). De enero a octubre de 2023 se aprobaron unas 11.500 solicitudes, lo cual benefició a unas 31.000 personas.</w:t>
      </w:r>
    </w:p>
    <w:p w14:paraId="44A566D4" w14:textId="6BEED4A7" w:rsidR="009612CC" w:rsidRPr="005B30A9" w:rsidRDefault="009612CC" w:rsidP="009612CC">
      <w:pPr>
        <w:pStyle w:val="SingleTxtG"/>
        <w:rPr>
          <w:bCs/>
        </w:rPr>
      </w:pPr>
      <w:r w:rsidRPr="005B30A9">
        <w:t>209.</w:t>
      </w:r>
      <w:r w:rsidRPr="005B30A9">
        <w:tab/>
        <w:t>Asimismo, los hogares cuya calificación crediticia sea baja por problemas en los pagos tienen derecho al suministro de energía básico (</w:t>
      </w:r>
      <w:hyperlink r:id="rId58" w:history="1">
        <w:r w:rsidRPr="005B30A9">
          <w:rPr>
            <w:rStyle w:val="Hipervnculo"/>
          </w:rPr>
          <w:t>Ley del Sector Eléctrico de 2010</w:t>
        </w:r>
      </w:hyperlink>
      <w:r w:rsidRPr="005B30A9">
        <w:t xml:space="preserve"> (</w:t>
      </w:r>
      <w:r w:rsidRPr="005B30A9">
        <w:rPr>
          <w:i/>
          <w:iCs/>
        </w:rPr>
        <w:t>Elektrizitätswirtschafts- und -organisationsgesetz/</w:t>
      </w:r>
      <w:r w:rsidRPr="00B329C9">
        <w:t>ElWOG</w:t>
      </w:r>
      <w:r w:rsidRPr="005B30A9">
        <w:t xml:space="preserve"> 2010), BGBl. I núm. 110/2010, y </w:t>
      </w:r>
      <w:hyperlink r:id="rId59" w:history="1">
        <w:r w:rsidRPr="005B30A9">
          <w:rPr>
            <w:rStyle w:val="Hipervnculo"/>
          </w:rPr>
          <w:t>Ley del Gas de 2011</w:t>
        </w:r>
      </w:hyperlink>
      <w:r w:rsidRPr="005B30A9">
        <w:t xml:space="preserve"> </w:t>
      </w:r>
      <w:r w:rsidRPr="00B329C9">
        <w:rPr>
          <w:i/>
          <w:iCs/>
        </w:rPr>
        <w:t>(</w:t>
      </w:r>
      <w:r w:rsidRPr="005B30A9">
        <w:rPr>
          <w:i/>
          <w:iCs/>
        </w:rPr>
        <w:t>Gaswirtschaftsgesetz</w:t>
      </w:r>
      <w:r w:rsidRPr="00B329C9">
        <w:rPr>
          <w:i/>
          <w:iCs/>
        </w:rPr>
        <w:t>)</w:t>
      </w:r>
      <w:r w:rsidRPr="005B30A9">
        <w:t>, BGBl. I núm. 107/2011). Medidas que garantizan el suministro de energía en condiciones adecuadas:</w:t>
      </w:r>
    </w:p>
    <w:p w14:paraId="18669FD2" w14:textId="2EAE1967" w:rsidR="009612CC" w:rsidRPr="005B30A9" w:rsidRDefault="009612CC" w:rsidP="00091DE6">
      <w:pPr>
        <w:pStyle w:val="Bullet1G"/>
        <w:rPr>
          <w:bCs/>
        </w:rPr>
      </w:pPr>
      <w:r w:rsidRPr="005B30A9">
        <w:t>La tarifa para las personas cuya calificación crediticia sea baja no debe superar la tarifa correspondiente a la mayoría de los hogares</w:t>
      </w:r>
      <w:r w:rsidR="00091DE6" w:rsidRPr="005B30A9">
        <w:t>.</w:t>
      </w:r>
    </w:p>
    <w:p w14:paraId="340DF5BC" w14:textId="7A6B9D66" w:rsidR="009612CC" w:rsidRPr="005B30A9" w:rsidRDefault="009612CC" w:rsidP="00091DE6">
      <w:pPr>
        <w:pStyle w:val="Bullet1G"/>
        <w:rPr>
          <w:bCs/>
        </w:rPr>
      </w:pPr>
      <w:r w:rsidRPr="005B30A9">
        <w:lastRenderedPageBreak/>
        <w:t>Todo pago de una garantía o pago anticipado a los proveedores y los operadores del sistema no deberá superar el importe adeudado por un mes</w:t>
      </w:r>
      <w:r w:rsidR="00091DE6" w:rsidRPr="005B30A9">
        <w:t>.</w:t>
      </w:r>
    </w:p>
    <w:p w14:paraId="1698FADA" w14:textId="5BBFDDF7" w:rsidR="009612CC" w:rsidRPr="005B30A9" w:rsidRDefault="009612CC" w:rsidP="00091DE6">
      <w:pPr>
        <w:pStyle w:val="Bullet1G"/>
        <w:rPr>
          <w:bCs/>
        </w:rPr>
      </w:pPr>
      <w:r w:rsidRPr="005B30A9">
        <w:t>Cuando una persona se compromete a pagar por adelantado el uso y suministro futuros de la red, el operador de esta no deberá desconectar físicamente a dicho cliente</w:t>
      </w:r>
      <w:r w:rsidR="00091DE6" w:rsidRPr="005B30A9">
        <w:t>.</w:t>
      </w:r>
    </w:p>
    <w:p w14:paraId="05DC309A" w14:textId="79427986" w:rsidR="009612CC" w:rsidRPr="005B30A9" w:rsidRDefault="009612CC" w:rsidP="00091DE6">
      <w:pPr>
        <w:pStyle w:val="Bullet1G"/>
        <w:rPr>
          <w:bCs/>
        </w:rPr>
      </w:pPr>
      <w:r w:rsidRPr="005B30A9">
        <w:t>Las deudas preexistentes deberán cobrarse independientemente del servicio universal</w:t>
      </w:r>
      <w:r w:rsidR="00091DE6" w:rsidRPr="005B30A9">
        <w:t>.</w:t>
      </w:r>
    </w:p>
    <w:p w14:paraId="6B412849" w14:textId="6B77F9E3" w:rsidR="009612CC" w:rsidRPr="005B30A9" w:rsidRDefault="009612CC" w:rsidP="00091DE6">
      <w:pPr>
        <w:pStyle w:val="Bullet1G"/>
        <w:rPr>
          <w:bCs/>
        </w:rPr>
      </w:pPr>
      <w:r w:rsidRPr="005B30A9">
        <w:t>Tres recordatorios a los consumidores antes de proceder a la desconexión, nunca antes de un fin de semana o festivo (procedimiento de recordatorio para pagos cualificados)</w:t>
      </w:r>
      <w:r w:rsidR="00091DE6" w:rsidRPr="005B30A9">
        <w:t>.</w:t>
      </w:r>
    </w:p>
    <w:p w14:paraId="3DB35608" w14:textId="2FCF12F9" w:rsidR="009612CC" w:rsidRPr="005B30A9" w:rsidRDefault="009612CC" w:rsidP="00091DE6">
      <w:pPr>
        <w:pStyle w:val="Bullet1G"/>
        <w:rPr>
          <w:bCs/>
        </w:rPr>
      </w:pPr>
      <w:r w:rsidRPr="005B30A9">
        <w:t>El regulador debe fijar tarifas adecuadas para los recordatorios de pago y para proceder a la conexión o la desconexión</w:t>
      </w:r>
      <w:r w:rsidR="00091DE6" w:rsidRPr="005B30A9">
        <w:t>.</w:t>
      </w:r>
    </w:p>
    <w:p w14:paraId="23F83EC2" w14:textId="77777777" w:rsidR="009612CC" w:rsidRPr="005B30A9" w:rsidRDefault="009612CC" w:rsidP="00091DE6">
      <w:pPr>
        <w:pStyle w:val="Bullet1G"/>
        <w:rPr>
          <w:bCs/>
        </w:rPr>
      </w:pPr>
      <w:r w:rsidRPr="005B30A9">
        <w:t>Uso optativo de contadores de prepago.</w:t>
      </w:r>
    </w:p>
    <w:p w14:paraId="058C67C1" w14:textId="50CAD776" w:rsidR="009612CC" w:rsidRPr="005B30A9" w:rsidRDefault="009612CC" w:rsidP="009612CC">
      <w:pPr>
        <w:pStyle w:val="SingleTxtG"/>
        <w:rPr>
          <w:bCs/>
        </w:rPr>
      </w:pPr>
      <w:r w:rsidRPr="005B30A9">
        <w:t>210.</w:t>
      </w:r>
      <w:r w:rsidRPr="005B30A9">
        <w:tab/>
        <w:t>En 2023, los costos de contratación por pérdidas en la red aumentaron notablemente con el incremento del precio de la electricidad al por mayor. De ese modo, en 2023 el presupuesto federal sufragó una tasa por pérdidas en la red (art</w:t>
      </w:r>
      <w:r w:rsidR="00B329C9">
        <w:t>.</w:t>
      </w:r>
      <w:r w:rsidRPr="005B30A9">
        <w:t xml:space="preserve"> 53 de la ElWOG de</w:t>
      </w:r>
      <w:r w:rsidR="00091DE6" w:rsidRPr="005B30A9">
        <w:t> </w:t>
      </w:r>
      <w:r w:rsidRPr="005B30A9">
        <w:t>2010) de 186 euros por kWh, lo que redujo los costos adicionales de un hogar medio (3.500 kWh al año) de unos 9 euros al mes a unos 2 euros al mes.</w:t>
      </w:r>
    </w:p>
    <w:p w14:paraId="76751154" w14:textId="77777777" w:rsidR="009612CC" w:rsidRPr="005B30A9" w:rsidRDefault="009612CC" w:rsidP="009612CC">
      <w:pPr>
        <w:pStyle w:val="SingleTxtG"/>
        <w:rPr>
          <w:bCs/>
        </w:rPr>
      </w:pPr>
      <w:r w:rsidRPr="005B30A9">
        <w:t>211.</w:t>
      </w:r>
      <w:r w:rsidRPr="005B30A9">
        <w:tab/>
        <w:t>Las subvenciones de los costos de la electricidad y la red mitigarán asimismo las subidas de los precios. Del 1 de diciembre de 2022 al 30 de junio de 2024, el precio de la electricidad para los hogares (precio de la energía, excluidos los cargos por utilización de la red, los impuestos o tasas y los gravámenes) correspondiente a niveles de consumo de hasta 2.900 kWh al año está limitado a 0,10 euros por kWh. El presupuesto federal reembolsa a los proveedores la diferencia hasta un precio de 0,40 euros por kWh. Los hogares integrados por varias personas perciben una subvención complementaria. Los hogares exentos del pago de derechos de licencia de radiodifusión reciben una subvención adicional por los costos del sistema del 75 % de las tarifas de utilización del sistema del operador de la red (con un límite de 200 euros al año).</w:t>
      </w:r>
    </w:p>
    <w:p w14:paraId="0426C8E4" w14:textId="44610540" w:rsidR="009612CC" w:rsidRPr="005B30A9" w:rsidRDefault="00091DE6" w:rsidP="00091DE6">
      <w:pPr>
        <w:pStyle w:val="H4G"/>
      </w:pPr>
      <w:r w:rsidRPr="005B30A9">
        <w:tab/>
      </w:r>
      <w:r w:rsidR="009612CC" w:rsidRPr="005B30A9">
        <w:tab/>
        <w:t>Medidas ilustrativas de los Länder</w:t>
      </w:r>
    </w:p>
    <w:p w14:paraId="5EF59297" w14:textId="687B2F24" w:rsidR="009612CC" w:rsidRPr="005B30A9" w:rsidRDefault="009612CC" w:rsidP="009612CC">
      <w:pPr>
        <w:pStyle w:val="SingleTxtG"/>
        <w:rPr>
          <w:bCs/>
        </w:rPr>
      </w:pPr>
      <w:r w:rsidRPr="005B30A9">
        <w:t>212.</w:t>
      </w:r>
      <w:r w:rsidRPr="005B30A9">
        <w:tab/>
        <w:t xml:space="preserve">Subsidio de calefacción para los hogares con ingresos bajos (único o para el </w:t>
      </w:r>
      <w:r w:rsidR="00871746">
        <w:t>período</w:t>
      </w:r>
      <w:r w:rsidRPr="005B30A9">
        <w:t xml:space="preserve"> de calefacción) (Salzburgo, Vorarlberg); apoyo financiero para sufragar los costos energéticos de las personas socialmente vulnerables (Viena).</w:t>
      </w:r>
    </w:p>
    <w:p w14:paraId="0E059ACD" w14:textId="39CD3B45" w:rsidR="009612CC" w:rsidRPr="005B30A9" w:rsidRDefault="00091DE6" w:rsidP="00091DE6">
      <w:pPr>
        <w:pStyle w:val="H1G"/>
      </w:pPr>
      <w:r w:rsidRPr="005B30A9">
        <w:tab/>
      </w:r>
      <w:r w:rsidR="009612CC" w:rsidRPr="005B30A9">
        <w:tab/>
        <w:t>Respuesta al párrafo 25 de la lista de cuestiones</w:t>
      </w:r>
    </w:p>
    <w:p w14:paraId="08106C30" w14:textId="2CFBA6FE" w:rsidR="009612CC" w:rsidRPr="005B30A9" w:rsidRDefault="00091DE6" w:rsidP="00091DE6">
      <w:pPr>
        <w:pStyle w:val="H23G"/>
      </w:pPr>
      <w:r w:rsidRPr="005B30A9">
        <w:tab/>
      </w:r>
      <w:r w:rsidR="009612CC" w:rsidRPr="005B30A9">
        <w:tab/>
        <w:t>Aplicación del Plan de Acción Nacional en materia de Nutrición</w:t>
      </w:r>
    </w:p>
    <w:p w14:paraId="79132C60" w14:textId="2CF9B0B3" w:rsidR="009612CC" w:rsidRPr="005B30A9" w:rsidRDefault="009612CC" w:rsidP="009612CC">
      <w:pPr>
        <w:pStyle w:val="SingleTxtG"/>
        <w:rPr>
          <w:bCs/>
        </w:rPr>
      </w:pPr>
      <w:r w:rsidRPr="005B30A9">
        <w:t>213.</w:t>
      </w:r>
      <w:r w:rsidRPr="005B30A9">
        <w:tab/>
        <w:t>Casi está terminada la actualización del Plan de Acción Nacional en materia de Nutrición. Sobre la base de los resultados del grupo de trabajo sobre la meta sanitaria 7 (“Una alimentación sana para todos”), se han definido nuevas metas y medidas para promover la alimentación sana haciendo hincapié, entre otras cosas, en los servicios de comedores institucionales, que facilitan el acceso a comidas de calidad a costo bajo. En consecuencia, desde 2019 se han formulado normas de calidad para los servicios de comedores de las guarderías, las escuelas y los centros residenciales y de cuidado de personas mayores.</w:t>
      </w:r>
    </w:p>
    <w:p w14:paraId="6F9A4EE4" w14:textId="7FC37675" w:rsidR="009612CC" w:rsidRPr="005B30A9" w:rsidRDefault="009612CC" w:rsidP="00091DE6">
      <w:pPr>
        <w:pStyle w:val="H4G"/>
      </w:pPr>
      <w:r w:rsidRPr="005B30A9">
        <w:tab/>
      </w:r>
      <w:r w:rsidR="00091DE6" w:rsidRPr="005B30A9">
        <w:tab/>
      </w:r>
      <w:r w:rsidRPr="005B30A9">
        <w:t>Medidas ilustrativas de los Länder</w:t>
      </w:r>
    </w:p>
    <w:p w14:paraId="0DD16FF3" w14:textId="3769448F" w:rsidR="009612CC" w:rsidRPr="005B30A9" w:rsidRDefault="009612CC" w:rsidP="009612CC">
      <w:pPr>
        <w:pStyle w:val="SingleTxtG"/>
        <w:rPr>
          <w:bCs/>
        </w:rPr>
      </w:pPr>
      <w:r w:rsidRPr="005B30A9">
        <w:t>214.</w:t>
      </w:r>
      <w:r w:rsidRPr="005B30A9">
        <w:tab/>
        <w:t xml:space="preserve">Carintia: apoyo a los servicios de comedores institucionales para que ofrezcan la mejor alimentación posible (iniciativa </w:t>
      </w:r>
      <w:r w:rsidRPr="00F12E80">
        <w:rPr>
          <w:i/>
          <w:iCs/>
        </w:rPr>
        <w:t>“</w:t>
      </w:r>
      <w:r w:rsidRPr="005B30A9">
        <w:rPr>
          <w:i/>
          <w:iCs/>
        </w:rPr>
        <w:t>Gesunde Küche</w:t>
      </w:r>
      <w:r w:rsidRPr="00F12E80">
        <w:rPr>
          <w:i/>
          <w:iCs/>
        </w:rPr>
        <w:t>”</w:t>
      </w:r>
      <w:r w:rsidRPr="005B30A9">
        <w:t xml:space="preserve">); proyecto </w:t>
      </w:r>
      <w:r w:rsidRPr="00F12E80">
        <w:rPr>
          <w:i/>
          <w:iCs/>
        </w:rPr>
        <w:t>“</w:t>
      </w:r>
      <w:r w:rsidRPr="005B30A9">
        <w:rPr>
          <w:i/>
          <w:iCs/>
        </w:rPr>
        <w:t>Gesunde Schuljause</w:t>
      </w:r>
      <w:r w:rsidRPr="00F12E80">
        <w:rPr>
          <w:i/>
          <w:iCs/>
        </w:rPr>
        <w:t>”</w:t>
      </w:r>
      <w:r w:rsidRPr="005B30A9">
        <w:t>.</w:t>
      </w:r>
    </w:p>
    <w:p w14:paraId="36C07F24" w14:textId="5D05DC16" w:rsidR="009612CC" w:rsidRPr="005B30A9" w:rsidRDefault="009612CC" w:rsidP="009612CC">
      <w:pPr>
        <w:pStyle w:val="SingleTxtG"/>
        <w:rPr>
          <w:bCs/>
        </w:rPr>
      </w:pPr>
      <w:r w:rsidRPr="005B30A9">
        <w:t>215.</w:t>
      </w:r>
      <w:r w:rsidRPr="005B30A9">
        <w:tab/>
        <w:t xml:space="preserve">Estiria: trabajo de relaciones públicas (incluida la campaña de promoción de las hortalizas </w:t>
      </w:r>
      <w:r w:rsidRPr="00F12E80">
        <w:rPr>
          <w:i/>
          <w:iCs/>
        </w:rPr>
        <w:t>“</w:t>
      </w:r>
      <w:r w:rsidRPr="005B30A9">
        <w:rPr>
          <w:i/>
          <w:iCs/>
        </w:rPr>
        <w:t>Sei amol g</w:t>
      </w:r>
      <w:r w:rsidR="00F12E80">
        <w:rPr>
          <w:i/>
          <w:iCs/>
        </w:rPr>
        <w:t>’</w:t>
      </w:r>
      <w:r w:rsidRPr="005B30A9">
        <w:rPr>
          <w:i/>
          <w:iCs/>
        </w:rPr>
        <w:t>miasig</w:t>
      </w:r>
      <w:r w:rsidRPr="00F12E80">
        <w:rPr>
          <w:i/>
          <w:iCs/>
        </w:rPr>
        <w:t>”</w:t>
      </w:r>
      <w:r w:rsidRPr="005B30A9">
        <w:t>); normas mínimas para los servicios de comedores institucionales (en particular, mediante financiación, asesoramiento, capacitación y premios para los bufés escolares); asesoramiento nutricional gratuito dirigido a las personas desfavorecidas socioeconómicamente (</w:t>
      </w:r>
      <w:r w:rsidRPr="005B30A9">
        <w:rPr>
          <w:i/>
          <w:iCs/>
        </w:rPr>
        <w:t>GEMEINSAM G</w:t>
      </w:r>
      <w:r w:rsidR="00F12E80">
        <w:rPr>
          <w:i/>
          <w:iCs/>
        </w:rPr>
        <w:t>’</w:t>
      </w:r>
      <w:r w:rsidRPr="005B30A9">
        <w:rPr>
          <w:i/>
          <w:iCs/>
        </w:rPr>
        <w:t xml:space="preserve">SUND GENIESSEN </w:t>
      </w:r>
      <w:r w:rsidR="00F12E80">
        <w:rPr>
          <w:i/>
          <w:iCs/>
        </w:rPr>
        <w:t>–</w:t>
      </w:r>
      <w:r w:rsidRPr="005B30A9">
        <w:rPr>
          <w:i/>
          <w:iCs/>
        </w:rPr>
        <w:t xml:space="preserve"> daheim und unterwegs</w:t>
      </w:r>
      <w:r w:rsidRPr="005B30A9">
        <w:t>).</w:t>
      </w:r>
    </w:p>
    <w:p w14:paraId="11DA54F5" w14:textId="08A453D4" w:rsidR="009612CC" w:rsidRPr="005B30A9" w:rsidRDefault="009612CC" w:rsidP="00091DE6">
      <w:pPr>
        <w:pStyle w:val="H1G"/>
      </w:pPr>
      <w:r w:rsidRPr="005B30A9">
        <w:lastRenderedPageBreak/>
        <w:tab/>
      </w:r>
      <w:r w:rsidR="00091DE6" w:rsidRPr="005B30A9">
        <w:tab/>
      </w:r>
      <w:r w:rsidRPr="005B30A9">
        <w:t>Respuesta al párrafo 26 de la lista de cuestiones</w:t>
      </w:r>
    </w:p>
    <w:p w14:paraId="7FF9FC6A" w14:textId="44D917AD" w:rsidR="009612CC" w:rsidRPr="005B30A9" w:rsidRDefault="009612CC" w:rsidP="00091DE6">
      <w:pPr>
        <w:pStyle w:val="H23G"/>
      </w:pPr>
      <w:r w:rsidRPr="005B30A9">
        <w:tab/>
      </w:r>
      <w:r w:rsidR="00091DE6" w:rsidRPr="005B30A9">
        <w:tab/>
      </w:r>
      <w:r w:rsidRPr="005B30A9">
        <w:t>Lucha contra el desempleo y la pobreza de las mujeres en las zonas rurales</w:t>
      </w:r>
    </w:p>
    <w:p w14:paraId="34555E4D" w14:textId="55777639" w:rsidR="009612CC" w:rsidRPr="005B30A9" w:rsidRDefault="009612CC" w:rsidP="009612CC">
      <w:pPr>
        <w:pStyle w:val="SingleTxtG"/>
        <w:rPr>
          <w:bCs/>
        </w:rPr>
      </w:pPr>
      <w:r w:rsidRPr="005B30A9">
        <w:t>216.</w:t>
      </w:r>
      <w:r w:rsidRPr="005B30A9">
        <w:tab/>
        <w:t>El plan estratégico nacional 2023-2027 para la aplicación de la Política Agrícola Común de la Unión Europea cuenta con un presupuesto de unos 1.700 millones de euros anuales. Uno de los objetivos, el de “promover el empleo, el crecimiento, la igualdad de género —incluida la participación de las mujeres en la agricultura—, la inclusión social y el desarrollo local en las zonas rurales, así como la bioeconomía circular y la silvicultura sostenible”, se persigue mediante medidas como las siguientes:</w:t>
      </w:r>
    </w:p>
    <w:p w14:paraId="4A0F8A1C" w14:textId="11580B5D" w:rsidR="009612CC" w:rsidRPr="005B30A9" w:rsidRDefault="009612CC" w:rsidP="00091DE6">
      <w:pPr>
        <w:pStyle w:val="Bullet1G"/>
        <w:rPr>
          <w:bCs/>
        </w:rPr>
      </w:pPr>
      <w:r w:rsidRPr="005B30A9">
        <w:t>Unos 65 millones de euros destinados a inversiones en servicios sociales en las zonas rurales, incluidos servicios de guardería, atención de personas mayores y cuidados y centros y viviendas para las personas en situaciones especialmente apuradas que necesiten cuidados y vivienda; en 2014-2022 se aplicó una medida semejante</w:t>
      </w:r>
      <w:r w:rsidR="00091DE6" w:rsidRPr="005B30A9">
        <w:t>.</w:t>
      </w:r>
    </w:p>
    <w:p w14:paraId="513241B7" w14:textId="502E1C72" w:rsidR="009612CC" w:rsidRPr="005B30A9" w:rsidRDefault="009612CC" w:rsidP="00091DE6">
      <w:pPr>
        <w:pStyle w:val="Bullet1G"/>
        <w:rPr>
          <w:bCs/>
        </w:rPr>
      </w:pPr>
      <w:r w:rsidRPr="005B30A9">
        <w:t>LEADER: mediante proyectos (muchos de ellos relativos a la participación de las mujeres en la política y la sociedad) seleccionados por organismos con una proporción obligatoria de mujeres del 40 % se aplican estrategias de desarrollo local</w:t>
      </w:r>
      <w:r w:rsidR="00091DE6" w:rsidRPr="005B30A9">
        <w:t>.</w:t>
      </w:r>
    </w:p>
    <w:p w14:paraId="100FF8C1" w14:textId="72E08F76" w:rsidR="009612CC" w:rsidRPr="005B30A9" w:rsidRDefault="009612CC" w:rsidP="00091DE6">
      <w:pPr>
        <w:pStyle w:val="Bullet1G"/>
        <w:rPr>
          <w:bCs/>
        </w:rPr>
      </w:pPr>
      <w:r w:rsidRPr="005B30A9">
        <w:t xml:space="preserve">Grupo de trabajo sobre igualdad de género: agrupa a diversas partes interesadas (ONG, ministerios federales, </w:t>
      </w:r>
      <w:r w:rsidRPr="005B30A9">
        <w:rPr>
          <w:i/>
          <w:iCs/>
        </w:rPr>
        <w:t>Länder</w:t>
      </w:r>
      <w:r w:rsidRPr="005B30A9">
        <w:t>, agentes del desarrollo regional) y promueve la igualdad de género en las zonas rurales mediante medidas como el aporte de material informativo, capacitación y actos</w:t>
      </w:r>
      <w:r w:rsidR="00091DE6" w:rsidRPr="005B30A9">
        <w:t>.</w:t>
      </w:r>
    </w:p>
    <w:p w14:paraId="4FC6AD79" w14:textId="77777777" w:rsidR="009612CC" w:rsidRPr="005B30A9" w:rsidRDefault="009612CC" w:rsidP="00091DE6">
      <w:pPr>
        <w:pStyle w:val="Bullet1G"/>
        <w:rPr>
          <w:bCs/>
        </w:rPr>
      </w:pPr>
      <w:r w:rsidRPr="005B30A9">
        <w:t>El Índice de Género, introducido en 2011, presenta las diferencias basadas en el género en relación con la educación, la participación en el mercado laboral y los ingresos. Está integrado por 11 indicadores, cataloga la igualdad de oportunidades entre hombres y mujeres, o la falta de ella, a nivel regional y permite extraer conclusiones sobre las distintas condiciones económicas de los hombres y las mujeres a lo largo de un decenio (recopilación de datos desde 2006). Los datos sirven de base a una acción política centrada en objetivos concretos.</w:t>
      </w:r>
    </w:p>
    <w:p w14:paraId="13F9DEFD" w14:textId="77777777" w:rsidR="009612CC" w:rsidRPr="005B30A9" w:rsidRDefault="009612CC" w:rsidP="009612CC">
      <w:pPr>
        <w:pStyle w:val="SingleTxtG"/>
        <w:rPr>
          <w:bCs/>
        </w:rPr>
      </w:pPr>
      <w:r w:rsidRPr="005B30A9">
        <w:t>217.</w:t>
      </w:r>
      <w:r w:rsidRPr="005B30A9">
        <w:tab/>
        <w:t>A través de una convocatoria, el BKA financia proyectos de empoderamiento de las mujeres y niñas en tiempos difíciles que se centran en las mujeres mayores de 60 años y abarcan las regiones rurales (ejecución: de octubre de 2023 a finales de 2024, con un presupuesto de 1,1 millones de euros)</w:t>
      </w:r>
      <w:r w:rsidRPr="005B30A9">
        <w:rPr>
          <w:rStyle w:val="Refdenotaalpie"/>
        </w:rPr>
        <w:footnoteReference w:id="45"/>
      </w:r>
      <w:r w:rsidRPr="005B30A9">
        <w:t>.</w:t>
      </w:r>
    </w:p>
    <w:p w14:paraId="73EC5631" w14:textId="2BEC8500" w:rsidR="009612CC" w:rsidRPr="005B30A9" w:rsidRDefault="00091DE6" w:rsidP="00091DE6">
      <w:pPr>
        <w:pStyle w:val="H4G"/>
      </w:pPr>
      <w:r w:rsidRPr="005B30A9">
        <w:tab/>
      </w:r>
      <w:r w:rsidR="009612CC" w:rsidRPr="005B30A9">
        <w:tab/>
        <w:t>Medidas ilustrativas de los Länder</w:t>
      </w:r>
    </w:p>
    <w:p w14:paraId="4CB37E2D" w14:textId="5654F8BC" w:rsidR="009612CC" w:rsidRPr="005B30A9" w:rsidRDefault="009612CC" w:rsidP="009612CC">
      <w:pPr>
        <w:pStyle w:val="SingleTxtG"/>
        <w:rPr>
          <w:bCs/>
        </w:rPr>
      </w:pPr>
      <w:r w:rsidRPr="005B30A9">
        <w:t>218.</w:t>
      </w:r>
      <w:r w:rsidRPr="005B30A9">
        <w:tab/>
        <w:t xml:space="preserve">Vorarlberg: véanse </w:t>
      </w:r>
      <w:r w:rsidRPr="00104DCB">
        <w:rPr>
          <w:i/>
          <w:iCs/>
        </w:rPr>
        <w:t>“Regio-V Regionalenticklung Vorarlberg”</w:t>
      </w:r>
      <w:r w:rsidRPr="005B30A9">
        <w:rPr>
          <w:rStyle w:val="Refdenotaalpie"/>
        </w:rPr>
        <w:footnoteReference w:id="46"/>
      </w:r>
      <w:r w:rsidRPr="005B30A9">
        <w:t xml:space="preserve"> y </w:t>
      </w:r>
      <w:r w:rsidRPr="00104DCB">
        <w:rPr>
          <w:i/>
          <w:iCs/>
        </w:rPr>
        <w:t>“Vorderland-Walgau-Bludenz”</w:t>
      </w:r>
      <w:r w:rsidRPr="005B30A9">
        <w:rPr>
          <w:rStyle w:val="Refdenotaalpie"/>
        </w:rPr>
        <w:footnoteReference w:id="47"/>
      </w:r>
      <w:r w:rsidRPr="005B30A9">
        <w:t>; financiación para instituciones que crean conciencia sobre el tema del cambio de roles en el marco del plan de acción regional 2019-2023 a favor de la igualdad de género en las zonas rurales.</w:t>
      </w:r>
    </w:p>
    <w:p w14:paraId="1CFC5F3D" w14:textId="37DCCC12" w:rsidR="009612CC" w:rsidRPr="005B30A9" w:rsidRDefault="009612CC" w:rsidP="009612CC">
      <w:pPr>
        <w:pStyle w:val="SingleTxtG"/>
        <w:rPr>
          <w:bCs/>
        </w:rPr>
      </w:pPr>
      <w:r w:rsidRPr="005B30A9">
        <w:t>219.</w:t>
      </w:r>
      <w:r w:rsidRPr="005B30A9">
        <w:tab/>
        <w:t>Salzburgo: es importante la regionalización de los servicios y ofertas cuando se financian medidas de promoción de las mujeres impulsadas por organizaciones independientes.</w:t>
      </w:r>
    </w:p>
    <w:p w14:paraId="18DE674D" w14:textId="5056705C" w:rsidR="009612CC" w:rsidRPr="005B30A9" w:rsidRDefault="009612CC" w:rsidP="009612CC">
      <w:pPr>
        <w:pStyle w:val="SingleTxtG"/>
        <w:rPr>
          <w:bCs/>
        </w:rPr>
      </w:pPr>
      <w:r w:rsidRPr="005B30A9">
        <w:t>220.</w:t>
      </w:r>
      <w:r w:rsidRPr="005B30A9">
        <w:tab/>
        <w:t xml:space="preserve">Carintia: proyecto de apoyo a las mujeres de las zonas rurales para prevenir la pobreza laboral </w:t>
      </w:r>
      <w:r w:rsidRPr="00104DCB">
        <w:rPr>
          <w:i/>
          <w:iCs/>
        </w:rPr>
        <w:t xml:space="preserve">(“Kick up </w:t>
      </w:r>
      <w:r w:rsidR="00104DCB" w:rsidRPr="00104DCB">
        <w:rPr>
          <w:i/>
          <w:iCs/>
        </w:rPr>
        <w:t>–</w:t>
      </w:r>
      <w:r w:rsidRPr="00104DCB">
        <w:rPr>
          <w:i/>
          <w:iCs/>
        </w:rPr>
        <w:t xml:space="preserve"> One Stop für berufliche Stabilität”)</w:t>
      </w:r>
      <w:r w:rsidRPr="005B30A9">
        <w:t xml:space="preserve">. </w:t>
      </w:r>
    </w:p>
    <w:p w14:paraId="272DBB08" w14:textId="71F4B1FF" w:rsidR="009612CC" w:rsidRPr="005B30A9" w:rsidRDefault="009612CC" w:rsidP="00091DE6">
      <w:pPr>
        <w:pStyle w:val="H23G"/>
      </w:pPr>
      <w:r w:rsidRPr="005B30A9">
        <w:lastRenderedPageBreak/>
        <w:tab/>
      </w:r>
      <w:r w:rsidR="00091DE6" w:rsidRPr="005B30A9">
        <w:tab/>
      </w:r>
      <w:r w:rsidRPr="005B30A9">
        <w:t xml:space="preserve">Aumento de la representación de mujeres en los órganos decisorios rurales </w:t>
      </w:r>
      <w:r w:rsidR="00091DE6" w:rsidRPr="005B30A9">
        <w:br/>
      </w:r>
      <w:r w:rsidRPr="005B30A9">
        <w:t>y agrícolas</w:t>
      </w:r>
    </w:p>
    <w:p w14:paraId="206CF561" w14:textId="77777777" w:rsidR="009612CC" w:rsidRPr="005B30A9" w:rsidRDefault="009612CC" w:rsidP="00104DCB">
      <w:pPr>
        <w:pStyle w:val="SingleTxtG"/>
        <w:keepNext/>
        <w:keepLines/>
        <w:rPr>
          <w:bCs/>
        </w:rPr>
      </w:pPr>
      <w:r w:rsidRPr="005B30A9">
        <w:t>221.</w:t>
      </w:r>
      <w:r w:rsidRPr="005B30A9">
        <w:tab/>
        <w:t xml:space="preserve">Cabe citar medidas como las siguientes: </w:t>
      </w:r>
    </w:p>
    <w:p w14:paraId="0F0E4B0E" w14:textId="6B2925CA" w:rsidR="009612CC" w:rsidRPr="005B30A9" w:rsidRDefault="009612CC" w:rsidP="00091DE6">
      <w:pPr>
        <w:pStyle w:val="Bullet1G"/>
        <w:rPr>
          <w:bCs/>
        </w:rPr>
      </w:pPr>
      <w:r w:rsidRPr="005B30A9">
        <w:t>LEADER (véase la anterior respuesta a la pregunta 26)</w:t>
      </w:r>
      <w:r w:rsidR="00091DE6" w:rsidRPr="005B30A9">
        <w:t>.</w:t>
      </w:r>
    </w:p>
    <w:p w14:paraId="32621022" w14:textId="7FB0A42C" w:rsidR="009612CC" w:rsidRPr="005B30A9" w:rsidRDefault="009612CC" w:rsidP="00091DE6">
      <w:pPr>
        <w:pStyle w:val="Bullet1G"/>
        <w:rPr>
          <w:bCs/>
        </w:rPr>
      </w:pPr>
      <w:r w:rsidRPr="005B30A9">
        <w:t>Medidas adoptadas por el grupo de trabajo sobre igualdad de género (véase la anterior respuesta a la pregunta 26), incluida la producción de un vídeo sobre la diversidad en los ayuntamientos y otros órganos</w:t>
      </w:r>
      <w:r w:rsidRPr="005B30A9">
        <w:rPr>
          <w:rStyle w:val="Refdenotaalpie"/>
        </w:rPr>
        <w:footnoteReference w:id="48"/>
      </w:r>
      <w:r w:rsidR="00091DE6" w:rsidRPr="005B30A9">
        <w:t>.</w:t>
      </w:r>
    </w:p>
    <w:p w14:paraId="7711BD18" w14:textId="77777777" w:rsidR="009612CC" w:rsidRPr="005B30A9" w:rsidRDefault="009612CC" w:rsidP="00091DE6">
      <w:pPr>
        <w:pStyle w:val="Bullet1G"/>
        <w:rPr>
          <w:bCs/>
        </w:rPr>
      </w:pPr>
      <w:r w:rsidRPr="005B30A9">
        <w:t>Carta para la igualdad de género en los órganos de representación en la agricultura y la silvicultura</w:t>
      </w:r>
      <w:r w:rsidRPr="005B30A9">
        <w:rPr>
          <w:rStyle w:val="Refdenotaalpie"/>
        </w:rPr>
        <w:footnoteReference w:id="49"/>
      </w:r>
      <w:r w:rsidRPr="005B30A9">
        <w:t>, suscrita por numerosas organizaciones de estos sectores con el objeto de que las mujeres tengan una presencia de al menos el 30 % en dichos órganos de representación.</w:t>
      </w:r>
    </w:p>
    <w:p w14:paraId="7E902C43" w14:textId="36973780" w:rsidR="009612CC" w:rsidRPr="005B30A9" w:rsidRDefault="009612CC" w:rsidP="00091DE6">
      <w:pPr>
        <w:pStyle w:val="H1G"/>
      </w:pPr>
      <w:r w:rsidRPr="005B30A9">
        <w:tab/>
      </w:r>
      <w:r w:rsidR="00091DE6" w:rsidRPr="005B30A9">
        <w:tab/>
      </w:r>
      <w:r w:rsidRPr="005B30A9">
        <w:t>Respuesta al párrafo 27 de la lista de cuestiones</w:t>
      </w:r>
    </w:p>
    <w:p w14:paraId="7BFF11EE" w14:textId="3F587B85" w:rsidR="009612CC" w:rsidRPr="005B30A9" w:rsidRDefault="009612CC" w:rsidP="00091DE6">
      <w:pPr>
        <w:pStyle w:val="H23G"/>
      </w:pPr>
      <w:r w:rsidRPr="005B30A9">
        <w:tab/>
      </w:r>
      <w:r w:rsidR="00091DE6" w:rsidRPr="005B30A9">
        <w:tab/>
      </w:r>
      <w:r w:rsidRPr="005B30A9">
        <w:t>Atención de la demanda en aumento de personal médico</w:t>
      </w:r>
    </w:p>
    <w:p w14:paraId="035FC097" w14:textId="77777777" w:rsidR="009612CC" w:rsidRPr="005B30A9" w:rsidRDefault="009612CC" w:rsidP="009612CC">
      <w:pPr>
        <w:pStyle w:val="SingleTxtG"/>
        <w:rPr>
          <w:bCs/>
        </w:rPr>
      </w:pPr>
      <w:r w:rsidRPr="005B30A9">
        <w:t>222.</w:t>
      </w:r>
      <w:r w:rsidRPr="005B30A9">
        <w:tab/>
        <w:t>El acceso a la asistencia sanitaria en Austria goza de un reconocimiento internacional positivo. Son escasas las diferencias entre distintos grupos de ingresos en cuanto a la atención médica. La densidad de médicos es una de las más altas de Europa.</w:t>
      </w:r>
    </w:p>
    <w:p w14:paraId="0B6C0E57" w14:textId="3DE2732C" w:rsidR="009612CC" w:rsidRPr="005B30A9" w:rsidRDefault="009612CC" w:rsidP="009612CC">
      <w:pPr>
        <w:pStyle w:val="SingleTxtG"/>
        <w:rPr>
          <w:bCs/>
        </w:rPr>
      </w:pPr>
      <w:r w:rsidRPr="005B30A9">
        <w:t>223.</w:t>
      </w:r>
      <w:r w:rsidRPr="005B30A9">
        <w:tab/>
        <w:t>La reforma sanitaria en curso garantizará y ampliará a largo plazo la facilidad de acceso a la asistencia sanitaria en función de las necesidades y garantizará una calidad alta. La escasez de profesionales no se debe necesariamente a la falta de personal, sino a muchos factores, entre ellos, el crecimiento de una población que envejece, el paso de las enfermedades agudas a variantes crónicas, deficiencias organizativas (sobre todo en la distribución, es decir, una escasez excesiva de médicos en un sistema sanitario de carácter solidario), la orientación errónea de los flujos de pacientes, desequilibrios regionales (zonas urbanas frente a zonas rurales) y el deseo de los profesionales sanitarios de una conciliación satisfactoria de la vida laboral y personal. Cabe citar medidas como las siguientes:</w:t>
      </w:r>
    </w:p>
    <w:p w14:paraId="4B6EDCE5" w14:textId="70B207D4" w:rsidR="009612CC" w:rsidRPr="005B30A9" w:rsidRDefault="009612CC" w:rsidP="00091DE6">
      <w:pPr>
        <w:pStyle w:val="Bullet1G"/>
        <w:rPr>
          <w:bCs/>
        </w:rPr>
      </w:pPr>
      <w:r w:rsidRPr="005B30A9">
        <w:t>Fortalecimiento y ampliación de la atención primaria mediante centros de atención primaria multiprofesionales e interdisciplinarios que ofrezcan una gama más amplia de servicios y mejores horarios de apertura y guardia. Ya funcionan en todo el país 50 de los 75 centros previstos</w:t>
      </w:r>
      <w:r w:rsidR="00091DE6" w:rsidRPr="005B30A9">
        <w:t>.</w:t>
      </w:r>
    </w:p>
    <w:p w14:paraId="771D2D5B" w14:textId="4283B1C9" w:rsidR="009612CC" w:rsidRPr="005B30A9" w:rsidRDefault="009612CC" w:rsidP="00091DE6">
      <w:pPr>
        <w:pStyle w:val="Bullet1G"/>
        <w:rPr>
          <w:bCs/>
        </w:rPr>
      </w:pPr>
      <w:r w:rsidRPr="005B30A9">
        <w:t>Dotar de mayor atractivo a la medicina general, en particular mediante incentivos financieros y el fortalecimiento del papel de los médicos de familia en la cadena de suministro de la atención sanitaria, y reforzar su consideración mediante la creación de una nueva especialidad médica en medicina general y de familia</w:t>
      </w:r>
      <w:r w:rsidR="00091DE6" w:rsidRPr="005B30A9">
        <w:t>.</w:t>
      </w:r>
    </w:p>
    <w:p w14:paraId="3561F90A" w14:textId="77777777" w:rsidR="009612CC" w:rsidRPr="005B30A9" w:rsidRDefault="009612CC" w:rsidP="00091DE6">
      <w:pPr>
        <w:pStyle w:val="Bullet1G"/>
        <w:rPr>
          <w:bCs/>
        </w:rPr>
      </w:pPr>
      <w:r w:rsidRPr="005B30A9">
        <w:t>Fortalecimiento del sistema sanitario público de carácter solidario, incluida la oferta de condiciones atractivas para que sea suficiente el número de médicos dispuestos a trabajar en el sistema sanitario público.</w:t>
      </w:r>
    </w:p>
    <w:p w14:paraId="0A9BCD94" w14:textId="77777777" w:rsidR="009612CC" w:rsidRPr="005B30A9" w:rsidRDefault="009612CC" w:rsidP="009612CC">
      <w:pPr>
        <w:pStyle w:val="SingleTxtG"/>
        <w:rPr>
          <w:bCs/>
        </w:rPr>
      </w:pPr>
      <w:r w:rsidRPr="005B30A9">
        <w:t>224.</w:t>
      </w:r>
      <w:r w:rsidRPr="005B30A9">
        <w:tab/>
        <w:t>Las medidas relativas a la atención psicosocial constan de lo siguiente:</w:t>
      </w:r>
    </w:p>
    <w:p w14:paraId="162A4B2F" w14:textId="1492BEC8" w:rsidR="009612CC" w:rsidRPr="005B30A9" w:rsidRDefault="009612CC" w:rsidP="00091DE6">
      <w:pPr>
        <w:pStyle w:val="Bullet1G"/>
        <w:rPr>
          <w:bCs/>
        </w:rPr>
      </w:pPr>
      <w:r w:rsidRPr="005B30A9">
        <w:t>Ampliación de la terapia gratuita de adultos</w:t>
      </w:r>
      <w:r w:rsidR="00091DE6" w:rsidRPr="005B30A9">
        <w:t>.</w:t>
      </w:r>
    </w:p>
    <w:p w14:paraId="6F930830" w14:textId="11FE8CD7" w:rsidR="009612CC" w:rsidRPr="005B30A9" w:rsidRDefault="009612CC" w:rsidP="00091DE6">
      <w:pPr>
        <w:pStyle w:val="Bullet1G"/>
        <w:rPr>
          <w:bCs/>
        </w:rPr>
      </w:pPr>
      <w:r w:rsidRPr="005B30A9">
        <w:t>Capacitación del mayor número posible de psiquiatras de niños y adolescentes conforme a las normas de calidad</w:t>
      </w:r>
      <w:r w:rsidR="00091DE6" w:rsidRPr="005B30A9">
        <w:t>.</w:t>
      </w:r>
    </w:p>
    <w:p w14:paraId="76AE0987" w14:textId="2A1533B4" w:rsidR="009612CC" w:rsidRPr="005B30A9" w:rsidRDefault="009612CC" w:rsidP="00091DE6">
      <w:pPr>
        <w:pStyle w:val="Bullet1G"/>
        <w:rPr>
          <w:bCs/>
        </w:rPr>
      </w:pPr>
      <w:r w:rsidRPr="005B30A9">
        <w:t>Ayuda a menores de 21 años para hacer frente a los problemas psicosociales derivados de la crisis de la COVID-19 (</w:t>
      </w:r>
      <w:r w:rsidRPr="005B30A9">
        <w:rPr>
          <w:i/>
          <w:iCs/>
        </w:rPr>
        <w:t>Gesund aus der Krise</w:t>
      </w:r>
      <w:r w:rsidRPr="005B30A9">
        <w:t>, inicio en abril de 2022 y, visto su éxito, en funcionamiento hasta junio de 2024)</w:t>
      </w:r>
      <w:r w:rsidR="00091DE6" w:rsidRPr="005B30A9">
        <w:t>.</w:t>
      </w:r>
    </w:p>
    <w:p w14:paraId="0DB0760F" w14:textId="77777777" w:rsidR="009612CC" w:rsidRPr="005B30A9" w:rsidRDefault="009612CC" w:rsidP="00091DE6">
      <w:pPr>
        <w:pStyle w:val="Bullet1G"/>
        <w:rPr>
          <w:bCs/>
        </w:rPr>
      </w:pPr>
      <w:r w:rsidRPr="005B30A9">
        <w:t xml:space="preserve">Fortalecimiento de la intervención en crisis mentales (más centros de intervención en casos de crisis, líneas directas para casos de crisis psicosociales y ofertas innovadoras, </w:t>
      </w:r>
      <w:r w:rsidRPr="005B30A9">
        <w:lastRenderedPageBreak/>
        <w:t>entre ellas mejoras de las competencias de gestión de las crisis de quienes mantienen contacto frecuente con las personas afectadas (capacitación de los guardianes)).</w:t>
      </w:r>
    </w:p>
    <w:p w14:paraId="45ADD439" w14:textId="77777777" w:rsidR="009612CC" w:rsidRPr="005B30A9" w:rsidRDefault="009612CC" w:rsidP="009612CC">
      <w:pPr>
        <w:pStyle w:val="SingleTxtG"/>
        <w:rPr>
          <w:bCs/>
        </w:rPr>
      </w:pPr>
      <w:r w:rsidRPr="005B30A9">
        <w:t>225.</w:t>
      </w:r>
      <w:r w:rsidRPr="005B30A9">
        <w:tab/>
        <w:t>Entre las medidas de atención sanitaria preventiva y de promoción de la salud, especialmente entre los adolescentes, figuran las siguientes:</w:t>
      </w:r>
    </w:p>
    <w:p w14:paraId="38B36014" w14:textId="58B0602E" w:rsidR="009612CC" w:rsidRPr="005B30A9" w:rsidRDefault="009612CC" w:rsidP="00091DE6">
      <w:pPr>
        <w:pStyle w:val="Bullet1G"/>
        <w:rPr>
          <w:bCs/>
        </w:rPr>
      </w:pPr>
      <w:r w:rsidRPr="005B30A9">
        <w:t xml:space="preserve">Apoyo a proyectos centrados en la igualdad de oportunidades sanitarias de los niños y adolescentes, incluido el establecimiento a escala nacional del programa </w:t>
      </w:r>
      <w:r w:rsidRPr="00DC70B9">
        <w:rPr>
          <w:i/>
          <w:iCs/>
        </w:rPr>
        <w:t>“</w:t>
      </w:r>
      <w:r w:rsidRPr="005B30A9">
        <w:rPr>
          <w:i/>
          <w:iCs/>
        </w:rPr>
        <w:t>Frühe Hilfen</w:t>
      </w:r>
      <w:r w:rsidRPr="00DC70B9">
        <w:rPr>
          <w:i/>
          <w:iCs/>
        </w:rPr>
        <w:t>”</w:t>
      </w:r>
      <w:r w:rsidRPr="005B30A9">
        <w:t xml:space="preserve"> (proyecto clave de la Federación, los </w:t>
      </w:r>
      <w:r w:rsidRPr="005B30A9">
        <w:rPr>
          <w:i/>
          <w:iCs/>
        </w:rPr>
        <w:t>Länder</w:t>
      </w:r>
      <w:r w:rsidRPr="005B30A9">
        <w:t xml:space="preserve"> y las instituciones de seguridad social que ayuda a los progenitores a adquirir aptitudes parentales para prevenir trastornos o retrasos del desarrollo y otras enfermedades), para cuya ampliación se concedieron a Austria 15 millones de euros hasta 2024 en el marco del Mecanismo de Recuperación y Resiliencia de la Comisión Europea</w:t>
      </w:r>
      <w:r w:rsidR="00DC70B9">
        <w:t>.</w:t>
      </w:r>
    </w:p>
    <w:p w14:paraId="5479C325" w14:textId="5B0DDFAD" w:rsidR="009612CC" w:rsidRPr="005B30A9" w:rsidRDefault="009612CC" w:rsidP="00091DE6">
      <w:pPr>
        <w:pStyle w:val="Bullet1G"/>
        <w:rPr>
          <w:bCs/>
        </w:rPr>
      </w:pPr>
      <w:r w:rsidRPr="005B30A9">
        <w:t xml:space="preserve">Artículo 66 a) de la </w:t>
      </w:r>
      <w:hyperlink r:id="rId60" w:history="1">
        <w:r w:rsidRPr="005B30A9">
          <w:rPr>
            <w:rStyle w:val="Hipervnculo"/>
          </w:rPr>
          <w:t>Ley de Educación Escolar</w:t>
        </w:r>
      </w:hyperlink>
      <w:r w:rsidRPr="005B30A9">
        <w:t xml:space="preserve"> </w:t>
      </w:r>
      <w:r w:rsidRPr="00DC70B9">
        <w:rPr>
          <w:i/>
          <w:iCs/>
        </w:rPr>
        <w:t>(</w:t>
      </w:r>
      <w:r w:rsidRPr="005B30A9">
        <w:rPr>
          <w:i/>
          <w:iCs/>
        </w:rPr>
        <w:t>Schulunterrichtsgesetz</w:t>
      </w:r>
      <w:r w:rsidRPr="00DC70B9">
        <w:rPr>
          <w:i/>
          <w:iCs/>
        </w:rPr>
        <w:t>)</w:t>
      </w:r>
      <w:r w:rsidRPr="005B30A9">
        <w:t>, BGBl.</w:t>
      </w:r>
      <w:r w:rsidR="00091DE6" w:rsidRPr="005B30A9">
        <w:t> </w:t>
      </w:r>
      <w:r w:rsidRPr="005B30A9">
        <w:t>núm.</w:t>
      </w:r>
      <w:r w:rsidR="00091DE6" w:rsidRPr="005B30A9">
        <w:t> </w:t>
      </w:r>
      <w:r w:rsidRPr="005B30A9">
        <w:t>472/1986, introducida en 2019, que permite que los médicos escolares se encarguen de la atención sanitaria preventiva (con inclusión de vacunaciones o exámenes aleatorios periódicos de los alumnos)</w:t>
      </w:r>
      <w:r w:rsidR="00DC70B9">
        <w:t>.</w:t>
      </w:r>
    </w:p>
    <w:p w14:paraId="5E404126" w14:textId="2A1608CC" w:rsidR="009612CC" w:rsidRPr="005B30A9" w:rsidRDefault="009612CC" w:rsidP="00091DE6">
      <w:pPr>
        <w:pStyle w:val="Bullet1G"/>
        <w:rPr>
          <w:bCs/>
        </w:rPr>
      </w:pPr>
      <w:r w:rsidRPr="005B30A9">
        <w:rPr>
          <w:i/>
          <w:iCs/>
        </w:rPr>
        <w:t>Agenda Gesundheitsförderung</w:t>
      </w:r>
      <w:r w:rsidRPr="005B30A9">
        <w:rPr>
          <w:rStyle w:val="Refdenotaalpie"/>
        </w:rPr>
        <w:footnoteReference w:id="50"/>
      </w:r>
      <w:r w:rsidRPr="005B30A9">
        <w:t xml:space="preserve"> de mejora de la salud y la calidad de vida, desde</w:t>
      </w:r>
      <w:r w:rsidR="00091DE6" w:rsidRPr="005B30A9">
        <w:t> </w:t>
      </w:r>
      <w:r w:rsidRPr="005B30A9">
        <w:t>2022: iniciativa “ABC de la salud psicosocial de los jóvenes”, que mancomuna medidas de salud psicosocial y eleva su visibilidad y su accesibilidad (en marcha desde otoño de 2023); a continuación se emprenderá un plan de acción sobre la salud psicosocial de los niños y adolescentes.</w:t>
      </w:r>
    </w:p>
    <w:p w14:paraId="62103F6C" w14:textId="77777777" w:rsidR="009612CC" w:rsidRPr="005B30A9" w:rsidRDefault="009612CC" w:rsidP="009612CC">
      <w:pPr>
        <w:pStyle w:val="SingleTxtG"/>
        <w:rPr>
          <w:bCs/>
        </w:rPr>
      </w:pPr>
      <w:r w:rsidRPr="005B30A9">
        <w:t>226.</w:t>
      </w:r>
      <w:r w:rsidRPr="005B30A9">
        <w:tab/>
        <w:t>Los reclusos de los centros de detención carecen de seguro médico, pero reciben la misma asistencia médica que las personas que no están detenidas. El BMJ organiza y financia la asistencia sanitaria dispensada a los reclusos. Hay dos hospitales especiales, así como contratos con hospitales generales. Actualmente se está poniendo a prueba la telemedicina (de ser necesario, combinada con interpretación) en los servicios generales y psiquiátricos: cada día laborable se ofrecen cuatro horas de telemedicina general en las prisiones que carecen de un médico</w:t>
      </w:r>
      <w:r w:rsidRPr="005B30A9">
        <w:rPr>
          <w:i/>
          <w:iCs/>
        </w:rPr>
        <w:t xml:space="preserve"> in situ</w:t>
      </w:r>
      <w:r w:rsidRPr="005B30A9">
        <w:t xml:space="preserve"> todos los días laborables, así como tres horas por semana de telemedicina psiquiátrica en una prisión determinada. Se está procediendo a la ampliación del cuadro de médicos que practican la telemedicina y, con ello, el horario de disponibilidad. Si no se dispone de ningún médico (mediante telemedicina) en los casos de necesidad médica aguda, se lleva al paciente a un dispensario ambulatorio público o se llama a los servicios de emergencia.</w:t>
      </w:r>
    </w:p>
    <w:p w14:paraId="245DEC4D" w14:textId="6226683F" w:rsidR="009612CC" w:rsidRPr="005B30A9" w:rsidRDefault="009612CC" w:rsidP="00091DE6">
      <w:pPr>
        <w:pStyle w:val="H4G"/>
      </w:pPr>
      <w:r w:rsidRPr="005B30A9">
        <w:tab/>
      </w:r>
      <w:r w:rsidR="00091DE6" w:rsidRPr="005B30A9">
        <w:tab/>
      </w:r>
      <w:r w:rsidRPr="005B30A9">
        <w:t>Medidas ilustrativas de los Länder</w:t>
      </w:r>
    </w:p>
    <w:p w14:paraId="423F0630" w14:textId="77777777" w:rsidR="009612CC" w:rsidRPr="005B30A9" w:rsidRDefault="009612CC" w:rsidP="009612CC">
      <w:pPr>
        <w:pStyle w:val="SingleTxtG"/>
        <w:rPr>
          <w:bCs/>
        </w:rPr>
      </w:pPr>
      <w:r w:rsidRPr="005B30A9">
        <w:t>227.</w:t>
      </w:r>
      <w:r w:rsidRPr="005B30A9">
        <w:tab/>
        <w:t>Viena:</w:t>
      </w:r>
    </w:p>
    <w:p w14:paraId="06DD2C78" w14:textId="4F77EF5A" w:rsidR="009612CC" w:rsidRPr="005B30A9" w:rsidRDefault="009612CC" w:rsidP="00083348">
      <w:pPr>
        <w:pStyle w:val="Bullet1G"/>
      </w:pPr>
      <w:r w:rsidRPr="005B30A9">
        <w:t>Psiquiatría de la infancia y la adolescencia:</w:t>
      </w:r>
    </w:p>
    <w:p w14:paraId="6DFFA094" w14:textId="26391C6E" w:rsidR="009612CC" w:rsidRPr="005B30A9" w:rsidRDefault="009612CC" w:rsidP="00083348">
      <w:pPr>
        <w:pStyle w:val="Bullet2G"/>
      </w:pPr>
      <w:r w:rsidRPr="005B30A9">
        <w:t>Ampliación de las capacidades de atención médica y de la capacitación del personal</w:t>
      </w:r>
      <w:r w:rsidR="00083348" w:rsidRPr="005B30A9">
        <w:t>.</w:t>
      </w:r>
    </w:p>
    <w:p w14:paraId="02C03552" w14:textId="5C459190" w:rsidR="009612CC" w:rsidRPr="005B30A9" w:rsidRDefault="009612CC" w:rsidP="00083348">
      <w:pPr>
        <w:pStyle w:val="Bullet2G"/>
      </w:pPr>
      <w:r w:rsidRPr="005B30A9">
        <w:t>La PSD genera efectos de sinergia (en el marco del personal) que garantizan el acceso sostenible a servicios psiquiátricos para niños, adolescentes y adultos jóvenes, en particular mediante un plan para la prestación de asistencia psiquiátrica y psicosomática; tratamiento a domicilio equivalente a tratamiento hospitalario, en colaboración con unidades de hospitalización; o nuevos dispensarios ambulatorios psiquiátricos de la PSD para niños y adolescentes</w:t>
      </w:r>
      <w:r w:rsidR="00083348" w:rsidRPr="005B30A9">
        <w:t>.</w:t>
      </w:r>
    </w:p>
    <w:p w14:paraId="22CA3F77" w14:textId="11E1E9D7" w:rsidR="009612CC" w:rsidRPr="005B30A9" w:rsidRDefault="009612CC" w:rsidP="00083348">
      <w:pPr>
        <w:pStyle w:val="Bullet2G"/>
      </w:pPr>
      <w:r w:rsidRPr="005B30A9">
        <w:t xml:space="preserve">La SDW ayuda a niños y adolescentes a prevenir las adicciones y fomenta la salud mental a través de medidas como programas de competencias para la vida </w:t>
      </w:r>
      <w:r w:rsidRPr="00DC70B9">
        <w:rPr>
          <w:i/>
          <w:iCs/>
        </w:rPr>
        <w:t>(“Gemeinsam stark warden”, “plus”)</w:t>
      </w:r>
      <w:r w:rsidRPr="005B30A9">
        <w:t xml:space="preserve"> o el programa de psiquiatría de transición </w:t>
      </w:r>
      <w:r w:rsidRPr="00DC70B9">
        <w:rPr>
          <w:i/>
          <w:iCs/>
        </w:rPr>
        <w:t>“</w:t>
      </w:r>
      <w:r w:rsidRPr="005B30A9">
        <w:rPr>
          <w:i/>
          <w:iCs/>
        </w:rPr>
        <w:t>API Steps</w:t>
      </w:r>
      <w:r w:rsidRPr="00DC70B9">
        <w:rPr>
          <w:i/>
          <w:iCs/>
        </w:rPr>
        <w:t>”</w:t>
      </w:r>
      <w:r w:rsidRPr="005B30A9">
        <w:t xml:space="preserve"> para jóvenes de 16 a 25 años con trastornos psiquiátricos y conductas de consumo problemáticas</w:t>
      </w:r>
      <w:r w:rsidR="00083348" w:rsidRPr="005B30A9">
        <w:t>.</w:t>
      </w:r>
    </w:p>
    <w:p w14:paraId="43F1864F" w14:textId="77777777" w:rsidR="009612CC" w:rsidRPr="005B30A9" w:rsidRDefault="009612CC" w:rsidP="00DC70B9">
      <w:pPr>
        <w:pStyle w:val="Bullet1G"/>
        <w:keepNext/>
        <w:keepLines/>
      </w:pPr>
      <w:r w:rsidRPr="005B30A9">
        <w:lastRenderedPageBreak/>
        <w:t>Centros de detención:</w:t>
      </w:r>
    </w:p>
    <w:p w14:paraId="23BA5985" w14:textId="52C952A0" w:rsidR="009612CC" w:rsidRPr="005B30A9" w:rsidRDefault="009612CC" w:rsidP="00083348">
      <w:pPr>
        <w:pStyle w:val="Bullet2G"/>
      </w:pPr>
      <w:r w:rsidRPr="005B30A9">
        <w:t>La PSD amplía los servicios a medida dirigidos a antiguos pacientes forenses con trastornos mentales graves y sostenidos</w:t>
      </w:r>
      <w:r w:rsidR="00083348" w:rsidRPr="005B30A9">
        <w:t>.</w:t>
      </w:r>
    </w:p>
    <w:p w14:paraId="3F090E78" w14:textId="3D2CADAA" w:rsidR="009612CC" w:rsidRPr="005B30A9" w:rsidRDefault="009612CC" w:rsidP="00083348">
      <w:pPr>
        <w:pStyle w:val="Bullet2G"/>
      </w:pPr>
      <w:r w:rsidRPr="005B30A9">
        <w:t>La SDW y la PSD mantienen el contacto con los centros de detención</w:t>
      </w:r>
      <w:r w:rsidR="00083348" w:rsidRPr="005B30A9">
        <w:t>.</w:t>
      </w:r>
    </w:p>
    <w:p w14:paraId="597CF28D" w14:textId="3D405180" w:rsidR="009612CC" w:rsidRPr="005B30A9" w:rsidRDefault="009612CC" w:rsidP="00083348">
      <w:pPr>
        <w:pStyle w:val="Bullet1G"/>
        <w:rPr>
          <w:bCs/>
        </w:rPr>
      </w:pPr>
      <w:r w:rsidRPr="005B30A9">
        <w:t>Pago de los costos de capacitación de especialistas en psicoterapia (de niños y adolescentes) para que aumente su disponibilidad en todo el país (Baja Austria, Estiria)</w:t>
      </w:r>
      <w:r w:rsidR="00083348" w:rsidRPr="005B30A9">
        <w:t>.</w:t>
      </w:r>
    </w:p>
    <w:p w14:paraId="2971E6B6" w14:textId="77777777" w:rsidR="009612CC" w:rsidRPr="005B30A9" w:rsidRDefault="009612CC" w:rsidP="00083348">
      <w:pPr>
        <w:pStyle w:val="Bullet1G"/>
        <w:rPr>
          <w:bCs/>
        </w:rPr>
      </w:pPr>
      <w:r w:rsidRPr="005B30A9">
        <w:t>La demanda anual y la planificación de la capacidad en los servicios sanitarios y sociales; inversiones en la capacitación del personal de enfermería, incluidas ofertas de pasantías.</w:t>
      </w:r>
    </w:p>
    <w:p w14:paraId="11ACA5A4" w14:textId="678360F5" w:rsidR="009612CC" w:rsidRPr="005B30A9" w:rsidRDefault="009612CC" w:rsidP="00083348">
      <w:pPr>
        <w:pStyle w:val="H1G"/>
      </w:pPr>
      <w:r w:rsidRPr="005B30A9">
        <w:tab/>
      </w:r>
      <w:r w:rsidR="00083348" w:rsidRPr="005B30A9">
        <w:tab/>
      </w:r>
      <w:r w:rsidRPr="005B30A9">
        <w:t>Respuesta al párrafo 28 de la lista de cuestiones</w:t>
      </w:r>
    </w:p>
    <w:p w14:paraId="275B5008" w14:textId="40C40658" w:rsidR="009612CC" w:rsidRPr="005B30A9" w:rsidRDefault="009612CC" w:rsidP="00083348">
      <w:pPr>
        <w:pStyle w:val="H23G"/>
      </w:pPr>
      <w:r w:rsidRPr="005B30A9">
        <w:tab/>
      </w:r>
      <w:r w:rsidR="00083348" w:rsidRPr="005B30A9">
        <w:tab/>
      </w:r>
      <w:r w:rsidRPr="005B30A9">
        <w:t>Garantía del acceso de los grupos desfavorecidos a la atención sanitaria</w:t>
      </w:r>
    </w:p>
    <w:p w14:paraId="751A195F" w14:textId="77777777" w:rsidR="009612CC" w:rsidRPr="005B30A9" w:rsidRDefault="009612CC" w:rsidP="009612CC">
      <w:pPr>
        <w:pStyle w:val="SingleTxtG"/>
        <w:rPr>
          <w:bCs/>
        </w:rPr>
      </w:pPr>
      <w:r w:rsidRPr="005B30A9">
        <w:t>228.</w:t>
      </w:r>
      <w:r w:rsidRPr="005B30A9">
        <w:tab/>
        <w:t>En Austria, el seguro médico es obligatorio y cubre a casi todas las personas que ejercen actividades remuneradas por cuenta ajena y sus familiares a cargo, a gran parte de los autónomos y sus familiares a cargo y a quienes perciben prestaciones de desempleo y de pensiones y sus familiares a cargo. También cubre a los beneficiarios de prestaciones por ayuda social o ingreso mínimo, entre ellos los solicitantes de asilo (véase el grupo destinatario, artículo 2 del Convenio de Atención Básica conforme al artículo 15 a) de la Constitución Federal). Por consiguiente, casi toda la población residente en Austria (99,9 %), incluidos los miembros de grupos marginados y desfavorecidos, tiene acceso a servicios de seguro médico obligatorio. Las personas sin seguro médico obligatorio ni protección en calidad de familiar a cargo pueden optar por un seguro médico voluntario.</w:t>
      </w:r>
    </w:p>
    <w:p w14:paraId="054C42E2" w14:textId="77777777" w:rsidR="009612CC" w:rsidRPr="005B30A9" w:rsidRDefault="009612CC" w:rsidP="009612CC">
      <w:pPr>
        <w:pStyle w:val="SingleTxtG"/>
        <w:rPr>
          <w:bCs/>
        </w:rPr>
      </w:pPr>
      <w:r w:rsidRPr="005B30A9">
        <w:t>229.</w:t>
      </w:r>
      <w:r w:rsidRPr="005B30A9">
        <w:tab/>
        <w:t>Un estudio de 2015 sobre los romaníes y la salud</w:t>
      </w:r>
      <w:r w:rsidRPr="005B30A9">
        <w:rPr>
          <w:rStyle w:val="Refdenotaalpie"/>
        </w:rPr>
        <w:footnoteReference w:id="51"/>
      </w:r>
      <w:r w:rsidRPr="005B30A9">
        <w:t xml:space="preserve"> puso de manifiesto que la falta de conocimientos lingüísticos era el principal obstáculo para acceder a servicios sanitarios y que se necesitaba apoyo al respecto.</w:t>
      </w:r>
    </w:p>
    <w:p w14:paraId="59AE84D5" w14:textId="77777777" w:rsidR="009612CC" w:rsidRPr="005B30A9" w:rsidRDefault="009612CC" w:rsidP="009612CC">
      <w:pPr>
        <w:pStyle w:val="SingleTxtG"/>
        <w:rPr>
          <w:bCs/>
        </w:rPr>
      </w:pPr>
      <w:r w:rsidRPr="005B30A9">
        <w:t>230.</w:t>
      </w:r>
      <w:r w:rsidRPr="005B30A9">
        <w:tab/>
        <w:t>El objetivo 5 del Plan de Acción sobre la Salud de las Mujeres (véase la respuesta a la pregunta 29) consta de medidas dirigidas a mejorar la igualdad de oportunidades de las mujeres migrantes desfavorecidas desde el punto de vista socioeconómico en el ámbito de la atención sanitaria.</w:t>
      </w:r>
    </w:p>
    <w:p w14:paraId="172ACA14" w14:textId="3B344465" w:rsidR="009612CC" w:rsidRPr="005B30A9" w:rsidRDefault="00083348" w:rsidP="00083348">
      <w:pPr>
        <w:pStyle w:val="H4G"/>
      </w:pPr>
      <w:r w:rsidRPr="005B30A9">
        <w:tab/>
      </w:r>
      <w:r w:rsidR="009612CC" w:rsidRPr="005B30A9">
        <w:tab/>
        <w:t>Medidas ilustrativas de los Länder</w:t>
      </w:r>
    </w:p>
    <w:p w14:paraId="5F972DEA" w14:textId="77777777" w:rsidR="009612CC" w:rsidRPr="005B30A9" w:rsidRDefault="009612CC" w:rsidP="009612CC">
      <w:pPr>
        <w:pStyle w:val="SingleTxtG"/>
        <w:rPr>
          <w:bCs/>
        </w:rPr>
      </w:pPr>
      <w:r w:rsidRPr="005B30A9">
        <w:t>231.</w:t>
      </w:r>
      <w:r w:rsidRPr="005B30A9">
        <w:tab/>
        <w:t xml:space="preserve">Financiación de las asociaciones, los proyectos y las medidas de promoción y asesoramiento sanitarios que van dirigidos a los inmigrantes (incluida la psicoterapia y la atención sanitaria psicosocial, especialmente en relación con la reducción de las barreras al acceso) en Salzburgo (asociación </w:t>
      </w:r>
      <w:r w:rsidRPr="005B30A9">
        <w:rPr>
          <w:i/>
          <w:iCs/>
        </w:rPr>
        <w:t>Zellkern</w:t>
      </w:r>
      <w:r w:rsidRPr="005B30A9">
        <w:t xml:space="preserve">), Estiria (asociaciones </w:t>
      </w:r>
      <w:r w:rsidRPr="005B30A9">
        <w:rPr>
          <w:i/>
          <w:iCs/>
        </w:rPr>
        <w:t xml:space="preserve">Zebra </w:t>
      </w:r>
      <w:r w:rsidRPr="005B30A9">
        <w:t xml:space="preserve">y </w:t>
      </w:r>
      <w:r w:rsidRPr="005B30A9">
        <w:rPr>
          <w:i/>
          <w:iCs/>
        </w:rPr>
        <w:t>OMEGA</w:t>
      </w:r>
      <w:r w:rsidRPr="005B30A9">
        <w:t>) y Viena.</w:t>
      </w:r>
    </w:p>
    <w:p w14:paraId="45C9633E" w14:textId="77777777" w:rsidR="009612CC" w:rsidRPr="005B30A9" w:rsidRDefault="009612CC" w:rsidP="009612CC">
      <w:pPr>
        <w:pStyle w:val="SingleTxtG"/>
        <w:rPr>
          <w:bCs/>
        </w:rPr>
      </w:pPr>
      <w:r w:rsidRPr="005B30A9">
        <w:t>232.</w:t>
      </w:r>
      <w:r w:rsidRPr="005B30A9">
        <w:tab/>
        <w:t>Viena:</w:t>
      </w:r>
    </w:p>
    <w:p w14:paraId="59F11751" w14:textId="285C09BC" w:rsidR="009612CC" w:rsidRPr="005B30A9" w:rsidRDefault="009612CC" w:rsidP="00083348">
      <w:pPr>
        <w:pStyle w:val="Bullet1G"/>
      </w:pPr>
      <w:r w:rsidRPr="005B30A9">
        <w:t xml:space="preserve">Ofertas para personas sin seguro médico, incluidos los servicios de salud de Amber Med </w:t>
      </w:r>
      <w:r w:rsidRPr="00DC70B9">
        <w:rPr>
          <w:i/>
          <w:iCs/>
        </w:rPr>
        <w:t>(Diakonie)</w:t>
      </w:r>
      <w:r w:rsidRPr="005B30A9">
        <w:t xml:space="preserve"> y </w:t>
      </w:r>
      <w:r w:rsidRPr="00DC70B9">
        <w:t>Caritas</w:t>
      </w:r>
      <w:r w:rsidRPr="005B30A9">
        <w:t xml:space="preserve">; partos en hospitales de la organización benéfica </w:t>
      </w:r>
      <w:r w:rsidRPr="005B30A9">
        <w:rPr>
          <w:i/>
          <w:iCs/>
        </w:rPr>
        <w:t>Vinzenz</w:t>
      </w:r>
      <w:r w:rsidRPr="005B30A9">
        <w:t>; programa de vacunación infantil; exámenes médicos de los niños en guarderías, escuelas o centros de asesoramiento de progenitores</w:t>
      </w:r>
      <w:r w:rsidR="00083348" w:rsidRPr="005B30A9">
        <w:t>.</w:t>
      </w:r>
    </w:p>
    <w:p w14:paraId="11185772" w14:textId="5D137DA7" w:rsidR="009612CC" w:rsidRPr="00DC70B9" w:rsidRDefault="009612CC" w:rsidP="00083348">
      <w:pPr>
        <w:pStyle w:val="Bullet1G"/>
      </w:pPr>
      <w:r w:rsidRPr="00DC70B9">
        <w:t xml:space="preserve">Servicios sanitarios para mujeres refugiadas prestados por </w:t>
      </w:r>
      <w:r w:rsidRPr="00DC70B9">
        <w:rPr>
          <w:i/>
          <w:iCs/>
        </w:rPr>
        <w:t xml:space="preserve">Frauen </w:t>
      </w:r>
      <w:r w:rsidR="00DC70B9" w:rsidRPr="00DC70B9">
        <w:rPr>
          <w:i/>
          <w:iCs/>
        </w:rPr>
        <w:t>–</w:t>
      </w:r>
      <w:r w:rsidRPr="00DC70B9">
        <w:rPr>
          <w:i/>
          <w:iCs/>
        </w:rPr>
        <w:t xml:space="preserve"> Flucht </w:t>
      </w:r>
      <w:r w:rsidR="00DC70B9" w:rsidRPr="00DC70B9">
        <w:rPr>
          <w:i/>
          <w:iCs/>
        </w:rPr>
        <w:t>–</w:t>
      </w:r>
      <w:r w:rsidRPr="00DC70B9">
        <w:rPr>
          <w:i/>
          <w:iCs/>
        </w:rPr>
        <w:t xml:space="preserve"> Gesundheit</w:t>
      </w:r>
      <w:r w:rsidRPr="00DC70B9">
        <w:t>.</w:t>
      </w:r>
    </w:p>
    <w:p w14:paraId="6DDF5BCC" w14:textId="6DEE31E2" w:rsidR="009612CC" w:rsidRPr="005B30A9" w:rsidRDefault="009612CC" w:rsidP="00083348">
      <w:pPr>
        <w:pStyle w:val="H1G"/>
      </w:pPr>
      <w:r w:rsidRPr="005B30A9">
        <w:tab/>
      </w:r>
      <w:r w:rsidR="00083348" w:rsidRPr="005B30A9">
        <w:tab/>
      </w:r>
      <w:r w:rsidRPr="005B30A9">
        <w:t>Respuesta al párrafo 29 de la lista de cuestiones</w:t>
      </w:r>
    </w:p>
    <w:p w14:paraId="2CD18178" w14:textId="40983C1C" w:rsidR="009612CC" w:rsidRPr="005B30A9" w:rsidRDefault="009612CC" w:rsidP="00083348">
      <w:pPr>
        <w:pStyle w:val="H23G"/>
      </w:pPr>
      <w:r w:rsidRPr="005B30A9">
        <w:tab/>
      </w:r>
      <w:r w:rsidR="00083348" w:rsidRPr="005B30A9">
        <w:tab/>
      </w:r>
      <w:r w:rsidRPr="005B30A9">
        <w:t>Aplicación del Plan de Acción para la Salud de la Mujer</w:t>
      </w:r>
    </w:p>
    <w:p w14:paraId="7C60A2D8" w14:textId="77777777" w:rsidR="009612CC" w:rsidRPr="005B30A9" w:rsidRDefault="009612CC" w:rsidP="009612CC">
      <w:pPr>
        <w:pStyle w:val="SingleTxtG"/>
        <w:rPr>
          <w:bCs/>
        </w:rPr>
      </w:pPr>
      <w:r w:rsidRPr="005B30A9">
        <w:t>233.</w:t>
      </w:r>
      <w:r w:rsidRPr="005B30A9">
        <w:tab/>
        <w:t xml:space="preserve">El Plan de Acción para la Salud de la Mujer (basado en los objetivos de la OMS (Estrategia sobre la salud y el bienestar de las mujeres)) consta de 17 objetivos y 40 medidas </w:t>
      </w:r>
      <w:r w:rsidRPr="005B30A9">
        <w:lastRenderedPageBreak/>
        <w:t>(a corto, a medio y a largo plazo y en curso) relativas a la investigación sobre la salud, la promoción de la salud y la asistencia sanitaria. Entre los temas principales figuran la igualdad de oportunidades en la atención sanitaria (objetivo 5), el fortalecimiento de la imagen que tienen las mujeres de sí mismas (objetivo 7) y la salud mental (objetivo 11).</w:t>
      </w:r>
    </w:p>
    <w:p w14:paraId="225438E6" w14:textId="77777777" w:rsidR="009612CC" w:rsidRPr="005B30A9" w:rsidRDefault="009612CC" w:rsidP="009612CC">
      <w:pPr>
        <w:pStyle w:val="SingleTxtG"/>
        <w:rPr>
          <w:bCs/>
        </w:rPr>
      </w:pPr>
      <w:r w:rsidRPr="005B30A9">
        <w:t>234.</w:t>
      </w:r>
      <w:r w:rsidRPr="005B30A9">
        <w:tab/>
        <w:t xml:space="preserve">Desde 2016, los puntos focales coordinan la aplicación del Plan de Acción en los </w:t>
      </w:r>
      <w:r w:rsidRPr="005B30A9">
        <w:rPr>
          <w:i/>
          <w:iCs/>
        </w:rPr>
        <w:t>Länder</w:t>
      </w:r>
      <w:r w:rsidRPr="005B30A9">
        <w:t>.</w:t>
      </w:r>
    </w:p>
    <w:p w14:paraId="14178FEC" w14:textId="6A460A28" w:rsidR="009612CC" w:rsidRPr="005B30A9" w:rsidRDefault="009612CC" w:rsidP="009612CC">
      <w:pPr>
        <w:pStyle w:val="SingleTxtG"/>
        <w:rPr>
          <w:bCs/>
        </w:rPr>
      </w:pPr>
      <w:r w:rsidRPr="005B30A9">
        <w:t>235.</w:t>
      </w:r>
      <w:r w:rsidRPr="005B30A9">
        <w:tab/>
        <w:t xml:space="preserve">El Diálogo sobre la Salud de las Mujeres </w:t>
      </w:r>
      <w:r w:rsidRPr="00037355">
        <w:rPr>
          <w:i/>
          <w:iCs/>
        </w:rPr>
        <w:t>(FrauenGesundheitsDialog)</w:t>
      </w:r>
      <w:r w:rsidRPr="005B30A9">
        <w:t>, de carácter anual, se centra en la labor de los puntos focales y en la aplicación del Plan de Acción. En</w:t>
      </w:r>
      <w:r w:rsidR="00037355">
        <w:t> </w:t>
      </w:r>
      <w:r w:rsidRPr="005B30A9">
        <w:t>2019, el 15 % de las medidas progresaba adecuadamente; en 2021, la proporción era ya del 25 %. En 2022 se creó un centro de coordinación para la salud de las mujeres con</w:t>
      </w:r>
      <w:r w:rsidRPr="005B30A9">
        <w:rPr>
          <w:i/>
          <w:iCs/>
        </w:rPr>
        <w:t xml:space="preserve"> Gesundheit Österreich GmbH</w:t>
      </w:r>
      <w:r w:rsidRPr="005B30A9">
        <w:t xml:space="preserve"> y se publicó un nuevo informe sobre la salud de las mujeres</w:t>
      </w:r>
      <w:r w:rsidRPr="005B30A9">
        <w:rPr>
          <w:rStyle w:val="Refdenotaalpie"/>
        </w:rPr>
        <w:footnoteReference w:id="52"/>
      </w:r>
      <w:r w:rsidRPr="005B30A9">
        <w:t>. El sexto Diálogo sobre la Salud de las Mujeres, mantenido en junio de 2023, se centró en la salud sexual, la libre determinación reproductiva y la imagen del cuerpo y de una misma.</w:t>
      </w:r>
    </w:p>
    <w:p w14:paraId="66F90555" w14:textId="77777777" w:rsidR="009612CC" w:rsidRPr="005B30A9" w:rsidRDefault="009612CC" w:rsidP="009612CC">
      <w:pPr>
        <w:pStyle w:val="SingleTxtG"/>
        <w:rPr>
          <w:bCs/>
        </w:rPr>
      </w:pPr>
      <w:r w:rsidRPr="005B30A9">
        <w:t>236.</w:t>
      </w:r>
      <w:r w:rsidRPr="005B30A9">
        <w:tab/>
        <w:t>Puede consultarse una sinopsis del presupuesto en el cuadro 21 del anexo estadístico.</w:t>
      </w:r>
    </w:p>
    <w:p w14:paraId="7A4E7B59" w14:textId="7BDCFB6E" w:rsidR="009612CC" w:rsidRPr="005B30A9" w:rsidRDefault="00083348" w:rsidP="00083348">
      <w:pPr>
        <w:pStyle w:val="H1G"/>
      </w:pPr>
      <w:r w:rsidRPr="005B30A9">
        <w:tab/>
      </w:r>
      <w:r w:rsidR="009612CC" w:rsidRPr="005B30A9">
        <w:tab/>
        <w:t>Respuesta al párrafo 30 de la lista de cuestiones</w:t>
      </w:r>
    </w:p>
    <w:p w14:paraId="2FDEEDA2" w14:textId="7ADD6A05" w:rsidR="009612CC" w:rsidRPr="005B30A9" w:rsidRDefault="009612CC" w:rsidP="00083348">
      <w:pPr>
        <w:pStyle w:val="H23G"/>
      </w:pPr>
      <w:r w:rsidRPr="005B30A9">
        <w:tab/>
      </w:r>
      <w:r w:rsidR="00083348" w:rsidRPr="005B30A9">
        <w:tab/>
      </w:r>
      <w:r w:rsidRPr="005B30A9">
        <w:t>Escolaridad obligatoria y acceso no discriminatorio a la educación</w:t>
      </w:r>
    </w:p>
    <w:p w14:paraId="164F33B3" w14:textId="20E7B6BC" w:rsidR="009612CC" w:rsidRPr="005B30A9" w:rsidRDefault="009612CC" w:rsidP="009612CC">
      <w:pPr>
        <w:pStyle w:val="SingleTxtG"/>
        <w:rPr>
          <w:bCs/>
        </w:rPr>
      </w:pPr>
      <w:r w:rsidRPr="005B30A9">
        <w:t>237.</w:t>
      </w:r>
      <w:r w:rsidRPr="005B30A9">
        <w:tab/>
        <w:t>Todos los niños con residencia permanente en Austria, independientemente de su nacionalidad, están sujetos a escolaridad obligatoria (</w:t>
      </w:r>
      <w:hyperlink r:id="rId61" w:history="1">
        <w:r w:rsidRPr="005B30A9">
          <w:rPr>
            <w:rStyle w:val="Hipervnculo"/>
          </w:rPr>
          <w:t>Ley de Escolaridad Obligatoria de 1985</w:t>
        </w:r>
      </w:hyperlink>
      <w:r w:rsidRPr="005B30A9">
        <w:t xml:space="preserve"> </w:t>
      </w:r>
      <w:r w:rsidRPr="0077421A">
        <w:rPr>
          <w:i/>
          <w:iCs/>
        </w:rPr>
        <w:t>(Schulpflichtgesetz)</w:t>
      </w:r>
      <w:r w:rsidRPr="005B30A9">
        <w:t>, BGBl. núm. 76/1985) a partir del 1 de septiembre siguiente al sexto cumpleaños del niño. La duración es de nueve cursos escolares. Las personas que ejerzan la patria potestad deben garantizar el cumplimiento de esta obligación, so pena de multas administrativas. Las escuelas informan a los alumnos y a las personas que ejercen la patria potestad sobre la escolaridad obligatoria. Los directores de las escuelas podrán tomar medidas oportunas para evitar el incumplimiento y, en caso necesario, implicar a orientadores de los alumnos, el servicio de psicología de la escuela u otros servicios de apoyo. Todos los niños en edad de escolarización obligatoria se someten a una prueba de preparación para la escuela antes de empezarla, por lo que, de ser necesario, puede empezar a prestarse apoyo especial desde fases tempranas.</w:t>
      </w:r>
    </w:p>
    <w:p w14:paraId="777F1751" w14:textId="445974C4" w:rsidR="009612CC" w:rsidRPr="005B30A9" w:rsidRDefault="009612CC" w:rsidP="009612CC">
      <w:pPr>
        <w:pStyle w:val="SingleTxtG"/>
        <w:rPr>
          <w:bCs/>
        </w:rPr>
      </w:pPr>
      <w:r w:rsidRPr="005B30A9">
        <w:t>238.</w:t>
      </w:r>
      <w:r w:rsidRPr="005B30A9">
        <w:tab/>
        <w:t>Las escuelas públicas son accesibles a todos los niños, independientemente de su nacimiento, sexo, raza, condición, idioma y religión (véase el art</w:t>
      </w:r>
      <w:r w:rsidR="0077421A">
        <w:t>.</w:t>
      </w:r>
      <w:r w:rsidRPr="005B30A9">
        <w:t xml:space="preserve"> 4, párr</w:t>
      </w:r>
      <w:r w:rsidR="0077421A">
        <w:t>.</w:t>
      </w:r>
      <w:r w:rsidRPr="005B30A9">
        <w:t xml:space="preserve"> 1, de la Ley de Organización Escolar).</w:t>
      </w:r>
    </w:p>
    <w:p w14:paraId="61AE6E97" w14:textId="317D57A6" w:rsidR="009612CC" w:rsidRPr="005B30A9" w:rsidRDefault="009612CC" w:rsidP="00083348">
      <w:pPr>
        <w:pStyle w:val="H1G"/>
      </w:pPr>
      <w:r w:rsidRPr="005B30A9">
        <w:tab/>
      </w:r>
      <w:r w:rsidR="00083348" w:rsidRPr="005B30A9">
        <w:tab/>
      </w:r>
      <w:r w:rsidRPr="005B30A9">
        <w:t>Respuesta al párrafo 30 a) de la lista de cuestiones</w:t>
      </w:r>
    </w:p>
    <w:p w14:paraId="7BD593E8" w14:textId="36E14A89" w:rsidR="009612CC" w:rsidRPr="005B30A9" w:rsidRDefault="00083348" w:rsidP="00083348">
      <w:pPr>
        <w:pStyle w:val="H23G"/>
      </w:pPr>
      <w:r w:rsidRPr="005B30A9">
        <w:tab/>
      </w:r>
      <w:r w:rsidR="009612CC" w:rsidRPr="005B30A9">
        <w:tab/>
        <w:t>Facilitación de la matrícula de niños de grupos desfavorecidos</w:t>
      </w:r>
    </w:p>
    <w:p w14:paraId="4B98318D" w14:textId="36AF723B" w:rsidR="009612CC" w:rsidRPr="005B30A9" w:rsidRDefault="009612CC" w:rsidP="009612CC">
      <w:pPr>
        <w:pStyle w:val="SingleTxtG"/>
        <w:rPr>
          <w:bCs/>
        </w:rPr>
      </w:pPr>
      <w:r w:rsidRPr="005B30A9">
        <w:t>239.</w:t>
      </w:r>
      <w:r w:rsidRPr="005B30A9">
        <w:tab/>
        <w:t>El año gratuito de guardería obligatoria para los niños de cinco años (introducido en</w:t>
      </w:r>
      <w:r w:rsidR="0077421A">
        <w:t> </w:t>
      </w:r>
      <w:r w:rsidRPr="005B30A9">
        <w:t>2010/11) contribuye sustancialmente a la igualdad de oportunidades y a una trayectoria educativa positiva: todos los niños deben asistir 20 horas por semana a un centro adecuado de educación en la primera infancia durante el año anterior a la escolaridad obligatoria.</w:t>
      </w:r>
    </w:p>
    <w:p w14:paraId="28B1DB3F" w14:textId="7EB442E1" w:rsidR="009612CC" w:rsidRPr="005B30A9" w:rsidRDefault="009612CC" w:rsidP="009612CC">
      <w:pPr>
        <w:pStyle w:val="SingleTxtG"/>
        <w:rPr>
          <w:bCs/>
        </w:rPr>
      </w:pPr>
      <w:r w:rsidRPr="005B30A9">
        <w:t>240.</w:t>
      </w:r>
      <w:r w:rsidRPr="005B30A9">
        <w:tab/>
        <w:t>En 2022/23, el 30,9 % de los niños menores de tres años (en 2020/21, el 33,9 %) y el</w:t>
      </w:r>
      <w:r w:rsidR="0077421A">
        <w:t> </w:t>
      </w:r>
      <w:r w:rsidRPr="005B30A9">
        <w:t>32,4 % de los niños de tres a seis años (en 2020/21, el 31,2 %) que asistían a centros de educación de la primera infancia tenían un idioma materno distinto del alemán</w:t>
      </w:r>
      <w:r w:rsidRPr="005B30A9">
        <w:rPr>
          <w:rStyle w:val="Refdenotaalpie"/>
        </w:rPr>
        <w:footnoteReference w:id="53"/>
      </w:r>
      <w:r w:rsidRPr="005B30A9">
        <w:t>. Mediante apoyo lingüístico específico prestado en estos centros, los niños adquieren las competencias lingüísticas necesarias para seguir las clases. El personal de los centros evalúa las necesidades de apoyo lingüístico mediante cuestionarios normalizados en relación con el alemán como primer o segundo idioma.</w:t>
      </w:r>
    </w:p>
    <w:p w14:paraId="4A34BE60" w14:textId="16F5F0B9" w:rsidR="009612CC" w:rsidRPr="005B30A9" w:rsidRDefault="00083348" w:rsidP="00083348">
      <w:pPr>
        <w:pStyle w:val="H4G"/>
      </w:pPr>
      <w:r w:rsidRPr="005B30A9">
        <w:lastRenderedPageBreak/>
        <w:tab/>
      </w:r>
      <w:r w:rsidR="009612CC" w:rsidRPr="005B30A9">
        <w:tab/>
        <w:t>Medidas ilustrativas de los Länder</w:t>
      </w:r>
    </w:p>
    <w:p w14:paraId="64785572" w14:textId="579AC7C2" w:rsidR="009612CC" w:rsidRPr="005B30A9" w:rsidRDefault="009612CC" w:rsidP="009612CC">
      <w:pPr>
        <w:pStyle w:val="SingleTxtG"/>
        <w:rPr>
          <w:bCs/>
        </w:rPr>
      </w:pPr>
      <w:r w:rsidRPr="005B30A9">
        <w:t>241.</w:t>
      </w:r>
      <w:r w:rsidRPr="005B30A9">
        <w:tab/>
        <w:t>Se ofrecen servicios de guardería gratuitos a jornada completa (Burgenland, Viena) o a media jornada (Baja Austria, Alta Austria), servicios de este tipo gratuitos para los niños de tres a seis años a media jornada (Salzburgo), con descuentos sustanciales conforme a una escala móvil de necesidades sociales (Vorarlberg) o subvencionados (Estiria), o se reembolsan íntegramente las contribuciones medias de los progenitores (Carintia), lo que permite a los niños de grupos marginados beneficiarse desde fases tempranas de las ofertas educativas.</w:t>
      </w:r>
    </w:p>
    <w:p w14:paraId="7772D7D1" w14:textId="77777777" w:rsidR="009612CC" w:rsidRPr="005B30A9" w:rsidRDefault="009612CC" w:rsidP="009612CC">
      <w:pPr>
        <w:pStyle w:val="SingleTxtG"/>
        <w:rPr>
          <w:bCs/>
        </w:rPr>
      </w:pPr>
      <w:r w:rsidRPr="005B30A9">
        <w:t>242.</w:t>
      </w:r>
      <w:r w:rsidRPr="005B30A9">
        <w:tab/>
        <w:t>Vorarlberg: jardín de infancia obligatorio para los niños de cuatro años que necesiten apoyo lingüístico.</w:t>
      </w:r>
    </w:p>
    <w:p w14:paraId="0BCE723A" w14:textId="77777777" w:rsidR="009612CC" w:rsidRPr="005B30A9" w:rsidRDefault="009612CC" w:rsidP="009612CC">
      <w:pPr>
        <w:pStyle w:val="SingleTxtG"/>
        <w:rPr>
          <w:bCs/>
        </w:rPr>
      </w:pPr>
      <w:r w:rsidRPr="005B30A9">
        <w:t>243.</w:t>
      </w:r>
      <w:r w:rsidRPr="005B30A9">
        <w:tab/>
        <w:t>Carintia: en la zona de asentamiento del grupo étnico esloveno, inscripción escolar con profesores de alemán como segundo idioma y material informativo multilingüe.</w:t>
      </w:r>
    </w:p>
    <w:p w14:paraId="0A00D3F2" w14:textId="6162A7FD" w:rsidR="009612CC" w:rsidRPr="005B30A9" w:rsidRDefault="00083348" w:rsidP="00083348">
      <w:pPr>
        <w:pStyle w:val="H1G"/>
      </w:pPr>
      <w:r w:rsidRPr="005B30A9">
        <w:tab/>
      </w:r>
      <w:r w:rsidR="009612CC" w:rsidRPr="005B30A9">
        <w:tab/>
        <w:t>Respuesta al párrafo 30 b) de la lista de cuestiones</w:t>
      </w:r>
    </w:p>
    <w:p w14:paraId="5CCF9938" w14:textId="165B56CF" w:rsidR="009612CC" w:rsidRPr="005B30A9" w:rsidRDefault="009612CC" w:rsidP="00083348">
      <w:pPr>
        <w:pStyle w:val="H23G"/>
      </w:pPr>
      <w:r w:rsidRPr="005B30A9">
        <w:tab/>
      </w:r>
      <w:r w:rsidR="00083348" w:rsidRPr="005B30A9">
        <w:tab/>
      </w:r>
      <w:r w:rsidRPr="005B30A9">
        <w:t xml:space="preserve">Prevención del agravamiento de las desigualdades en las primeras fases </w:t>
      </w:r>
      <w:r w:rsidR="00083348" w:rsidRPr="005B30A9">
        <w:br/>
      </w:r>
      <w:r w:rsidRPr="005B30A9">
        <w:t>de la enseñanza secundaria</w:t>
      </w:r>
    </w:p>
    <w:p w14:paraId="2335DCED" w14:textId="77777777" w:rsidR="009612CC" w:rsidRPr="005B30A9" w:rsidRDefault="009612CC" w:rsidP="009612CC">
      <w:pPr>
        <w:pStyle w:val="SingleTxtG"/>
        <w:rPr>
          <w:bCs/>
        </w:rPr>
      </w:pPr>
      <w:r w:rsidRPr="005B30A9">
        <w:t>244.</w:t>
      </w:r>
      <w:r w:rsidRPr="005B30A9">
        <w:tab/>
        <w:t>El objetivo general de la política educativa de Austria es que todos los niños gocen de igualdad de oportunidades de recibir la mejor educación posible. En consecuencia, el sistema escolar está sujeto a un perfeccionamiento constante. El actual proceso de reforma educativa tiene por objeto alcanzar la igualdad de oportunidades en el acceso a la educación, la individualización, la inclusión, la orientación hacia las competencias y el logro del máximo nivel de educación posible. Los alumnos reciben apoyo personalizado (en función de la diversidad de orígenes sociales, capacidades y necesidades especiales) y la mejor asistencia para la transición de un nivel escolar al siguiente. Las medidas del BMBWF incluyen el fortalecimiento de las competencias básicas y las técnicas culturales; el fomento intensificado del potencial y el talento; el fortalecimiento de las iniciativas en pro de la igualdad; la implantación de un sistema avanzado y uniforme de gestión de la calidad en todos los niveles del sistema escolar; el desarrollo del sistema escolar a partir de lo aprendido durante la pandemia de COVID-19.</w:t>
      </w:r>
    </w:p>
    <w:p w14:paraId="646932EF" w14:textId="48DA9F35" w:rsidR="009612CC" w:rsidRPr="005B30A9" w:rsidRDefault="009612CC" w:rsidP="009612CC">
      <w:pPr>
        <w:pStyle w:val="SingleTxtG"/>
        <w:rPr>
          <w:bCs/>
        </w:rPr>
      </w:pPr>
      <w:r w:rsidRPr="005B30A9">
        <w:t>245.</w:t>
      </w:r>
      <w:r w:rsidRPr="005B30A9">
        <w:tab/>
        <w:t>Para mejorar las oportunidades educativas y la integración de los alumnos de origen migrante, desde el curso escolar 2018/19 los alumnos de nivel primario y secundario que no puedan seguir las clases por no dominar el alemán en suficiente medida deben asistir a clases extra de apoyo al alemán o a cursos de apoyo al alemán en paralelo a las clases ordinarias (art</w:t>
      </w:r>
      <w:r w:rsidR="005B0204">
        <w:t>.</w:t>
      </w:r>
      <w:r w:rsidRPr="005B30A9">
        <w:t xml:space="preserve"> 8 h) de la Ley de Organización Escolar). El objetivo es que aprendan alemán de forma intensiva y rápida para que puedan seguir las clases lo antes posible de acuerdo con el plan de estudios correspondiente al curso y el tipo de escuela de que se trate.</w:t>
      </w:r>
    </w:p>
    <w:p w14:paraId="32D3D590" w14:textId="77777777" w:rsidR="009612CC" w:rsidRPr="005B30A9" w:rsidRDefault="009612CC" w:rsidP="009612CC">
      <w:pPr>
        <w:pStyle w:val="SingleTxtG"/>
        <w:rPr>
          <w:bCs/>
        </w:rPr>
      </w:pPr>
      <w:r w:rsidRPr="005B30A9">
        <w:t>246.</w:t>
      </w:r>
      <w:r w:rsidRPr="005B30A9">
        <w:tab/>
        <w:t>En un estudio de 2015 sobre la situación de la educación y la capacitación de los romaníes en Austria</w:t>
      </w:r>
      <w:r w:rsidRPr="005B30A9">
        <w:rPr>
          <w:rStyle w:val="Refdenotaalpie"/>
        </w:rPr>
        <w:footnoteReference w:id="54"/>
      </w:r>
      <w:r w:rsidRPr="005B30A9">
        <w:t xml:space="preserve"> se apreciaba un nivel menor de educación formal entre los romaníes en comparación con el conjunto de la población. Sin embargo, a lo largo de generaciones se viene observando un aumento de los niveles educativos de los romaníes autóctonos. Por lo tanto, el capítulo de la estrategia de Austria para los romaníes hasta 2030 dedicado a la educación prevé una mejora constante de los resultados educativos de los miembros de la minoría romaní en la educación escolar y de adultos. Para cumplir este objetivo, la comunidad romaní se beneficiará principalmente de medidas estructurales en el ámbito de la política de educación inclusiva que tienen por objeto mejorar la igualdad de oportunidades y el apoyo destinado a los grupos desfavorecidos. Además, se prevén medidas específicas para los romaníes, como proyectos de apoyo al aprendizaje, enseñanza del idioma materno y mediación escolar.</w:t>
      </w:r>
    </w:p>
    <w:p w14:paraId="03B4CDE2" w14:textId="491DEE48" w:rsidR="009612CC" w:rsidRPr="005B30A9" w:rsidRDefault="009612CC" w:rsidP="00083348">
      <w:pPr>
        <w:pStyle w:val="H4G"/>
      </w:pPr>
      <w:r w:rsidRPr="005B30A9">
        <w:lastRenderedPageBreak/>
        <w:tab/>
      </w:r>
      <w:r w:rsidR="00083348" w:rsidRPr="005B30A9">
        <w:tab/>
      </w:r>
      <w:r w:rsidRPr="005B30A9">
        <w:t>Medidas ilustrativas de los Länder</w:t>
      </w:r>
    </w:p>
    <w:p w14:paraId="4A4AFF0A" w14:textId="77777777" w:rsidR="009612CC" w:rsidRPr="005B30A9" w:rsidRDefault="009612CC" w:rsidP="009612CC">
      <w:pPr>
        <w:pStyle w:val="SingleTxtG"/>
      </w:pPr>
      <w:r w:rsidRPr="005B30A9">
        <w:t>247.</w:t>
      </w:r>
      <w:r w:rsidRPr="005B30A9">
        <w:tab/>
        <w:t xml:space="preserve">Viena: </w:t>
      </w:r>
    </w:p>
    <w:p w14:paraId="3A26F55B" w14:textId="77777777" w:rsidR="009612CC" w:rsidRPr="005B30A9" w:rsidRDefault="009612CC" w:rsidP="00083348">
      <w:pPr>
        <w:pStyle w:val="Bullet1G"/>
      </w:pPr>
      <w:r w:rsidRPr="005B30A9">
        <w:t>Para los romaníes:</w:t>
      </w:r>
    </w:p>
    <w:p w14:paraId="039F6BEB" w14:textId="142B5366" w:rsidR="009612CC" w:rsidRPr="005B30A9" w:rsidRDefault="009612CC" w:rsidP="00083348">
      <w:pPr>
        <w:pStyle w:val="Bullet2G"/>
      </w:pPr>
      <w:r w:rsidRPr="005B30A9">
        <w:t>Clases de idioma materno impartidas por profesores nativos</w:t>
      </w:r>
      <w:r w:rsidR="00083348" w:rsidRPr="005B30A9">
        <w:t>.</w:t>
      </w:r>
    </w:p>
    <w:p w14:paraId="15FBD145" w14:textId="3F544B84" w:rsidR="009612CC" w:rsidRPr="005B30A9" w:rsidRDefault="009612CC" w:rsidP="00083348">
      <w:pPr>
        <w:pStyle w:val="Bullet2G"/>
      </w:pPr>
      <w:r w:rsidRPr="005B30A9">
        <w:t>Mediadores escolares que se relacionan con los docentes, los alumnos y los progenitores, ayudan a los niños a estudiar y ayudan a los docentes a comprender el trasfondo cultural y las situaciones vitales de los niños romaníes y a los progenitores a concebir una actitud positiva hacia la escuela</w:t>
      </w:r>
      <w:r w:rsidR="00083348" w:rsidRPr="005B30A9">
        <w:t>.</w:t>
      </w:r>
    </w:p>
    <w:p w14:paraId="7897EEB3" w14:textId="385F9313" w:rsidR="009612CC" w:rsidRPr="005B30A9" w:rsidRDefault="009612CC" w:rsidP="00083348">
      <w:pPr>
        <w:pStyle w:val="Bullet2G"/>
      </w:pPr>
      <w:r w:rsidRPr="005B30A9">
        <w:t>Tutorías (ayuda con los deberes y la preparación para los exámenes)</w:t>
      </w:r>
      <w:r w:rsidR="00083348" w:rsidRPr="005B30A9">
        <w:t>.</w:t>
      </w:r>
    </w:p>
    <w:p w14:paraId="77AD306D" w14:textId="77777777" w:rsidR="009612CC" w:rsidRPr="005B30A9" w:rsidRDefault="009612CC" w:rsidP="00083348">
      <w:pPr>
        <w:pStyle w:val="Bullet1G"/>
      </w:pPr>
      <w:r w:rsidRPr="005B30A9">
        <w:t>Para los alumnos con dificultades de aprendizaje procedentes de familias desfavorecidas económicamente:</w:t>
      </w:r>
    </w:p>
    <w:p w14:paraId="4A27B8E9" w14:textId="405F47C9" w:rsidR="009612CC" w:rsidRPr="005B30A9" w:rsidRDefault="009612CC" w:rsidP="00083348">
      <w:pPr>
        <w:pStyle w:val="Bullet2G"/>
      </w:pPr>
      <w:r w:rsidRPr="005B30A9">
        <w:t>Cursos gratuitos de apoyo al aprendizaje para los alumnos de nivel primario y de las fases iniciales del nivel secundario desde el curso 2014/15</w:t>
      </w:r>
      <w:r w:rsidR="00083348" w:rsidRPr="005B30A9">
        <w:t>.</w:t>
      </w:r>
    </w:p>
    <w:p w14:paraId="70EDB176" w14:textId="377D0D74" w:rsidR="009612CC" w:rsidRPr="005B30A9" w:rsidRDefault="009612CC" w:rsidP="00083348">
      <w:pPr>
        <w:pStyle w:val="Bullet2G"/>
      </w:pPr>
      <w:r w:rsidRPr="005B30A9">
        <w:t>Fortalecimiento de las escuelas preparatorias para que los niños puedan seguir estudiando en escuelas superiores</w:t>
      </w:r>
      <w:r w:rsidR="00083348" w:rsidRPr="005B30A9">
        <w:t>.</w:t>
      </w:r>
    </w:p>
    <w:p w14:paraId="69BDEE81" w14:textId="77777777" w:rsidR="009612CC" w:rsidRPr="005B30A9" w:rsidRDefault="009612CC" w:rsidP="00083348">
      <w:pPr>
        <w:pStyle w:val="Bullet2G"/>
      </w:pPr>
      <w:r w:rsidRPr="005B30A9">
        <w:t>Cursos de verano gratuitos de alemán y matemáticas para los alumnos de fases iniciales de la enseñanza secundaria.</w:t>
      </w:r>
    </w:p>
    <w:p w14:paraId="3673C7C5" w14:textId="29210FC1" w:rsidR="009612CC" w:rsidRPr="005B30A9" w:rsidRDefault="009612CC" w:rsidP="009612CC">
      <w:pPr>
        <w:pStyle w:val="SingleTxtG"/>
      </w:pPr>
      <w:r w:rsidRPr="005B30A9">
        <w:t>248.</w:t>
      </w:r>
      <w:r w:rsidRPr="005B30A9">
        <w:tab/>
        <w:t>Burgenland:</w:t>
      </w:r>
    </w:p>
    <w:p w14:paraId="12C3A28B" w14:textId="0F8A06FD" w:rsidR="009612CC" w:rsidRPr="005B30A9" w:rsidRDefault="009612CC" w:rsidP="00083348">
      <w:pPr>
        <w:pStyle w:val="Bullet1G"/>
      </w:pPr>
      <w:r w:rsidRPr="005B30A9">
        <w:t xml:space="preserve">Los alumnos tienen derecho a recibir enseñanza en romaní (mínimo de cinco alumnos para constituir demanda, </w:t>
      </w:r>
      <w:hyperlink r:id="rId62" w:history="1">
        <w:r w:rsidRPr="005B30A9">
          <w:rPr>
            <w:rStyle w:val="Hipervnculo"/>
          </w:rPr>
          <w:t>Ley de Educación Escolar de las Minorías de Burgenland de</w:t>
        </w:r>
        <w:r w:rsidR="00083348" w:rsidRPr="005B30A9">
          <w:rPr>
            <w:rStyle w:val="Hipervnculo"/>
          </w:rPr>
          <w:t> </w:t>
        </w:r>
        <w:r w:rsidRPr="005B30A9">
          <w:rPr>
            <w:rStyle w:val="Hipervnculo"/>
          </w:rPr>
          <w:t>1994</w:t>
        </w:r>
      </w:hyperlink>
      <w:r w:rsidRPr="005B30A9">
        <w:t xml:space="preserve"> </w:t>
      </w:r>
      <w:r w:rsidRPr="005B0204">
        <w:rPr>
          <w:i/>
          <w:iCs/>
        </w:rPr>
        <w:t>(</w:t>
      </w:r>
      <w:r w:rsidRPr="005B30A9">
        <w:rPr>
          <w:i/>
          <w:iCs/>
        </w:rPr>
        <w:t>Minderheiten-Schulgesetz für das Burgenland</w:t>
      </w:r>
      <w:r w:rsidRPr="005B0204">
        <w:rPr>
          <w:i/>
          <w:iCs/>
        </w:rPr>
        <w:t>)</w:t>
      </w:r>
      <w:r w:rsidRPr="005B30A9">
        <w:t>, BGBl. núm. 641/1994, y la legislación de aplicación correspondiente)</w:t>
      </w:r>
      <w:r w:rsidR="005B0204">
        <w:t>.</w:t>
      </w:r>
    </w:p>
    <w:p w14:paraId="763F5708" w14:textId="77777777" w:rsidR="009612CC" w:rsidRPr="005B30A9" w:rsidRDefault="009612CC" w:rsidP="00083348">
      <w:pPr>
        <w:pStyle w:val="Bullet1G"/>
      </w:pPr>
      <w:r w:rsidRPr="005B30A9">
        <w:t>La Asociación Roma-Service ofrece servicios de tutoría.</w:t>
      </w:r>
    </w:p>
    <w:p w14:paraId="76FAB202" w14:textId="1473DE57" w:rsidR="009612CC" w:rsidRPr="005B30A9" w:rsidRDefault="00083348" w:rsidP="00083348">
      <w:pPr>
        <w:pStyle w:val="H1G"/>
      </w:pPr>
      <w:r w:rsidRPr="005B30A9">
        <w:tab/>
      </w:r>
      <w:r w:rsidR="009612CC" w:rsidRPr="005B30A9">
        <w:tab/>
        <w:t>Respuesta al párrafo 30 c) de la lista de cuestiones</w:t>
      </w:r>
    </w:p>
    <w:p w14:paraId="0A8BEA58" w14:textId="4DE6BC49" w:rsidR="009612CC" w:rsidRPr="005B30A9" w:rsidRDefault="009612CC" w:rsidP="00083348">
      <w:pPr>
        <w:pStyle w:val="H23G"/>
      </w:pPr>
      <w:r w:rsidRPr="005B30A9">
        <w:tab/>
      </w:r>
      <w:r w:rsidR="00083348" w:rsidRPr="005B30A9">
        <w:tab/>
      </w:r>
      <w:r w:rsidRPr="005B30A9">
        <w:t>Prevención del abandono escolar</w:t>
      </w:r>
    </w:p>
    <w:p w14:paraId="34A9EFEF" w14:textId="77777777" w:rsidR="009612CC" w:rsidRPr="005B30A9" w:rsidRDefault="009612CC" w:rsidP="009612CC">
      <w:pPr>
        <w:pStyle w:val="SingleTxtG"/>
        <w:rPr>
          <w:bCs/>
        </w:rPr>
      </w:pPr>
      <w:r w:rsidRPr="005B30A9">
        <w:t>249.</w:t>
      </w:r>
      <w:r w:rsidRPr="005B30A9">
        <w:tab/>
        <w:t>Entre los factores que influyen en el abandono escolar en los centros ordinarios y los centros de formación profesional figuran problemas de aprendizaje, adquisición de competencias y motivación, problemas psicosociales o un apoyo insuficiente. En consecuencia, se han adoptado contramedidas como las siguientes:</w:t>
      </w:r>
    </w:p>
    <w:p w14:paraId="766685FA" w14:textId="63546503" w:rsidR="009612CC" w:rsidRPr="005B30A9" w:rsidRDefault="009612CC" w:rsidP="00083348">
      <w:pPr>
        <w:pStyle w:val="Bullet1G"/>
      </w:pPr>
      <w:r w:rsidRPr="005B30A9">
        <w:t>Obligación de asistir a capacitación hasta los 18 años (véase la respuesta a la pregunta</w:t>
      </w:r>
      <w:r w:rsidR="00083348" w:rsidRPr="005B30A9">
        <w:t> </w:t>
      </w:r>
      <w:r w:rsidRPr="005B30A9">
        <w:t>17):</w:t>
      </w:r>
    </w:p>
    <w:p w14:paraId="562EC613" w14:textId="16C81354" w:rsidR="009612CC" w:rsidRPr="005B30A9" w:rsidRDefault="009612CC" w:rsidP="00083348">
      <w:pPr>
        <w:pStyle w:val="Bullet2G"/>
      </w:pPr>
      <w:r w:rsidRPr="005B30A9">
        <w:t>Reducción del abandono escolar temprano (especialmente elevado entre los adolescentes de origen migrante) y creación de incentivos para la formación ulterior</w:t>
      </w:r>
      <w:r w:rsidR="00083348" w:rsidRPr="005B30A9">
        <w:t>.</w:t>
      </w:r>
    </w:p>
    <w:p w14:paraId="5B71A34A" w14:textId="79705C4A" w:rsidR="009612CC" w:rsidRPr="005B30A9" w:rsidRDefault="009612CC" w:rsidP="00083348">
      <w:pPr>
        <w:pStyle w:val="Bullet2G"/>
      </w:pPr>
      <w:r w:rsidRPr="005B30A9">
        <w:t>Identificación de los adolescentes que no reciben formación alguna para prestarles apoyo y asistencia mediante orientación juvenil (con el objeto de alentarles a participar en cursos adecuados)</w:t>
      </w:r>
      <w:r w:rsidR="00083348" w:rsidRPr="005B30A9">
        <w:t>.</w:t>
      </w:r>
    </w:p>
    <w:p w14:paraId="3192264D" w14:textId="77777777" w:rsidR="009612CC" w:rsidRPr="005B30A9" w:rsidRDefault="009612CC" w:rsidP="00083348">
      <w:pPr>
        <w:pStyle w:val="Bullet1G"/>
      </w:pPr>
      <w:r w:rsidRPr="005B30A9">
        <w:t>Apoyo de acceso fácil para los adolescentes que corren peligro de marginación, incluido el prestado por la NEBA:</w:t>
      </w:r>
    </w:p>
    <w:p w14:paraId="4ED41856" w14:textId="74F79069" w:rsidR="009612CC" w:rsidRPr="005B30A9" w:rsidRDefault="009612CC" w:rsidP="00083348">
      <w:pPr>
        <w:pStyle w:val="Bullet2G"/>
      </w:pPr>
      <w:r w:rsidRPr="005B30A9">
        <w:t>Orientación juvenil (apoyo o ayuda para elegir los estudios y la trayectoria profesional, a partir del noveno curso)</w:t>
      </w:r>
      <w:r w:rsidR="00083348" w:rsidRPr="005B30A9">
        <w:t>.</w:t>
      </w:r>
    </w:p>
    <w:p w14:paraId="39B67635" w14:textId="450B5987" w:rsidR="009612CC" w:rsidRPr="005B30A9" w:rsidRDefault="009612CC" w:rsidP="00083348">
      <w:pPr>
        <w:pStyle w:val="Bullet2G"/>
      </w:pPr>
      <w:r w:rsidRPr="005B30A9">
        <w:t xml:space="preserve">Asistencia para encontrar la siguiente etapa de capacitación adecuada </w:t>
      </w:r>
      <w:r w:rsidRPr="005B0204">
        <w:rPr>
          <w:i/>
          <w:iCs/>
        </w:rPr>
        <w:t>(</w:t>
      </w:r>
      <w:r w:rsidRPr="005B30A9">
        <w:rPr>
          <w:i/>
          <w:iCs/>
        </w:rPr>
        <w:t>AusbildungsFit</w:t>
      </w:r>
      <w:r w:rsidRPr="005B0204">
        <w:rPr>
          <w:i/>
          <w:iCs/>
        </w:rPr>
        <w:t>)</w:t>
      </w:r>
      <w:r w:rsidR="00083348" w:rsidRPr="005B30A9">
        <w:t>.</w:t>
      </w:r>
    </w:p>
    <w:p w14:paraId="27E1965D" w14:textId="5E6F61C3" w:rsidR="009612CC" w:rsidRPr="005B30A9" w:rsidRDefault="009612CC" w:rsidP="00083348">
      <w:pPr>
        <w:pStyle w:val="Bullet1G"/>
      </w:pPr>
      <w:r w:rsidRPr="005B30A9">
        <w:t>Tutorías personales para los alumnos con dificultades de aprendizaje en las fases iniciales y posteriores del nivel secundario a partir del 10º curso (disponible a partir del año escolar 2023/24)</w:t>
      </w:r>
      <w:r w:rsidR="00083348" w:rsidRPr="005B30A9">
        <w:t>.</w:t>
      </w:r>
    </w:p>
    <w:p w14:paraId="14522FBA" w14:textId="3D3ADF2B" w:rsidR="009612CC" w:rsidRPr="005B30A9" w:rsidRDefault="009612CC" w:rsidP="00083348">
      <w:pPr>
        <w:pStyle w:val="Bullet1G"/>
        <w:rPr>
          <w:bCs/>
        </w:rPr>
      </w:pPr>
      <w:r w:rsidRPr="005B30A9">
        <w:lastRenderedPageBreak/>
        <w:t>Mayor hincapié en las competencias mediante:</w:t>
      </w:r>
    </w:p>
    <w:p w14:paraId="2FFDA00E" w14:textId="784DEAD1" w:rsidR="009612CC" w:rsidRPr="005B30A9" w:rsidRDefault="009612CC" w:rsidP="00083348">
      <w:pPr>
        <w:pStyle w:val="Bullet2G"/>
        <w:rPr>
          <w:bCs/>
        </w:rPr>
      </w:pPr>
      <w:r w:rsidRPr="005B30A9">
        <w:t xml:space="preserve">Una evaluación de las competencias en los cursos tercero, cuarto, séptimo y octavo </w:t>
      </w:r>
      <w:r w:rsidRPr="005B0204">
        <w:rPr>
          <w:i/>
          <w:iCs/>
        </w:rPr>
        <w:t>(Individuelle Kompetenzmessung PLUS)</w:t>
      </w:r>
      <w:r w:rsidR="00083348" w:rsidRPr="005B30A9">
        <w:t>.</w:t>
      </w:r>
    </w:p>
    <w:p w14:paraId="2FF1F661" w14:textId="20153E6D" w:rsidR="009612CC" w:rsidRPr="005B30A9" w:rsidRDefault="009612CC" w:rsidP="00083348">
      <w:pPr>
        <w:pStyle w:val="Bullet2G"/>
        <w:rPr>
          <w:bCs/>
        </w:rPr>
      </w:pPr>
      <w:r w:rsidRPr="005B30A9">
        <w:t>Planes de estudios orientados a las competencias en el nivel primario y en la fase inicial del nivel secundario</w:t>
      </w:r>
      <w:r w:rsidR="00083348" w:rsidRPr="005B30A9">
        <w:t>.</w:t>
      </w:r>
    </w:p>
    <w:p w14:paraId="7085B10A" w14:textId="67E6A0BB" w:rsidR="009612CC" w:rsidRPr="005B30A9" w:rsidRDefault="009612CC" w:rsidP="00083348">
      <w:pPr>
        <w:pStyle w:val="Bullet2G"/>
        <w:rPr>
          <w:bCs/>
        </w:rPr>
      </w:pPr>
      <w:r w:rsidRPr="005B30A9">
        <w:t>Marcos de competencias (se describe el grado de desarrollo previsto para determinadas competencias)</w:t>
      </w:r>
      <w:r w:rsidR="00083348" w:rsidRPr="005B30A9">
        <w:t>.</w:t>
      </w:r>
    </w:p>
    <w:p w14:paraId="53E5C99D" w14:textId="77777777" w:rsidR="009612CC" w:rsidRPr="005B30A9" w:rsidRDefault="009612CC" w:rsidP="00083348">
      <w:pPr>
        <w:pStyle w:val="Bullet1G"/>
        <w:rPr>
          <w:bCs/>
        </w:rPr>
      </w:pPr>
      <w:r w:rsidRPr="005B30A9">
        <w:t>Apoyo psicosocial y asesoramiento en las escuelas, en particular:</w:t>
      </w:r>
    </w:p>
    <w:p w14:paraId="317464FA" w14:textId="1690447F" w:rsidR="009612CC" w:rsidRPr="005B30A9" w:rsidRDefault="009612CC" w:rsidP="00083348">
      <w:pPr>
        <w:pStyle w:val="Bullet2G"/>
        <w:rPr>
          <w:bCs/>
        </w:rPr>
      </w:pPr>
      <w:r w:rsidRPr="005B30A9">
        <w:t>Asesoramiento psicosocial en los centros escolares y para estos</w:t>
      </w:r>
      <w:r w:rsidRPr="005B30A9">
        <w:rPr>
          <w:rStyle w:val="Refdenotaalpie"/>
        </w:rPr>
        <w:footnoteReference w:id="55"/>
      </w:r>
      <w:r w:rsidR="00083348" w:rsidRPr="005B30A9">
        <w:t>.</w:t>
      </w:r>
    </w:p>
    <w:p w14:paraId="59529599" w14:textId="7358A5BA" w:rsidR="009612CC" w:rsidRPr="005B30A9" w:rsidRDefault="009612CC" w:rsidP="00083348">
      <w:pPr>
        <w:pStyle w:val="Bullet2G"/>
        <w:rPr>
          <w:bCs/>
        </w:rPr>
      </w:pPr>
      <w:r w:rsidRPr="005B30A9">
        <w:t>Orientación en las escuelas sobre las opciones educativas y la trayectoria profesional</w:t>
      </w:r>
      <w:r w:rsidRPr="005B30A9">
        <w:rPr>
          <w:rStyle w:val="Refdenotaalpie"/>
        </w:rPr>
        <w:footnoteReference w:id="56"/>
      </w:r>
      <w:r w:rsidR="00083348" w:rsidRPr="005B30A9">
        <w:t>.</w:t>
      </w:r>
    </w:p>
    <w:p w14:paraId="5041F30F" w14:textId="27F268D1" w:rsidR="009612CC" w:rsidRPr="005B30A9" w:rsidRDefault="009612CC" w:rsidP="00083348">
      <w:pPr>
        <w:pStyle w:val="Bullet1G"/>
        <w:rPr>
          <w:bCs/>
        </w:rPr>
      </w:pPr>
      <w:r w:rsidRPr="005B30A9">
        <w:t>Establecimiento de una cultura centrada en recabar comentarios</w:t>
      </w:r>
      <w:r w:rsidR="00083348" w:rsidRPr="005B30A9">
        <w:t>.</w:t>
      </w:r>
    </w:p>
    <w:p w14:paraId="0D16768C" w14:textId="77777777" w:rsidR="009612CC" w:rsidRPr="005B30A9" w:rsidRDefault="009612CC" w:rsidP="00083348">
      <w:pPr>
        <w:pStyle w:val="Bullet1G"/>
        <w:rPr>
          <w:bCs/>
        </w:rPr>
      </w:pPr>
      <w:r w:rsidRPr="005B30A9">
        <w:t>Control del nivel al inicio escolar para prestar un apoyo optimizado.</w:t>
      </w:r>
    </w:p>
    <w:p w14:paraId="31CE8225" w14:textId="19ABF44B" w:rsidR="009612CC" w:rsidRPr="005B30A9" w:rsidRDefault="009612CC" w:rsidP="00083348">
      <w:pPr>
        <w:pStyle w:val="H1G"/>
      </w:pPr>
      <w:r w:rsidRPr="005B30A9">
        <w:tab/>
      </w:r>
      <w:r w:rsidR="00083348" w:rsidRPr="005B30A9">
        <w:tab/>
      </w:r>
      <w:r w:rsidRPr="005B30A9">
        <w:t>Respuesta al párrafo 31 de la lista de cuestiones</w:t>
      </w:r>
    </w:p>
    <w:p w14:paraId="5A63A280" w14:textId="37A087BD" w:rsidR="009612CC" w:rsidRPr="005B30A9" w:rsidRDefault="00083348" w:rsidP="00083348">
      <w:pPr>
        <w:pStyle w:val="H23G"/>
      </w:pPr>
      <w:r w:rsidRPr="005B30A9">
        <w:tab/>
      </w:r>
      <w:r w:rsidR="009612CC" w:rsidRPr="005B30A9">
        <w:tab/>
        <w:t>Proporción de niños con discapacidad en escuelas inclusivas y de necesidades especiales</w:t>
      </w:r>
    </w:p>
    <w:p w14:paraId="3B5DF945" w14:textId="77777777" w:rsidR="009612CC" w:rsidRPr="005B30A9" w:rsidRDefault="009612CC" w:rsidP="009612CC">
      <w:pPr>
        <w:pStyle w:val="SingleTxtG"/>
        <w:rPr>
          <w:bCs/>
        </w:rPr>
      </w:pPr>
      <w:r w:rsidRPr="005B30A9">
        <w:t>250.</w:t>
      </w:r>
      <w:r w:rsidRPr="005B30A9">
        <w:tab/>
        <w:t>Los alumnos que, debido a una deficiencia funcional física, mental o psíquica o a una deficiencia sensorial de carácter no temporal, necesiten apoyo especial para seguir las clases en los centros de educación primaria, preparatoria y politécnica asisten a un centro de necesidades especiales o a un centro inclusivo según elijan las personas que ejercen la patria potestad (véanse los cuadros 22 a 24 del anexo estadístico). Se persigue el objetivo de que, en la medida de lo posible, aprendan en la escuela teniendo en cuenta su deficiencia de forma inclusiva, no sesgada y participativa y de que crezcan desde el principio en el seno de la sociedad gozando de igualdad de condiciones con todos los demás.</w:t>
      </w:r>
    </w:p>
    <w:p w14:paraId="1F308DB5" w14:textId="58417FB7" w:rsidR="009612CC" w:rsidRPr="005B30A9" w:rsidRDefault="009612CC" w:rsidP="00083348">
      <w:pPr>
        <w:pStyle w:val="H1G"/>
      </w:pPr>
      <w:r w:rsidRPr="005B30A9">
        <w:tab/>
      </w:r>
      <w:r w:rsidR="00083348" w:rsidRPr="005B30A9">
        <w:tab/>
      </w:r>
      <w:r w:rsidRPr="005B30A9">
        <w:t>Respuesta al párrafo 32 de la lista de cuestiones</w:t>
      </w:r>
    </w:p>
    <w:p w14:paraId="24B910BA" w14:textId="64F21333" w:rsidR="009612CC" w:rsidRPr="005B30A9" w:rsidRDefault="00083348" w:rsidP="00083348">
      <w:pPr>
        <w:pStyle w:val="H23G"/>
      </w:pPr>
      <w:r w:rsidRPr="005B30A9">
        <w:tab/>
      </w:r>
      <w:r w:rsidR="009612CC" w:rsidRPr="005B30A9">
        <w:tab/>
        <w:t xml:space="preserve">Repercusión de las medidas que fomentan el equilibrio de género en el ámbito </w:t>
      </w:r>
      <w:r w:rsidRPr="005B30A9">
        <w:br/>
      </w:r>
      <w:r w:rsidR="009612CC" w:rsidRPr="005B30A9">
        <w:t>de la ciencia, la tecnología, la ingeniería y las matemáticas</w:t>
      </w:r>
    </w:p>
    <w:p w14:paraId="6AC37D58" w14:textId="3F899EE7" w:rsidR="009612CC" w:rsidRPr="005B30A9" w:rsidRDefault="00083348" w:rsidP="00083348">
      <w:pPr>
        <w:pStyle w:val="H4G"/>
      </w:pPr>
      <w:r w:rsidRPr="005B30A9">
        <w:tab/>
      </w:r>
      <w:r w:rsidR="009612CC" w:rsidRPr="005B30A9">
        <w:t>1.</w:t>
      </w:r>
      <w:r w:rsidR="009612CC" w:rsidRPr="005B30A9">
        <w:tab/>
        <w:t>Universidad</w:t>
      </w:r>
    </w:p>
    <w:p w14:paraId="68AC87A3" w14:textId="181E94B5" w:rsidR="009612CC" w:rsidRPr="005B30A9" w:rsidRDefault="009612CC" w:rsidP="009612CC">
      <w:pPr>
        <w:pStyle w:val="SingleTxtG"/>
        <w:rPr>
          <w:bCs/>
        </w:rPr>
      </w:pPr>
      <w:r w:rsidRPr="005B30A9">
        <w:t>251.</w:t>
      </w:r>
      <w:r w:rsidRPr="005B30A9">
        <w:tab/>
        <w:t>La presencia de mujeres en el ámbito de la tecnología y la informática aumentó un</w:t>
      </w:r>
      <w:r w:rsidR="009856D8">
        <w:t> </w:t>
      </w:r>
      <w:r w:rsidRPr="005B30A9">
        <w:t>3,8</w:t>
      </w:r>
      <w:r w:rsidR="009856D8">
        <w:t> </w:t>
      </w:r>
      <w:r w:rsidRPr="005B30A9">
        <w:t>% de 2017/18 a 2022/23.</w:t>
      </w:r>
    </w:p>
    <w:p w14:paraId="3DDC5CEB" w14:textId="11BFE60D" w:rsidR="009612CC" w:rsidRPr="005B30A9" w:rsidRDefault="00083348" w:rsidP="00083348">
      <w:pPr>
        <w:pStyle w:val="H4G"/>
      </w:pPr>
      <w:r w:rsidRPr="005B30A9">
        <w:tab/>
      </w:r>
      <w:r w:rsidR="009612CC" w:rsidRPr="005B30A9">
        <w:t>2.</w:t>
      </w:r>
      <w:r w:rsidR="009612CC" w:rsidRPr="005B30A9">
        <w:tab/>
        <w:t>Oportunidades de aprendizaje</w:t>
      </w:r>
    </w:p>
    <w:p w14:paraId="49E58201" w14:textId="57D968E3" w:rsidR="009612CC" w:rsidRPr="005B30A9" w:rsidRDefault="009612CC" w:rsidP="009612CC">
      <w:pPr>
        <w:pStyle w:val="SingleTxtG"/>
        <w:rPr>
          <w:bCs/>
        </w:rPr>
      </w:pPr>
      <w:r w:rsidRPr="005B30A9">
        <w:t>252.</w:t>
      </w:r>
      <w:r w:rsidRPr="005B30A9">
        <w:tab/>
        <w:t>Las mujeres están infrarrepresentadas tradicionalmente en la capacitación orientada al aprendizaje. En 2022, el número de mujeres aprendices era más elevado (61,3 %) en los aprendizajes ofrecidos por “otros proveedores de aprendizaje” (con inclusión de la administración pública, farmacias, bufetes de abogados, etc.), seguidos del “comercio minorista” (58,8 %) y “banca y seguros” (55,6 %), y su nivel más bajo correspondía a “artes y oficios” (18,7 %). Véase el cuadro 25 del anexo estadístico.</w:t>
      </w:r>
    </w:p>
    <w:p w14:paraId="04B94A04" w14:textId="77777777" w:rsidR="009612CC" w:rsidRPr="005B30A9" w:rsidRDefault="009612CC" w:rsidP="009612CC">
      <w:pPr>
        <w:pStyle w:val="SingleTxtG"/>
        <w:rPr>
          <w:bCs/>
        </w:rPr>
      </w:pPr>
      <w:r w:rsidRPr="005B30A9">
        <w:t>253.</w:t>
      </w:r>
      <w:r w:rsidRPr="005B30A9">
        <w:tab/>
        <w:t>Sin embargo, la presencia de mujeres en grupos de aprendizaje técnico va en constante aumento desde 2005 (véanse los cuadros 26 y 27 del anexo estadístico), en particular en las esferas siguientes:</w:t>
      </w:r>
    </w:p>
    <w:p w14:paraId="53593346" w14:textId="2A515758" w:rsidR="009612CC" w:rsidRPr="005B30A9" w:rsidRDefault="009612CC" w:rsidP="00083348">
      <w:pPr>
        <w:pStyle w:val="Bullet1G"/>
        <w:rPr>
          <w:bCs/>
        </w:rPr>
      </w:pPr>
      <w:r w:rsidRPr="005B30A9">
        <w:t>Ingeniería eléctrica/electrónica (2022: aumento del 10,1 % respecto de 2021)</w:t>
      </w:r>
      <w:r w:rsidR="00083348" w:rsidRPr="005B30A9">
        <w:t>.</w:t>
      </w:r>
    </w:p>
    <w:p w14:paraId="2010EAA2" w14:textId="7D43D694" w:rsidR="009612CC" w:rsidRPr="005B30A9" w:rsidRDefault="009612CC" w:rsidP="00083348">
      <w:pPr>
        <w:pStyle w:val="Bullet1G"/>
        <w:rPr>
          <w:bCs/>
        </w:rPr>
      </w:pPr>
      <w:r w:rsidRPr="005B30A9">
        <w:lastRenderedPageBreak/>
        <w:t>Construcción/arquitectura/tecnología de la edificación (2022: aumento del 7,8 % respecto de 2021)</w:t>
      </w:r>
      <w:r w:rsidR="00083348" w:rsidRPr="005B30A9">
        <w:t>.</w:t>
      </w:r>
    </w:p>
    <w:p w14:paraId="44061966" w14:textId="27863C70" w:rsidR="009612CC" w:rsidRPr="005B30A9" w:rsidRDefault="009612CC" w:rsidP="00083348">
      <w:pPr>
        <w:pStyle w:val="Bullet1G"/>
        <w:rPr>
          <w:bCs/>
        </w:rPr>
      </w:pPr>
      <w:r w:rsidRPr="005B30A9">
        <w:t>Transporte en general/almacenamiento/transporte de cargas (2022: aumento del</w:t>
      </w:r>
      <w:r w:rsidR="009856D8">
        <w:t> </w:t>
      </w:r>
      <w:r w:rsidRPr="005B30A9">
        <w:t>6,8</w:t>
      </w:r>
      <w:r w:rsidR="009856D8">
        <w:t> </w:t>
      </w:r>
      <w:r w:rsidRPr="005B30A9">
        <w:t>% respecto de 2021).</w:t>
      </w:r>
    </w:p>
    <w:p w14:paraId="39094203" w14:textId="77777777" w:rsidR="009612CC" w:rsidRPr="005B30A9" w:rsidRDefault="009612CC" w:rsidP="009612CC">
      <w:pPr>
        <w:pStyle w:val="SingleTxtG"/>
        <w:rPr>
          <w:bCs/>
        </w:rPr>
      </w:pPr>
      <w:r w:rsidRPr="005B30A9">
        <w:t>254.</w:t>
      </w:r>
      <w:r w:rsidRPr="005B30A9">
        <w:tab/>
        <w:t>Se ha ampliado la gama de las oportunidades de aprendizaje por las que optan las mujeres: en 2002, el 53,1 % de las mujeres eligieron un aprendizaje en los sectores del comercio minorista, la peluquería o el trabajo de oficina. Este porcentaje no ha dejado de disminuir desde entonces hasta situarse en el 36,3 % en 2022, mientras que la metalurgia fue el sexto tipo de aprendizaje más elegido en 2022 (véase los cuadros 27 y 28 del anexo estadístico).</w:t>
      </w:r>
    </w:p>
    <w:p w14:paraId="33362C68" w14:textId="2E8BF75C" w:rsidR="009612CC" w:rsidRPr="005B30A9" w:rsidRDefault="00083348" w:rsidP="00083348">
      <w:pPr>
        <w:pStyle w:val="H4G"/>
      </w:pPr>
      <w:r w:rsidRPr="005B30A9">
        <w:tab/>
      </w:r>
      <w:r w:rsidR="009612CC" w:rsidRPr="005B30A9">
        <w:t>3.</w:t>
      </w:r>
      <w:r w:rsidR="009612CC" w:rsidRPr="005B30A9">
        <w:tab/>
        <w:t>Escuela</w:t>
      </w:r>
    </w:p>
    <w:p w14:paraId="405257EA" w14:textId="77777777" w:rsidR="009612CC" w:rsidRPr="005B30A9" w:rsidRDefault="009612CC" w:rsidP="009612CC">
      <w:pPr>
        <w:pStyle w:val="SingleTxtG"/>
        <w:rPr>
          <w:bCs/>
        </w:rPr>
      </w:pPr>
      <w:r w:rsidRPr="005B30A9">
        <w:t>255.</w:t>
      </w:r>
      <w:r w:rsidRPr="005B30A9">
        <w:tab/>
        <w:t xml:space="preserve">En el año escolar 2021/22, a escala nacional cerca del 8 % de las alumnas de noveno curso (3.089) iniciaron un curso de capacitación técnica en una escuela de formación profesional de grado medio o superior. En Carintia y Salzburgo la proporción fue de aproximadamente el 12 % en cada región, en parte debido a las actividades o proyectos de </w:t>
      </w:r>
      <w:r w:rsidRPr="005B30A9">
        <w:rPr>
          <w:i/>
          <w:iCs/>
        </w:rPr>
        <w:t>MINT Salzburg</w:t>
      </w:r>
      <w:r w:rsidRPr="005B30A9">
        <w:t xml:space="preserve"> (iniciativa del gobierno del </w:t>
      </w:r>
      <w:r w:rsidRPr="005B30A9">
        <w:rPr>
          <w:i/>
          <w:iCs/>
        </w:rPr>
        <w:t>Land</w:t>
      </w:r>
      <w:r w:rsidRPr="005B30A9">
        <w:t xml:space="preserve">) y </w:t>
      </w:r>
      <w:r w:rsidRPr="005B30A9">
        <w:rPr>
          <w:i/>
          <w:iCs/>
        </w:rPr>
        <w:t xml:space="preserve">EqualiZ </w:t>
      </w:r>
      <w:r w:rsidRPr="005B30A9">
        <w:t>(antes, el Centro para Niñas de Klagenfurt).</w:t>
      </w:r>
    </w:p>
    <w:p w14:paraId="32038673" w14:textId="77777777" w:rsidR="009612CC" w:rsidRPr="005B30A9" w:rsidRDefault="009612CC" w:rsidP="009612CC">
      <w:pPr>
        <w:pStyle w:val="SingleTxtG"/>
        <w:rPr>
          <w:bCs/>
        </w:rPr>
      </w:pPr>
      <w:r w:rsidRPr="005B30A9">
        <w:t>256.</w:t>
      </w:r>
      <w:r w:rsidRPr="005B30A9">
        <w:tab/>
        <w:t xml:space="preserve">A la vez, a escala nacional cerca del 4,5 % de los alumnos varones de noveno curso (1.800) inició su capacitación en una escuela de formación personal de grado medio o superior en el sector de la educación, los cuidados y los asuntos sociales. Las proporciones varían mucho de un </w:t>
      </w:r>
      <w:r w:rsidRPr="005B30A9">
        <w:rPr>
          <w:i/>
          <w:iCs/>
        </w:rPr>
        <w:t xml:space="preserve">Land </w:t>
      </w:r>
      <w:r w:rsidRPr="005B30A9">
        <w:t>a otro (en Burgenland, más del 9 %, en Carintia, más del 7 %, en Vorarlberg, menos del 1 %), en parte debido a las buenas conexiones de los responsables de los Días de los Niños en Burgenland y Carintia.</w:t>
      </w:r>
    </w:p>
    <w:p w14:paraId="4C49A678" w14:textId="33F62255" w:rsidR="009612CC" w:rsidRPr="005B30A9" w:rsidRDefault="00083348" w:rsidP="00083348">
      <w:pPr>
        <w:pStyle w:val="H1G"/>
      </w:pPr>
      <w:r w:rsidRPr="005B30A9">
        <w:tab/>
      </w:r>
      <w:r w:rsidR="009612CC" w:rsidRPr="005B30A9">
        <w:tab/>
        <w:t>Respuesta al párrafo 33 de la lista de cuestiones</w:t>
      </w:r>
    </w:p>
    <w:p w14:paraId="40842861" w14:textId="45315689" w:rsidR="009612CC" w:rsidRPr="005B30A9" w:rsidRDefault="00083348" w:rsidP="00083348">
      <w:pPr>
        <w:pStyle w:val="H23G"/>
      </w:pPr>
      <w:r w:rsidRPr="005B30A9">
        <w:tab/>
      </w:r>
      <w:r w:rsidR="009612CC" w:rsidRPr="005B30A9">
        <w:tab/>
        <w:t xml:space="preserve">Modificación de la Ley de Grupos Étnicos </w:t>
      </w:r>
      <w:r w:rsidR="009612CC" w:rsidRPr="009856D8">
        <w:rPr>
          <w:i/>
          <w:iCs/>
        </w:rPr>
        <w:t>(</w:t>
      </w:r>
      <w:r w:rsidR="009612CC" w:rsidRPr="005B30A9">
        <w:rPr>
          <w:i/>
          <w:iCs/>
        </w:rPr>
        <w:t>Volksgruppengesetz</w:t>
      </w:r>
      <w:r w:rsidR="009612CC" w:rsidRPr="009856D8">
        <w:rPr>
          <w:i/>
          <w:iCs/>
        </w:rPr>
        <w:t>)</w:t>
      </w:r>
    </w:p>
    <w:p w14:paraId="290DE276" w14:textId="77777777" w:rsidR="009612CC" w:rsidRPr="005B30A9" w:rsidRDefault="009612CC" w:rsidP="009612CC">
      <w:pPr>
        <w:pStyle w:val="SingleTxtG"/>
        <w:rPr>
          <w:bCs/>
        </w:rPr>
      </w:pPr>
      <w:r w:rsidRPr="005B30A9">
        <w:t>257.</w:t>
      </w:r>
      <w:r w:rsidRPr="005B30A9">
        <w:tab/>
        <w:t>Actualmente no está prevista.</w:t>
      </w:r>
    </w:p>
    <w:p w14:paraId="14B59ED0" w14:textId="60B0DDF7" w:rsidR="009612CC" w:rsidRPr="005B30A9" w:rsidRDefault="00083348" w:rsidP="00083348">
      <w:pPr>
        <w:pStyle w:val="HChG"/>
      </w:pPr>
      <w:r w:rsidRPr="005B30A9">
        <w:tab/>
      </w:r>
      <w:r w:rsidR="009612CC" w:rsidRPr="005B30A9">
        <w:t>III.</w:t>
      </w:r>
      <w:r w:rsidR="009612CC" w:rsidRPr="005B30A9">
        <w:tab/>
        <w:t>Buenas prácticas</w:t>
      </w:r>
    </w:p>
    <w:p w14:paraId="169A5227" w14:textId="186F7387" w:rsidR="009612CC" w:rsidRPr="005B30A9" w:rsidRDefault="009612CC" w:rsidP="00083348">
      <w:pPr>
        <w:pStyle w:val="H1G"/>
      </w:pPr>
      <w:r w:rsidRPr="005B30A9">
        <w:tab/>
      </w:r>
      <w:r w:rsidR="00083348" w:rsidRPr="005B30A9">
        <w:tab/>
      </w:r>
      <w:r w:rsidRPr="005B30A9">
        <w:t>Respuesta al párrafo 34 de la lista de cuestiones</w:t>
      </w:r>
    </w:p>
    <w:p w14:paraId="394E6BAC" w14:textId="2DA6679F" w:rsidR="009612CC" w:rsidRPr="005B30A9" w:rsidRDefault="009612CC" w:rsidP="00083348">
      <w:pPr>
        <w:pStyle w:val="H23G"/>
      </w:pPr>
      <w:r w:rsidRPr="005B30A9">
        <w:tab/>
      </w:r>
      <w:r w:rsidR="00083348" w:rsidRPr="005B30A9">
        <w:tab/>
      </w:r>
      <w:r w:rsidRPr="005B30A9">
        <w:t>Buenas prácticas ilustrativas de aplicación de los derechos previstos en el Pacto</w:t>
      </w:r>
    </w:p>
    <w:p w14:paraId="10858698" w14:textId="77777777" w:rsidR="009612CC" w:rsidRPr="005B30A9" w:rsidRDefault="009612CC" w:rsidP="009612CC">
      <w:pPr>
        <w:pStyle w:val="SingleTxtG"/>
        <w:rPr>
          <w:bCs/>
        </w:rPr>
      </w:pPr>
      <w:r w:rsidRPr="005B30A9">
        <w:t>258.</w:t>
      </w:r>
      <w:r w:rsidRPr="005B30A9">
        <w:tab/>
        <w:t>La aplicación de las recomendaciones que figuran en las observaciones finales del Comité (E/C.12AUT/CO/4) se debate en las reuniones celebradas periódicamente por los coordinadores de derechos humanos de los ministerios federales; durante el período sobre el que se informa se tuvieron en cuenta las recomendaciones en el desarrollo de gran parte de las buenas prácticas (incluidas las relativas a los romaníes, las mujeres y la salud psicosocial) en materia de lo siguiente:</w:t>
      </w:r>
    </w:p>
    <w:p w14:paraId="6D893847" w14:textId="77777777" w:rsidR="009612CC" w:rsidRPr="005B30A9" w:rsidRDefault="009612CC" w:rsidP="00083348">
      <w:pPr>
        <w:pStyle w:val="Bullet1G"/>
        <w:rPr>
          <w:bCs/>
        </w:rPr>
      </w:pPr>
      <w:r w:rsidRPr="005B30A9">
        <w:t>Personas con discapacidad, en particular:</w:t>
      </w:r>
    </w:p>
    <w:p w14:paraId="4440EB70" w14:textId="63C95280" w:rsidR="009612CC" w:rsidRPr="005B30A9" w:rsidRDefault="009612CC" w:rsidP="00083348">
      <w:pPr>
        <w:pStyle w:val="Bullet2G"/>
        <w:rPr>
          <w:bCs/>
        </w:rPr>
      </w:pPr>
      <w:r w:rsidRPr="005B30A9">
        <w:t>Verificación del cumplimiento de los requisitos exigidos para recibir una prestación más cuantiosa por hijo a cargo cuando se trata de un hijo con discapacidad a partir de los datos que figuran en el documento de identidad de las personas con discapacidad, por lo que ya no se exigen más reconocimientos médicos</w:t>
      </w:r>
      <w:r w:rsidR="00083348" w:rsidRPr="005B30A9">
        <w:t>.</w:t>
      </w:r>
    </w:p>
    <w:p w14:paraId="0994F40B" w14:textId="3D6EF315" w:rsidR="009612CC" w:rsidRPr="005B30A9" w:rsidRDefault="009612CC" w:rsidP="00083348">
      <w:pPr>
        <w:pStyle w:val="Bullet2G"/>
        <w:rPr>
          <w:bCs/>
        </w:rPr>
      </w:pPr>
      <w:r w:rsidRPr="005B30A9">
        <w:t>Cuando este documento acredite que es inaceptable el uso del transporte público debido a una limitación no temporal de la movilidad por discapacidad, los titulares reciben automáticamente un abono anual gratuito para hacer uso de las autopistas de peaje</w:t>
      </w:r>
      <w:r w:rsidR="00083348" w:rsidRPr="005B30A9">
        <w:t>.</w:t>
      </w:r>
    </w:p>
    <w:p w14:paraId="326300FF" w14:textId="77777777" w:rsidR="009612CC" w:rsidRPr="005B30A9" w:rsidRDefault="009612CC" w:rsidP="009856D8">
      <w:pPr>
        <w:pStyle w:val="Bullet1G"/>
        <w:keepNext/>
        <w:keepLines/>
        <w:rPr>
          <w:bCs/>
        </w:rPr>
      </w:pPr>
      <w:r w:rsidRPr="005B30A9">
        <w:lastRenderedPageBreak/>
        <w:t>Inclusión de los grupos marginados en el mercado laboral, en particular:</w:t>
      </w:r>
    </w:p>
    <w:p w14:paraId="1B29F68E" w14:textId="5A8A2647" w:rsidR="009612CC" w:rsidRPr="005B30A9" w:rsidRDefault="009612CC" w:rsidP="00083348">
      <w:pPr>
        <w:pStyle w:val="Bullet2G"/>
        <w:rPr>
          <w:bCs/>
        </w:rPr>
      </w:pPr>
      <w:r w:rsidRPr="005B30A9">
        <w:t>Comprobación de las aptitudes de los refugiados reconocidos como tales inscritos ante el AMS; comprobación de las aptitudes de las mujeres que ganaron el Premio de Administración Pública de las Naciones Unidas 2019</w:t>
      </w:r>
      <w:r w:rsidR="00083348" w:rsidRPr="005B30A9">
        <w:t>.</w:t>
      </w:r>
    </w:p>
    <w:p w14:paraId="33E456BD" w14:textId="5F22E79D" w:rsidR="009612CC" w:rsidRPr="005B30A9" w:rsidRDefault="009612CC" w:rsidP="00083348">
      <w:pPr>
        <w:pStyle w:val="Bullet2G"/>
        <w:rPr>
          <w:bCs/>
        </w:rPr>
      </w:pPr>
      <w:r w:rsidRPr="005B30A9">
        <w:t>Financiación de enfoques innovadores de educación dual en el marco de la subvención de oportunidades de aprendizaje en las empresas (en las partidas de financiación “género”, “inclusión” y “calidad”)</w:t>
      </w:r>
      <w:r w:rsidR="00083348" w:rsidRPr="005B30A9">
        <w:t>.</w:t>
      </w:r>
    </w:p>
    <w:p w14:paraId="59E0707E" w14:textId="6076BE34" w:rsidR="009612CC" w:rsidRPr="005B30A9" w:rsidRDefault="009612CC" w:rsidP="00083348">
      <w:pPr>
        <w:pStyle w:val="Bullet2G"/>
        <w:rPr>
          <w:bCs/>
        </w:rPr>
      </w:pPr>
      <w:r w:rsidRPr="005B30A9">
        <w:t>Estrategia para los romaníes provista de numerosos proyectos para su empoderamiento</w:t>
      </w:r>
      <w:r w:rsidR="00083348" w:rsidRPr="005B30A9">
        <w:t>.</w:t>
      </w:r>
    </w:p>
    <w:p w14:paraId="124877D4" w14:textId="77777777" w:rsidR="009612CC" w:rsidRPr="005B30A9" w:rsidRDefault="009612CC" w:rsidP="00083348">
      <w:pPr>
        <w:pStyle w:val="Bullet1G"/>
        <w:rPr>
          <w:bCs/>
        </w:rPr>
      </w:pPr>
      <w:r w:rsidRPr="005B30A9">
        <w:t>Empoderamiento de las mujeres, en particular:</w:t>
      </w:r>
    </w:p>
    <w:p w14:paraId="0129C2A2" w14:textId="3E0F60BF" w:rsidR="009612CC" w:rsidRPr="005B30A9" w:rsidRDefault="009612CC" w:rsidP="00083348">
      <w:pPr>
        <w:pStyle w:val="Bullet2G"/>
        <w:rPr>
          <w:bCs/>
        </w:rPr>
      </w:pPr>
      <w:r w:rsidRPr="005B30A9">
        <w:t xml:space="preserve">Aprovechar en 2018 la presidencia por Austria del Consejo de la Unión Europea para emprender un diálogo abierto sobre igualdad de género, incluida la conferencia europea </w:t>
      </w:r>
      <w:r w:rsidRPr="006F4860">
        <w:rPr>
          <w:i/>
          <w:iCs/>
        </w:rPr>
        <w:t>“</w:t>
      </w:r>
      <w:r w:rsidRPr="005B30A9">
        <w:rPr>
          <w:i/>
          <w:iCs/>
        </w:rPr>
        <w:t>La igualdad de género y TÚ.</w:t>
      </w:r>
      <w:r w:rsidRPr="005B30A9">
        <w:t xml:space="preserve"> </w:t>
      </w:r>
      <w:r w:rsidRPr="005B30A9">
        <w:rPr>
          <w:i/>
          <w:iCs/>
        </w:rPr>
        <w:t>Voces jóvenes.</w:t>
      </w:r>
      <w:r w:rsidRPr="005B30A9">
        <w:t xml:space="preserve"> </w:t>
      </w:r>
      <w:r w:rsidRPr="005B30A9">
        <w:rPr>
          <w:i/>
          <w:iCs/>
        </w:rPr>
        <w:t>Iniciativa conjunta”</w:t>
      </w:r>
      <w:r w:rsidR="00083348" w:rsidRPr="005B30A9">
        <w:rPr>
          <w:iCs/>
        </w:rPr>
        <w:t>.</w:t>
      </w:r>
    </w:p>
    <w:p w14:paraId="3A1C6052" w14:textId="77777777" w:rsidR="009612CC" w:rsidRPr="005B30A9" w:rsidRDefault="009612CC" w:rsidP="00083348">
      <w:pPr>
        <w:pStyle w:val="Bullet2G"/>
        <w:rPr>
          <w:bCs/>
        </w:rPr>
      </w:pPr>
      <w:r w:rsidRPr="005B30A9">
        <w:t>Taller multipartito para aplicar en Austria en 2019 la Declaración y Plataforma de Acción de Beijing.</w:t>
      </w:r>
    </w:p>
    <w:p w14:paraId="6DA80EB7" w14:textId="6EFF4D16" w:rsidR="009612CC" w:rsidRPr="005B30A9" w:rsidRDefault="00083348" w:rsidP="00083348">
      <w:pPr>
        <w:pStyle w:val="H4G"/>
      </w:pPr>
      <w:r w:rsidRPr="005B30A9">
        <w:tab/>
      </w:r>
      <w:r w:rsidR="009612CC" w:rsidRPr="005B30A9">
        <w:tab/>
        <w:t>Medidas ilustrativas de los Länder</w:t>
      </w:r>
    </w:p>
    <w:p w14:paraId="6349817B" w14:textId="071975DE" w:rsidR="009612CC" w:rsidRPr="005B30A9" w:rsidRDefault="009612CC" w:rsidP="00E65091">
      <w:pPr>
        <w:pStyle w:val="Bullet1G"/>
        <w:rPr>
          <w:bCs/>
        </w:rPr>
      </w:pPr>
      <w:r w:rsidRPr="005B30A9">
        <w:t>Sistema de seguimiento de la igualdad, desde 2013</w:t>
      </w:r>
      <w:r w:rsidRPr="005B30A9">
        <w:rPr>
          <w:rStyle w:val="Refdenotaalpie"/>
        </w:rPr>
        <w:footnoteReference w:id="57"/>
      </w:r>
      <w:r w:rsidR="00E65091" w:rsidRPr="005B30A9">
        <w:t>.</w:t>
      </w:r>
    </w:p>
    <w:p w14:paraId="15F94765" w14:textId="466BCA6D" w:rsidR="009612CC" w:rsidRPr="005B30A9" w:rsidRDefault="009612CC" w:rsidP="00E65091">
      <w:pPr>
        <w:pStyle w:val="Bullet1G"/>
        <w:rPr>
          <w:bCs/>
        </w:rPr>
      </w:pPr>
      <w:r w:rsidRPr="005B30A9">
        <w:t>Oficina de Derechos Humanos, desde 2015 (hincapié en los derechos de los niños y adolescentes y la lucha contra la trata de personas)</w:t>
      </w:r>
      <w:r w:rsidR="00E65091" w:rsidRPr="005B30A9">
        <w:t>.</w:t>
      </w:r>
    </w:p>
    <w:p w14:paraId="17349CE6" w14:textId="70B2F04D" w:rsidR="009612CC" w:rsidRPr="005B30A9" w:rsidRDefault="009612CC" w:rsidP="00E65091">
      <w:pPr>
        <w:pStyle w:val="Bullet1G"/>
        <w:rPr>
          <w:bCs/>
        </w:rPr>
      </w:pPr>
      <w:r w:rsidRPr="005B30A9">
        <w:t xml:space="preserve">Proyecto </w:t>
      </w:r>
      <w:r w:rsidRPr="006F4860">
        <w:rPr>
          <w:i/>
          <w:iCs/>
        </w:rPr>
        <w:t>“</w:t>
      </w:r>
      <w:r w:rsidRPr="005B30A9">
        <w:rPr>
          <w:i/>
          <w:iCs/>
        </w:rPr>
        <w:t>Wiener Menschenrechtsbezirke</w:t>
      </w:r>
      <w:r w:rsidRPr="006F4860">
        <w:rPr>
          <w:i/>
          <w:iCs/>
        </w:rPr>
        <w:t>”</w:t>
      </w:r>
      <w:r w:rsidRPr="005B30A9">
        <w:t xml:space="preserve"> desde 2019 (15 de los 23 distritos de Viena, hasta la fecha)</w:t>
      </w:r>
      <w:r w:rsidR="00E65091" w:rsidRPr="005B30A9">
        <w:t>.</w:t>
      </w:r>
    </w:p>
    <w:p w14:paraId="5873E7AA" w14:textId="3F1CA29D" w:rsidR="009612CC" w:rsidRPr="005B30A9" w:rsidRDefault="009612CC" w:rsidP="00E65091">
      <w:pPr>
        <w:pStyle w:val="Bullet1G"/>
        <w:rPr>
          <w:bCs/>
        </w:rPr>
      </w:pPr>
      <w:r w:rsidRPr="005B30A9">
        <w:t>La SDW y la PSD ofrecen servicios de asesoramiento, apoyo y tratamiento, especialmente a los adultos jóvenes (folletos especiales que informan sobre los servicios ofrecidos por la PSD en el contexto de la crisis de Ucrania (también en ucraniano))</w:t>
      </w:r>
      <w:r w:rsidR="00E65091" w:rsidRPr="005B30A9">
        <w:t>.</w:t>
      </w:r>
    </w:p>
    <w:p w14:paraId="718B42DD" w14:textId="77777777" w:rsidR="009612CC" w:rsidRPr="005B30A9" w:rsidRDefault="009612CC" w:rsidP="00E65091">
      <w:pPr>
        <w:pStyle w:val="Bullet1G"/>
        <w:rPr>
          <w:bCs/>
        </w:rPr>
      </w:pPr>
      <w:r w:rsidRPr="005B30A9">
        <w:t>Iniciativas climáticas (incluida una gira informativa) desde 2022.</w:t>
      </w:r>
    </w:p>
    <w:p w14:paraId="06911DE3" w14:textId="77777777" w:rsidR="009612CC" w:rsidRPr="005B30A9" w:rsidRDefault="009612CC" w:rsidP="009612CC">
      <w:pPr>
        <w:pStyle w:val="SingleTxtG"/>
        <w:rPr>
          <w:b/>
        </w:rPr>
      </w:pPr>
      <w:r w:rsidRPr="005B30A9">
        <w:rPr>
          <w:b/>
        </w:rPr>
        <w:br w:type="page"/>
      </w:r>
    </w:p>
    <w:p w14:paraId="08343BD9" w14:textId="0B2A0CC1" w:rsidR="009612CC" w:rsidRPr="005B30A9" w:rsidRDefault="009612CC" w:rsidP="00E65091">
      <w:pPr>
        <w:pStyle w:val="HChG"/>
      </w:pPr>
      <w:r w:rsidRPr="005B30A9">
        <w:lastRenderedPageBreak/>
        <w:tab/>
      </w:r>
      <w:r w:rsidR="00FC5458">
        <w:tab/>
      </w:r>
      <w:r w:rsidRPr="005B30A9">
        <w:t>Estadísticas</w:t>
      </w:r>
    </w:p>
    <w:p w14:paraId="56E8B804" w14:textId="77777777" w:rsidR="009612CC" w:rsidRPr="005B30A9" w:rsidRDefault="009612CC" w:rsidP="00E65091">
      <w:pPr>
        <w:pStyle w:val="Table1G"/>
      </w:pPr>
      <w:r w:rsidRPr="005B30A9">
        <w:t>Cuadro 1</w:t>
      </w:r>
    </w:p>
    <w:p w14:paraId="38E85688" w14:textId="77777777" w:rsidR="009612CC" w:rsidRPr="005B30A9" w:rsidRDefault="009612CC" w:rsidP="00E65091">
      <w:pPr>
        <w:pStyle w:val="SingleTxtG"/>
        <w:jc w:val="left"/>
        <w:rPr>
          <w:b/>
          <w:bCs/>
        </w:rPr>
      </w:pPr>
      <w:r w:rsidRPr="005B30A9">
        <w:rPr>
          <w:b/>
          <w:bCs/>
        </w:rPr>
        <w:t>Número de víctimas de delitos contra la vida y la integridad física: comparación quinquenal (2018-2022), por género</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1300"/>
        <w:gridCol w:w="1214"/>
        <w:gridCol w:w="1214"/>
        <w:gridCol w:w="1214"/>
        <w:gridCol w:w="1214"/>
        <w:gridCol w:w="1214"/>
      </w:tblGrid>
      <w:tr w:rsidR="007A1A09" w:rsidRPr="005B30A9" w14:paraId="46303BEA" w14:textId="77777777" w:rsidTr="007A1A09">
        <w:trPr>
          <w:trHeight w:val="240"/>
          <w:tblHeader/>
        </w:trPr>
        <w:tc>
          <w:tcPr>
            <w:tcW w:w="1479" w:type="dxa"/>
            <w:tcBorders>
              <w:top w:val="single" w:sz="4" w:space="0" w:color="auto"/>
              <w:bottom w:val="single" w:sz="12" w:space="0" w:color="auto"/>
            </w:tcBorders>
            <w:shd w:val="clear" w:color="auto" w:fill="auto"/>
            <w:vAlign w:val="bottom"/>
          </w:tcPr>
          <w:p w14:paraId="444C7A85" w14:textId="77777777" w:rsidR="009612CC" w:rsidRPr="005B30A9" w:rsidRDefault="009612CC" w:rsidP="007A1A09">
            <w:pPr>
              <w:pStyle w:val="SingleTxtG"/>
              <w:tabs>
                <w:tab w:val="clear" w:pos="1701"/>
                <w:tab w:val="clear" w:pos="2268"/>
                <w:tab w:val="clear" w:pos="2835"/>
              </w:tabs>
              <w:spacing w:before="80" w:after="80" w:line="200" w:lineRule="exact"/>
              <w:ind w:left="0" w:right="0"/>
              <w:jc w:val="left"/>
              <w:rPr>
                <w:i/>
                <w:sz w:val="16"/>
              </w:rPr>
            </w:pPr>
            <w:r w:rsidRPr="005B30A9">
              <w:rPr>
                <w:i/>
                <w:iCs/>
                <w:sz w:val="16"/>
              </w:rPr>
              <w:t>Sexo</w:t>
            </w:r>
          </w:p>
        </w:tc>
        <w:tc>
          <w:tcPr>
            <w:tcW w:w="1471" w:type="dxa"/>
            <w:tcBorders>
              <w:top w:val="single" w:sz="4" w:space="0" w:color="auto"/>
              <w:bottom w:val="single" w:sz="12" w:space="0" w:color="auto"/>
            </w:tcBorders>
            <w:shd w:val="clear" w:color="auto" w:fill="auto"/>
            <w:vAlign w:val="bottom"/>
          </w:tcPr>
          <w:p w14:paraId="4505155C" w14:textId="77777777" w:rsidR="009612CC" w:rsidRPr="005B30A9" w:rsidRDefault="009612CC" w:rsidP="007A1A09">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2018</w:t>
            </w:r>
          </w:p>
        </w:tc>
        <w:tc>
          <w:tcPr>
            <w:tcW w:w="1472" w:type="dxa"/>
            <w:tcBorders>
              <w:top w:val="single" w:sz="4" w:space="0" w:color="auto"/>
              <w:bottom w:val="single" w:sz="12" w:space="0" w:color="auto"/>
            </w:tcBorders>
            <w:shd w:val="clear" w:color="auto" w:fill="auto"/>
            <w:vAlign w:val="bottom"/>
          </w:tcPr>
          <w:p w14:paraId="6F114A7A" w14:textId="77777777" w:rsidR="009612CC" w:rsidRPr="005B30A9" w:rsidRDefault="009612CC" w:rsidP="007A1A09">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2019</w:t>
            </w:r>
          </w:p>
        </w:tc>
        <w:tc>
          <w:tcPr>
            <w:tcW w:w="1472" w:type="dxa"/>
            <w:tcBorders>
              <w:top w:val="single" w:sz="4" w:space="0" w:color="auto"/>
              <w:bottom w:val="single" w:sz="12" w:space="0" w:color="auto"/>
            </w:tcBorders>
            <w:shd w:val="clear" w:color="auto" w:fill="auto"/>
            <w:vAlign w:val="bottom"/>
          </w:tcPr>
          <w:p w14:paraId="05632548" w14:textId="77777777" w:rsidR="009612CC" w:rsidRPr="005B30A9" w:rsidRDefault="009612CC" w:rsidP="007A1A09">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2020</w:t>
            </w:r>
          </w:p>
        </w:tc>
        <w:tc>
          <w:tcPr>
            <w:tcW w:w="1472" w:type="dxa"/>
            <w:tcBorders>
              <w:top w:val="single" w:sz="4" w:space="0" w:color="auto"/>
              <w:bottom w:val="single" w:sz="12" w:space="0" w:color="auto"/>
            </w:tcBorders>
            <w:shd w:val="clear" w:color="auto" w:fill="auto"/>
            <w:vAlign w:val="bottom"/>
          </w:tcPr>
          <w:p w14:paraId="4799F17B" w14:textId="77777777" w:rsidR="009612CC" w:rsidRPr="005B30A9" w:rsidRDefault="009612CC" w:rsidP="007A1A09">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2021</w:t>
            </w:r>
          </w:p>
        </w:tc>
        <w:tc>
          <w:tcPr>
            <w:tcW w:w="1472" w:type="dxa"/>
            <w:tcBorders>
              <w:top w:val="single" w:sz="4" w:space="0" w:color="auto"/>
              <w:bottom w:val="single" w:sz="12" w:space="0" w:color="auto"/>
            </w:tcBorders>
            <w:shd w:val="clear" w:color="auto" w:fill="auto"/>
            <w:vAlign w:val="bottom"/>
          </w:tcPr>
          <w:p w14:paraId="77D1C99B" w14:textId="77777777" w:rsidR="009612CC" w:rsidRPr="005B30A9" w:rsidRDefault="009612CC" w:rsidP="007A1A09">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2022</w:t>
            </w:r>
          </w:p>
        </w:tc>
      </w:tr>
      <w:tr w:rsidR="007A1A09" w:rsidRPr="005B30A9" w14:paraId="24232400" w14:textId="77777777" w:rsidTr="007A1A09">
        <w:trPr>
          <w:trHeight w:val="240"/>
        </w:trPr>
        <w:tc>
          <w:tcPr>
            <w:tcW w:w="1479" w:type="dxa"/>
            <w:tcBorders>
              <w:top w:val="single" w:sz="12" w:space="0" w:color="auto"/>
            </w:tcBorders>
            <w:shd w:val="clear" w:color="auto" w:fill="auto"/>
          </w:tcPr>
          <w:p w14:paraId="43775C8B"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bCs/>
                <w:sz w:val="18"/>
              </w:rPr>
            </w:pPr>
            <w:r w:rsidRPr="005B30A9">
              <w:rPr>
                <w:sz w:val="18"/>
              </w:rPr>
              <w:t>Hombres</w:t>
            </w:r>
          </w:p>
        </w:tc>
        <w:tc>
          <w:tcPr>
            <w:tcW w:w="1471" w:type="dxa"/>
            <w:tcBorders>
              <w:top w:val="single" w:sz="12" w:space="0" w:color="auto"/>
            </w:tcBorders>
            <w:shd w:val="clear" w:color="auto" w:fill="auto"/>
            <w:vAlign w:val="bottom"/>
          </w:tcPr>
          <w:p w14:paraId="552626D9" w14:textId="4C68A018" w:rsidR="009612CC" w:rsidRPr="005B30A9" w:rsidRDefault="009612CC" w:rsidP="007A1A09">
            <w:pPr>
              <w:pStyle w:val="SingleTxtG"/>
              <w:tabs>
                <w:tab w:val="clear" w:pos="1701"/>
                <w:tab w:val="clear" w:pos="2268"/>
                <w:tab w:val="clear" w:pos="2835"/>
              </w:tabs>
              <w:spacing w:before="40" w:after="40" w:line="220" w:lineRule="exact"/>
              <w:ind w:left="0" w:right="28"/>
              <w:jc w:val="right"/>
              <w:rPr>
                <w:sz w:val="18"/>
              </w:rPr>
            </w:pPr>
            <w:r w:rsidRPr="005B30A9">
              <w:rPr>
                <w:sz w:val="18"/>
              </w:rPr>
              <w:t>29</w:t>
            </w:r>
            <w:r w:rsidR="007A1A09" w:rsidRPr="005B30A9">
              <w:rPr>
                <w:sz w:val="18"/>
              </w:rPr>
              <w:t xml:space="preserve"> </w:t>
            </w:r>
            <w:r w:rsidRPr="005B30A9">
              <w:rPr>
                <w:sz w:val="18"/>
              </w:rPr>
              <w:t>132</w:t>
            </w:r>
          </w:p>
        </w:tc>
        <w:tc>
          <w:tcPr>
            <w:tcW w:w="1472" w:type="dxa"/>
            <w:tcBorders>
              <w:top w:val="single" w:sz="12" w:space="0" w:color="auto"/>
            </w:tcBorders>
            <w:shd w:val="clear" w:color="auto" w:fill="auto"/>
            <w:vAlign w:val="bottom"/>
          </w:tcPr>
          <w:p w14:paraId="33AD3151" w14:textId="7EF6B67A" w:rsidR="009612CC" w:rsidRPr="005B30A9" w:rsidRDefault="009612CC" w:rsidP="007A1A09">
            <w:pPr>
              <w:pStyle w:val="SingleTxtG"/>
              <w:tabs>
                <w:tab w:val="clear" w:pos="1701"/>
                <w:tab w:val="clear" w:pos="2268"/>
                <w:tab w:val="clear" w:pos="2835"/>
              </w:tabs>
              <w:spacing w:before="40" w:after="40" w:line="220" w:lineRule="exact"/>
              <w:ind w:left="0" w:right="28"/>
              <w:jc w:val="right"/>
              <w:rPr>
                <w:sz w:val="18"/>
              </w:rPr>
            </w:pPr>
            <w:r w:rsidRPr="005B30A9">
              <w:rPr>
                <w:sz w:val="18"/>
              </w:rPr>
              <w:t>27</w:t>
            </w:r>
            <w:r w:rsidR="007A1A09" w:rsidRPr="005B30A9">
              <w:rPr>
                <w:sz w:val="18"/>
              </w:rPr>
              <w:t xml:space="preserve"> </w:t>
            </w:r>
            <w:r w:rsidRPr="005B30A9">
              <w:rPr>
                <w:sz w:val="18"/>
              </w:rPr>
              <w:t>675</w:t>
            </w:r>
          </w:p>
        </w:tc>
        <w:tc>
          <w:tcPr>
            <w:tcW w:w="1472" w:type="dxa"/>
            <w:tcBorders>
              <w:top w:val="single" w:sz="12" w:space="0" w:color="auto"/>
            </w:tcBorders>
            <w:shd w:val="clear" w:color="auto" w:fill="auto"/>
            <w:vAlign w:val="bottom"/>
          </w:tcPr>
          <w:p w14:paraId="1649CC24" w14:textId="38C52E7A" w:rsidR="009612CC" w:rsidRPr="005B30A9" w:rsidRDefault="009612CC" w:rsidP="007A1A09">
            <w:pPr>
              <w:pStyle w:val="SingleTxtG"/>
              <w:tabs>
                <w:tab w:val="clear" w:pos="1701"/>
                <w:tab w:val="clear" w:pos="2268"/>
                <w:tab w:val="clear" w:pos="2835"/>
              </w:tabs>
              <w:spacing w:before="40" w:after="40" w:line="220" w:lineRule="exact"/>
              <w:ind w:left="0" w:right="28"/>
              <w:jc w:val="right"/>
              <w:rPr>
                <w:sz w:val="18"/>
              </w:rPr>
            </w:pPr>
            <w:r w:rsidRPr="005B30A9">
              <w:rPr>
                <w:sz w:val="18"/>
              </w:rPr>
              <w:t>24</w:t>
            </w:r>
            <w:r w:rsidR="007A1A09" w:rsidRPr="005B30A9">
              <w:rPr>
                <w:sz w:val="18"/>
              </w:rPr>
              <w:t xml:space="preserve"> </w:t>
            </w:r>
            <w:r w:rsidRPr="005B30A9">
              <w:rPr>
                <w:sz w:val="18"/>
              </w:rPr>
              <w:t>395</w:t>
            </w:r>
          </w:p>
        </w:tc>
        <w:tc>
          <w:tcPr>
            <w:tcW w:w="1472" w:type="dxa"/>
            <w:tcBorders>
              <w:top w:val="single" w:sz="12" w:space="0" w:color="auto"/>
            </w:tcBorders>
            <w:shd w:val="clear" w:color="auto" w:fill="auto"/>
            <w:vAlign w:val="bottom"/>
          </w:tcPr>
          <w:p w14:paraId="28294125" w14:textId="0D85BF70" w:rsidR="009612CC" w:rsidRPr="005B30A9" w:rsidRDefault="009612CC" w:rsidP="007A1A09">
            <w:pPr>
              <w:pStyle w:val="SingleTxtG"/>
              <w:tabs>
                <w:tab w:val="clear" w:pos="1701"/>
                <w:tab w:val="clear" w:pos="2268"/>
                <w:tab w:val="clear" w:pos="2835"/>
              </w:tabs>
              <w:spacing w:before="40" w:after="40" w:line="220" w:lineRule="exact"/>
              <w:ind w:left="0" w:right="28"/>
              <w:jc w:val="right"/>
              <w:rPr>
                <w:sz w:val="18"/>
              </w:rPr>
            </w:pPr>
            <w:r w:rsidRPr="005B30A9">
              <w:rPr>
                <w:sz w:val="18"/>
              </w:rPr>
              <w:t>23</w:t>
            </w:r>
            <w:r w:rsidR="007A1A09" w:rsidRPr="005B30A9">
              <w:rPr>
                <w:sz w:val="18"/>
              </w:rPr>
              <w:t xml:space="preserve"> </w:t>
            </w:r>
            <w:r w:rsidRPr="005B30A9">
              <w:rPr>
                <w:sz w:val="18"/>
              </w:rPr>
              <w:t>256</w:t>
            </w:r>
          </w:p>
        </w:tc>
        <w:tc>
          <w:tcPr>
            <w:tcW w:w="1472" w:type="dxa"/>
            <w:tcBorders>
              <w:top w:val="single" w:sz="12" w:space="0" w:color="auto"/>
            </w:tcBorders>
            <w:shd w:val="clear" w:color="auto" w:fill="auto"/>
            <w:vAlign w:val="bottom"/>
          </w:tcPr>
          <w:p w14:paraId="51B4E788" w14:textId="34A403FF" w:rsidR="009612CC" w:rsidRPr="005B30A9" w:rsidRDefault="009612CC" w:rsidP="007A1A09">
            <w:pPr>
              <w:pStyle w:val="SingleTxtG"/>
              <w:tabs>
                <w:tab w:val="clear" w:pos="1701"/>
                <w:tab w:val="clear" w:pos="2268"/>
                <w:tab w:val="clear" w:pos="2835"/>
              </w:tabs>
              <w:spacing w:before="40" w:after="40" w:line="220" w:lineRule="exact"/>
              <w:ind w:left="0" w:right="28"/>
              <w:jc w:val="right"/>
              <w:rPr>
                <w:sz w:val="18"/>
              </w:rPr>
            </w:pPr>
            <w:r w:rsidRPr="005B30A9">
              <w:rPr>
                <w:sz w:val="18"/>
              </w:rPr>
              <w:t>29</w:t>
            </w:r>
            <w:r w:rsidR="007A1A09" w:rsidRPr="005B30A9">
              <w:rPr>
                <w:sz w:val="18"/>
              </w:rPr>
              <w:t xml:space="preserve"> </w:t>
            </w:r>
            <w:r w:rsidRPr="005B30A9">
              <w:rPr>
                <w:sz w:val="18"/>
              </w:rPr>
              <w:t>306</w:t>
            </w:r>
          </w:p>
        </w:tc>
      </w:tr>
      <w:tr w:rsidR="007A1A09" w:rsidRPr="005B30A9" w14:paraId="3A244367" w14:textId="77777777" w:rsidTr="007A1A09">
        <w:trPr>
          <w:trHeight w:val="240"/>
        </w:trPr>
        <w:tc>
          <w:tcPr>
            <w:tcW w:w="1479" w:type="dxa"/>
            <w:tcBorders>
              <w:bottom w:val="single" w:sz="4" w:space="0" w:color="auto"/>
            </w:tcBorders>
            <w:shd w:val="clear" w:color="auto" w:fill="auto"/>
          </w:tcPr>
          <w:p w14:paraId="7328D46F"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bCs/>
                <w:sz w:val="18"/>
              </w:rPr>
            </w:pPr>
            <w:r w:rsidRPr="005B30A9">
              <w:rPr>
                <w:sz w:val="18"/>
              </w:rPr>
              <w:t>Mujeres</w:t>
            </w:r>
          </w:p>
        </w:tc>
        <w:tc>
          <w:tcPr>
            <w:tcW w:w="1471" w:type="dxa"/>
            <w:tcBorders>
              <w:bottom w:val="single" w:sz="4" w:space="0" w:color="auto"/>
            </w:tcBorders>
            <w:shd w:val="clear" w:color="auto" w:fill="auto"/>
            <w:vAlign w:val="bottom"/>
          </w:tcPr>
          <w:p w14:paraId="006AAE9F" w14:textId="37CD1338" w:rsidR="009612CC" w:rsidRPr="005B30A9" w:rsidRDefault="009612CC" w:rsidP="007A1A09">
            <w:pPr>
              <w:pStyle w:val="SingleTxtG"/>
              <w:tabs>
                <w:tab w:val="clear" w:pos="1701"/>
                <w:tab w:val="clear" w:pos="2268"/>
                <w:tab w:val="clear" w:pos="2835"/>
              </w:tabs>
              <w:spacing w:before="40" w:after="40" w:line="220" w:lineRule="exact"/>
              <w:ind w:left="0" w:right="28"/>
              <w:jc w:val="right"/>
              <w:rPr>
                <w:sz w:val="18"/>
              </w:rPr>
            </w:pPr>
            <w:r w:rsidRPr="005B30A9">
              <w:rPr>
                <w:sz w:val="18"/>
              </w:rPr>
              <w:t>14</w:t>
            </w:r>
            <w:r w:rsidR="007A1A09" w:rsidRPr="005B30A9">
              <w:rPr>
                <w:sz w:val="18"/>
              </w:rPr>
              <w:t xml:space="preserve"> </w:t>
            </w:r>
            <w:r w:rsidRPr="005B30A9">
              <w:rPr>
                <w:sz w:val="18"/>
              </w:rPr>
              <w:t>954</w:t>
            </w:r>
          </w:p>
        </w:tc>
        <w:tc>
          <w:tcPr>
            <w:tcW w:w="1472" w:type="dxa"/>
            <w:tcBorders>
              <w:bottom w:val="single" w:sz="4" w:space="0" w:color="auto"/>
            </w:tcBorders>
            <w:shd w:val="clear" w:color="auto" w:fill="auto"/>
            <w:vAlign w:val="bottom"/>
          </w:tcPr>
          <w:p w14:paraId="17B9CCD3" w14:textId="7BEADAAD" w:rsidR="009612CC" w:rsidRPr="005B30A9" w:rsidRDefault="009612CC" w:rsidP="007A1A09">
            <w:pPr>
              <w:pStyle w:val="SingleTxtG"/>
              <w:tabs>
                <w:tab w:val="clear" w:pos="1701"/>
                <w:tab w:val="clear" w:pos="2268"/>
                <w:tab w:val="clear" w:pos="2835"/>
              </w:tabs>
              <w:spacing w:before="40" w:after="40" w:line="220" w:lineRule="exact"/>
              <w:ind w:left="0" w:right="28"/>
              <w:jc w:val="right"/>
              <w:rPr>
                <w:sz w:val="18"/>
              </w:rPr>
            </w:pPr>
            <w:r w:rsidRPr="005B30A9">
              <w:rPr>
                <w:sz w:val="18"/>
              </w:rPr>
              <w:t>15</w:t>
            </w:r>
            <w:r w:rsidR="007A1A09" w:rsidRPr="005B30A9">
              <w:rPr>
                <w:sz w:val="18"/>
              </w:rPr>
              <w:t xml:space="preserve"> </w:t>
            </w:r>
            <w:r w:rsidRPr="005B30A9">
              <w:rPr>
                <w:sz w:val="18"/>
              </w:rPr>
              <w:t>171</w:t>
            </w:r>
          </w:p>
        </w:tc>
        <w:tc>
          <w:tcPr>
            <w:tcW w:w="1472" w:type="dxa"/>
            <w:tcBorders>
              <w:bottom w:val="single" w:sz="4" w:space="0" w:color="auto"/>
            </w:tcBorders>
            <w:shd w:val="clear" w:color="auto" w:fill="auto"/>
            <w:vAlign w:val="bottom"/>
          </w:tcPr>
          <w:p w14:paraId="4DF383EF" w14:textId="122B5952" w:rsidR="009612CC" w:rsidRPr="005B30A9" w:rsidRDefault="009612CC" w:rsidP="007A1A09">
            <w:pPr>
              <w:pStyle w:val="SingleTxtG"/>
              <w:tabs>
                <w:tab w:val="clear" w:pos="1701"/>
                <w:tab w:val="clear" w:pos="2268"/>
                <w:tab w:val="clear" w:pos="2835"/>
              </w:tabs>
              <w:spacing w:before="40" w:after="40" w:line="220" w:lineRule="exact"/>
              <w:ind w:left="0" w:right="28"/>
              <w:jc w:val="right"/>
              <w:rPr>
                <w:sz w:val="18"/>
              </w:rPr>
            </w:pPr>
            <w:r w:rsidRPr="005B30A9">
              <w:rPr>
                <w:sz w:val="18"/>
              </w:rPr>
              <w:t>14</w:t>
            </w:r>
            <w:r w:rsidR="007A1A09" w:rsidRPr="005B30A9">
              <w:rPr>
                <w:sz w:val="18"/>
              </w:rPr>
              <w:t xml:space="preserve"> </w:t>
            </w:r>
            <w:r w:rsidRPr="005B30A9">
              <w:rPr>
                <w:sz w:val="18"/>
              </w:rPr>
              <w:t>203</w:t>
            </w:r>
          </w:p>
        </w:tc>
        <w:tc>
          <w:tcPr>
            <w:tcW w:w="1472" w:type="dxa"/>
            <w:tcBorders>
              <w:bottom w:val="single" w:sz="4" w:space="0" w:color="auto"/>
            </w:tcBorders>
            <w:shd w:val="clear" w:color="auto" w:fill="auto"/>
            <w:vAlign w:val="bottom"/>
          </w:tcPr>
          <w:p w14:paraId="12193F88" w14:textId="54710CA2" w:rsidR="009612CC" w:rsidRPr="005B30A9" w:rsidRDefault="009612CC" w:rsidP="007A1A09">
            <w:pPr>
              <w:pStyle w:val="SingleTxtG"/>
              <w:tabs>
                <w:tab w:val="clear" w:pos="1701"/>
                <w:tab w:val="clear" w:pos="2268"/>
                <w:tab w:val="clear" w:pos="2835"/>
              </w:tabs>
              <w:spacing w:before="40" w:after="40" w:line="220" w:lineRule="exact"/>
              <w:ind w:left="0" w:right="28"/>
              <w:jc w:val="right"/>
              <w:rPr>
                <w:sz w:val="18"/>
              </w:rPr>
            </w:pPr>
            <w:r w:rsidRPr="005B30A9">
              <w:rPr>
                <w:sz w:val="18"/>
              </w:rPr>
              <w:t>14</w:t>
            </w:r>
            <w:r w:rsidR="007A1A09" w:rsidRPr="005B30A9">
              <w:rPr>
                <w:sz w:val="18"/>
              </w:rPr>
              <w:t xml:space="preserve"> </w:t>
            </w:r>
            <w:r w:rsidRPr="005B30A9">
              <w:rPr>
                <w:sz w:val="18"/>
              </w:rPr>
              <w:t>057</w:t>
            </w:r>
          </w:p>
        </w:tc>
        <w:tc>
          <w:tcPr>
            <w:tcW w:w="1472" w:type="dxa"/>
            <w:tcBorders>
              <w:bottom w:val="single" w:sz="4" w:space="0" w:color="auto"/>
            </w:tcBorders>
            <w:shd w:val="clear" w:color="auto" w:fill="auto"/>
            <w:vAlign w:val="bottom"/>
          </w:tcPr>
          <w:p w14:paraId="6DA6FC27" w14:textId="322D5686" w:rsidR="009612CC" w:rsidRPr="005B30A9" w:rsidRDefault="009612CC" w:rsidP="007A1A09">
            <w:pPr>
              <w:pStyle w:val="SingleTxtG"/>
              <w:tabs>
                <w:tab w:val="clear" w:pos="1701"/>
                <w:tab w:val="clear" w:pos="2268"/>
                <w:tab w:val="clear" w:pos="2835"/>
              </w:tabs>
              <w:spacing w:before="40" w:after="40" w:line="220" w:lineRule="exact"/>
              <w:ind w:left="0" w:right="28"/>
              <w:jc w:val="right"/>
              <w:rPr>
                <w:sz w:val="18"/>
              </w:rPr>
            </w:pPr>
            <w:r w:rsidRPr="005B30A9">
              <w:rPr>
                <w:sz w:val="18"/>
              </w:rPr>
              <w:t>16</w:t>
            </w:r>
            <w:r w:rsidR="007A1A09" w:rsidRPr="005B30A9">
              <w:rPr>
                <w:sz w:val="18"/>
              </w:rPr>
              <w:t xml:space="preserve"> </w:t>
            </w:r>
            <w:r w:rsidRPr="005B30A9">
              <w:rPr>
                <w:sz w:val="18"/>
              </w:rPr>
              <w:t>208</w:t>
            </w:r>
          </w:p>
        </w:tc>
      </w:tr>
      <w:tr w:rsidR="007A1A09" w:rsidRPr="005B30A9" w14:paraId="388C240F" w14:textId="77777777" w:rsidTr="007A1A09">
        <w:trPr>
          <w:trHeight w:val="240"/>
        </w:trPr>
        <w:tc>
          <w:tcPr>
            <w:tcW w:w="1479" w:type="dxa"/>
            <w:tcBorders>
              <w:top w:val="single" w:sz="4" w:space="0" w:color="auto"/>
              <w:bottom w:val="single" w:sz="12" w:space="0" w:color="auto"/>
            </w:tcBorders>
            <w:shd w:val="clear" w:color="auto" w:fill="auto"/>
          </w:tcPr>
          <w:p w14:paraId="1C3A9B2A" w14:textId="77777777" w:rsidR="009612CC" w:rsidRPr="005B30A9" w:rsidRDefault="009612CC" w:rsidP="007A1A09">
            <w:pPr>
              <w:pStyle w:val="SingleTxtG"/>
              <w:tabs>
                <w:tab w:val="clear" w:pos="1701"/>
                <w:tab w:val="clear" w:pos="2268"/>
                <w:tab w:val="clear" w:pos="2835"/>
              </w:tabs>
              <w:spacing w:before="80" w:after="80" w:line="220" w:lineRule="exact"/>
              <w:ind w:left="283" w:right="0"/>
              <w:jc w:val="left"/>
              <w:rPr>
                <w:b/>
                <w:bCs/>
                <w:sz w:val="18"/>
              </w:rPr>
            </w:pPr>
            <w:r w:rsidRPr="005B30A9">
              <w:rPr>
                <w:b/>
                <w:sz w:val="18"/>
              </w:rPr>
              <w:t>Total</w:t>
            </w:r>
          </w:p>
        </w:tc>
        <w:tc>
          <w:tcPr>
            <w:tcW w:w="1471" w:type="dxa"/>
            <w:tcBorders>
              <w:top w:val="single" w:sz="4" w:space="0" w:color="auto"/>
              <w:bottom w:val="single" w:sz="12" w:space="0" w:color="auto"/>
            </w:tcBorders>
            <w:shd w:val="clear" w:color="auto" w:fill="auto"/>
            <w:vAlign w:val="bottom"/>
          </w:tcPr>
          <w:p w14:paraId="0F5F5E72" w14:textId="60738825" w:rsidR="009612CC" w:rsidRPr="005B30A9" w:rsidRDefault="009612CC" w:rsidP="007A1A09">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44</w:t>
            </w:r>
            <w:r w:rsidR="007A1A09" w:rsidRPr="005B30A9">
              <w:rPr>
                <w:b/>
                <w:bCs/>
                <w:sz w:val="18"/>
              </w:rPr>
              <w:t xml:space="preserve"> </w:t>
            </w:r>
            <w:r w:rsidRPr="005B30A9">
              <w:rPr>
                <w:b/>
                <w:bCs/>
                <w:sz w:val="18"/>
              </w:rPr>
              <w:t>086</w:t>
            </w:r>
          </w:p>
        </w:tc>
        <w:tc>
          <w:tcPr>
            <w:tcW w:w="1472" w:type="dxa"/>
            <w:tcBorders>
              <w:top w:val="single" w:sz="4" w:space="0" w:color="auto"/>
              <w:bottom w:val="single" w:sz="12" w:space="0" w:color="auto"/>
            </w:tcBorders>
            <w:shd w:val="clear" w:color="auto" w:fill="auto"/>
            <w:vAlign w:val="bottom"/>
          </w:tcPr>
          <w:p w14:paraId="58B6FA21" w14:textId="2A608F24" w:rsidR="009612CC" w:rsidRPr="005B30A9" w:rsidRDefault="009612CC" w:rsidP="007A1A09">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42</w:t>
            </w:r>
            <w:r w:rsidR="007A1A09" w:rsidRPr="005B30A9">
              <w:rPr>
                <w:b/>
                <w:bCs/>
                <w:sz w:val="18"/>
              </w:rPr>
              <w:t xml:space="preserve"> </w:t>
            </w:r>
            <w:r w:rsidRPr="005B30A9">
              <w:rPr>
                <w:b/>
                <w:bCs/>
                <w:sz w:val="18"/>
              </w:rPr>
              <w:t>846</w:t>
            </w:r>
          </w:p>
        </w:tc>
        <w:tc>
          <w:tcPr>
            <w:tcW w:w="1472" w:type="dxa"/>
            <w:tcBorders>
              <w:top w:val="single" w:sz="4" w:space="0" w:color="auto"/>
              <w:bottom w:val="single" w:sz="12" w:space="0" w:color="auto"/>
            </w:tcBorders>
            <w:shd w:val="clear" w:color="auto" w:fill="auto"/>
            <w:vAlign w:val="bottom"/>
          </w:tcPr>
          <w:p w14:paraId="7EA69F19" w14:textId="622946ED" w:rsidR="009612CC" w:rsidRPr="005B30A9" w:rsidRDefault="009612CC" w:rsidP="007A1A09">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38</w:t>
            </w:r>
            <w:r w:rsidR="007A1A09" w:rsidRPr="005B30A9">
              <w:rPr>
                <w:b/>
                <w:bCs/>
                <w:sz w:val="18"/>
              </w:rPr>
              <w:t xml:space="preserve"> </w:t>
            </w:r>
            <w:r w:rsidRPr="005B30A9">
              <w:rPr>
                <w:b/>
                <w:bCs/>
                <w:sz w:val="18"/>
              </w:rPr>
              <w:t>598</w:t>
            </w:r>
          </w:p>
        </w:tc>
        <w:tc>
          <w:tcPr>
            <w:tcW w:w="1472" w:type="dxa"/>
            <w:tcBorders>
              <w:top w:val="single" w:sz="4" w:space="0" w:color="auto"/>
              <w:bottom w:val="single" w:sz="12" w:space="0" w:color="auto"/>
            </w:tcBorders>
            <w:shd w:val="clear" w:color="auto" w:fill="auto"/>
            <w:vAlign w:val="bottom"/>
          </w:tcPr>
          <w:p w14:paraId="59327D7D" w14:textId="7210608B" w:rsidR="009612CC" w:rsidRPr="005B30A9" w:rsidRDefault="009612CC" w:rsidP="007A1A09">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37</w:t>
            </w:r>
            <w:r w:rsidR="007A1A09" w:rsidRPr="005B30A9">
              <w:rPr>
                <w:b/>
                <w:bCs/>
                <w:sz w:val="18"/>
              </w:rPr>
              <w:t xml:space="preserve"> </w:t>
            </w:r>
            <w:r w:rsidRPr="005B30A9">
              <w:rPr>
                <w:b/>
                <w:bCs/>
                <w:sz w:val="18"/>
              </w:rPr>
              <w:t>313</w:t>
            </w:r>
          </w:p>
        </w:tc>
        <w:tc>
          <w:tcPr>
            <w:tcW w:w="1472" w:type="dxa"/>
            <w:tcBorders>
              <w:top w:val="single" w:sz="4" w:space="0" w:color="auto"/>
              <w:bottom w:val="single" w:sz="12" w:space="0" w:color="auto"/>
            </w:tcBorders>
            <w:shd w:val="clear" w:color="auto" w:fill="auto"/>
            <w:vAlign w:val="bottom"/>
          </w:tcPr>
          <w:p w14:paraId="0105048C" w14:textId="3DCDF501" w:rsidR="009612CC" w:rsidRPr="005B30A9" w:rsidRDefault="009612CC" w:rsidP="007A1A09">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45</w:t>
            </w:r>
            <w:r w:rsidR="007A1A09" w:rsidRPr="005B30A9">
              <w:rPr>
                <w:b/>
                <w:bCs/>
                <w:sz w:val="18"/>
              </w:rPr>
              <w:t xml:space="preserve"> </w:t>
            </w:r>
            <w:r w:rsidRPr="005B30A9">
              <w:rPr>
                <w:b/>
                <w:bCs/>
                <w:sz w:val="18"/>
              </w:rPr>
              <w:t>514</w:t>
            </w:r>
          </w:p>
        </w:tc>
      </w:tr>
    </w:tbl>
    <w:p w14:paraId="73502BF0" w14:textId="77777777" w:rsidR="009612CC" w:rsidRPr="005B30A9" w:rsidRDefault="009612CC" w:rsidP="007A1A09">
      <w:pPr>
        <w:pStyle w:val="SingleTxtG"/>
        <w:spacing w:before="120"/>
        <w:ind w:firstLine="170"/>
        <w:jc w:val="left"/>
        <w:rPr>
          <w:sz w:val="18"/>
          <w:szCs w:val="18"/>
        </w:rPr>
      </w:pPr>
      <w:r w:rsidRPr="005B30A9">
        <w:rPr>
          <w:i/>
          <w:iCs/>
          <w:sz w:val="18"/>
          <w:szCs w:val="18"/>
        </w:rPr>
        <w:t>Fuente:</w:t>
      </w:r>
      <w:r w:rsidRPr="005B30A9">
        <w:rPr>
          <w:sz w:val="18"/>
          <w:szCs w:val="18"/>
        </w:rPr>
        <w:t xml:space="preserve"> Estadísticas de la policía de Austria sobre delitos.</w:t>
      </w:r>
    </w:p>
    <w:p w14:paraId="65B28F58" w14:textId="77777777" w:rsidR="009612CC" w:rsidRPr="005B30A9" w:rsidRDefault="009612CC" w:rsidP="007A1A09">
      <w:pPr>
        <w:pStyle w:val="Table1G"/>
      </w:pPr>
      <w:r w:rsidRPr="005B30A9">
        <w:t>Cuadro 2</w:t>
      </w:r>
    </w:p>
    <w:p w14:paraId="0E32183C" w14:textId="77777777" w:rsidR="009612CC" w:rsidRPr="005B30A9" w:rsidRDefault="009612CC" w:rsidP="007A1A09">
      <w:pPr>
        <w:pStyle w:val="SingleTxtG"/>
        <w:jc w:val="left"/>
        <w:rPr>
          <w:b/>
          <w:bCs/>
        </w:rPr>
      </w:pPr>
      <w:r w:rsidRPr="005B30A9">
        <w:rPr>
          <w:b/>
          <w:bCs/>
        </w:rPr>
        <w:t>Número de víctimas de delitos contra la vida y la integridad física: comparación quinquenal (2018-2022), por grupos de edad y género</w:t>
      </w:r>
    </w:p>
    <w:tbl>
      <w:tblPr>
        <w:tblW w:w="7370" w:type="dxa"/>
        <w:tblInd w:w="1134" w:type="dxa"/>
        <w:tblBorders>
          <w:top w:val="single" w:sz="4" w:space="0" w:color="auto"/>
        </w:tblBorders>
        <w:tblLayout w:type="fixed"/>
        <w:tblCellMar>
          <w:left w:w="0" w:type="dxa"/>
          <w:right w:w="0" w:type="dxa"/>
        </w:tblCellMar>
        <w:tblLook w:val="0420" w:firstRow="1" w:lastRow="0" w:firstColumn="0" w:lastColumn="0" w:noHBand="0" w:noVBand="1"/>
      </w:tblPr>
      <w:tblGrid>
        <w:gridCol w:w="1276"/>
        <w:gridCol w:w="1015"/>
        <w:gridCol w:w="1016"/>
        <w:gridCol w:w="1016"/>
        <w:gridCol w:w="1015"/>
        <w:gridCol w:w="1016"/>
        <w:gridCol w:w="1016"/>
      </w:tblGrid>
      <w:tr w:rsidR="007A1A09" w:rsidRPr="005B30A9" w14:paraId="55DD44E4" w14:textId="77777777" w:rsidTr="006F4860">
        <w:trPr>
          <w:trHeight w:val="240"/>
          <w:tblHeader/>
        </w:trPr>
        <w:tc>
          <w:tcPr>
            <w:tcW w:w="1276" w:type="dxa"/>
            <w:tcBorders>
              <w:top w:val="single" w:sz="4" w:space="0" w:color="auto"/>
              <w:bottom w:val="single" w:sz="4" w:space="0" w:color="auto"/>
            </w:tcBorders>
            <w:shd w:val="clear" w:color="auto" w:fill="auto"/>
            <w:noWrap/>
            <w:vAlign w:val="bottom"/>
            <w:hideMark/>
          </w:tcPr>
          <w:p w14:paraId="32D8738A" w14:textId="77777777" w:rsidR="009612CC" w:rsidRPr="005B30A9" w:rsidRDefault="009612CC" w:rsidP="007A1A09">
            <w:pPr>
              <w:pStyle w:val="SingleTxtG"/>
              <w:tabs>
                <w:tab w:val="clear" w:pos="1701"/>
                <w:tab w:val="clear" w:pos="2268"/>
                <w:tab w:val="clear" w:pos="2835"/>
              </w:tabs>
              <w:spacing w:before="80" w:after="80" w:line="200" w:lineRule="exact"/>
              <w:ind w:left="0" w:right="0"/>
              <w:jc w:val="left"/>
              <w:rPr>
                <w:i/>
                <w:sz w:val="16"/>
              </w:rPr>
            </w:pPr>
            <w:r w:rsidRPr="005B30A9">
              <w:rPr>
                <w:i/>
                <w:iCs/>
                <w:sz w:val="16"/>
              </w:rPr>
              <w:t>Edad</w:t>
            </w:r>
            <w:r w:rsidRPr="005B30A9">
              <w:rPr>
                <w:i/>
                <w:sz w:val="16"/>
              </w:rPr>
              <w:t xml:space="preserve"> </w:t>
            </w:r>
          </w:p>
        </w:tc>
        <w:tc>
          <w:tcPr>
            <w:tcW w:w="1015" w:type="dxa"/>
            <w:tcBorders>
              <w:top w:val="single" w:sz="4" w:space="0" w:color="auto"/>
              <w:bottom w:val="single" w:sz="4" w:space="0" w:color="auto"/>
            </w:tcBorders>
            <w:shd w:val="clear" w:color="auto" w:fill="auto"/>
            <w:vAlign w:val="bottom"/>
          </w:tcPr>
          <w:p w14:paraId="34D54263" w14:textId="77777777" w:rsidR="009612CC" w:rsidRPr="005B30A9" w:rsidRDefault="009612CC" w:rsidP="007A1A09">
            <w:pPr>
              <w:pStyle w:val="SingleTxtG"/>
              <w:tabs>
                <w:tab w:val="clear" w:pos="1701"/>
                <w:tab w:val="clear" w:pos="2268"/>
                <w:tab w:val="clear" w:pos="2835"/>
              </w:tabs>
              <w:spacing w:before="80" w:after="80" w:line="200" w:lineRule="exact"/>
              <w:ind w:left="0" w:right="0"/>
              <w:jc w:val="left"/>
              <w:rPr>
                <w:i/>
                <w:sz w:val="16"/>
              </w:rPr>
            </w:pPr>
            <w:r w:rsidRPr="005B30A9">
              <w:rPr>
                <w:i/>
                <w:iCs/>
                <w:sz w:val="16"/>
              </w:rPr>
              <w:t>Género</w:t>
            </w:r>
          </w:p>
        </w:tc>
        <w:tc>
          <w:tcPr>
            <w:tcW w:w="1016" w:type="dxa"/>
            <w:tcBorders>
              <w:top w:val="single" w:sz="4" w:space="0" w:color="auto"/>
              <w:bottom w:val="single" w:sz="4" w:space="0" w:color="auto"/>
            </w:tcBorders>
            <w:shd w:val="clear" w:color="auto" w:fill="auto"/>
            <w:noWrap/>
            <w:vAlign w:val="bottom"/>
            <w:hideMark/>
          </w:tcPr>
          <w:p w14:paraId="74608DDA" w14:textId="77777777" w:rsidR="009612CC" w:rsidRPr="005B30A9" w:rsidRDefault="009612CC" w:rsidP="00045B2A">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2018</w:t>
            </w:r>
          </w:p>
        </w:tc>
        <w:tc>
          <w:tcPr>
            <w:tcW w:w="1016" w:type="dxa"/>
            <w:tcBorders>
              <w:top w:val="single" w:sz="4" w:space="0" w:color="auto"/>
              <w:bottom w:val="single" w:sz="4" w:space="0" w:color="auto"/>
            </w:tcBorders>
            <w:shd w:val="clear" w:color="auto" w:fill="auto"/>
            <w:noWrap/>
            <w:vAlign w:val="bottom"/>
            <w:hideMark/>
          </w:tcPr>
          <w:p w14:paraId="372EE5BF" w14:textId="77777777" w:rsidR="009612CC" w:rsidRPr="005B30A9" w:rsidRDefault="009612CC" w:rsidP="00045B2A">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2019</w:t>
            </w:r>
          </w:p>
        </w:tc>
        <w:tc>
          <w:tcPr>
            <w:tcW w:w="1015" w:type="dxa"/>
            <w:tcBorders>
              <w:top w:val="single" w:sz="4" w:space="0" w:color="auto"/>
              <w:bottom w:val="single" w:sz="4" w:space="0" w:color="auto"/>
            </w:tcBorders>
            <w:shd w:val="clear" w:color="auto" w:fill="auto"/>
            <w:noWrap/>
            <w:vAlign w:val="bottom"/>
            <w:hideMark/>
          </w:tcPr>
          <w:p w14:paraId="1D30AC7A" w14:textId="77777777" w:rsidR="009612CC" w:rsidRPr="005B30A9" w:rsidRDefault="009612CC" w:rsidP="00045B2A">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2020</w:t>
            </w:r>
          </w:p>
        </w:tc>
        <w:tc>
          <w:tcPr>
            <w:tcW w:w="1016" w:type="dxa"/>
            <w:tcBorders>
              <w:top w:val="single" w:sz="4" w:space="0" w:color="auto"/>
              <w:bottom w:val="single" w:sz="4" w:space="0" w:color="auto"/>
            </w:tcBorders>
            <w:shd w:val="clear" w:color="auto" w:fill="auto"/>
            <w:noWrap/>
            <w:vAlign w:val="bottom"/>
            <w:hideMark/>
          </w:tcPr>
          <w:p w14:paraId="6F5580DC" w14:textId="77777777" w:rsidR="009612CC" w:rsidRPr="005B30A9" w:rsidRDefault="009612CC" w:rsidP="00045B2A">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2021</w:t>
            </w:r>
          </w:p>
        </w:tc>
        <w:tc>
          <w:tcPr>
            <w:tcW w:w="1016" w:type="dxa"/>
            <w:tcBorders>
              <w:top w:val="single" w:sz="4" w:space="0" w:color="auto"/>
              <w:bottom w:val="single" w:sz="4" w:space="0" w:color="auto"/>
            </w:tcBorders>
            <w:shd w:val="clear" w:color="auto" w:fill="auto"/>
            <w:noWrap/>
            <w:vAlign w:val="bottom"/>
            <w:hideMark/>
          </w:tcPr>
          <w:p w14:paraId="3E3D6F22" w14:textId="77777777" w:rsidR="009612CC" w:rsidRPr="005B30A9" w:rsidRDefault="009612CC" w:rsidP="00045B2A">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2022</w:t>
            </w:r>
          </w:p>
        </w:tc>
      </w:tr>
      <w:tr w:rsidR="007A1A09" w:rsidRPr="005B30A9" w14:paraId="18B6DCD5" w14:textId="77777777" w:rsidTr="006F4860">
        <w:trPr>
          <w:trHeight w:val="240"/>
        </w:trPr>
        <w:tc>
          <w:tcPr>
            <w:tcW w:w="1276" w:type="dxa"/>
            <w:vMerge w:val="restart"/>
            <w:tcBorders>
              <w:top w:val="single" w:sz="4" w:space="0" w:color="auto"/>
              <w:bottom w:val="single" w:sz="12" w:space="0" w:color="auto"/>
            </w:tcBorders>
            <w:shd w:val="clear" w:color="auto" w:fill="auto"/>
            <w:noWrap/>
            <w:hideMark/>
          </w:tcPr>
          <w:p w14:paraId="24A8BAFE" w14:textId="68B0A493" w:rsidR="009612CC" w:rsidRPr="005B30A9" w:rsidRDefault="006F4860" w:rsidP="007A1A09">
            <w:pPr>
              <w:pStyle w:val="SingleTxtG"/>
              <w:tabs>
                <w:tab w:val="clear" w:pos="1701"/>
                <w:tab w:val="clear" w:pos="2268"/>
                <w:tab w:val="clear" w:pos="2835"/>
              </w:tabs>
              <w:spacing w:after="0" w:line="220" w:lineRule="exact"/>
              <w:ind w:left="0" w:right="0"/>
              <w:jc w:val="left"/>
              <w:rPr>
                <w:bCs/>
                <w:sz w:val="18"/>
              </w:rPr>
            </w:pPr>
            <w:r>
              <w:rPr>
                <w:bCs/>
                <w:sz w:val="18"/>
              </w:rPr>
              <w:t xml:space="preserve">De </w:t>
            </w:r>
            <w:r w:rsidR="009612CC" w:rsidRPr="005B30A9">
              <w:rPr>
                <w:bCs/>
                <w:sz w:val="18"/>
              </w:rPr>
              <w:t>0</w:t>
            </w:r>
            <w:r>
              <w:rPr>
                <w:bCs/>
                <w:sz w:val="18"/>
              </w:rPr>
              <w:t xml:space="preserve"> a </w:t>
            </w:r>
            <w:r w:rsidR="009612CC" w:rsidRPr="005B30A9">
              <w:rPr>
                <w:bCs/>
                <w:sz w:val="18"/>
              </w:rPr>
              <w:t>5</w:t>
            </w:r>
            <w:r>
              <w:rPr>
                <w:bCs/>
                <w:sz w:val="18"/>
              </w:rPr>
              <w:t xml:space="preserve"> años</w:t>
            </w:r>
          </w:p>
        </w:tc>
        <w:tc>
          <w:tcPr>
            <w:tcW w:w="1015" w:type="dxa"/>
            <w:tcBorders>
              <w:top w:val="single" w:sz="4" w:space="0" w:color="auto"/>
              <w:bottom w:val="single" w:sz="4" w:space="0" w:color="auto"/>
            </w:tcBorders>
            <w:shd w:val="clear" w:color="auto" w:fill="auto"/>
            <w:vAlign w:val="bottom"/>
          </w:tcPr>
          <w:p w14:paraId="781A65C8" w14:textId="77777777" w:rsidR="009612CC" w:rsidRPr="005B30A9" w:rsidRDefault="009612CC" w:rsidP="00045B2A">
            <w:pPr>
              <w:pStyle w:val="SingleTxtG"/>
              <w:tabs>
                <w:tab w:val="clear" w:pos="1701"/>
                <w:tab w:val="clear" w:pos="2268"/>
                <w:tab w:val="clear" w:pos="2835"/>
              </w:tabs>
              <w:spacing w:before="80" w:after="80" w:line="220" w:lineRule="exact"/>
              <w:ind w:left="284" w:right="0"/>
              <w:jc w:val="left"/>
              <w:rPr>
                <w:b/>
                <w:sz w:val="18"/>
              </w:rPr>
            </w:pPr>
            <w:r w:rsidRPr="005B30A9">
              <w:rPr>
                <w:b/>
                <w:sz w:val="18"/>
              </w:rPr>
              <w:t>Total</w:t>
            </w:r>
          </w:p>
        </w:tc>
        <w:tc>
          <w:tcPr>
            <w:tcW w:w="1016" w:type="dxa"/>
            <w:tcBorders>
              <w:top w:val="single" w:sz="4" w:space="0" w:color="auto"/>
              <w:bottom w:val="single" w:sz="4" w:space="0" w:color="auto"/>
            </w:tcBorders>
            <w:shd w:val="clear" w:color="auto" w:fill="auto"/>
            <w:noWrap/>
            <w:vAlign w:val="bottom"/>
            <w:hideMark/>
          </w:tcPr>
          <w:p w14:paraId="27BF9CBF" w14:textId="77777777"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332</w:t>
            </w:r>
          </w:p>
        </w:tc>
        <w:tc>
          <w:tcPr>
            <w:tcW w:w="1016" w:type="dxa"/>
            <w:tcBorders>
              <w:top w:val="single" w:sz="4" w:space="0" w:color="auto"/>
              <w:bottom w:val="single" w:sz="4" w:space="0" w:color="auto"/>
            </w:tcBorders>
            <w:shd w:val="clear" w:color="auto" w:fill="auto"/>
            <w:noWrap/>
            <w:vAlign w:val="bottom"/>
            <w:hideMark/>
          </w:tcPr>
          <w:p w14:paraId="7CED2539" w14:textId="77777777"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423</w:t>
            </w:r>
          </w:p>
        </w:tc>
        <w:tc>
          <w:tcPr>
            <w:tcW w:w="1015" w:type="dxa"/>
            <w:tcBorders>
              <w:top w:val="single" w:sz="4" w:space="0" w:color="auto"/>
              <w:bottom w:val="single" w:sz="4" w:space="0" w:color="auto"/>
            </w:tcBorders>
            <w:shd w:val="clear" w:color="auto" w:fill="auto"/>
            <w:noWrap/>
            <w:vAlign w:val="bottom"/>
            <w:hideMark/>
          </w:tcPr>
          <w:p w14:paraId="30B9F3BE" w14:textId="77777777"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391</w:t>
            </w:r>
          </w:p>
        </w:tc>
        <w:tc>
          <w:tcPr>
            <w:tcW w:w="1016" w:type="dxa"/>
            <w:tcBorders>
              <w:top w:val="single" w:sz="4" w:space="0" w:color="auto"/>
              <w:bottom w:val="single" w:sz="4" w:space="0" w:color="auto"/>
            </w:tcBorders>
            <w:shd w:val="clear" w:color="auto" w:fill="auto"/>
            <w:noWrap/>
            <w:vAlign w:val="bottom"/>
            <w:hideMark/>
          </w:tcPr>
          <w:p w14:paraId="68C89990" w14:textId="77777777"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375</w:t>
            </w:r>
          </w:p>
        </w:tc>
        <w:tc>
          <w:tcPr>
            <w:tcW w:w="1016" w:type="dxa"/>
            <w:tcBorders>
              <w:top w:val="single" w:sz="4" w:space="0" w:color="auto"/>
              <w:bottom w:val="single" w:sz="4" w:space="0" w:color="auto"/>
            </w:tcBorders>
            <w:shd w:val="clear" w:color="auto" w:fill="auto"/>
            <w:noWrap/>
            <w:vAlign w:val="bottom"/>
            <w:hideMark/>
          </w:tcPr>
          <w:p w14:paraId="72B80579" w14:textId="77777777"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373</w:t>
            </w:r>
          </w:p>
        </w:tc>
      </w:tr>
      <w:tr w:rsidR="007A1A09" w:rsidRPr="005B30A9" w14:paraId="45717661" w14:textId="77777777" w:rsidTr="006F4860">
        <w:trPr>
          <w:trHeight w:val="240"/>
        </w:trPr>
        <w:tc>
          <w:tcPr>
            <w:tcW w:w="1276" w:type="dxa"/>
            <w:vMerge/>
            <w:tcBorders>
              <w:top w:val="single" w:sz="12" w:space="0" w:color="auto"/>
            </w:tcBorders>
            <w:shd w:val="clear" w:color="auto" w:fill="auto"/>
            <w:noWrap/>
            <w:hideMark/>
          </w:tcPr>
          <w:p w14:paraId="3A42A42E"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p>
        </w:tc>
        <w:tc>
          <w:tcPr>
            <w:tcW w:w="1015" w:type="dxa"/>
            <w:tcBorders>
              <w:top w:val="single" w:sz="4" w:space="0" w:color="auto"/>
            </w:tcBorders>
            <w:shd w:val="clear" w:color="auto" w:fill="auto"/>
            <w:vAlign w:val="bottom"/>
          </w:tcPr>
          <w:p w14:paraId="29A15985"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Hombres</w:t>
            </w:r>
          </w:p>
        </w:tc>
        <w:tc>
          <w:tcPr>
            <w:tcW w:w="1016" w:type="dxa"/>
            <w:tcBorders>
              <w:top w:val="single" w:sz="4" w:space="0" w:color="auto"/>
            </w:tcBorders>
            <w:shd w:val="clear" w:color="auto" w:fill="auto"/>
            <w:noWrap/>
            <w:vAlign w:val="bottom"/>
            <w:hideMark/>
          </w:tcPr>
          <w:p w14:paraId="2DF410DE"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196</w:t>
            </w:r>
          </w:p>
        </w:tc>
        <w:tc>
          <w:tcPr>
            <w:tcW w:w="1016" w:type="dxa"/>
            <w:tcBorders>
              <w:top w:val="single" w:sz="4" w:space="0" w:color="auto"/>
            </w:tcBorders>
            <w:shd w:val="clear" w:color="auto" w:fill="auto"/>
            <w:noWrap/>
            <w:vAlign w:val="bottom"/>
            <w:hideMark/>
          </w:tcPr>
          <w:p w14:paraId="0737EE6B"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237</w:t>
            </w:r>
          </w:p>
        </w:tc>
        <w:tc>
          <w:tcPr>
            <w:tcW w:w="1015" w:type="dxa"/>
            <w:tcBorders>
              <w:top w:val="single" w:sz="4" w:space="0" w:color="auto"/>
            </w:tcBorders>
            <w:shd w:val="clear" w:color="auto" w:fill="auto"/>
            <w:noWrap/>
            <w:vAlign w:val="bottom"/>
            <w:hideMark/>
          </w:tcPr>
          <w:p w14:paraId="07C22337"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226</w:t>
            </w:r>
          </w:p>
        </w:tc>
        <w:tc>
          <w:tcPr>
            <w:tcW w:w="1016" w:type="dxa"/>
            <w:tcBorders>
              <w:top w:val="single" w:sz="4" w:space="0" w:color="auto"/>
            </w:tcBorders>
            <w:shd w:val="clear" w:color="auto" w:fill="auto"/>
            <w:noWrap/>
            <w:vAlign w:val="bottom"/>
            <w:hideMark/>
          </w:tcPr>
          <w:p w14:paraId="3DCDAC21"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210</w:t>
            </w:r>
          </w:p>
        </w:tc>
        <w:tc>
          <w:tcPr>
            <w:tcW w:w="1016" w:type="dxa"/>
            <w:tcBorders>
              <w:top w:val="single" w:sz="4" w:space="0" w:color="auto"/>
            </w:tcBorders>
            <w:shd w:val="clear" w:color="auto" w:fill="auto"/>
            <w:noWrap/>
            <w:vAlign w:val="bottom"/>
            <w:hideMark/>
          </w:tcPr>
          <w:p w14:paraId="16513BD7"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229</w:t>
            </w:r>
          </w:p>
        </w:tc>
      </w:tr>
      <w:tr w:rsidR="007A1A09" w:rsidRPr="005B30A9" w14:paraId="16307B21" w14:textId="77777777" w:rsidTr="006F4860">
        <w:trPr>
          <w:trHeight w:val="240"/>
        </w:trPr>
        <w:tc>
          <w:tcPr>
            <w:tcW w:w="1276" w:type="dxa"/>
            <w:vMerge/>
            <w:tcBorders>
              <w:bottom w:val="single" w:sz="4" w:space="0" w:color="auto"/>
            </w:tcBorders>
            <w:shd w:val="clear" w:color="auto" w:fill="auto"/>
            <w:noWrap/>
            <w:hideMark/>
          </w:tcPr>
          <w:p w14:paraId="2CD747D3"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p>
        </w:tc>
        <w:tc>
          <w:tcPr>
            <w:tcW w:w="1015" w:type="dxa"/>
            <w:tcBorders>
              <w:bottom w:val="single" w:sz="4" w:space="0" w:color="auto"/>
            </w:tcBorders>
            <w:shd w:val="clear" w:color="auto" w:fill="auto"/>
            <w:vAlign w:val="bottom"/>
          </w:tcPr>
          <w:p w14:paraId="59EB224C"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Mujeres</w:t>
            </w:r>
          </w:p>
        </w:tc>
        <w:tc>
          <w:tcPr>
            <w:tcW w:w="1016" w:type="dxa"/>
            <w:tcBorders>
              <w:bottom w:val="single" w:sz="4" w:space="0" w:color="auto"/>
            </w:tcBorders>
            <w:shd w:val="clear" w:color="auto" w:fill="auto"/>
            <w:noWrap/>
            <w:vAlign w:val="bottom"/>
            <w:hideMark/>
          </w:tcPr>
          <w:p w14:paraId="2C8FA3BD"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136</w:t>
            </w:r>
          </w:p>
        </w:tc>
        <w:tc>
          <w:tcPr>
            <w:tcW w:w="1016" w:type="dxa"/>
            <w:tcBorders>
              <w:bottom w:val="single" w:sz="4" w:space="0" w:color="auto"/>
            </w:tcBorders>
            <w:shd w:val="clear" w:color="auto" w:fill="auto"/>
            <w:noWrap/>
            <w:vAlign w:val="bottom"/>
            <w:hideMark/>
          </w:tcPr>
          <w:p w14:paraId="1D89533E"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186</w:t>
            </w:r>
          </w:p>
        </w:tc>
        <w:tc>
          <w:tcPr>
            <w:tcW w:w="1015" w:type="dxa"/>
            <w:tcBorders>
              <w:bottom w:val="single" w:sz="4" w:space="0" w:color="auto"/>
            </w:tcBorders>
            <w:shd w:val="clear" w:color="auto" w:fill="auto"/>
            <w:noWrap/>
            <w:vAlign w:val="bottom"/>
            <w:hideMark/>
          </w:tcPr>
          <w:p w14:paraId="384B333D"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165</w:t>
            </w:r>
          </w:p>
        </w:tc>
        <w:tc>
          <w:tcPr>
            <w:tcW w:w="1016" w:type="dxa"/>
            <w:tcBorders>
              <w:bottom w:val="single" w:sz="4" w:space="0" w:color="auto"/>
            </w:tcBorders>
            <w:shd w:val="clear" w:color="auto" w:fill="auto"/>
            <w:noWrap/>
            <w:vAlign w:val="bottom"/>
            <w:hideMark/>
          </w:tcPr>
          <w:p w14:paraId="37F96A1A"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165</w:t>
            </w:r>
          </w:p>
        </w:tc>
        <w:tc>
          <w:tcPr>
            <w:tcW w:w="1016" w:type="dxa"/>
            <w:tcBorders>
              <w:bottom w:val="single" w:sz="4" w:space="0" w:color="auto"/>
            </w:tcBorders>
            <w:shd w:val="clear" w:color="auto" w:fill="auto"/>
            <w:noWrap/>
            <w:vAlign w:val="bottom"/>
            <w:hideMark/>
          </w:tcPr>
          <w:p w14:paraId="76683119"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144</w:t>
            </w:r>
          </w:p>
        </w:tc>
      </w:tr>
      <w:tr w:rsidR="007A1A09" w:rsidRPr="005B30A9" w14:paraId="4057607A" w14:textId="77777777" w:rsidTr="006F4860">
        <w:trPr>
          <w:trHeight w:val="240"/>
        </w:trPr>
        <w:tc>
          <w:tcPr>
            <w:tcW w:w="1276" w:type="dxa"/>
            <w:vMerge w:val="restart"/>
            <w:tcBorders>
              <w:top w:val="single" w:sz="4" w:space="0" w:color="auto"/>
              <w:bottom w:val="single" w:sz="12" w:space="0" w:color="auto"/>
            </w:tcBorders>
            <w:shd w:val="clear" w:color="auto" w:fill="auto"/>
            <w:noWrap/>
            <w:hideMark/>
          </w:tcPr>
          <w:p w14:paraId="5CF05BF5" w14:textId="18BDDCC4" w:rsidR="009612CC" w:rsidRPr="005B30A9" w:rsidRDefault="006F4860" w:rsidP="007A1A09">
            <w:pPr>
              <w:pStyle w:val="SingleTxtG"/>
              <w:tabs>
                <w:tab w:val="clear" w:pos="1701"/>
                <w:tab w:val="clear" w:pos="2268"/>
                <w:tab w:val="clear" w:pos="2835"/>
              </w:tabs>
              <w:spacing w:after="0" w:line="220" w:lineRule="exact"/>
              <w:ind w:left="0" w:right="0"/>
              <w:jc w:val="left"/>
              <w:rPr>
                <w:bCs/>
                <w:sz w:val="18"/>
              </w:rPr>
            </w:pPr>
            <w:r>
              <w:rPr>
                <w:bCs/>
                <w:sz w:val="18"/>
              </w:rPr>
              <w:t xml:space="preserve">De </w:t>
            </w:r>
            <w:r w:rsidR="009612CC" w:rsidRPr="005B30A9">
              <w:rPr>
                <w:bCs/>
                <w:sz w:val="18"/>
              </w:rPr>
              <w:t>6</w:t>
            </w:r>
            <w:r>
              <w:rPr>
                <w:bCs/>
                <w:sz w:val="18"/>
              </w:rPr>
              <w:t xml:space="preserve"> a </w:t>
            </w:r>
            <w:r w:rsidR="009612CC" w:rsidRPr="005B30A9">
              <w:rPr>
                <w:bCs/>
                <w:sz w:val="18"/>
              </w:rPr>
              <w:t>9</w:t>
            </w:r>
            <w:r>
              <w:rPr>
                <w:bCs/>
                <w:sz w:val="18"/>
              </w:rPr>
              <w:t xml:space="preserve"> </w:t>
            </w:r>
            <w:r>
              <w:rPr>
                <w:bCs/>
                <w:sz w:val="18"/>
              </w:rPr>
              <w:t>años</w:t>
            </w:r>
          </w:p>
        </w:tc>
        <w:tc>
          <w:tcPr>
            <w:tcW w:w="1015" w:type="dxa"/>
            <w:tcBorders>
              <w:top w:val="single" w:sz="4" w:space="0" w:color="auto"/>
              <w:bottom w:val="single" w:sz="4" w:space="0" w:color="auto"/>
            </w:tcBorders>
            <w:shd w:val="clear" w:color="auto" w:fill="auto"/>
            <w:vAlign w:val="bottom"/>
          </w:tcPr>
          <w:p w14:paraId="0C049DF9" w14:textId="77777777" w:rsidR="009612CC" w:rsidRPr="005B30A9" w:rsidRDefault="009612CC" w:rsidP="00045B2A">
            <w:pPr>
              <w:pStyle w:val="SingleTxtG"/>
              <w:tabs>
                <w:tab w:val="clear" w:pos="1701"/>
                <w:tab w:val="clear" w:pos="2268"/>
                <w:tab w:val="clear" w:pos="2835"/>
              </w:tabs>
              <w:spacing w:before="80" w:after="80" w:line="220" w:lineRule="exact"/>
              <w:ind w:left="284" w:right="0"/>
              <w:jc w:val="left"/>
              <w:rPr>
                <w:b/>
                <w:sz w:val="18"/>
              </w:rPr>
            </w:pPr>
            <w:r w:rsidRPr="005B30A9">
              <w:rPr>
                <w:b/>
                <w:sz w:val="18"/>
              </w:rPr>
              <w:t>Total</w:t>
            </w:r>
          </w:p>
        </w:tc>
        <w:tc>
          <w:tcPr>
            <w:tcW w:w="1016" w:type="dxa"/>
            <w:tcBorders>
              <w:top w:val="single" w:sz="4" w:space="0" w:color="auto"/>
              <w:bottom w:val="single" w:sz="4" w:space="0" w:color="auto"/>
            </w:tcBorders>
            <w:shd w:val="clear" w:color="auto" w:fill="auto"/>
            <w:noWrap/>
            <w:vAlign w:val="bottom"/>
            <w:hideMark/>
          </w:tcPr>
          <w:p w14:paraId="282D1660" w14:textId="77777777"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541</w:t>
            </w:r>
          </w:p>
        </w:tc>
        <w:tc>
          <w:tcPr>
            <w:tcW w:w="1016" w:type="dxa"/>
            <w:tcBorders>
              <w:top w:val="single" w:sz="4" w:space="0" w:color="auto"/>
              <w:bottom w:val="single" w:sz="4" w:space="0" w:color="auto"/>
            </w:tcBorders>
            <w:shd w:val="clear" w:color="auto" w:fill="auto"/>
            <w:noWrap/>
            <w:vAlign w:val="bottom"/>
            <w:hideMark/>
          </w:tcPr>
          <w:p w14:paraId="64C02E33" w14:textId="77777777"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558</w:t>
            </w:r>
          </w:p>
        </w:tc>
        <w:tc>
          <w:tcPr>
            <w:tcW w:w="1015" w:type="dxa"/>
            <w:tcBorders>
              <w:top w:val="single" w:sz="4" w:space="0" w:color="auto"/>
              <w:bottom w:val="single" w:sz="4" w:space="0" w:color="auto"/>
            </w:tcBorders>
            <w:shd w:val="clear" w:color="auto" w:fill="auto"/>
            <w:noWrap/>
            <w:vAlign w:val="bottom"/>
            <w:hideMark/>
          </w:tcPr>
          <w:p w14:paraId="3BB945C0" w14:textId="77777777"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424</w:t>
            </w:r>
          </w:p>
        </w:tc>
        <w:tc>
          <w:tcPr>
            <w:tcW w:w="1016" w:type="dxa"/>
            <w:tcBorders>
              <w:top w:val="single" w:sz="4" w:space="0" w:color="auto"/>
              <w:bottom w:val="single" w:sz="4" w:space="0" w:color="auto"/>
            </w:tcBorders>
            <w:shd w:val="clear" w:color="auto" w:fill="auto"/>
            <w:noWrap/>
            <w:vAlign w:val="bottom"/>
            <w:hideMark/>
          </w:tcPr>
          <w:p w14:paraId="4DB5ADD1" w14:textId="77777777"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451</w:t>
            </w:r>
          </w:p>
        </w:tc>
        <w:tc>
          <w:tcPr>
            <w:tcW w:w="1016" w:type="dxa"/>
            <w:tcBorders>
              <w:top w:val="single" w:sz="4" w:space="0" w:color="auto"/>
              <w:bottom w:val="single" w:sz="4" w:space="0" w:color="auto"/>
            </w:tcBorders>
            <w:shd w:val="clear" w:color="auto" w:fill="auto"/>
            <w:noWrap/>
            <w:vAlign w:val="bottom"/>
            <w:hideMark/>
          </w:tcPr>
          <w:p w14:paraId="4DDA0750" w14:textId="77777777"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511</w:t>
            </w:r>
          </w:p>
        </w:tc>
      </w:tr>
      <w:tr w:rsidR="007A1A09" w:rsidRPr="005B30A9" w14:paraId="63D0B65B" w14:textId="77777777" w:rsidTr="006F4860">
        <w:trPr>
          <w:trHeight w:val="240"/>
        </w:trPr>
        <w:tc>
          <w:tcPr>
            <w:tcW w:w="1276" w:type="dxa"/>
            <w:vMerge/>
            <w:tcBorders>
              <w:top w:val="single" w:sz="12" w:space="0" w:color="auto"/>
            </w:tcBorders>
            <w:shd w:val="clear" w:color="auto" w:fill="auto"/>
            <w:noWrap/>
            <w:hideMark/>
          </w:tcPr>
          <w:p w14:paraId="731D0F0B" w14:textId="77777777" w:rsidR="009612CC" w:rsidRPr="005B30A9" w:rsidRDefault="009612CC" w:rsidP="007A1A09">
            <w:pPr>
              <w:pStyle w:val="SingleTxtG"/>
              <w:tabs>
                <w:tab w:val="clear" w:pos="1701"/>
                <w:tab w:val="clear" w:pos="2268"/>
                <w:tab w:val="clear" w:pos="2835"/>
              </w:tabs>
              <w:spacing w:after="0" w:line="220" w:lineRule="exact"/>
              <w:ind w:left="0" w:right="0"/>
              <w:jc w:val="left"/>
              <w:rPr>
                <w:bCs/>
                <w:sz w:val="18"/>
              </w:rPr>
            </w:pPr>
          </w:p>
        </w:tc>
        <w:tc>
          <w:tcPr>
            <w:tcW w:w="1015" w:type="dxa"/>
            <w:tcBorders>
              <w:top w:val="single" w:sz="4" w:space="0" w:color="auto"/>
            </w:tcBorders>
            <w:shd w:val="clear" w:color="auto" w:fill="auto"/>
            <w:vAlign w:val="bottom"/>
          </w:tcPr>
          <w:p w14:paraId="3CD71A53"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Hombres</w:t>
            </w:r>
          </w:p>
        </w:tc>
        <w:tc>
          <w:tcPr>
            <w:tcW w:w="1016" w:type="dxa"/>
            <w:tcBorders>
              <w:top w:val="single" w:sz="4" w:space="0" w:color="auto"/>
            </w:tcBorders>
            <w:shd w:val="clear" w:color="auto" w:fill="auto"/>
            <w:noWrap/>
            <w:vAlign w:val="bottom"/>
            <w:hideMark/>
          </w:tcPr>
          <w:p w14:paraId="2319A969"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347</w:t>
            </w:r>
          </w:p>
        </w:tc>
        <w:tc>
          <w:tcPr>
            <w:tcW w:w="1016" w:type="dxa"/>
            <w:tcBorders>
              <w:top w:val="single" w:sz="4" w:space="0" w:color="auto"/>
            </w:tcBorders>
            <w:shd w:val="clear" w:color="auto" w:fill="auto"/>
            <w:noWrap/>
            <w:vAlign w:val="bottom"/>
            <w:hideMark/>
          </w:tcPr>
          <w:p w14:paraId="2A84F105"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356</w:t>
            </w:r>
          </w:p>
        </w:tc>
        <w:tc>
          <w:tcPr>
            <w:tcW w:w="1015" w:type="dxa"/>
            <w:tcBorders>
              <w:top w:val="single" w:sz="4" w:space="0" w:color="auto"/>
            </w:tcBorders>
            <w:shd w:val="clear" w:color="auto" w:fill="auto"/>
            <w:noWrap/>
            <w:vAlign w:val="bottom"/>
            <w:hideMark/>
          </w:tcPr>
          <w:p w14:paraId="491F186B"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281</w:t>
            </w:r>
          </w:p>
        </w:tc>
        <w:tc>
          <w:tcPr>
            <w:tcW w:w="1016" w:type="dxa"/>
            <w:tcBorders>
              <w:top w:val="single" w:sz="4" w:space="0" w:color="auto"/>
            </w:tcBorders>
            <w:shd w:val="clear" w:color="auto" w:fill="auto"/>
            <w:noWrap/>
            <w:vAlign w:val="bottom"/>
            <w:hideMark/>
          </w:tcPr>
          <w:p w14:paraId="48F8A546"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308</w:t>
            </w:r>
          </w:p>
        </w:tc>
        <w:tc>
          <w:tcPr>
            <w:tcW w:w="1016" w:type="dxa"/>
            <w:tcBorders>
              <w:top w:val="single" w:sz="4" w:space="0" w:color="auto"/>
            </w:tcBorders>
            <w:shd w:val="clear" w:color="auto" w:fill="auto"/>
            <w:noWrap/>
            <w:vAlign w:val="bottom"/>
            <w:hideMark/>
          </w:tcPr>
          <w:p w14:paraId="05E9578F"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358</w:t>
            </w:r>
          </w:p>
        </w:tc>
      </w:tr>
      <w:tr w:rsidR="007A1A09" w:rsidRPr="005B30A9" w14:paraId="4113F13E" w14:textId="77777777" w:rsidTr="006F4860">
        <w:trPr>
          <w:trHeight w:val="240"/>
        </w:trPr>
        <w:tc>
          <w:tcPr>
            <w:tcW w:w="1276" w:type="dxa"/>
            <w:vMerge/>
            <w:tcBorders>
              <w:bottom w:val="single" w:sz="4" w:space="0" w:color="auto"/>
            </w:tcBorders>
            <w:shd w:val="clear" w:color="auto" w:fill="auto"/>
            <w:noWrap/>
            <w:hideMark/>
          </w:tcPr>
          <w:p w14:paraId="58F09DBE" w14:textId="77777777" w:rsidR="009612CC" w:rsidRPr="005B30A9" w:rsidRDefault="009612CC" w:rsidP="007A1A09">
            <w:pPr>
              <w:pStyle w:val="SingleTxtG"/>
              <w:tabs>
                <w:tab w:val="clear" w:pos="1701"/>
                <w:tab w:val="clear" w:pos="2268"/>
                <w:tab w:val="clear" w:pos="2835"/>
              </w:tabs>
              <w:spacing w:after="0" w:line="220" w:lineRule="exact"/>
              <w:ind w:left="0" w:right="0"/>
              <w:jc w:val="left"/>
              <w:rPr>
                <w:bCs/>
                <w:sz w:val="18"/>
              </w:rPr>
            </w:pPr>
          </w:p>
        </w:tc>
        <w:tc>
          <w:tcPr>
            <w:tcW w:w="1015" w:type="dxa"/>
            <w:tcBorders>
              <w:bottom w:val="single" w:sz="4" w:space="0" w:color="auto"/>
            </w:tcBorders>
            <w:shd w:val="clear" w:color="auto" w:fill="auto"/>
            <w:vAlign w:val="bottom"/>
          </w:tcPr>
          <w:p w14:paraId="21E07650"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Mujeres</w:t>
            </w:r>
          </w:p>
        </w:tc>
        <w:tc>
          <w:tcPr>
            <w:tcW w:w="1016" w:type="dxa"/>
            <w:tcBorders>
              <w:bottom w:val="single" w:sz="4" w:space="0" w:color="auto"/>
            </w:tcBorders>
            <w:shd w:val="clear" w:color="auto" w:fill="auto"/>
            <w:noWrap/>
            <w:vAlign w:val="bottom"/>
            <w:hideMark/>
          </w:tcPr>
          <w:p w14:paraId="3B27B14E"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194</w:t>
            </w:r>
          </w:p>
        </w:tc>
        <w:tc>
          <w:tcPr>
            <w:tcW w:w="1016" w:type="dxa"/>
            <w:tcBorders>
              <w:bottom w:val="single" w:sz="4" w:space="0" w:color="auto"/>
            </w:tcBorders>
            <w:shd w:val="clear" w:color="auto" w:fill="auto"/>
            <w:noWrap/>
            <w:vAlign w:val="bottom"/>
            <w:hideMark/>
          </w:tcPr>
          <w:p w14:paraId="7CC9D9CB"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202</w:t>
            </w:r>
          </w:p>
        </w:tc>
        <w:tc>
          <w:tcPr>
            <w:tcW w:w="1015" w:type="dxa"/>
            <w:tcBorders>
              <w:bottom w:val="single" w:sz="4" w:space="0" w:color="auto"/>
            </w:tcBorders>
            <w:shd w:val="clear" w:color="auto" w:fill="auto"/>
            <w:noWrap/>
            <w:vAlign w:val="bottom"/>
            <w:hideMark/>
          </w:tcPr>
          <w:p w14:paraId="66B5467E"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143</w:t>
            </w:r>
          </w:p>
        </w:tc>
        <w:tc>
          <w:tcPr>
            <w:tcW w:w="1016" w:type="dxa"/>
            <w:tcBorders>
              <w:bottom w:val="single" w:sz="4" w:space="0" w:color="auto"/>
            </w:tcBorders>
            <w:shd w:val="clear" w:color="auto" w:fill="auto"/>
            <w:noWrap/>
            <w:vAlign w:val="bottom"/>
            <w:hideMark/>
          </w:tcPr>
          <w:p w14:paraId="535E3274"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143</w:t>
            </w:r>
          </w:p>
        </w:tc>
        <w:tc>
          <w:tcPr>
            <w:tcW w:w="1016" w:type="dxa"/>
            <w:tcBorders>
              <w:bottom w:val="single" w:sz="4" w:space="0" w:color="auto"/>
            </w:tcBorders>
            <w:shd w:val="clear" w:color="auto" w:fill="auto"/>
            <w:noWrap/>
            <w:vAlign w:val="bottom"/>
            <w:hideMark/>
          </w:tcPr>
          <w:p w14:paraId="5FC26E72"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153</w:t>
            </w:r>
          </w:p>
        </w:tc>
      </w:tr>
      <w:tr w:rsidR="007A1A09" w:rsidRPr="005B30A9" w14:paraId="71A569F4" w14:textId="77777777" w:rsidTr="006F4860">
        <w:trPr>
          <w:trHeight w:val="240"/>
        </w:trPr>
        <w:tc>
          <w:tcPr>
            <w:tcW w:w="1276" w:type="dxa"/>
            <w:vMerge w:val="restart"/>
            <w:tcBorders>
              <w:top w:val="single" w:sz="4" w:space="0" w:color="auto"/>
              <w:bottom w:val="single" w:sz="12" w:space="0" w:color="auto"/>
            </w:tcBorders>
            <w:shd w:val="clear" w:color="auto" w:fill="auto"/>
            <w:noWrap/>
            <w:hideMark/>
          </w:tcPr>
          <w:p w14:paraId="351AAB98" w14:textId="7014A6FC" w:rsidR="009612CC" w:rsidRPr="005B30A9" w:rsidRDefault="006F4860" w:rsidP="007A1A09">
            <w:pPr>
              <w:pStyle w:val="SingleTxtG"/>
              <w:tabs>
                <w:tab w:val="clear" w:pos="1701"/>
                <w:tab w:val="clear" w:pos="2268"/>
                <w:tab w:val="clear" w:pos="2835"/>
              </w:tabs>
              <w:spacing w:after="0" w:line="220" w:lineRule="exact"/>
              <w:ind w:left="0" w:right="0"/>
              <w:jc w:val="left"/>
              <w:rPr>
                <w:bCs/>
                <w:sz w:val="18"/>
              </w:rPr>
            </w:pPr>
            <w:r>
              <w:rPr>
                <w:bCs/>
                <w:sz w:val="18"/>
              </w:rPr>
              <w:t xml:space="preserve">De </w:t>
            </w:r>
            <w:r w:rsidR="009612CC" w:rsidRPr="005B30A9">
              <w:rPr>
                <w:bCs/>
                <w:sz w:val="18"/>
              </w:rPr>
              <w:t>10</w:t>
            </w:r>
            <w:r>
              <w:rPr>
                <w:bCs/>
                <w:sz w:val="18"/>
              </w:rPr>
              <w:t xml:space="preserve"> a </w:t>
            </w:r>
            <w:r w:rsidR="009612CC" w:rsidRPr="005B30A9">
              <w:rPr>
                <w:bCs/>
                <w:sz w:val="18"/>
              </w:rPr>
              <w:t>13</w:t>
            </w:r>
            <w:r>
              <w:rPr>
                <w:bCs/>
                <w:sz w:val="18"/>
              </w:rPr>
              <w:t xml:space="preserve"> </w:t>
            </w:r>
            <w:r>
              <w:rPr>
                <w:bCs/>
                <w:sz w:val="18"/>
              </w:rPr>
              <w:t>años</w:t>
            </w:r>
          </w:p>
        </w:tc>
        <w:tc>
          <w:tcPr>
            <w:tcW w:w="1015" w:type="dxa"/>
            <w:tcBorders>
              <w:top w:val="single" w:sz="4" w:space="0" w:color="auto"/>
              <w:bottom w:val="single" w:sz="4" w:space="0" w:color="auto"/>
            </w:tcBorders>
            <w:shd w:val="clear" w:color="auto" w:fill="auto"/>
            <w:vAlign w:val="bottom"/>
          </w:tcPr>
          <w:p w14:paraId="5B35B86A" w14:textId="77777777" w:rsidR="009612CC" w:rsidRPr="005B30A9" w:rsidRDefault="009612CC" w:rsidP="00045B2A">
            <w:pPr>
              <w:pStyle w:val="SingleTxtG"/>
              <w:tabs>
                <w:tab w:val="clear" w:pos="1701"/>
                <w:tab w:val="clear" w:pos="2268"/>
                <w:tab w:val="clear" w:pos="2835"/>
              </w:tabs>
              <w:spacing w:before="80" w:after="80" w:line="220" w:lineRule="exact"/>
              <w:ind w:left="284" w:right="0"/>
              <w:jc w:val="left"/>
              <w:rPr>
                <w:b/>
                <w:sz w:val="18"/>
              </w:rPr>
            </w:pPr>
            <w:r w:rsidRPr="005B30A9">
              <w:rPr>
                <w:b/>
                <w:sz w:val="18"/>
              </w:rPr>
              <w:t>Total</w:t>
            </w:r>
          </w:p>
        </w:tc>
        <w:tc>
          <w:tcPr>
            <w:tcW w:w="1016" w:type="dxa"/>
            <w:tcBorders>
              <w:top w:val="single" w:sz="4" w:space="0" w:color="auto"/>
              <w:bottom w:val="single" w:sz="4" w:space="0" w:color="auto"/>
            </w:tcBorders>
            <w:shd w:val="clear" w:color="auto" w:fill="auto"/>
            <w:noWrap/>
            <w:vAlign w:val="bottom"/>
            <w:hideMark/>
          </w:tcPr>
          <w:p w14:paraId="36F09E50" w14:textId="39DFEB93"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w:t>
            </w:r>
            <w:r w:rsidR="00045B2A" w:rsidRPr="005B30A9">
              <w:rPr>
                <w:b/>
                <w:bCs/>
                <w:sz w:val="18"/>
              </w:rPr>
              <w:t xml:space="preserve"> </w:t>
            </w:r>
            <w:r w:rsidRPr="005B30A9">
              <w:rPr>
                <w:b/>
                <w:bCs/>
                <w:sz w:val="18"/>
              </w:rPr>
              <w:t>818</w:t>
            </w:r>
          </w:p>
        </w:tc>
        <w:tc>
          <w:tcPr>
            <w:tcW w:w="1016" w:type="dxa"/>
            <w:tcBorders>
              <w:top w:val="single" w:sz="4" w:space="0" w:color="auto"/>
              <w:bottom w:val="single" w:sz="4" w:space="0" w:color="auto"/>
            </w:tcBorders>
            <w:shd w:val="clear" w:color="auto" w:fill="auto"/>
            <w:noWrap/>
            <w:vAlign w:val="bottom"/>
            <w:hideMark/>
          </w:tcPr>
          <w:p w14:paraId="47F63ACE" w14:textId="37152320"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w:t>
            </w:r>
            <w:r w:rsidR="00045B2A" w:rsidRPr="005B30A9">
              <w:rPr>
                <w:b/>
                <w:bCs/>
                <w:sz w:val="18"/>
              </w:rPr>
              <w:t xml:space="preserve"> </w:t>
            </w:r>
            <w:r w:rsidRPr="005B30A9">
              <w:rPr>
                <w:b/>
                <w:bCs/>
                <w:sz w:val="18"/>
              </w:rPr>
              <w:t>828</w:t>
            </w:r>
          </w:p>
        </w:tc>
        <w:tc>
          <w:tcPr>
            <w:tcW w:w="1015" w:type="dxa"/>
            <w:tcBorders>
              <w:top w:val="single" w:sz="4" w:space="0" w:color="auto"/>
              <w:bottom w:val="single" w:sz="4" w:space="0" w:color="auto"/>
            </w:tcBorders>
            <w:shd w:val="clear" w:color="auto" w:fill="auto"/>
            <w:noWrap/>
            <w:vAlign w:val="bottom"/>
            <w:hideMark/>
          </w:tcPr>
          <w:p w14:paraId="4C3ABF36" w14:textId="028F9FC8"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w:t>
            </w:r>
            <w:r w:rsidR="00045B2A" w:rsidRPr="005B30A9">
              <w:rPr>
                <w:b/>
                <w:bCs/>
                <w:sz w:val="18"/>
              </w:rPr>
              <w:t xml:space="preserve"> </w:t>
            </w:r>
            <w:r w:rsidRPr="005B30A9">
              <w:rPr>
                <w:b/>
                <w:bCs/>
                <w:sz w:val="18"/>
              </w:rPr>
              <w:t>284</w:t>
            </w:r>
          </w:p>
        </w:tc>
        <w:tc>
          <w:tcPr>
            <w:tcW w:w="1016" w:type="dxa"/>
            <w:tcBorders>
              <w:top w:val="single" w:sz="4" w:space="0" w:color="auto"/>
              <w:bottom w:val="single" w:sz="4" w:space="0" w:color="auto"/>
            </w:tcBorders>
            <w:shd w:val="clear" w:color="auto" w:fill="auto"/>
            <w:noWrap/>
            <w:vAlign w:val="bottom"/>
            <w:hideMark/>
          </w:tcPr>
          <w:p w14:paraId="04C6544F" w14:textId="7CC54B90"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w:t>
            </w:r>
            <w:r w:rsidR="00045B2A" w:rsidRPr="005B30A9">
              <w:rPr>
                <w:b/>
                <w:bCs/>
                <w:sz w:val="18"/>
              </w:rPr>
              <w:t xml:space="preserve"> </w:t>
            </w:r>
            <w:r w:rsidRPr="005B30A9">
              <w:rPr>
                <w:b/>
                <w:bCs/>
                <w:sz w:val="18"/>
              </w:rPr>
              <w:t>522</w:t>
            </w:r>
          </w:p>
        </w:tc>
        <w:tc>
          <w:tcPr>
            <w:tcW w:w="1016" w:type="dxa"/>
            <w:tcBorders>
              <w:top w:val="single" w:sz="4" w:space="0" w:color="auto"/>
              <w:bottom w:val="single" w:sz="4" w:space="0" w:color="auto"/>
            </w:tcBorders>
            <w:shd w:val="clear" w:color="auto" w:fill="auto"/>
            <w:noWrap/>
            <w:vAlign w:val="bottom"/>
            <w:hideMark/>
          </w:tcPr>
          <w:p w14:paraId="479D1E6F" w14:textId="2D6DBB03"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w:t>
            </w:r>
            <w:r w:rsidR="00045B2A" w:rsidRPr="005B30A9">
              <w:rPr>
                <w:b/>
                <w:bCs/>
                <w:sz w:val="18"/>
              </w:rPr>
              <w:t xml:space="preserve"> </w:t>
            </w:r>
            <w:r w:rsidRPr="005B30A9">
              <w:rPr>
                <w:b/>
                <w:bCs/>
                <w:sz w:val="18"/>
              </w:rPr>
              <w:t>994</w:t>
            </w:r>
          </w:p>
        </w:tc>
      </w:tr>
      <w:tr w:rsidR="007A1A09" w:rsidRPr="005B30A9" w14:paraId="5360AF6F" w14:textId="77777777" w:rsidTr="006F4860">
        <w:trPr>
          <w:trHeight w:val="240"/>
        </w:trPr>
        <w:tc>
          <w:tcPr>
            <w:tcW w:w="1276" w:type="dxa"/>
            <w:vMerge/>
            <w:tcBorders>
              <w:top w:val="single" w:sz="12" w:space="0" w:color="auto"/>
            </w:tcBorders>
            <w:shd w:val="clear" w:color="auto" w:fill="auto"/>
            <w:noWrap/>
          </w:tcPr>
          <w:p w14:paraId="71DEA97A" w14:textId="77777777" w:rsidR="009612CC" w:rsidRPr="005B30A9" w:rsidRDefault="009612CC" w:rsidP="007A1A09">
            <w:pPr>
              <w:pStyle w:val="SingleTxtG"/>
              <w:tabs>
                <w:tab w:val="clear" w:pos="1701"/>
                <w:tab w:val="clear" w:pos="2268"/>
                <w:tab w:val="clear" w:pos="2835"/>
              </w:tabs>
              <w:spacing w:after="0" w:line="220" w:lineRule="exact"/>
              <w:ind w:left="0" w:right="0"/>
              <w:jc w:val="left"/>
              <w:rPr>
                <w:bCs/>
                <w:sz w:val="18"/>
              </w:rPr>
            </w:pPr>
          </w:p>
        </w:tc>
        <w:tc>
          <w:tcPr>
            <w:tcW w:w="1015" w:type="dxa"/>
            <w:tcBorders>
              <w:top w:val="single" w:sz="4" w:space="0" w:color="auto"/>
            </w:tcBorders>
            <w:shd w:val="clear" w:color="auto" w:fill="auto"/>
            <w:vAlign w:val="bottom"/>
          </w:tcPr>
          <w:p w14:paraId="0618A6A2"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Hombres</w:t>
            </w:r>
          </w:p>
        </w:tc>
        <w:tc>
          <w:tcPr>
            <w:tcW w:w="1016" w:type="dxa"/>
            <w:tcBorders>
              <w:top w:val="single" w:sz="4" w:space="0" w:color="auto"/>
            </w:tcBorders>
            <w:shd w:val="clear" w:color="auto" w:fill="auto"/>
            <w:noWrap/>
            <w:vAlign w:val="bottom"/>
            <w:hideMark/>
          </w:tcPr>
          <w:p w14:paraId="7ABD4B52" w14:textId="1850AFFE"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297</w:t>
            </w:r>
          </w:p>
        </w:tc>
        <w:tc>
          <w:tcPr>
            <w:tcW w:w="1016" w:type="dxa"/>
            <w:tcBorders>
              <w:top w:val="single" w:sz="4" w:space="0" w:color="auto"/>
            </w:tcBorders>
            <w:shd w:val="clear" w:color="auto" w:fill="auto"/>
            <w:noWrap/>
            <w:vAlign w:val="bottom"/>
            <w:hideMark/>
          </w:tcPr>
          <w:p w14:paraId="4AFF8B04" w14:textId="42910D76"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305</w:t>
            </w:r>
          </w:p>
        </w:tc>
        <w:tc>
          <w:tcPr>
            <w:tcW w:w="1015" w:type="dxa"/>
            <w:tcBorders>
              <w:top w:val="single" w:sz="4" w:space="0" w:color="auto"/>
            </w:tcBorders>
            <w:shd w:val="clear" w:color="auto" w:fill="auto"/>
            <w:noWrap/>
            <w:vAlign w:val="bottom"/>
            <w:hideMark/>
          </w:tcPr>
          <w:p w14:paraId="4884E69A"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895</w:t>
            </w:r>
          </w:p>
        </w:tc>
        <w:tc>
          <w:tcPr>
            <w:tcW w:w="1016" w:type="dxa"/>
            <w:tcBorders>
              <w:top w:val="single" w:sz="4" w:space="0" w:color="auto"/>
            </w:tcBorders>
            <w:shd w:val="clear" w:color="auto" w:fill="auto"/>
            <w:noWrap/>
            <w:vAlign w:val="bottom"/>
            <w:hideMark/>
          </w:tcPr>
          <w:p w14:paraId="2D8F8D18" w14:textId="09BDBC02"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103</w:t>
            </w:r>
          </w:p>
        </w:tc>
        <w:tc>
          <w:tcPr>
            <w:tcW w:w="1016" w:type="dxa"/>
            <w:tcBorders>
              <w:top w:val="single" w:sz="4" w:space="0" w:color="auto"/>
            </w:tcBorders>
            <w:shd w:val="clear" w:color="auto" w:fill="auto"/>
            <w:noWrap/>
            <w:vAlign w:val="bottom"/>
            <w:hideMark/>
          </w:tcPr>
          <w:p w14:paraId="7724A1D0" w14:textId="5C1C06D8"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405</w:t>
            </w:r>
          </w:p>
        </w:tc>
      </w:tr>
      <w:tr w:rsidR="007A1A09" w:rsidRPr="005B30A9" w14:paraId="4CAA2BB3" w14:textId="77777777" w:rsidTr="006F4860">
        <w:trPr>
          <w:trHeight w:val="240"/>
        </w:trPr>
        <w:tc>
          <w:tcPr>
            <w:tcW w:w="1276" w:type="dxa"/>
            <w:vMerge/>
            <w:tcBorders>
              <w:bottom w:val="single" w:sz="4" w:space="0" w:color="auto"/>
            </w:tcBorders>
            <w:shd w:val="clear" w:color="auto" w:fill="auto"/>
            <w:noWrap/>
          </w:tcPr>
          <w:p w14:paraId="3F370D5E" w14:textId="77777777" w:rsidR="009612CC" w:rsidRPr="005B30A9" w:rsidRDefault="009612CC" w:rsidP="007A1A09">
            <w:pPr>
              <w:pStyle w:val="SingleTxtG"/>
              <w:tabs>
                <w:tab w:val="clear" w:pos="1701"/>
                <w:tab w:val="clear" w:pos="2268"/>
                <w:tab w:val="clear" w:pos="2835"/>
              </w:tabs>
              <w:spacing w:after="0" w:line="220" w:lineRule="exact"/>
              <w:ind w:left="0" w:right="0"/>
              <w:jc w:val="left"/>
              <w:rPr>
                <w:bCs/>
                <w:sz w:val="18"/>
              </w:rPr>
            </w:pPr>
          </w:p>
        </w:tc>
        <w:tc>
          <w:tcPr>
            <w:tcW w:w="1015" w:type="dxa"/>
            <w:tcBorders>
              <w:bottom w:val="single" w:sz="4" w:space="0" w:color="auto"/>
            </w:tcBorders>
            <w:shd w:val="clear" w:color="auto" w:fill="auto"/>
            <w:vAlign w:val="bottom"/>
          </w:tcPr>
          <w:p w14:paraId="3E089309"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Mujeres</w:t>
            </w:r>
          </w:p>
        </w:tc>
        <w:tc>
          <w:tcPr>
            <w:tcW w:w="1016" w:type="dxa"/>
            <w:tcBorders>
              <w:bottom w:val="single" w:sz="4" w:space="0" w:color="auto"/>
            </w:tcBorders>
            <w:shd w:val="clear" w:color="auto" w:fill="auto"/>
            <w:noWrap/>
            <w:vAlign w:val="bottom"/>
            <w:hideMark/>
          </w:tcPr>
          <w:p w14:paraId="69FD8979"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521</w:t>
            </w:r>
          </w:p>
        </w:tc>
        <w:tc>
          <w:tcPr>
            <w:tcW w:w="1016" w:type="dxa"/>
            <w:tcBorders>
              <w:bottom w:val="single" w:sz="4" w:space="0" w:color="auto"/>
            </w:tcBorders>
            <w:shd w:val="clear" w:color="auto" w:fill="auto"/>
            <w:noWrap/>
            <w:vAlign w:val="bottom"/>
            <w:hideMark/>
          </w:tcPr>
          <w:p w14:paraId="3E8FD28E"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523</w:t>
            </w:r>
          </w:p>
        </w:tc>
        <w:tc>
          <w:tcPr>
            <w:tcW w:w="1015" w:type="dxa"/>
            <w:tcBorders>
              <w:bottom w:val="single" w:sz="4" w:space="0" w:color="auto"/>
            </w:tcBorders>
            <w:shd w:val="clear" w:color="auto" w:fill="auto"/>
            <w:noWrap/>
            <w:vAlign w:val="bottom"/>
            <w:hideMark/>
          </w:tcPr>
          <w:p w14:paraId="2E8D6522"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389</w:t>
            </w:r>
          </w:p>
        </w:tc>
        <w:tc>
          <w:tcPr>
            <w:tcW w:w="1016" w:type="dxa"/>
            <w:tcBorders>
              <w:bottom w:val="single" w:sz="4" w:space="0" w:color="auto"/>
            </w:tcBorders>
            <w:shd w:val="clear" w:color="auto" w:fill="auto"/>
            <w:noWrap/>
            <w:vAlign w:val="bottom"/>
            <w:hideMark/>
          </w:tcPr>
          <w:p w14:paraId="016D9123"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419</w:t>
            </w:r>
          </w:p>
        </w:tc>
        <w:tc>
          <w:tcPr>
            <w:tcW w:w="1016" w:type="dxa"/>
            <w:tcBorders>
              <w:bottom w:val="single" w:sz="4" w:space="0" w:color="auto"/>
            </w:tcBorders>
            <w:shd w:val="clear" w:color="auto" w:fill="auto"/>
            <w:noWrap/>
            <w:vAlign w:val="bottom"/>
            <w:hideMark/>
          </w:tcPr>
          <w:p w14:paraId="63659FA3" w14:textId="7777777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589</w:t>
            </w:r>
          </w:p>
        </w:tc>
      </w:tr>
      <w:tr w:rsidR="007A1A09" w:rsidRPr="005B30A9" w14:paraId="65A24BB0" w14:textId="77777777" w:rsidTr="006F4860">
        <w:trPr>
          <w:trHeight w:val="240"/>
        </w:trPr>
        <w:tc>
          <w:tcPr>
            <w:tcW w:w="1276" w:type="dxa"/>
            <w:vMerge w:val="restart"/>
            <w:tcBorders>
              <w:top w:val="single" w:sz="4" w:space="0" w:color="auto"/>
              <w:bottom w:val="single" w:sz="12" w:space="0" w:color="auto"/>
            </w:tcBorders>
            <w:shd w:val="clear" w:color="auto" w:fill="auto"/>
            <w:noWrap/>
            <w:hideMark/>
          </w:tcPr>
          <w:p w14:paraId="375B3E28" w14:textId="562C6B5B" w:rsidR="009612CC" w:rsidRPr="005B30A9" w:rsidRDefault="006F4860" w:rsidP="007A1A09">
            <w:pPr>
              <w:pStyle w:val="SingleTxtG"/>
              <w:tabs>
                <w:tab w:val="clear" w:pos="1701"/>
                <w:tab w:val="clear" w:pos="2268"/>
                <w:tab w:val="clear" w:pos="2835"/>
              </w:tabs>
              <w:spacing w:after="0" w:line="220" w:lineRule="exact"/>
              <w:ind w:left="0" w:right="0"/>
              <w:jc w:val="left"/>
              <w:rPr>
                <w:bCs/>
                <w:sz w:val="18"/>
              </w:rPr>
            </w:pPr>
            <w:r>
              <w:rPr>
                <w:bCs/>
                <w:sz w:val="18"/>
              </w:rPr>
              <w:t xml:space="preserve">De </w:t>
            </w:r>
            <w:r w:rsidR="009612CC" w:rsidRPr="005B30A9">
              <w:rPr>
                <w:bCs/>
                <w:sz w:val="18"/>
              </w:rPr>
              <w:t>14</w:t>
            </w:r>
            <w:r>
              <w:rPr>
                <w:bCs/>
                <w:sz w:val="18"/>
              </w:rPr>
              <w:t xml:space="preserve"> a </w:t>
            </w:r>
            <w:r w:rsidR="009612CC" w:rsidRPr="005B30A9">
              <w:rPr>
                <w:bCs/>
                <w:sz w:val="18"/>
              </w:rPr>
              <w:t>17</w:t>
            </w:r>
            <w:r>
              <w:rPr>
                <w:bCs/>
                <w:sz w:val="18"/>
              </w:rPr>
              <w:t xml:space="preserve"> </w:t>
            </w:r>
            <w:r>
              <w:rPr>
                <w:bCs/>
                <w:sz w:val="18"/>
              </w:rPr>
              <w:t>años</w:t>
            </w:r>
          </w:p>
        </w:tc>
        <w:tc>
          <w:tcPr>
            <w:tcW w:w="1015" w:type="dxa"/>
            <w:tcBorders>
              <w:top w:val="single" w:sz="4" w:space="0" w:color="auto"/>
              <w:bottom w:val="single" w:sz="4" w:space="0" w:color="auto"/>
            </w:tcBorders>
            <w:shd w:val="clear" w:color="auto" w:fill="auto"/>
            <w:vAlign w:val="bottom"/>
          </w:tcPr>
          <w:p w14:paraId="426C4CFD" w14:textId="77777777" w:rsidR="009612CC" w:rsidRPr="005B30A9" w:rsidRDefault="009612CC" w:rsidP="00045B2A">
            <w:pPr>
              <w:pStyle w:val="SingleTxtG"/>
              <w:tabs>
                <w:tab w:val="clear" w:pos="1701"/>
                <w:tab w:val="clear" w:pos="2268"/>
                <w:tab w:val="clear" w:pos="2835"/>
              </w:tabs>
              <w:spacing w:before="80" w:after="80" w:line="220" w:lineRule="exact"/>
              <w:ind w:left="284" w:right="0"/>
              <w:jc w:val="left"/>
              <w:rPr>
                <w:b/>
                <w:sz w:val="18"/>
              </w:rPr>
            </w:pPr>
            <w:r w:rsidRPr="005B30A9">
              <w:rPr>
                <w:b/>
                <w:sz w:val="18"/>
              </w:rPr>
              <w:t>Total</w:t>
            </w:r>
          </w:p>
        </w:tc>
        <w:tc>
          <w:tcPr>
            <w:tcW w:w="1016" w:type="dxa"/>
            <w:tcBorders>
              <w:top w:val="single" w:sz="4" w:space="0" w:color="auto"/>
              <w:bottom w:val="single" w:sz="4" w:space="0" w:color="auto"/>
            </w:tcBorders>
            <w:shd w:val="clear" w:color="auto" w:fill="auto"/>
            <w:noWrap/>
            <w:vAlign w:val="bottom"/>
            <w:hideMark/>
          </w:tcPr>
          <w:p w14:paraId="4FD25230" w14:textId="2ED44465"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w:t>
            </w:r>
            <w:r w:rsidR="00045B2A" w:rsidRPr="005B30A9">
              <w:rPr>
                <w:b/>
                <w:bCs/>
                <w:sz w:val="18"/>
              </w:rPr>
              <w:t xml:space="preserve"> </w:t>
            </w:r>
            <w:r w:rsidRPr="005B30A9">
              <w:rPr>
                <w:b/>
                <w:bCs/>
                <w:sz w:val="18"/>
              </w:rPr>
              <w:t>138</w:t>
            </w:r>
          </w:p>
        </w:tc>
        <w:tc>
          <w:tcPr>
            <w:tcW w:w="1016" w:type="dxa"/>
            <w:tcBorders>
              <w:top w:val="single" w:sz="4" w:space="0" w:color="auto"/>
              <w:bottom w:val="single" w:sz="4" w:space="0" w:color="auto"/>
            </w:tcBorders>
            <w:shd w:val="clear" w:color="auto" w:fill="auto"/>
            <w:noWrap/>
            <w:vAlign w:val="bottom"/>
            <w:hideMark/>
          </w:tcPr>
          <w:p w14:paraId="52A7D1D4" w14:textId="52E47F54"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3</w:t>
            </w:r>
            <w:r w:rsidR="00045B2A" w:rsidRPr="005B30A9">
              <w:rPr>
                <w:b/>
                <w:bCs/>
                <w:sz w:val="18"/>
              </w:rPr>
              <w:t xml:space="preserve"> </w:t>
            </w:r>
            <w:r w:rsidRPr="005B30A9">
              <w:rPr>
                <w:b/>
                <w:bCs/>
                <w:sz w:val="18"/>
              </w:rPr>
              <w:t>939</w:t>
            </w:r>
          </w:p>
        </w:tc>
        <w:tc>
          <w:tcPr>
            <w:tcW w:w="1015" w:type="dxa"/>
            <w:tcBorders>
              <w:top w:val="single" w:sz="4" w:space="0" w:color="auto"/>
              <w:bottom w:val="single" w:sz="4" w:space="0" w:color="auto"/>
            </w:tcBorders>
            <w:shd w:val="clear" w:color="auto" w:fill="auto"/>
            <w:noWrap/>
            <w:vAlign w:val="bottom"/>
            <w:hideMark/>
          </w:tcPr>
          <w:p w14:paraId="0B299C6B" w14:textId="41680423"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3</w:t>
            </w:r>
            <w:r w:rsidR="00045B2A" w:rsidRPr="005B30A9">
              <w:rPr>
                <w:b/>
                <w:bCs/>
                <w:sz w:val="18"/>
              </w:rPr>
              <w:t xml:space="preserve"> </w:t>
            </w:r>
            <w:r w:rsidRPr="005B30A9">
              <w:rPr>
                <w:b/>
                <w:bCs/>
                <w:sz w:val="18"/>
              </w:rPr>
              <w:t>374</w:t>
            </w:r>
          </w:p>
        </w:tc>
        <w:tc>
          <w:tcPr>
            <w:tcW w:w="1016" w:type="dxa"/>
            <w:tcBorders>
              <w:top w:val="single" w:sz="4" w:space="0" w:color="auto"/>
              <w:bottom w:val="single" w:sz="4" w:space="0" w:color="auto"/>
            </w:tcBorders>
            <w:shd w:val="clear" w:color="auto" w:fill="auto"/>
            <w:noWrap/>
            <w:vAlign w:val="bottom"/>
            <w:hideMark/>
          </w:tcPr>
          <w:p w14:paraId="566265A6" w14:textId="41B8D733"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3</w:t>
            </w:r>
            <w:r w:rsidR="00045B2A" w:rsidRPr="005B30A9">
              <w:rPr>
                <w:b/>
                <w:bCs/>
                <w:sz w:val="18"/>
              </w:rPr>
              <w:t xml:space="preserve"> </w:t>
            </w:r>
            <w:r w:rsidRPr="005B30A9">
              <w:rPr>
                <w:b/>
                <w:bCs/>
                <w:sz w:val="18"/>
              </w:rPr>
              <w:t>127</w:t>
            </w:r>
          </w:p>
        </w:tc>
        <w:tc>
          <w:tcPr>
            <w:tcW w:w="1016" w:type="dxa"/>
            <w:tcBorders>
              <w:top w:val="single" w:sz="4" w:space="0" w:color="auto"/>
              <w:bottom w:val="single" w:sz="4" w:space="0" w:color="auto"/>
            </w:tcBorders>
            <w:shd w:val="clear" w:color="auto" w:fill="auto"/>
            <w:noWrap/>
            <w:vAlign w:val="bottom"/>
            <w:hideMark/>
          </w:tcPr>
          <w:p w14:paraId="17E274AA" w14:textId="73CF3754"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w:t>
            </w:r>
            <w:r w:rsidR="00045B2A" w:rsidRPr="005B30A9">
              <w:rPr>
                <w:b/>
                <w:bCs/>
                <w:sz w:val="18"/>
              </w:rPr>
              <w:t xml:space="preserve"> </w:t>
            </w:r>
            <w:r w:rsidRPr="005B30A9">
              <w:rPr>
                <w:b/>
                <w:bCs/>
                <w:sz w:val="18"/>
              </w:rPr>
              <w:t>036</w:t>
            </w:r>
          </w:p>
        </w:tc>
      </w:tr>
      <w:tr w:rsidR="007A1A09" w:rsidRPr="005B30A9" w14:paraId="47F85E66" w14:textId="77777777" w:rsidTr="006F4860">
        <w:trPr>
          <w:trHeight w:val="240"/>
        </w:trPr>
        <w:tc>
          <w:tcPr>
            <w:tcW w:w="1276" w:type="dxa"/>
            <w:vMerge/>
            <w:tcBorders>
              <w:top w:val="single" w:sz="12" w:space="0" w:color="auto"/>
            </w:tcBorders>
            <w:shd w:val="clear" w:color="auto" w:fill="auto"/>
            <w:noWrap/>
          </w:tcPr>
          <w:p w14:paraId="1E3E860B" w14:textId="77777777" w:rsidR="009612CC" w:rsidRPr="005B30A9" w:rsidRDefault="009612CC" w:rsidP="007A1A09">
            <w:pPr>
              <w:pStyle w:val="SingleTxtG"/>
              <w:tabs>
                <w:tab w:val="clear" w:pos="1701"/>
                <w:tab w:val="clear" w:pos="2268"/>
                <w:tab w:val="clear" w:pos="2835"/>
              </w:tabs>
              <w:spacing w:after="0" w:line="220" w:lineRule="exact"/>
              <w:ind w:left="0" w:right="0"/>
              <w:jc w:val="left"/>
              <w:rPr>
                <w:bCs/>
                <w:sz w:val="18"/>
              </w:rPr>
            </w:pPr>
          </w:p>
        </w:tc>
        <w:tc>
          <w:tcPr>
            <w:tcW w:w="1015" w:type="dxa"/>
            <w:tcBorders>
              <w:top w:val="single" w:sz="4" w:space="0" w:color="auto"/>
            </w:tcBorders>
            <w:shd w:val="clear" w:color="auto" w:fill="auto"/>
            <w:vAlign w:val="bottom"/>
          </w:tcPr>
          <w:p w14:paraId="5FA90513"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Hombres</w:t>
            </w:r>
          </w:p>
        </w:tc>
        <w:tc>
          <w:tcPr>
            <w:tcW w:w="1016" w:type="dxa"/>
            <w:tcBorders>
              <w:top w:val="single" w:sz="4" w:space="0" w:color="auto"/>
            </w:tcBorders>
            <w:shd w:val="clear" w:color="auto" w:fill="auto"/>
            <w:noWrap/>
            <w:vAlign w:val="bottom"/>
            <w:hideMark/>
          </w:tcPr>
          <w:p w14:paraId="723482C4" w14:textId="321650D1"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w:t>
            </w:r>
            <w:r w:rsidR="00045B2A" w:rsidRPr="005B30A9">
              <w:rPr>
                <w:sz w:val="18"/>
              </w:rPr>
              <w:t xml:space="preserve"> </w:t>
            </w:r>
            <w:r w:rsidRPr="005B30A9">
              <w:rPr>
                <w:sz w:val="18"/>
              </w:rPr>
              <w:t>817</w:t>
            </w:r>
          </w:p>
        </w:tc>
        <w:tc>
          <w:tcPr>
            <w:tcW w:w="1016" w:type="dxa"/>
            <w:tcBorders>
              <w:top w:val="single" w:sz="4" w:space="0" w:color="auto"/>
            </w:tcBorders>
            <w:shd w:val="clear" w:color="auto" w:fill="auto"/>
            <w:noWrap/>
            <w:vAlign w:val="bottom"/>
            <w:hideMark/>
          </w:tcPr>
          <w:p w14:paraId="63898360" w14:textId="0274FF2D"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w:t>
            </w:r>
            <w:r w:rsidR="00045B2A" w:rsidRPr="005B30A9">
              <w:rPr>
                <w:sz w:val="18"/>
              </w:rPr>
              <w:t xml:space="preserve"> </w:t>
            </w:r>
            <w:r w:rsidRPr="005B30A9">
              <w:rPr>
                <w:sz w:val="18"/>
              </w:rPr>
              <w:t>679</w:t>
            </w:r>
          </w:p>
        </w:tc>
        <w:tc>
          <w:tcPr>
            <w:tcW w:w="1015" w:type="dxa"/>
            <w:tcBorders>
              <w:top w:val="single" w:sz="4" w:space="0" w:color="auto"/>
            </w:tcBorders>
            <w:shd w:val="clear" w:color="auto" w:fill="auto"/>
            <w:noWrap/>
            <w:vAlign w:val="bottom"/>
            <w:hideMark/>
          </w:tcPr>
          <w:p w14:paraId="2D81E28D" w14:textId="630AB55C"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w:t>
            </w:r>
            <w:r w:rsidR="00045B2A" w:rsidRPr="005B30A9">
              <w:rPr>
                <w:sz w:val="18"/>
              </w:rPr>
              <w:t xml:space="preserve"> </w:t>
            </w:r>
            <w:r w:rsidRPr="005B30A9">
              <w:rPr>
                <w:sz w:val="18"/>
              </w:rPr>
              <w:t>239</w:t>
            </w:r>
          </w:p>
        </w:tc>
        <w:tc>
          <w:tcPr>
            <w:tcW w:w="1016" w:type="dxa"/>
            <w:tcBorders>
              <w:top w:val="single" w:sz="4" w:space="0" w:color="auto"/>
            </w:tcBorders>
            <w:shd w:val="clear" w:color="auto" w:fill="auto"/>
            <w:noWrap/>
            <w:vAlign w:val="bottom"/>
            <w:hideMark/>
          </w:tcPr>
          <w:p w14:paraId="6ADD0B8B" w14:textId="20917266"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w:t>
            </w:r>
            <w:r w:rsidR="00045B2A" w:rsidRPr="005B30A9">
              <w:rPr>
                <w:sz w:val="18"/>
              </w:rPr>
              <w:t xml:space="preserve"> </w:t>
            </w:r>
            <w:r w:rsidRPr="005B30A9">
              <w:rPr>
                <w:sz w:val="18"/>
              </w:rPr>
              <w:t>078</w:t>
            </w:r>
          </w:p>
        </w:tc>
        <w:tc>
          <w:tcPr>
            <w:tcW w:w="1016" w:type="dxa"/>
            <w:tcBorders>
              <w:top w:val="single" w:sz="4" w:space="0" w:color="auto"/>
            </w:tcBorders>
            <w:shd w:val="clear" w:color="auto" w:fill="auto"/>
            <w:noWrap/>
            <w:vAlign w:val="bottom"/>
            <w:hideMark/>
          </w:tcPr>
          <w:p w14:paraId="3D10C8E9" w14:textId="1F4C4758"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w:t>
            </w:r>
            <w:r w:rsidR="00045B2A" w:rsidRPr="005B30A9">
              <w:rPr>
                <w:sz w:val="18"/>
              </w:rPr>
              <w:t xml:space="preserve"> </w:t>
            </w:r>
            <w:r w:rsidRPr="005B30A9">
              <w:rPr>
                <w:sz w:val="18"/>
              </w:rPr>
              <w:t>762</w:t>
            </w:r>
          </w:p>
        </w:tc>
      </w:tr>
      <w:tr w:rsidR="007A1A09" w:rsidRPr="005B30A9" w14:paraId="23B5BC4A" w14:textId="77777777" w:rsidTr="006F4860">
        <w:trPr>
          <w:trHeight w:val="240"/>
        </w:trPr>
        <w:tc>
          <w:tcPr>
            <w:tcW w:w="1276" w:type="dxa"/>
            <w:vMerge/>
            <w:tcBorders>
              <w:bottom w:val="single" w:sz="4" w:space="0" w:color="auto"/>
            </w:tcBorders>
            <w:shd w:val="clear" w:color="auto" w:fill="auto"/>
            <w:noWrap/>
          </w:tcPr>
          <w:p w14:paraId="1E4A3B09" w14:textId="77777777" w:rsidR="009612CC" w:rsidRPr="005B30A9" w:rsidRDefault="009612CC" w:rsidP="007A1A09">
            <w:pPr>
              <w:pStyle w:val="SingleTxtG"/>
              <w:tabs>
                <w:tab w:val="clear" w:pos="1701"/>
                <w:tab w:val="clear" w:pos="2268"/>
                <w:tab w:val="clear" w:pos="2835"/>
              </w:tabs>
              <w:spacing w:after="0" w:line="220" w:lineRule="exact"/>
              <w:ind w:left="0" w:right="0"/>
              <w:jc w:val="left"/>
              <w:rPr>
                <w:bCs/>
                <w:sz w:val="18"/>
              </w:rPr>
            </w:pPr>
          </w:p>
        </w:tc>
        <w:tc>
          <w:tcPr>
            <w:tcW w:w="1015" w:type="dxa"/>
            <w:tcBorders>
              <w:bottom w:val="single" w:sz="4" w:space="0" w:color="auto"/>
            </w:tcBorders>
            <w:shd w:val="clear" w:color="auto" w:fill="auto"/>
            <w:vAlign w:val="bottom"/>
          </w:tcPr>
          <w:p w14:paraId="20C782CA"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Mujeres</w:t>
            </w:r>
          </w:p>
        </w:tc>
        <w:tc>
          <w:tcPr>
            <w:tcW w:w="1016" w:type="dxa"/>
            <w:tcBorders>
              <w:bottom w:val="single" w:sz="4" w:space="0" w:color="auto"/>
            </w:tcBorders>
            <w:shd w:val="clear" w:color="auto" w:fill="auto"/>
            <w:noWrap/>
            <w:vAlign w:val="bottom"/>
            <w:hideMark/>
          </w:tcPr>
          <w:p w14:paraId="20F153E7" w14:textId="2B09D49C"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321</w:t>
            </w:r>
          </w:p>
        </w:tc>
        <w:tc>
          <w:tcPr>
            <w:tcW w:w="1016" w:type="dxa"/>
            <w:tcBorders>
              <w:bottom w:val="single" w:sz="4" w:space="0" w:color="auto"/>
            </w:tcBorders>
            <w:shd w:val="clear" w:color="auto" w:fill="auto"/>
            <w:noWrap/>
            <w:vAlign w:val="bottom"/>
            <w:hideMark/>
          </w:tcPr>
          <w:p w14:paraId="652C9A8F" w14:textId="0C7AC34C"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260</w:t>
            </w:r>
          </w:p>
        </w:tc>
        <w:tc>
          <w:tcPr>
            <w:tcW w:w="1015" w:type="dxa"/>
            <w:tcBorders>
              <w:bottom w:val="single" w:sz="4" w:space="0" w:color="auto"/>
            </w:tcBorders>
            <w:shd w:val="clear" w:color="auto" w:fill="auto"/>
            <w:noWrap/>
            <w:vAlign w:val="bottom"/>
            <w:hideMark/>
          </w:tcPr>
          <w:p w14:paraId="7B325163" w14:textId="7101FA42"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135</w:t>
            </w:r>
          </w:p>
        </w:tc>
        <w:tc>
          <w:tcPr>
            <w:tcW w:w="1016" w:type="dxa"/>
            <w:tcBorders>
              <w:bottom w:val="single" w:sz="4" w:space="0" w:color="auto"/>
            </w:tcBorders>
            <w:shd w:val="clear" w:color="auto" w:fill="auto"/>
            <w:noWrap/>
            <w:vAlign w:val="bottom"/>
            <w:hideMark/>
          </w:tcPr>
          <w:p w14:paraId="54694351" w14:textId="0B4B17D8"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049</w:t>
            </w:r>
          </w:p>
        </w:tc>
        <w:tc>
          <w:tcPr>
            <w:tcW w:w="1016" w:type="dxa"/>
            <w:tcBorders>
              <w:bottom w:val="single" w:sz="4" w:space="0" w:color="auto"/>
            </w:tcBorders>
            <w:shd w:val="clear" w:color="auto" w:fill="auto"/>
            <w:noWrap/>
            <w:vAlign w:val="bottom"/>
            <w:hideMark/>
          </w:tcPr>
          <w:p w14:paraId="65485A1B" w14:textId="202EE6CC"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274</w:t>
            </w:r>
          </w:p>
        </w:tc>
      </w:tr>
      <w:tr w:rsidR="007A1A09" w:rsidRPr="005B30A9" w14:paraId="01494E89" w14:textId="77777777" w:rsidTr="006F4860">
        <w:trPr>
          <w:trHeight w:val="240"/>
        </w:trPr>
        <w:tc>
          <w:tcPr>
            <w:tcW w:w="1276" w:type="dxa"/>
            <w:vMerge w:val="restart"/>
            <w:tcBorders>
              <w:top w:val="single" w:sz="4" w:space="0" w:color="auto"/>
              <w:bottom w:val="single" w:sz="12" w:space="0" w:color="auto"/>
            </w:tcBorders>
            <w:shd w:val="clear" w:color="auto" w:fill="auto"/>
            <w:noWrap/>
            <w:hideMark/>
          </w:tcPr>
          <w:p w14:paraId="0E052DBD" w14:textId="6E01E1D5" w:rsidR="009612CC" w:rsidRPr="005B30A9" w:rsidRDefault="006F4860" w:rsidP="007A1A09">
            <w:pPr>
              <w:pStyle w:val="SingleTxtG"/>
              <w:tabs>
                <w:tab w:val="clear" w:pos="1701"/>
                <w:tab w:val="clear" w:pos="2268"/>
                <w:tab w:val="clear" w:pos="2835"/>
              </w:tabs>
              <w:spacing w:after="0" w:line="220" w:lineRule="exact"/>
              <w:ind w:left="0" w:right="0"/>
              <w:jc w:val="left"/>
              <w:rPr>
                <w:bCs/>
                <w:sz w:val="18"/>
              </w:rPr>
            </w:pPr>
            <w:r>
              <w:rPr>
                <w:bCs/>
                <w:sz w:val="18"/>
              </w:rPr>
              <w:t xml:space="preserve">De </w:t>
            </w:r>
            <w:r w:rsidR="009612CC" w:rsidRPr="005B30A9">
              <w:rPr>
                <w:bCs/>
                <w:sz w:val="18"/>
              </w:rPr>
              <w:t>18</w:t>
            </w:r>
            <w:r>
              <w:rPr>
                <w:bCs/>
                <w:sz w:val="18"/>
              </w:rPr>
              <w:t xml:space="preserve"> a </w:t>
            </w:r>
            <w:r w:rsidR="009612CC" w:rsidRPr="005B30A9">
              <w:rPr>
                <w:bCs/>
                <w:sz w:val="18"/>
              </w:rPr>
              <w:t>20</w:t>
            </w:r>
            <w:r>
              <w:rPr>
                <w:bCs/>
                <w:sz w:val="18"/>
              </w:rPr>
              <w:t xml:space="preserve"> </w:t>
            </w:r>
            <w:r>
              <w:rPr>
                <w:bCs/>
                <w:sz w:val="18"/>
              </w:rPr>
              <w:t>años</w:t>
            </w:r>
          </w:p>
        </w:tc>
        <w:tc>
          <w:tcPr>
            <w:tcW w:w="1015" w:type="dxa"/>
            <w:tcBorders>
              <w:top w:val="single" w:sz="4" w:space="0" w:color="auto"/>
              <w:bottom w:val="single" w:sz="4" w:space="0" w:color="auto"/>
            </w:tcBorders>
            <w:shd w:val="clear" w:color="auto" w:fill="auto"/>
            <w:vAlign w:val="bottom"/>
          </w:tcPr>
          <w:p w14:paraId="77B870BE" w14:textId="77777777" w:rsidR="009612CC" w:rsidRPr="005B30A9" w:rsidRDefault="009612CC" w:rsidP="00045B2A">
            <w:pPr>
              <w:pStyle w:val="SingleTxtG"/>
              <w:tabs>
                <w:tab w:val="clear" w:pos="1701"/>
                <w:tab w:val="clear" w:pos="2268"/>
                <w:tab w:val="clear" w:pos="2835"/>
              </w:tabs>
              <w:spacing w:before="80" w:after="80" w:line="220" w:lineRule="exact"/>
              <w:ind w:left="284" w:right="0"/>
              <w:jc w:val="left"/>
              <w:rPr>
                <w:b/>
                <w:sz w:val="18"/>
              </w:rPr>
            </w:pPr>
            <w:r w:rsidRPr="005B30A9">
              <w:rPr>
                <w:b/>
                <w:sz w:val="18"/>
              </w:rPr>
              <w:t>Total</w:t>
            </w:r>
          </w:p>
        </w:tc>
        <w:tc>
          <w:tcPr>
            <w:tcW w:w="1016" w:type="dxa"/>
            <w:tcBorders>
              <w:top w:val="single" w:sz="4" w:space="0" w:color="auto"/>
              <w:bottom w:val="single" w:sz="4" w:space="0" w:color="auto"/>
            </w:tcBorders>
            <w:shd w:val="clear" w:color="auto" w:fill="auto"/>
            <w:noWrap/>
            <w:vAlign w:val="bottom"/>
            <w:hideMark/>
          </w:tcPr>
          <w:p w14:paraId="79CA14FE" w14:textId="68350B12"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w:t>
            </w:r>
            <w:r w:rsidR="00045B2A" w:rsidRPr="005B30A9">
              <w:rPr>
                <w:b/>
                <w:bCs/>
                <w:sz w:val="18"/>
              </w:rPr>
              <w:t xml:space="preserve"> </w:t>
            </w:r>
            <w:r w:rsidRPr="005B30A9">
              <w:rPr>
                <w:b/>
                <w:bCs/>
                <w:sz w:val="18"/>
              </w:rPr>
              <w:t>487</w:t>
            </w:r>
          </w:p>
        </w:tc>
        <w:tc>
          <w:tcPr>
            <w:tcW w:w="1016" w:type="dxa"/>
            <w:tcBorders>
              <w:top w:val="single" w:sz="4" w:space="0" w:color="auto"/>
              <w:bottom w:val="single" w:sz="4" w:space="0" w:color="auto"/>
            </w:tcBorders>
            <w:shd w:val="clear" w:color="auto" w:fill="auto"/>
            <w:noWrap/>
            <w:vAlign w:val="bottom"/>
            <w:hideMark/>
          </w:tcPr>
          <w:p w14:paraId="58944ABC" w14:textId="7241AC62"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w:t>
            </w:r>
            <w:r w:rsidR="00045B2A" w:rsidRPr="005B30A9">
              <w:rPr>
                <w:b/>
                <w:bCs/>
                <w:sz w:val="18"/>
              </w:rPr>
              <w:t xml:space="preserve"> </w:t>
            </w:r>
            <w:r w:rsidRPr="005B30A9">
              <w:rPr>
                <w:b/>
                <w:bCs/>
                <w:sz w:val="18"/>
              </w:rPr>
              <w:t>101</w:t>
            </w:r>
          </w:p>
        </w:tc>
        <w:tc>
          <w:tcPr>
            <w:tcW w:w="1015" w:type="dxa"/>
            <w:tcBorders>
              <w:top w:val="single" w:sz="4" w:space="0" w:color="auto"/>
              <w:bottom w:val="single" w:sz="4" w:space="0" w:color="auto"/>
            </w:tcBorders>
            <w:shd w:val="clear" w:color="auto" w:fill="auto"/>
            <w:noWrap/>
            <w:vAlign w:val="bottom"/>
            <w:hideMark/>
          </w:tcPr>
          <w:p w14:paraId="4C03EEE1" w14:textId="16C303F2"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3</w:t>
            </w:r>
            <w:r w:rsidR="00045B2A" w:rsidRPr="005B30A9">
              <w:rPr>
                <w:b/>
                <w:bCs/>
                <w:sz w:val="18"/>
              </w:rPr>
              <w:t xml:space="preserve"> </w:t>
            </w:r>
            <w:r w:rsidRPr="005B30A9">
              <w:rPr>
                <w:b/>
                <w:bCs/>
                <w:sz w:val="18"/>
              </w:rPr>
              <w:t>348</w:t>
            </w:r>
          </w:p>
        </w:tc>
        <w:tc>
          <w:tcPr>
            <w:tcW w:w="1016" w:type="dxa"/>
            <w:tcBorders>
              <w:top w:val="single" w:sz="4" w:space="0" w:color="auto"/>
              <w:bottom w:val="single" w:sz="4" w:space="0" w:color="auto"/>
            </w:tcBorders>
            <w:shd w:val="clear" w:color="auto" w:fill="auto"/>
            <w:noWrap/>
            <w:vAlign w:val="bottom"/>
            <w:hideMark/>
          </w:tcPr>
          <w:p w14:paraId="4DF00CBF" w14:textId="58C6A2C3"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3</w:t>
            </w:r>
            <w:r w:rsidR="00045B2A" w:rsidRPr="005B30A9">
              <w:rPr>
                <w:b/>
                <w:bCs/>
                <w:sz w:val="18"/>
              </w:rPr>
              <w:t xml:space="preserve"> </w:t>
            </w:r>
            <w:r w:rsidRPr="005B30A9">
              <w:rPr>
                <w:b/>
                <w:bCs/>
                <w:sz w:val="18"/>
              </w:rPr>
              <w:t>045</w:t>
            </w:r>
          </w:p>
        </w:tc>
        <w:tc>
          <w:tcPr>
            <w:tcW w:w="1016" w:type="dxa"/>
            <w:tcBorders>
              <w:top w:val="single" w:sz="4" w:space="0" w:color="auto"/>
              <w:bottom w:val="single" w:sz="4" w:space="0" w:color="auto"/>
            </w:tcBorders>
            <w:shd w:val="clear" w:color="auto" w:fill="auto"/>
            <w:noWrap/>
            <w:vAlign w:val="bottom"/>
            <w:hideMark/>
          </w:tcPr>
          <w:p w14:paraId="0D25E184" w14:textId="71DB27A9"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w:t>
            </w:r>
            <w:r w:rsidR="00045B2A" w:rsidRPr="005B30A9">
              <w:rPr>
                <w:b/>
                <w:bCs/>
                <w:sz w:val="18"/>
              </w:rPr>
              <w:t xml:space="preserve"> </w:t>
            </w:r>
            <w:r w:rsidRPr="005B30A9">
              <w:rPr>
                <w:b/>
                <w:bCs/>
                <w:sz w:val="18"/>
              </w:rPr>
              <w:t>035</w:t>
            </w:r>
          </w:p>
        </w:tc>
      </w:tr>
      <w:tr w:rsidR="007A1A09" w:rsidRPr="005B30A9" w14:paraId="15831F8F" w14:textId="77777777" w:rsidTr="006F4860">
        <w:trPr>
          <w:trHeight w:val="240"/>
        </w:trPr>
        <w:tc>
          <w:tcPr>
            <w:tcW w:w="1276" w:type="dxa"/>
            <w:vMerge/>
            <w:tcBorders>
              <w:top w:val="single" w:sz="12" w:space="0" w:color="auto"/>
            </w:tcBorders>
            <w:shd w:val="clear" w:color="auto" w:fill="auto"/>
            <w:noWrap/>
          </w:tcPr>
          <w:p w14:paraId="74569F7B" w14:textId="77777777" w:rsidR="009612CC" w:rsidRPr="005B30A9" w:rsidRDefault="009612CC" w:rsidP="007A1A09">
            <w:pPr>
              <w:pStyle w:val="SingleTxtG"/>
              <w:tabs>
                <w:tab w:val="clear" w:pos="1701"/>
                <w:tab w:val="clear" w:pos="2268"/>
                <w:tab w:val="clear" w:pos="2835"/>
              </w:tabs>
              <w:spacing w:after="0" w:line="220" w:lineRule="exact"/>
              <w:ind w:left="0" w:right="0"/>
              <w:jc w:val="left"/>
              <w:rPr>
                <w:bCs/>
                <w:sz w:val="18"/>
              </w:rPr>
            </w:pPr>
          </w:p>
        </w:tc>
        <w:tc>
          <w:tcPr>
            <w:tcW w:w="1015" w:type="dxa"/>
            <w:tcBorders>
              <w:top w:val="single" w:sz="4" w:space="0" w:color="auto"/>
            </w:tcBorders>
            <w:shd w:val="clear" w:color="auto" w:fill="auto"/>
            <w:vAlign w:val="bottom"/>
          </w:tcPr>
          <w:p w14:paraId="3A3116FD"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Hombres</w:t>
            </w:r>
          </w:p>
        </w:tc>
        <w:tc>
          <w:tcPr>
            <w:tcW w:w="1016" w:type="dxa"/>
            <w:tcBorders>
              <w:top w:val="single" w:sz="4" w:space="0" w:color="auto"/>
            </w:tcBorders>
            <w:shd w:val="clear" w:color="auto" w:fill="auto"/>
            <w:noWrap/>
            <w:vAlign w:val="bottom"/>
            <w:hideMark/>
          </w:tcPr>
          <w:p w14:paraId="084BBD1B" w14:textId="727AE289"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3</w:t>
            </w:r>
            <w:r w:rsidR="00045B2A" w:rsidRPr="005B30A9">
              <w:rPr>
                <w:sz w:val="18"/>
              </w:rPr>
              <w:t xml:space="preserve"> </w:t>
            </w:r>
            <w:r w:rsidRPr="005B30A9">
              <w:rPr>
                <w:sz w:val="18"/>
              </w:rPr>
              <w:t>282</w:t>
            </w:r>
          </w:p>
        </w:tc>
        <w:tc>
          <w:tcPr>
            <w:tcW w:w="1016" w:type="dxa"/>
            <w:tcBorders>
              <w:top w:val="single" w:sz="4" w:space="0" w:color="auto"/>
            </w:tcBorders>
            <w:shd w:val="clear" w:color="auto" w:fill="auto"/>
            <w:noWrap/>
            <w:vAlign w:val="bottom"/>
            <w:hideMark/>
          </w:tcPr>
          <w:p w14:paraId="5CA27C70" w14:textId="2838B0CB"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w:t>
            </w:r>
            <w:r w:rsidR="00045B2A" w:rsidRPr="005B30A9">
              <w:rPr>
                <w:sz w:val="18"/>
              </w:rPr>
              <w:t xml:space="preserve"> </w:t>
            </w:r>
            <w:r w:rsidRPr="005B30A9">
              <w:rPr>
                <w:sz w:val="18"/>
              </w:rPr>
              <w:t>897</w:t>
            </w:r>
          </w:p>
        </w:tc>
        <w:tc>
          <w:tcPr>
            <w:tcW w:w="1015" w:type="dxa"/>
            <w:tcBorders>
              <w:top w:val="single" w:sz="4" w:space="0" w:color="auto"/>
            </w:tcBorders>
            <w:shd w:val="clear" w:color="auto" w:fill="auto"/>
            <w:noWrap/>
            <w:vAlign w:val="bottom"/>
            <w:hideMark/>
          </w:tcPr>
          <w:p w14:paraId="608CC767" w14:textId="23499BA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w:t>
            </w:r>
            <w:r w:rsidR="00045B2A" w:rsidRPr="005B30A9">
              <w:rPr>
                <w:sz w:val="18"/>
              </w:rPr>
              <w:t xml:space="preserve"> </w:t>
            </w:r>
            <w:r w:rsidRPr="005B30A9">
              <w:rPr>
                <w:sz w:val="18"/>
              </w:rPr>
              <w:t>296</w:t>
            </w:r>
          </w:p>
        </w:tc>
        <w:tc>
          <w:tcPr>
            <w:tcW w:w="1016" w:type="dxa"/>
            <w:tcBorders>
              <w:top w:val="single" w:sz="4" w:space="0" w:color="auto"/>
            </w:tcBorders>
            <w:shd w:val="clear" w:color="auto" w:fill="auto"/>
            <w:noWrap/>
            <w:vAlign w:val="bottom"/>
            <w:hideMark/>
          </w:tcPr>
          <w:p w14:paraId="13CA97C8" w14:textId="42B960D2"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w:t>
            </w:r>
            <w:r w:rsidR="00045B2A" w:rsidRPr="005B30A9">
              <w:rPr>
                <w:sz w:val="18"/>
              </w:rPr>
              <w:t xml:space="preserve"> </w:t>
            </w:r>
            <w:r w:rsidRPr="005B30A9">
              <w:rPr>
                <w:sz w:val="18"/>
              </w:rPr>
              <w:t>020</w:t>
            </w:r>
          </w:p>
        </w:tc>
        <w:tc>
          <w:tcPr>
            <w:tcW w:w="1016" w:type="dxa"/>
            <w:tcBorders>
              <w:top w:val="single" w:sz="4" w:space="0" w:color="auto"/>
            </w:tcBorders>
            <w:shd w:val="clear" w:color="auto" w:fill="auto"/>
            <w:noWrap/>
            <w:vAlign w:val="bottom"/>
            <w:hideMark/>
          </w:tcPr>
          <w:p w14:paraId="5E2D9392" w14:textId="6D457359"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w:t>
            </w:r>
            <w:r w:rsidR="00045B2A" w:rsidRPr="005B30A9">
              <w:rPr>
                <w:sz w:val="18"/>
              </w:rPr>
              <w:t xml:space="preserve"> </w:t>
            </w:r>
            <w:r w:rsidRPr="005B30A9">
              <w:rPr>
                <w:sz w:val="18"/>
              </w:rPr>
              <w:t>808</w:t>
            </w:r>
          </w:p>
        </w:tc>
      </w:tr>
      <w:tr w:rsidR="007A1A09" w:rsidRPr="005B30A9" w14:paraId="2D17D6F0" w14:textId="77777777" w:rsidTr="006F4860">
        <w:trPr>
          <w:trHeight w:val="240"/>
        </w:trPr>
        <w:tc>
          <w:tcPr>
            <w:tcW w:w="1276" w:type="dxa"/>
            <w:vMerge/>
            <w:tcBorders>
              <w:bottom w:val="single" w:sz="4" w:space="0" w:color="auto"/>
            </w:tcBorders>
            <w:shd w:val="clear" w:color="auto" w:fill="auto"/>
            <w:noWrap/>
          </w:tcPr>
          <w:p w14:paraId="625E6A6B" w14:textId="77777777" w:rsidR="009612CC" w:rsidRPr="005B30A9" w:rsidRDefault="009612CC" w:rsidP="007A1A09">
            <w:pPr>
              <w:pStyle w:val="SingleTxtG"/>
              <w:tabs>
                <w:tab w:val="clear" w:pos="1701"/>
                <w:tab w:val="clear" w:pos="2268"/>
                <w:tab w:val="clear" w:pos="2835"/>
              </w:tabs>
              <w:spacing w:after="0" w:line="220" w:lineRule="exact"/>
              <w:ind w:left="0" w:right="0"/>
              <w:jc w:val="left"/>
              <w:rPr>
                <w:bCs/>
                <w:sz w:val="18"/>
              </w:rPr>
            </w:pPr>
          </w:p>
        </w:tc>
        <w:tc>
          <w:tcPr>
            <w:tcW w:w="1015" w:type="dxa"/>
            <w:tcBorders>
              <w:bottom w:val="single" w:sz="4" w:space="0" w:color="auto"/>
            </w:tcBorders>
            <w:shd w:val="clear" w:color="auto" w:fill="auto"/>
            <w:vAlign w:val="bottom"/>
          </w:tcPr>
          <w:p w14:paraId="5B2570EC"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Mujeres</w:t>
            </w:r>
          </w:p>
        </w:tc>
        <w:tc>
          <w:tcPr>
            <w:tcW w:w="1016" w:type="dxa"/>
            <w:tcBorders>
              <w:bottom w:val="single" w:sz="4" w:space="0" w:color="auto"/>
            </w:tcBorders>
            <w:shd w:val="clear" w:color="auto" w:fill="auto"/>
            <w:noWrap/>
            <w:vAlign w:val="bottom"/>
            <w:hideMark/>
          </w:tcPr>
          <w:p w14:paraId="4669F6B5" w14:textId="39413566"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205</w:t>
            </w:r>
          </w:p>
        </w:tc>
        <w:tc>
          <w:tcPr>
            <w:tcW w:w="1016" w:type="dxa"/>
            <w:tcBorders>
              <w:bottom w:val="single" w:sz="4" w:space="0" w:color="auto"/>
            </w:tcBorders>
            <w:shd w:val="clear" w:color="auto" w:fill="auto"/>
            <w:noWrap/>
            <w:vAlign w:val="bottom"/>
            <w:hideMark/>
          </w:tcPr>
          <w:p w14:paraId="6A2A69F3" w14:textId="43EF8390"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204</w:t>
            </w:r>
          </w:p>
        </w:tc>
        <w:tc>
          <w:tcPr>
            <w:tcW w:w="1015" w:type="dxa"/>
            <w:tcBorders>
              <w:bottom w:val="single" w:sz="4" w:space="0" w:color="auto"/>
            </w:tcBorders>
            <w:shd w:val="clear" w:color="auto" w:fill="auto"/>
            <w:noWrap/>
            <w:vAlign w:val="bottom"/>
            <w:hideMark/>
          </w:tcPr>
          <w:p w14:paraId="782F7434" w14:textId="7AEF97DD"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052</w:t>
            </w:r>
          </w:p>
        </w:tc>
        <w:tc>
          <w:tcPr>
            <w:tcW w:w="1016" w:type="dxa"/>
            <w:tcBorders>
              <w:bottom w:val="single" w:sz="4" w:space="0" w:color="auto"/>
            </w:tcBorders>
            <w:shd w:val="clear" w:color="auto" w:fill="auto"/>
            <w:noWrap/>
            <w:vAlign w:val="bottom"/>
            <w:hideMark/>
          </w:tcPr>
          <w:p w14:paraId="4F89E26E" w14:textId="62270206"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025</w:t>
            </w:r>
          </w:p>
        </w:tc>
        <w:tc>
          <w:tcPr>
            <w:tcW w:w="1016" w:type="dxa"/>
            <w:tcBorders>
              <w:bottom w:val="single" w:sz="4" w:space="0" w:color="auto"/>
            </w:tcBorders>
            <w:shd w:val="clear" w:color="auto" w:fill="auto"/>
            <w:noWrap/>
            <w:vAlign w:val="bottom"/>
            <w:hideMark/>
          </w:tcPr>
          <w:p w14:paraId="77C07365" w14:textId="57A660F5"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227</w:t>
            </w:r>
          </w:p>
        </w:tc>
      </w:tr>
      <w:tr w:rsidR="007A1A09" w:rsidRPr="005B30A9" w14:paraId="055B5485" w14:textId="77777777" w:rsidTr="006F4860">
        <w:trPr>
          <w:trHeight w:val="240"/>
        </w:trPr>
        <w:tc>
          <w:tcPr>
            <w:tcW w:w="1276" w:type="dxa"/>
            <w:vMerge w:val="restart"/>
            <w:tcBorders>
              <w:top w:val="single" w:sz="4" w:space="0" w:color="auto"/>
              <w:bottom w:val="single" w:sz="12" w:space="0" w:color="auto"/>
            </w:tcBorders>
            <w:shd w:val="clear" w:color="auto" w:fill="auto"/>
            <w:noWrap/>
            <w:hideMark/>
          </w:tcPr>
          <w:p w14:paraId="069D88BD" w14:textId="7C6631FC" w:rsidR="009612CC" w:rsidRPr="005B30A9" w:rsidRDefault="006F4860" w:rsidP="007A1A09">
            <w:pPr>
              <w:pStyle w:val="SingleTxtG"/>
              <w:tabs>
                <w:tab w:val="clear" w:pos="1701"/>
                <w:tab w:val="clear" w:pos="2268"/>
                <w:tab w:val="clear" w:pos="2835"/>
              </w:tabs>
              <w:spacing w:after="0" w:line="220" w:lineRule="exact"/>
              <w:ind w:left="0" w:right="0"/>
              <w:jc w:val="left"/>
              <w:rPr>
                <w:bCs/>
                <w:sz w:val="18"/>
              </w:rPr>
            </w:pPr>
            <w:r>
              <w:rPr>
                <w:bCs/>
                <w:sz w:val="18"/>
              </w:rPr>
              <w:t xml:space="preserve">De </w:t>
            </w:r>
            <w:r w:rsidR="009612CC" w:rsidRPr="005B30A9">
              <w:rPr>
                <w:bCs/>
                <w:sz w:val="18"/>
              </w:rPr>
              <w:t>21</w:t>
            </w:r>
            <w:r>
              <w:rPr>
                <w:bCs/>
                <w:sz w:val="18"/>
              </w:rPr>
              <w:t xml:space="preserve"> a </w:t>
            </w:r>
            <w:r w:rsidR="009612CC" w:rsidRPr="005B30A9">
              <w:rPr>
                <w:bCs/>
                <w:sz w:val="18"/>
              </w:rPr>
              <w:t>24</w:t>
            </w:r>
            <w:r>
              <w:rPr>
                <w:bCs/>
                <w:sz w:val="18"/>
              </w:rPr>
              <w:t xml:space="preserve"> </w:t>
            </w:r>
            <w:r>
              <w:rPr>
                <w:bCs/>
                <w:sz w:val="18"/>
              </w:rPr>
              <w:t>años</w:t>
            </w:r>
          </w:p>
        </w:tc>
        <w:tc>
          <w:tcPr>
            <w:tcW w:w="1015" w:type="dxa"/>
            <w:tcBorders>
              <w:top w:val="single" w:sz="4" w:space="0" w:color="auto"/>
              <w:bottom w:val="single" w:sz="4" w:space="0" w:color="auto"/>
            </w:tcBorders>
            <w:shd w:val="clear" w:color="auto" w:fill="auto"/>
            <w:vAlign w:val="bottom"/>
          </w:tcPr>
          <w:p w14:paraId="64935C14" w14:textId="77777777" w:rsidR="009612CC" w:rsidRPr="005B30A9" w:rsidRDefault="009612CC" w:rsidP="00045B2A">
            <w:pPr>
              <w:pStyle w:val="SingleTxtG"/>
              <w:tabs>
                <w:tab w:val="clear" w:pos="1701"/>
                <w:tab w:val="clear" w:pos="2268"/>
                <w:tab w:val="clear" w:pos="2835"/>
              </w:tabs>
              <w:spacing w:before="80" w:after="80" w:line="220" w:lineRule="exact"/>
              <w:ind w:left="284" w:right="0"/>
              <w:jc w:val="left"/>
              <w:rPr>
                <w:b/>
                <w:sz w:val="18"/>
              </w:rPr>
            </w:pPr>
            <w:r w:rsidRPr="005B30A9">
              <w:rPr>
                <w:b/>
                <w:sz w:val="18"/>
              </w:rPr>
              <w:t>Total</w:t>
            </w:r>
          </w:p>
        </w:tc>
        <w:tc>
          <w:tcPr>
            <w:tcW w:w="1016" w:type="dxa"/>
            <w:tcBorders>
              <w:top w:val="single" w:sz="4" w:space="0" w:color="auto"/>
              <w:bottom w:val="single" w:sz="4" w:space="0" w:color="auto"/>
            </w:tcBorders>
            <w:shd w:val="clear" w:color="auto" w:fill="auto"/>
            <w:noWrap/>
            <w:vAlign w:val="bottom"/>
            <w:hideMark/>
          </w:tcPr>
          <w:p w14:paraId="0440458F" w14:textId="1FD32BD7"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5</w:t>
            </w:r>
            <w:r w:rsidR="00045B2A" w:rsidRPr="005B30A9">
              <w:rPr>
                <w:b/>
                <w:bCs/>
                <w:sz w:val="18"/>
              </w:rPr>
              <w:t xml:space="preserve"> </w:t>
            </w:r>
            <w:r w:rsidRPr="005B30A9">
              <w:rPr>
                <w:b/>
                <w:bCs/>
                <w:sz w:val="18"/>
              </w:rPr>
              <w:t>859</w:t>
            </w:r>
          </w:p>
        </w:tc>
        <w:tc>
          <w:tcPr>
            <w:tcW w:w="1016" w:type="dxa"/>
            <w:tcBorders>
              <w:top w:val="single" w:sz="4" w:space="0" w:color="auto"/>
              <w:bottom w:val="single" w:sz="4" w:space="0" w:color="auto"/>
            </w:tcBorders>
            <w:shd w:val="clear" w:color="auto" w:fill="auto"/>
            <w:noWrap/>
            <w:vAlign w:val="bottom"/>
            <w:hideMark/>
          </w:tcPr>
          <w:p w14:paraId="30B92DB5" w14:textId="1E975FA8"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5</w:t>
            </w:r>
            <w:r w:rsidR="00045B2A" w:rsidRPr="005B30A9">
              <w:rPr>
                <w:b/>
                <w:bCs/>
                <w:sz w:val="18"/>
              </w:rPr>
              <w:t xml:space="preserve"> </w:t>
            </w:r>
            <w:r w:rsidRPr="005B30A9">
              <w:rPr>
                <w:b/>
                <w:bCs/>
                <w:sz w:val="18"/>
              </w:rPr>
              <w:t>368</w:t>
            </w:r>
          </w:p>
        </w:tc>
        <w:tc>
          <w:tcPr>
            <w:tcW w:w="1015" w:type="dxa"/>
            <w:tcBorders>
              <w:top w:val="single" w:sz="4" w:space="0" w:color="auto"/>
              <w:bottom w:val="single" w:sz="4" w:space="0" w:color="auto"/>
            </w:tcBorders>
            <w:shd w:val="clear" w:color="auto" w:fill="auto"/>
            <w:noWrap/>
            <w:vAlign w:val="bottom"/>
            <w:hideMark/>
          </w:tcPr>
          <w:p w14:paraId="4B1B396B" w14:textId="3F642C4A"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w:t>
            </w:r>
            <w:r w:rsidR="00045B2A" w:rsidRPr="005B30A9">
              <w:rPr>
                <w:b/>
                <w:bCs/>
                <w:sz w:val="18"/>
              </w:rPr>
              <w:t xml:space="preserve"> </w:t>
            </w:r>
            <w:r w:rsidRPr="005B30A9">
              <w:rPr>
                <w:b/>
                <w:bCs/>
                <w:sz w:val="18"/>
              </w:rPr>
              <w:t>516</w:t>
            </w:r>
          </w:p>
        </w:tc>
        <w:tc>
          <w:tcPr>
            <w:tcW w:w="1016" w:type="dxa"/>
            <w:tcBorders>
              <w:top w:val="single" w:sz="4" w:space="0" w:color="auto"/>
              <w:bottom w:val="single" w:sz="4" w:space="0" w:color="auto"/>
            </w:tcBorders>
            <w:shd w:val="clear" w:color="auto" w:fill="auto"/>
            <w:noWrap/>
            <w:vAlign w:val="bottom"/>
            <w:hideMark/>
          </w:tcPr>
          <w:p w14:paraId="6E768E57" w14:textId="0C64207D"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w:t>
            </w:r>
            <w:r w:rsidR="00045B2A" w:rsidRPr="005B30A9">
              <w:rPr>
                <w:b/>
                <w:bCs/>
                <w:sz w:val="18"/>
              </w:rPr>
              <w:t xml:space="preserve"> </w:t>
            </w:r>
            <w:r w:rsidRPr="005B30A9">
              <w:rPr>
                <w:b/>
                <w:bCs/>
                <w:sz w:val="18"/>
              </w:rPr>
              <w:t>305</w:t>
            </w:r>
          </w:p>
        </w:tc>
        <w:tc>
          <w:tcPr>
            <w:tcW w:w="1016" w:type="dxa"/>
            <w:tcBorders>
              <w:top w:val="single" w:sz="4" w:space="0" w:color="auto"/>
              <w:bottom w:val="single" w:sz="4" w:space="0" w:color="auto"/>
            </w:tcBorders>
            <w:shd w:val="clear" w:color="auto" w:fill="auto"/>
            <w:noWrap/>
            <w:vAlign w:val="bottom"/>
            <w:hideMark/>
          </w:tcPr>
          <w:p w14:paraId="553FA2F4" w14:textId="27A66692"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5</w:t>
            </w:r>
            <w:r w:rsidR="00045B2A" w:rsidRPr="005B30A9">
              <w:rPr>
                <w:b/>
                <w:bCs/>
                <w:sz w:val="18"/>
              </w:rPr>
              <w:t xml:space="preserve"> </w:t>
            </w:r>
            <w:r w:rsidRPr="005B30A9">
              <w:rPr>
                <w:b/>
                <w:bCs/>
                <w:sz w:val="18"/>
              </w:rPr>
              <w:t>368</w:t>
            </w:r>
          </w:p>
        </w:tc>
      </w:tr>
      <w:tr w:rsidR="007A1A09" w:rsidRPr="005B30A9" w14:paraId="5FA3B683" w14:textId="77777777" w:rsidTr="006F4860">
        <w:trPr>
          <w:trHeight w:val="240"/>
        </w:trPr>
        <w:tc>
          <w:tcPr>
            <w:tcW w:w="1276" w:type="dxa"/>
            <w:vMerge/>
            <w:tcBorders>
              <w:top w:val="single" w:sz="12" w:space="0" w:color="auto"/>
            </w:tcBorders>
            <w:shd w:val="clear" w:color="auto" w:fill="auto"/>
            <w:noWrap/>
            <w:hideMark/>
          </w:tcPr>
          <w:p w14:paraId="1BC618AF" w14:textId="77777777" w:rsidR="009612CC" w:rsidRPr="005B30A9" w:rsidRDefault="009612CC" w:rsidP="007A1A09">
            <w:pPr>
              <w:pStyle w:val="SingleTxtG"/>
              <w:tabs>
                <w:tab w:val="clear" w:pos="1701"/>
                <w:tab w:val="clear" w:pos="2268"/>
                <w:tab w:val="clear" w:pos="2835"/>
              </w:tabs>
              <w:spacing w:after="0" w:line="220" w:lineRule="exact"/>
              <w:ind w:left="0" w:right="0"/>
              <w:jc w:val="left"/>
              <w:rPr>
                <w:bCs/>
                <w:sz w:val="18"/>
              </w:rPr>
            </w:pPr>
          </w:p>
        </w:tc>
        <w:tc>
          <w:tcPr>
            <w:tcW w:w="1015" w:type="dxa"/>
            <w:tcBorders>
              <w:top w:val="single" w:sz="4" w:space="0" w:color="auto"/>
            </w:tcBorders>
            <w:shd w:val="clear" w:color="auto" w:fill="auto"/>
            <w:vAlign w:val="bottom"/>
          </w:tcPr>
          <w:p w14:paraId="19ADA50D"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Hombres</w:t>
            </w:r>
          </w:p>
        </w:tc>
        <w:tc>
          <w:tcPr>
            <w:tcW w:w="1016" w:type="dxa"/>
            <w:tcBorders>
              <w:top w:val="single" w:sz="4" w:space="0" w:color="auto"/>
            </w:tcBorders>
            <w:shd w:val="clear" w:color="auto" w:fill="auto"/>
            <w:noWrap/>
            <w:vAlign w:val="bottom"/>
            <w:hideMark/>
          </w:tcPr>
          <w:p w14:paraId="35A1B565" w14:textId="2EB626F4"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4</w:t>
            </w:r>
            <w:r w:rsidR="00045B2A" w:rsidRPr="005B30A9">
              <w:rPr>
                <w:sz w:val="18"/>
              </w:rPr>
              <w:t xml:space="preserve"> </w:t>
            </w:r>
            <w:r w:rsidRPr="005B30A9">
              <w:rPr>
                <w:sz w:val="18"/>
              </w:rPr>
              <w:t>082</w:t>
            </w:r>
          </w:p>
        </w:tc>
        <w:tc>
          <w:tcPr>
            <w:tcW w:w="1016" w:type="dxa"/>
            <w:tcBorders>
              <w:top w:val="single" w:sz="4" w:space="0" w:color="auto"/>
            </w:tcBorders>
            <w:shd w:val="clear" w:color="auto" w:fill="auto"/>
            <w:noWrap/>
            <w:vAlign w:val="bottom"/>
            <w:hideMark/>
          </w:tcPr>
          <w:p w14:paraId="17B8BD15" w14:textId="4FC73C0C"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3</w:t>
            </w:r>
            <w:r w:rsidR="00045B2A" w:rsidRPr="005B30A9">
              <w:rPr>
                <w:sz w:val="18"/>
              </w:rPr>
              <w:t xml:space="preserve"> </w:t>
            </w:r>
            <w:r w:rsidRPr="005B30A9">
              <w:rPr>
                <w:sz w:val="18"/>
              </w:rPr>
              <w:t>640</w:t>
            </w:r>
          </w:p>
        </w:tc>
        <w:tc>
          <w:tcPr>
            <w:tcW w:w="1015" w:type="dxa"/>
            <w:tcBorders>
              <w:top w:val="single" w:sz="4" w:space="0" w:color="auto"/>
            </w:tcBorders>
            <w:shd w:val="clear" w:color="auto" w:fill="auto"/>
            <w:noWrap/>
            <w:vAlign w:val="bottom"/>
            <w:hideMark/>
          </w:tcPr>
          <w:p w14:paraId="253A9CDB" w14:textId="1E6DF60B"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3</w:t>
            </w:r>
            <w:r w:rsidR="00045B2A" w:rsidRPr="005B30A9">
              <w:rPr>
                <w:sz w:val="18"/>
              </w:rPr>
              <w:t xml:space="preserve"> </w:t>
            </w:r>
            <w:r w:rsidRPr="005B30A9">
              <w:rPr>
                <w:sz w:val="18"/>
              </w:rPr>
              <w:t>000</w:t>
            </w:r>
          </w:p>
        </w:tc>
        <w:tc>
          <w:tcPr>
            <w:tcW w:w="1016" w:type="dxa"/>
            <w:tcBorders>
              <w:top w:val="single" w:sz="4" w:space="0" w:color="auto"/>
            </w:tcBorders>
            <w:shd w:val="clear" w:color="auto" w:fill="auto"/>
            <w:noWrap/>
            <w:vAlign w:val="bottom"/>
            <w:hideMark/>
          </w:tcPr>
          <w:p w14:paraId="54A0494F" w14:textId="2D5170B3"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2</w:t>
            </w:r>
            <w:r w:rsidR="00045B2A" w:rsidRPr="005B30A9">
              <w:rPr>
                <w:sz w:val="18"/>
              </w:rPr>
              <w:t xml:space="preserve"> </w:t>
            </w:r>
            <w:r w:rsidRPr="005B30A9">
              <w:rPr>
                <w:sz w:val="18"/>
              </w:rPr>
              <w:t>824</w:t>
            </w:r>
          </w:p>
        </w:tc>
        <w:tc>
          <w:tcPr>
            <w:tcW w:w="1016" w:type="dxa"/>
            <w:tcBorders>
              <w:top w:val="single" w:sz="4" w:space="0" w:color="auto"/>
            </w:tcBorders>
            <w:shd w:val="clear" w:color="auto" w:fill="auto"/>
            <w:noWrap/>
            <w:vAlign w:val="bottom"/>
            <w:hideMark/>
          </w:tcPr>
          <w:p w14:paraId="24294E0B" w14:textId="1F171576"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3</w:t>
            </w:r>
            <w:r w:rsidR="00045B2A" w:rsidRPr="005B30A9">
              <w:rPr>
                <w:sz w:val="18"/>
              </w:rPr>
              <w:t xml:space="preserve"> </w:t>
            </w:r>
            <w:r w:rsidRPr="005B30A9">
              <w:rPr>
                <w:sz w:val="18"/>
              </w:rPr>
              <w:t>652</w:t>
            </w:r>
          </w:p>
        </w:tc>
      </w:tr>
      <w:tr w:rsidR="007A1A09" w:rsidRPr="005B30A9" w14:paraId="4DAA10D0" w14:textId="77777777" w:rsidTr="006F4860">
        <w:trPr>
          <w:trHeight w:val="240"/>
        </w:trPr>
        <w:tc>
          <w:tcPr>
            <w:tcW w:w="1276" w:type="dxa"/>
            <w:vMerge/>
            <w:tcBorders>
              <w:bottom w:val="single" w:sz="4" w:space="0" w:color="auto"/>
            </w:tcBorders>
            <w:shd w:val="clear" w:color="auto" w:fill="auto"/>
            <w:noWrap/>
            <w:hideMark/>
          </w:tcPr>
          <w:p w14:paraId="269DBA79" w14:textId="77777777" w:rsidR="009612CC" w:rsidRPr="005B30A9" w:rsidRDefault="009612CC" w:rsidP="007A1A09">
            <w:pPr>
              <w:pStyle w:val="SingleTxtG"/>
              <w:tabs>
                <w:tab w:val="clear" w:pos="1701"/>
                <w:tab w:val="clear" w:pos="2268"/>
                <w:tab w:val="clear" w:pos="2835"/>
              </w:tabs>
              <w:spacing w:after="0" w:line="220" w:lineRule="exact"/>
              <w:ind w:left="0" w:right="0"/>
              <w:jc w:val="left"/>
              <w:rPr>
                <w:bCs/>
                <w:sz w:val="18"/>
              </w:rPr>
            </w:pPr>
          </w:p>
        </w:tc>
        <w:tc>
          <w:tcPr>
            <w:tcW w:w="1015" w:type="dxa"/>
            <w:tcBorders>
              <w:bottom w:val="single" w:sz="4" w:space="0" w:color="auto"/>
            </w:tcBorders>
            <w:shd w:val="clear" w:color="auto" w:fill="auto"/>
            <w:vAlign w:val="bottom"/>
          </w:tcPr>
          <w:p w14:paraId="0C07899B"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Mujeres</w:t>
            </w:r>
          </w:p>
        </w:tc>
        <w:tc>
          <w:tcPr>
            <w:tcW w:w="1016" w:type="dxa"/>
            <w:tcBorders>
              <w:bottom w:val="single" w:sz="4" w:space="0" w:color="auto"/>
            </w:tcBorders>
            <w:shd w:val="clear" w:color="auto" w:fill="auto"/>
            <w:noWrap/>
            <w:vAlign w:val="bottom"/>
            <w:hideMark/>
          </w:tcPr>
          <w:p w14:paraId="1836A407" w14:textId="1B691DEE"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777</w:t>
            </w:r>
          </w:p>
        </w:tc>
        <w:tc>
          <w:tcPr>
            <w:tcW w:w="1016" w:type="dxa"/>
            <w:tcBorders>
              <w:bottom w:val="single" w:sz="4" w:space="0" w:color="auto"/>
            </w:tcBorders>
            <w:shd w:val="clear" w:color="auto" w:fill="auto"/>
            <w:noWrap/>
            <w:vAlign w:val="bottom"/>
            <w:hideMark/>
          </w:tcPr>
          <w:p w14:paraId="033F542C" w14:textId="6DC3485F"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728</w:t>
            </w:r>
          </w:p>
        </w:tc>
        <w:tc>
          <w:tcPr>
            <w:tcW w:w="1015" w:type="dxa"/>
            <w:tcBorders>
              <w:bottom w:val="single" w:sz="4" w:space="0" w:color="auto"/>
            </w:tcBorders>
            <w:shd w:val="clear" w:color="auto" w:fill="auto"/>
            <w:noWrap/>
            <w:vAlign w:val="bottom"/>
            <w:hideMark/>
          </w:tcPr>
          <w:p w14:paraId="2F8CD53B" w14:textId="11315513"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516</w:t>
            </w:r>
          </w:p>
        </w:tc>
        <w:tc>
          <w:tcPr>
            <w:tcW w:w="1016" w:type="dxa"/>
            <w:tcBorders>
              <w:bottom w:val="single" w:sz="4" w:space="0" w:color="auto"/>
            </w:tcBorders>
            <w:shd w:val="clear" w:color="auto" w:fill="auto"/>
            <w:noWrap/>
            <w:vAlign w:val="bottom"/>
            <w:hideMark/>
          </w:tcPr>
          <w:p w14:paraId="48DD0995" w14:textId="1819907A"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481</w:t>
            </w:r>
          </w:p>
        </w:tc>
        <w:tc>
          <w:tcPr>
            <w:tcW w:w="1016" w:type="dxa"/>
            <w:tcBorders>
              <w:bottom w:val="single" w:sz="4" w:space="0" w:color="auto"/>
            </w:tcBorders>
            <w:shd w:val="clear" w:color="auto" w:fill="auto"/>
            <w:noWrap/>
            <w:vAlign w:val="bottom"/>
            <w:hideMark/>
          </w:tcPr>
          <w:p w14:paraId="62C57F1B" w14:textId="4D40FE0D"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045B2A" w:rsidRPr="005B30A9">
              <w:rPr>
                <w:sz w:val="18"/>
              </w:rPr>
              <w:t xml:space="preserve"> </w:t>
            </w:r>
            <w:r w:rsidRPr="005B30A9">
              <w:rPr>
                <w:sz w:val="18"/>
              </w:rPr>
              <w:t>716</w:t>
            </w:r>
          </w:p>
        </w:tc>
      </w:tr>
      <w:tr w:rsidR="007A1A09" w:rsidRPr="005B30A9" w14:paraId="27403D6E" w14:textId="77777777" w:rsidTr="006F4860">
        <w:trPr>
          <w:trHeight w:val="240"/>
        </w:trPr>
        <w:tc>
          <w:tcPr>
            <w:tcW w:w="1276" w:type="dxa"/>
            <w:vMerge w:val="restart"/>
            <w:tcBorders>
              <w:top w:val="single" w:sz="4" w:space="0" w:color="auto"/>
              <w:bottom w:val="single" w:sz="12" w:space="0" w:color="auto"/>
            </w:tcBorders>
            <w:shd w:val="clear" w:color="auto" w:fill="auto"/>
            <w:noWrap/>
            <w:hideMark/>
          </w:tcPr>
          <w:p w14:paraId="1053EBE2" w14:textId="6F4EC61B" w:rsidR="009612CC" w:rsidRPr="005B30A9" w:rsidRDefault="006F4860" w:rsidP="007A1A09">
            <w:pPr>
              <w:pStyle w:val="SingleTxtG"/>
              <w:tabs>
                <w:tab w:val="clear" w:pos="1701"/>
                <w:tab w:val="clear" w:pos="2268"/>
                <w:tab w:val="clear" w:pos="2835"/>
              </w:tabs>
              <w:spacing w:after="0" w:line="220" w:lineRule="exact"/>
              <w:ind w:left="0" w:right="0"/>
              <w:jc w:val="left"/>
              <w:rPr>
                <w:bCs/>
                <w:sz w:val="18"/>
              </w:rPr>
            </w:pPr>
            <w:r>
              <w:rPr>
                <w:bCs/>
                <w:sz w:val="18"/>
              </w:rPr>
              <w:t xml:space="preserve">De </w:t>
            </w:r>
            <w:r w:rsidR="009612CC" w:rsidRPr="005B30A9">
              <w:rPr>
                <w:bCs/>
                <w:sz w:val="18"/>
              </w:rPr>
              <w:t>25</w:t>
            </w:r>
            <w:r>
              <w:rPr>
                <w:bCs/>
                <w:sz w:val="18"/>
              </w:rPr>
              <w:t xml:space="preserve"> a </w:t>
            </w:r>
            <w:r w:rsidR="009612CC" w:rsidRPr="005B30A9">
              <w:rPr>
                <w:bCs/>
                <w:sz w:val="18"/>
              </w:rPr>
              <w:t>39</w:t>
            </w:r>
            <w:r>
              <w:rPr>
                <w:bCs/>
                <w:sz w:val="18"/>
              </w:rPr>
              <w:t xml:space="preserve"> </w:t>
            </w:r>
            <w:r>
              <w:rPr>
                <w:bCs/>
                <w:sz w:val="18"/>
              </w:rPr>
              <w:t>años</w:t>
            </w:r>
          </w:p>
        </w:tc>
        <w:tc>
          <w:tcPr>
            <w:tcW w:w="1015" w:type="dxa"/>
            <w:tcBorders>
              <w:top w:val="single" w:sz="4" w:space="0" w:color="auto"/>
              <w:bottom w:val="single" w:sz="4" w:space="0" w:color="auto"/>
            </w:tcBorders>
            <w:shd w:val="clear" w:color="auto" w:fill="auto"/>
            <w:vAlign w:val="bottom"/>
          </w:tcPr>
          <w:p w14:paraId="7E8CFB4A" w14:textId="77777777" w:rsidR="009612CC" w:rsidRPr="005B30A9" w:rsidRDefault="009612CC" w:rsidP="00045B2A">
            <w:pPr>
              <w:pStyle w:val="SingleTxtG"/>
              <w:tabs>
                <w:tab w:val="clear" w:pos="1701"/>
                <w:tab w:val="clear" w:pos="2268"/>
                <w:tab w:val="clear" w:pos="2835"/>
              </w:tabs>
              <w:spacing w:before="80" w:after="80" w:line="220" w:lineRule="exact"/>
              <w:ind w:left="284" w:right="0"/>
              <w:jc w:val="left"/>
              <w:rPr>
                <w:b/>
                <w:sz w:val="18"/>
              </w:rPr>
            </w:pPr>
            <w:r w:rsidRPr="005B30A9">
              <w:rPr>
                <w:b/>
                <w:sz w:val="18"/>
              </w:rPr>
              <w:t>Total</w:t>
            </w:r>
          </w:p>
        </w:tc>
        <w:tc>
          <w:tcPr>
            <w:tcW w:w="1016" w:type="dxa"/>
            <w:tcBorders>
              <w:top w:val="single" w:sz="4" w:space="0" w:color="auto"/>
              <w:bottom w:val="single" w:sz="4" w:space="0" w:color="auto"/>
            </w:tcBorders>
            <w:shd w:val="clear" w:color="auto" w:fill="auto"/>
            <w:noWrap/>
            <w:vAlign w:val="bottom"/>
            <w:hideMark/>
          </w:tcPr>
          <w:p w14:paraId="01913CF3" w14:textId="4A1B102B"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15</w:t>
            </w:r>
            <w:r w:rsidR="00045B2A" w:rsidRPr="005B30A9">
              <w:rPr>
                <w:b/>
                <w:bCs/>
                <w:sz w:val="18"/>
              </w:rPr>
              <w:t xml:space="preserve"> </w:t>
            </w:r>
            <w:r w:rsidRPr="005B30A9">
              <w:rPr>
                <w:b/>
                <w:bCs/>
                <w:sz w:val="18"/>
              </w:rPr>
              <w:t>250</w:t>
            </w:r>
          </w:p>
        </w:tc>
        <w:tc>
          <w:tcPr>
            <w:tcW w:w="1016" w:type="dxa"/>
            <w:tcBorders>
              <w:top w:val="single" w:sz="4" w:space="0" w:color="auto"/>
              <w:bottom w:val="single" w:sz="4" w:space="0" w:color="auto"/>
            </w:tcBorders>
            <w:shd w:val="clear" w:color="auto" w:fill="auto"/>
            <w:noWrap/>
            <w:vAlign w:val="bottom"/>
            <w:hideMark/>
          </w:tcPr>
          <w:p w14:paraId="3BDBDB84" w14:textId="6B8E2A4A"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14</w:t>
            </w:r>
            <w:r w:rsidR="00045B2A" w:rsidRPr="005B30A9">
              <w:rPr>
                <w:b/>
                <w:bCs/>
                <w:sz w:val="18"/>
              </w:rPr>
              <w:t xml:space="preserve"> </w:t>
            </w:r>
            <w:r w:rsidRPr="005B30A9">
              <w:rPr>
                <w:b/>
                <w:bCs/>
                <w:sz w:val="18"/>
              </w:rPr>
              <w:t>921</w:t>
            </w:r>
          </w:p>
        </w:tc>
        <w:tc>
          <w:tcPr>
            <w:tcW w:w="1015" w:type="dxa"/>
            <w:tcBorders>
              <w:top w:val="single" w:sz="4" w:space="0" w:color="auto"/>
              <w:bottom w:val="single" w:sz="4" w:space="0" w:color="auto"/>
            </w:tcBorders>
            <w:shd w:val="clear" w:color="auto" w:fill="auto"/>
            <w:noWrap/>
            <w:vAlign w:val="bottom"/>
            <w:hideMark/>
          </w:tcPr>
          <w:p w14:paraId="7C813B5B" w14:textId="44262F60"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14</w:t>
            </w:r>
            <w:r w:rsidR="00045B2A" w:rsidRPr="005B30A9">
              <w:rPr>
                <w:b/>
                <w:bCs/>
                <w:sz w:val="18"/>
              </w:rPr>
              <w:t xml:space="preserve"> </w:t>
            </w:r>
            <w:r w:rsidRPr="005B30A9">
              <w:rPr>
                <w:b/>
                <w:bCs/>
                <w:sz w:val="18"/>
              </w:rPr>
              <w:t>117</w:t>
            </w:r>
          </w:p>
        </w:tc>
        <w:tc>
          <w:tcPr>
            <w:tcW w:w="1016" w:type="dxa"/>
            <w:tcBorders>
              <w:top w:val="single" w:sz="4" w:space="0" w:color="auto"/>
              <w:bottom w:val="single" w:sz="4" w:space="0" w:color="auto"/>
            </w:tcBorders>
            <w:shd w:val="clear" w:color="auto" w:fill="auto"/>
            <w:noWrap/>
            <w:vAlign w:val="bottom"/>
            <w:hideMark/>
          </w:tcPr>
          <w:p w14:paraId="04CF06A7" w14:textId="44CDB831"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13</w:t>
            </w:r>
            <w:r w:rsidR="00045B2A" w:rsidRPr="005B30A9">
              <w:rPr>
                <w:b/>
                <w:bCs/>
                <w:sz w:val="18"/>
              </w:rPr>
              <w:t xml:space="preserve"> </w:t>
            </w:r>
            <w:r w:rsidRPr="005B30A9">
              <w:rPr>
                <w:b/>
                <w:bCs/>
                <w:sz w:val="18"/>
              </w:rPr>
              <w:t>592</w:t>
            </w:r>
          </w:p>
        </w:tc>
        <w:tc>
          <w:tcPr>
            <w:tcW w:w="1016" w:type="dxa"/>
            <w:tcBorders>
              <w:top w:val="single" w:sz="4" w:space="0" w:color="auto"/>
              <w:bottom w:val="single" w:sz="4" w:space="0" w:color="auto"/>
            </w:tcBorders>
            <w:shd w:val="clear" w:color="auto" w:fill="auto"/>
            <w:noWrap/>
            <w:vAlign w:val="bottom"/>
            <w:hideMark/>
          </w:tcPr>
          <w:p w14:paraId="153EDA0F" w14:textId="2097394F"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16</w:t>
            </w:r>
            <w:r w:rsidR="00045B2A" w:rsidRPr="005B30A9">
              <w:rPr>
                <w:b/>
                <w:bCs/>
                <w:sz w:val="18"/>
              </w:rPr>
              <w:t xml:space="preserve"> </w:t>
            </w:r>
            <w:r w:rsidRPr="005B30A9">
              <w:rPr>
                <w:b/>
                <w:bCs/>
                <w:sz w:val="18"/>
              </w:rPr>
              <w:t>272</w:t>
            </w:r>
          </w:p>
        </w:tc>
      </w:tr>
      <w:tr w:rsidR="007A1A09" w:rsidRPr="005B30A9" w14:paraId="6B311DC5" w14:textId="77777777" w:rsidTr="006F4860">
        <w:trPr>
          <w:trHeight w:val="240"/>
        </w:trPr>
        <w:tc>
          <w:tcPr>
            <w:tcW w:w="1276" w:type="dxa"/>
            <w:vMerge/>
            <w:tcBorders>
              <w:top w:val="single" w:sz="12" w:space="0" w:color="auto"/>
            </w:tcBorders>
            <w:shd w:val="clear" w:color="auto" w:fill="auto"/>
            <w:noWrap/>
          </w:tcPr>
          <w:p w14:paraId="66815F7A" w14:textId="77777777" w:rsidR="009612CC" w:rsidRPr="005B30A9" w:rsidRDefault="009612CC" w:rsidP="007A1A09">
            <w:pPr>
              <w:pStyle w:val="SingleTxtG"/>
              <w:tabs>
                <w:tab w:val="clear" w:pos="1701"/>
                <w:tab w:val="clear" w:pos="2268"/>
                <w:tab w:val="clear" w:pos="2835"/>
              </w:tabs>
              <w:spacing w:after="0" w:line="220" w:lineRule="exact"/>
              <w:ind w:left="0" w:right="0"/>
              <w:jc w:val="left"/>
              <w:rPr>
                <w:bCs/>
                <w:sz w:val="18"/>
              </w:rPr>
            </w:pPr>
          </w:p>
        </w:tc>
        <w:tc>
          <w:tcPr>
            <w:tcW w:w="1015" w:type="dxa"/>
            <w:tcBorders>
              <w:top w:val="single" w:sz="4" w:space="0" w:color="auto"/>
            </w:tcBorders>
            <w:shd w:val="clear" w:color="auto" w:fill="auto"/>
            <w:vAlign w:val="bottom"/>
          </w:tcPr>
          <w:p w14:paraId="0C38C635"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Hombres</w:t>
            </w:r>
          </w:p>
        </w:tc>
        <w:tc>
          <w:tcPr>
            <w:tcW w:w="1016" w:type="dxa"/>
            <w:tcBorders>
              <w:top w:val="single" w:sz="4" w:space="0" w:color="auto"/>
            </w:tcBorders>
            <w:shd w:val="clear" w:color="auto" w:fill="auto"/>
            <w:noWrap/>
            <w:vAlign w:val="bottom"/>
            <w:hideMark/>
          </w:tcPr>
          <w:p w14:paraId="79188E88" w14:textId="5F8E965D"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9</w:t>
            </w:r>
            <w:r w:rsidR="00045B2A" w:rsidRPr="005B30A9">
              <w:rPr>
                <w:sz w:val="18"/>
              </w:rPr>
              <w:t xml:space="preserve"> </w:t>
            </w:r>
            <w:r w:rsidRPr="005B30A9">
              <w:rPr>
                <w:sz w:val="18"/>
              </w:rPr>
              <w:t>858</w:t>
            </w:r>
          </w:p>
        </w:tc>
        <w:tc>
          <w:tcPr>
            <w:tcW w:w="1016" w:type="dxa"/>
            <w:tcBorders>
              <w:top w:val="single" w:sz="4" w:space="0" w:color="auto"/>
            </w:tcBorders>
            <w:shd w:val="clear" w:color="auto" w:fill="auto"/>
            <w:noWrap/>
            <w:vAlign w:val="bottom"/>
            <w:hideMark/>
          </w:tcPr>
          <w:p w14:paraId="3E20E8D9" w14:textId="26E58E94"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9</w:t>
            </w:r>
            <w:r w:rsidR="00045B2A" w:rsidRPr="005B30A9">
              <w:rPr>
                <w:sz w:val="18"/>
              </w:rPr>
              <w:t xml:space="preserve"> </w:t>
            </w:r>
            <w:r w:rsidRPr="005B30A9">
              <w:rPr>
                <w:sz w:val="18"/>
              </w:rPr>
              <w:t>366</w:t>
            </w:r>
          </w:p>
        </w:tc>
        <w:tc>
          <w:tcPr>
            <w:tcW w:w="1015" w:type="dxa"/>
            <w:tcBorders>
              <w:top w:val="single" w:sz="4" w:space="0" w:color="auto"/>
            </w:tcBorders>
            <w:shd w:val="clear" w:color="auto" w:fill="auto"/>
            <w:noWrap/>
            <w:vAlign w:val="bottom"/>
            <w:hideMark/>
          </w:tcPr>
          <w:p w14:paraId="0F91A6F9" w14:textId="1D92F0A9"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8</w:t>
            </w:r>
            <w:r w:rsidR="00045B2A" w:rsidRPr="005B30A9">
              <w:rPr>
                <w:sz w:val="18"/>
              </w:rPr>
              <w:t xml:space="preserve"> </w:t>
            </w:r>
            <w:r w:rsidRPr="005B30A9">
              <w:rPr>
                <w:sz w:val="18"/>
              </w:rPr>
              <w:t>711</w:t>
            </w:r>
          </w:p>
        </w:tc>
        <w:tc>
          <w:tcPr>
            <w:tcW w:w="1016" w:type="dxa"/>
            <w:tcBorders>
              <w:top w:val="single" w:sz="4" w:space="0" w:color="auto"/>
            </w:tcBorders>
            <w:shd w:val="clear" w:color="auto" w:fill="auto"/>
            <w:noWrap/>
            <w:vAlign w:val="bottom"/>
            <w:hideMark/>
          </w:tcPr>
          <w:p w14:paraId="61BF65A3" w14:textId="604E5C3C"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8</w:t>
            </w:r>
            <w:r w:rsidR="00045B2A" w:rsidRPr="005B30A9">
              <w:rPr>
                <w:sz w:val="18"/>
              </w:rPr>
              <w:t xml:space="preserve"> </w:t>
            </w:r>
            <w:r w:rsidRPr="005B30A9">
              <w:rPr>
                <w:sz w:val="18"/>
              </w:rPr>
              <w:t>269</w:t>
            </w:r>
          </w:p>
        </w:tc>
        <w:tc>
          <w:tcPr>
            <w:tcW w:w="1016" w:type="dxa"/>
            <w:tcBorders>
              <w:top w:val="single" w:sz="4" w:space="0" w:color="auto"/>
            </w:tcBorders>
            <w:shd w:val="clear" w:color="auto" w:fill="auto"/>
            <w:noWrap/>
            <w:vAlign w:val="bottom"/>
            <w:hideMark/>
          </w:tcPr>
          <w:p w14:paraId="06AB0D7D" w14:textId="4D08C386"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10</w:t>
            </w:r>
            <w:r w:rsidR="00045B2A" w:rsidRPr="005B30A9">
              <w:rPr>
                <w:sz w:val="18"/>
              </w:rPr>
              <w:t xml:space="preserve"> </w:t>
            </w:r>
            <w:r w:rsidRPr="005B30A9">
              <w:rPr>
                <w:sz w:val="18"/>
              </w:rPr>
              <w:t>223</w:t>
            </w:r>
          </w:p>
        </w:tc>
      </w:tr>
      <w:tr w:rsidR="007A1A09" w:rsidRPr="005B30A9" w14:paraId="4E9EF3A2" w14:textId="77777777" w:rsidTr="006F4860">
        <w:trPr>
          <w:trHeight w:val="240"/>
        </w:trPr>
        <w:tc>
          <w:tcPr>
            <w:tcW w:w="1276" w:type="dxa"/>
            <w:vMerge/>
            <w:tcBorders>
              <w:bottom w:val="single" w:sz="4" w:space="0" w:color="auto"/>
            </w:tcBorders>
            <w:shd w:val="clear" w:color="auto" w:fill="auto"/>
            <w:noWrap/>
          </w:tcPr>
          <w:p w14:paraId="564FF298" w14:textId="77777777" w:rsidR="009612CC" w:rsidRPr="005B30A9" w:rsidRDefault="009612CC" w:rsidP="007A1A09">
            <w:pPr>
              <w:pStyle w:val="SingleTxtG"/>
              <w:tabs>
                <w:tab w:val="clear" w:pos="1701"/>
                <w:tab w:val="clear" w:pos="2268"/>
                <w:tab w:val="clear" w:pos="2835"/>
              </w:tabs>
              <w:spacing w:after="0" w:line="220" w:lineRule="exact"/>
              <w:ind w:left="0" w:right="0"/>
              <w:jc w:val="left"/>
              <w:rPr>
                <w:bCs/>
                <w:sz w:val="18"/>
              </w:rPr>
            </w:pPr>
          </w:p>
        </w:tc>
        <w:tc>
          <w:tcPr>
            <w:tcW w:w="1015" w:type="dxa"/>
            <w:tcBorders>
              <w:bottom w:val="single" w:sz="4" w:space="0" w:color="auto"/>
            </w:tcBorders>
            <w:shd w:val="clear" w:color="auto" w:fill="auto"/>
            <w:vAlign w:val="bottom"/>
          </w:tcPr>
          <w:p w14:paraId="541A9DF0"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Mujeres</w:t>
            </w:r>
          </w:p>
        </w:tc>
        <w:tc>
          <w:tcPr>
            <w:tcW w:w="1016" w:type="dxa"/>
            <w:tcBorders>
              <w:bottom w:val="single" w:sz="4" w:space="0" w:color="auto"/>
            </w:tcBorders>
            <w:shd w:val="clear" w:color="auto" w:fill="auto"/>
            <w:noWrap/>
            <w:vAlign w:val="bottom"/>
            <w:hideMark/>
          </w:tcPr>
          <w:p w14:paraId="1C29EF89" w14:textId="48BC6294"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5</w:t>
            </w:r>
            <w:r w:rsidR="00045B2A" w:rsidRPr="005B30A9">
              <w:rPr>
                <w:sz w:val="18"/>
              </w:rPr>
              <w:t xml:space="preserve"> </w:t>
            </w:r>
            <w:r w:rsidRPr="005B30A9">
              <w:rPr>
                <w:sz w:val="18"/>
              </w:rPr>
              <w:t>392</w:t>
            </w:r>
          </w:p>
        </w:tc>
        <w:tc>
          <w:tcPr>
            <w:tcW w:w="1016" w:type="dxa"/>
            <w:tcBorders>
              <w:bottom w:val="single" w:sz="4" w:space="0" w:color="auto"/>
            </w:tcBorders>
            <w:shd w:val="clear" w:color="auto" w:fill="auto"/>
            <w:noWrap/>
            <w:vAlign w:val="bottom"/>
            <w:hideMark/>
          </w:tcPr>
          <w:p w14:paraId="0FD70B1A" w14:textId="75DA639E"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5</w:t>
            </w:r>
            <w:r w:rsidR="00045B2A" w:rsidRPr="005B30A9">
              <w:rPr>
                <w:sz w:val="18"/>
              </w:rPr>
              <w:t xml:space="preserve"> </w:t>
            </w:r>
            <w:r w:rsidRPr="005B30A9">
              <w:rPr>
                <w:sz w:val="18"/>
              </w:rPr>
              <w:t>555</w:t>
            </w:r>
          </w:p>
        </w:tc>
        <w:tc>
          <w:tcPr>
            <w:tcW w:w="1015" w:type="dxa"/>
            <w:tcBorders>
              <w:bottom w:val="single" w:sz="4" w:space="0" w:color="auto"/>
            </w:tcBorders>
            <w:shd w:val="clear" w:color="auto" w:fill="auto"/>
            <w:noWrap/>
            <w:vAlign w:val="bottom"/>
            <w:hideMark/>
          </w:tcPr>
          <w:p w14:paraId="47D19DFD" w14:textId="0A5FF1F0"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5</w:t>
            </w:r>
            <w:r w:rsidR="00045B2A" w:rsidRPr="005B30A9">
              <w:rPr>
                <w:sz w:val="18"/>
              </w:rPr>
              <w:t xml:space="preserve"> </w:t>
            </w:r>
            <w:r w:rsidRPr="005B30A9">
              <w:rPr>
                <w:sz w:val="18"/>
              </w:rPr>
              <w:t>406</w:t>
            </w:r>
          </w:p>
        </w:tc>
        <w:tc>
          <w:tcPr>
            <w:tcW w:w="1016" w:type="dxa"/>
            <w:tcBorders>
              <w:bottom w:val="single" w:sz="4" w:space="0" w:color="auto"/>
            </w:tcBorders>
            <w:shd w:val="clear" w:color="auto" w:fill="auto"/>
            <w:noWrap/>
            <w:vAlign w:val="bottom"/>
            <w:hideMark/>
          </w:tcPr>
          <w:p w14:paraId="4FA6DFEE" w14:textId="7CBBF8A9"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5</w:t>
            </w:r>
            <w:r w:rsidR="00045B2A" w:rsidRPr="005B30A9">
              <w:rPr>
                <w:sz w:val="18"/>
              </w:rPr>
              <w:t xml:space="preserve"> </w:t>
            </w:r>
            <w:r w:rsidRPr="005B30A9">
              <w:rPr>
                <w:sz w:val="18"/>
              </w:rPr>
              <w:t>323</w:t>
            </w:r>
          </w:p>
        </w:tc>
        <w:tc>
          <w:tcPr>
            <w:tcW w:w="1016" w:type="dxa"/>
            <w:tcBorders>
              <w:bottom w:val="single" w:sz="4" w:space="0" w:color="auto"/>
            </w:tcBorders>
            <w:shd w:val="clear" w:color="auto" w:fill="auto"/>
            <w:noWrap/>
            <w:vAlign w:val="bottom"/>
            <w:hideMark/>
          </w:tcPr>
          <w:p w14:paraId="4FE99250" w14:textId="66D5F554"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6</w:t>
            </w:r>
            <w:r w:rsidR="00045B2A" w:rsidRPr="005B30A9">
              <w:rPr>
                <w:sz w:val="18"/>
              </w:rPr>
              <w:t xml:space="preserve"> </w:t>
            </w:r>
            <w:r w:rsidRPr="005B30A9">
              <w:rPr>
                <w:sz w:val="18"/>
              </w:rPr>
              <w:t>049</w:t>
            </w:r>
          </w:p>
        </w:tc>
      </w:tr>
      <w:tr w:rsidR="007A1A09" w:rsidRPr="005B30A9" w14:paraId="61C08728" w14:textId="77777777" w:rsidTr="006F4860">
        <w:trPr>
          <w:trHeight w:val="240"/>
        </w:trPr>
        <w:tc>
          <w:tcPr>
            <w:tcW w:w="1276" w:type="dxa"/>
            <w:vMerge w:val="restart"/>
            <w:tcBorders>
              <w:top w:val="single" w:sz="4" w:space="0" w:color="auto"/>
              <w:bottom w:val="single" w:sz="12" w:space="0" w:color="auto"/>
            </w:tcBorders>
            <w:shd w:val="clear" w:color="auto" w:fill="auto"/>
            <w:noWrap/>
            <w:hideMark/>
          </w:tcPr>
          <w:p w14:paraId="42F56F42" w14:textId="57E7F5EE" w:rsidR="009612CC" w:rsidRPr="005B30A9" w:rsidRDefault="006F4860" w:rsidP="007A1A09">
            <w:pPr>
              <w:pStyle w:val="SingleTxtG"/>
              <w:tabs>
                <w:tab w:val="clear" w:pos="1701"/>
                <w:tab w:val="clear" w:pos="2268"/>
                <w:tab w:val="clear" w:pos="2835"/>
              </w:tabs>
              <w:spacing w:after="0" w:line="220" w:lineRule="exact"/>
              <w:ind w:left="0" w:right="0"/>
              <w:jc w:val="left"/>
              <w:rPr>
                <w:bCs/>
                <w:sz w:val="18"/>
              </w:rPr>
            </w:pPr>
            <w:r>
              <w:rPr>
                <w:bCs/>
                <w:sz w:val="18"/>
              </w:rPr>
              <w:t xml:space="preserve">De </w:t>
            </w:r>
            <w:r w:rsidR="009612CC" w:rsidRPr="005B30A9">
              <w:rPr>
                <w:bCs/>
                <w:sz w:val="18"/>
              </w:rPr>
              <w:t>40</w:t>
            </w:r>
            <w:r>
              <w:rPr>
                <w:bCs/>
                <w:sz w:val="18"/>
              </w:rPr>
              <w:t xml:space="preserve"> a </w:t>
            </w:r>
            <w:r w:rsidR="009612CC" w:rsidRPr="005B30A9">
              <w:rPr>
                <w:bCs/>
                <w:sz w:val="18"/>
              </w:rPr>
              <w:t>64</w:t>
            </w:r>
            <w:r>
              <w:rPr>
                <w:bCs/>
                <w:sz w:val="18"/>
              </w:rPr>
              <w:t xml:space="preserve"> </w:t>
            </w:r>
            <w:r>
              <w:rPr>
                <w:bCs/>
                <w:sz w:val="18"/>
              </w:rPr>
              <w:t>años</w:t>
            </w:r>
          </w:p>
        </w:tc>
        <w:tc>
          <w:tcPr>
            <w:tcW w:w="1015" w:type="dxa"/>
            <w:tcBorders>
              <w:top w:val="single" w:sz="4" w:space="0" w:color="auto"/>
              <w:bottom w:val="single" w:sz="4" w:space="0" w:color="auto"/>
            </w:tcBorders>
            <w:shd w:val="clear" w:color="auto" w:fill="auto"/>
            <w:vAlign w:val="bottom"/>
          </w:tcPr>
          <w:p w14:paraId="5CBA15E9" w14:textId="77777777" w:rsidR="009612CC" w:rsidRPr="005B30A9" w:rsidRDefault="009612CC" w:rsidP="00045B2A">
            <w:pPr>
              <w:pStyle w:val="SingleTxtG"/>
              <w:tabs>
                <w:tab w:val="clear" w:pos="1701"/>
                <w:tab w:val="clear" w:pos="2268"/>
                <w:tab w:val="clear" w:pos="2835"/>
              </w:tabs>
              <w:spacing w:before="80" w:after="80" w:line="220" w:lineRule="exact"/>
              <w:ind w:left="284" w:right="0"/>
              <w:jc w:val="left"/>
              <w:rPr>
                <w:b/>
                <w:sz w:val="18"/>
              </w:rPr>
            </w:pPr>
            <w:r w:rsidRPr="005B30A9">
              <w:rPr>
                <w:b/>
                <w:sz w:val="18"/>
              </w:rPr>
              <w:t>Total</w:t>
            </w:r>
          </w:p>
        </w:tc>
        <w:tc>
          <w:tcPr>
            <w:tcW w:w="1016" w:type="dxa"/>
            <w:tcBorders>
              <w:top w:val="single" w:sz="4" w:space="0" w:color="auto"/>
              <w:bottom w:val="single" w:sz="4" w:space="0" w:color="auto"/>
            </w:tcBorders>
            <w:shd w:val="clear" w:color="auto" w:fill="auto"/>
            <w:noWrap/>
            <w:vAlign w:val="bottom"/>
            <w:hideMark/>
          </w:tcPr>
          <w:p w14:paraId="69E76ACD" w14:textId="3C267B94"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10</w:t>
            </w:r>
            <w:r w:rsidR="00045B2A" w:rsidRPr="005B30A9">
              <w:rPr>
                <w:b/>
                <w:bCs/>
                <w:sz w:val="18"/>
              </w:rPr>
              <w:t xml:space="preserve"> </w:t>
            </w:r>
            <w:r w:rsidRPr="005B30A9">
              <w:rPr>
                <w:b/>
                <w:bCs/>
                <w:sz w:val="18"/>
              </w:rPr>
              <w:t>324</w:t>
            </w:r>
          </w:p>
        </w:tc>
        <w:tc>
          <w:tcPr>
            <w:tcW w:w="1016" w:type="dxa"/>
            <w:tcBorders>
              <w:top w:val="single" w:sz="4" w:space="0" w:color="auto"/>
              <w:bottom w:val="single" w:sz="4" w:space="0" w:color="auto"/>
            </w:tcBorders>
            <w:shd w:val="clear" w:color="auto" w:fill="auto"/>
            <w:noWrap/>
            <w:vAlign w:val="bottom"/>
            <w:hideMark/>
          </w:tcPr>
          <w:p w14:paraId="6DF92E89" w14:textId="13A4F632"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10</w:t>
            </w:r>
            <w:r w:rsidR="00045B2A" w:rsidRPr="005B30A9">
              <w:rPr>
                <w:b/>
                <w:bCs/>
                <w:sz w:val="18"/>
              </w:rPr>
              <w:t xml:space="preserve"> </w:t>
            </w:r>
            <w:r w:rsidRPr="005B30A9">
              <w:rPr>
                <w:b/>
                <w:bCs/>
                <w:sz w:val="18"/>
              </w:rPr>
              <w:t>399</w:t>
            </w:r>
          </w:p>
        </w:tc>
        <w:tc>
          <w:tcPr>
            <w:tcW w:w="1015" w:type="dxa"/>
            <w:tcBorders>
              <w:top w:val="single" w:sz="4" w:space="0" w:color="auto"/>
              <w:bottom w:val="single" w:sz="4" w:space="0" w:color="auto"/>
            </w:tcBorders>
            <w:shd w:val="clear" w:color="auto" w:fill="auto"/>
            <w:noWrap/>
            <w:vAlign w:val="bottom"/>
            <w:hideMark/>
          </w:tcPr>
          <w:p w14:paraId="0B7B2579" w14:textId="3411D3A7"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9</w:t>
            </w:r>
            <w:r w:rsidR="00045B2A" w:rsidRPr="005B30A9">
              <w:rPr>
                <w:b/>
                <w:bCs/>
                <w:sz w:val="18"/>
              </w:rPr>
              <w:t xml:space="preserve"> </w:t>
            </w:r>
            <w:r w:rsidRPr="005B30A9">
              <w:rPr>
                <w:b/>
                <w:bCs/>
                <w:sz w:val="18"/>
              </w:rPr>
              <w:t>840</w:t>
            </w:r>
          </w:p>
        </w:tc>
        <w:tc>
          <w:tcPr>
            <w:tcW w:w="1016" w:type="dxa"/>
            <w:tcBorders>
              <w:top w:val="single" w:sz="4" w:space="0" w:color="auto"/>
              <w:bottom w:val="single" w:sz="4" w:space="0" w:color="auto"/>
            </w:tcBorders>
            <w:shd w:val="clear" w:color="auto" w:fill="auto"/>
            <w:noWrap/>
            <w:vAlign w:val="bottom"/>
            <w:hideMark/>
          </w:tcPr>
          <w:p w14:paraId="0E59556C" w14:textId="0C89D331"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9</w:t>
            </w:r>
            <w:r w:rsidR="00045B2A" w:rsidRPr="005B30A9">
              <w:rPr>
                <w:b/>
                <w:bCs/>
                <w:sz w:val="18"/>
              </w:rPr>
              <w:t xml:space="preserve"> </w:t>
            </w:r>
            <w:r w:rsidRPr="005B30A9">
              <w:rPr>
                <w:b/>
                <w:bCs/>
                <w:sz w:val="18"/>
              </w:rPr>
              <w:t>543</w:t>
            </w:r>
          </w:p>
        </w:tc>
        <w:tc>
          <w:tcPr>
            <w:tcW w:w="1016" w:type="dxa"/>
            <w:tcBorders>
              <w:top w:val="single" w:sz="4" w:space="0" w:color="auto"/>
              <w:bottom w:val="single" w:sz="4" w:space="0" w:color="auto"/>
            </w:tcBorders>
            <w:shd w:val="clear" w:color="auto" w:fill="auto"/>
            <w:noWrap/>
            <w:vAlign w:val="bottom"/>
            <w:hideMark/>
          </w:tcPr>
          <w:p w14:paraId="142EC822" w14:textId="6F02565A" w:rsidR="009612CC" w:rsidRPr="005B30A9" w:rsidRDefault="009612CC" w:rsidP="00045B2A">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11</w:t>
            </w:r>
            <w:r w:rsidR="00045B2A" w:rsidRPr="005B30A9">
              <w:rPr>
                <w:b/>
                <w:bCs/>
                <w:sz w:val="18"/>
              </w:rPr>
              <w:t xml:space="preserve"> </w:t>
            </w:r>
            <w:r w:rsidRPr="005B30A9">
              <w:rPr>
                <w:b/>
                <w:bCs/>
                <w:sz w:val="18"/>
              </w:rPr>
              <w:t>379</w:t>
            </w:r>
          </w:p>
        </w:tc>
      </w:tr>
      <w:tr w:rsidR="007A1A09" w:rsidRPr="005B30A9" w14:paraId="48221498" w14:textId="77777777" w:rsidTr="006F4860">
        <w:trPr>
          <w:trHeight w:val="240"/>
        </w:trPr>
        <w:tc>
          <w:tcPr>
            <w:tcW w:w="1276" w:type="dxa"/>
            <w:vMerge/>
            <w:tcBorders>
              <w:top w:val="single" w:sz="12" w:space="0" w:color="auto"/>
            </w:tcBorders>
            <w:shd w:val="clear" w:color="auto" w:fill="auto"/>
            <w:noWrap/>
          </w:tcPr>
          <w:p w14:paraId="320DFC53" w14:textId="77777777" w:rsidR="009612CC" w:rsidRPr="005B30A9" w:rsidRDefault="009612CC" w:rsidP="007A1A09">
            <w:pPr>
              <w:pStyle w:val="SingleTxtG"/>
              <w:tabs>
                <w:tab w:val="clear" w:pos="1701"/>
                <w:tab w:val="clear" w:pos="2268"/>
                <w:tab w:val="clear" w:pos="2835"/>
              </w:tabs>
              <w:spacing w:after="0" w:line="220" w:lineRule="exact"/>
              <w:ind w:left="0" w:right="0"/>
              <w:jc w:val="left"/>
              <w:rPr>
                <w:bCs/>
                <w:sz w:val="18"/>
              </w:rPr>
            </w:pPr>
          </w:p>
        </w:tc>
        <w:tc>
          <w:tcPr>
            <w:tcW w:w="1015" w:type="dxa"/>
            <w:tcBorders>
              <w:top w:val="single" w:sz="4" w:space="0" w:color="auto"/>
            </w:tcBorders>
            <w:shd w:val="clear" w:color="auto" w:fill="auto"/>
            <w:vAlign w:val="bottom"/>
          </w:tcPr>
          <w:p w14:paraId="5D95BA1E"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Hombres</w:t>
            </w:r>
          </w:p>
        </w:tc>
        <w:tc>
          <w:tcPr>
            <w:tcW w:w="1016" w:type="dxa"/>
            <w:tcBorders>
              <w:top w:val="single" w:sz="4" w:space="0" w:color="auto"/>
            </w:tcBorders>
            <w:shd w:val="clear" w:color="auto" w:fill="auto"/>
            <w:noWrap/>
            <w:vAlign w:val="bottom"/>
            <w:hideMark/>
          </w:tcPr>
          <w:p w14:paraId="5411F30E" w14:textId="6E8CBB18"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6</w:t>
            </w:r>
            <w:r w:rsidR="00045B2A" w:rsidRPr="005B30A9">
              <w:rPr>
                <w:sz w:val="18"/>
              </w:rPr>
              <w:t xml:space="preserve"> </w:t>
            </w:r>
            <w:r w:rsidRPr="005B30A9">
              <w:rPr>
                <w:sz w:val="18"/>
              </w:rPr>
              <w:t>478</w:t>
            </w:r>
          </w:p>
        </w:tc>
        <w:tc>
          <w:tcPr>
            <w:tcW w:w="1016" w:type="dxa"/>
            <w:tcBorders>
              <w:top w:val="single" w:sz="4" w:space="0" w:color="auto"/>
            </w:tcBorders>
            <w:shd w:val="clear" w:color="auto" w:fill="auto"/>
            <w:noWrap/>
            <w:vAlign w:val="bottom"/>
            <w:hideMark/>
          </w:tcPr>
          <w:p w14:paraId="4FA637FA" w14:textId="1DA5E273"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6</w:t>
            </w:r>
            <w:r w:rsidR="00045B2A" w:rsidRPr="005B30A9">
              <w:rPr>
                <w:sz w:val="18"/>
              </w:rPr>
              <w:t xml:space="preserve"> </w:t>
            </w:r>
            <w:r w:rsidRPr="005B30A9">
              <w:rPr>
                <w:sz w:val="18"/>
              </w:rPr>
              <w:t>441</w:t>
            </w:r>
          </w:p>
        </w:tc>
        <w:tc>
          <w:tcPr>
            <w:tcW w:w="1015" w:type="dxa"/>
            <w:tcBorders>
              <w:top w:val="single" w:sz="4" w:space="0" w:color="auto"/>
            </w:tcBorders>
            <w:shd w:val="clear" w:color="auto" w:fill="auto"/>
            <w:noWrap/>
            <w:vAlign w:val="bottom"/>
            <w:hideMark/>
          </w:tcPr>
          <w:p w14:paraId="36BE4E22" w14:textId="42FBFA9F"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5</w:t>
            </w:r>
            <w:r w:rsidR="00045B2A" w:rsidRPr="005B30A9">
              <w:rPr>
                <w:sz w:val="18"/>
              </w:rPr>
              <w:t xml:space="preserve"> </w:t>
            </w:r>
            <w:r w:rsidRPr="005B30A9">
              <w:rPr>
                <w:sz w:val="18"/>
              </w:rPr>
              <w:t>977</w:t>
            </w:r>
          </w:p>
        </w:tc>
        <w:tc>
          <w:tcPr>
            <w:tcW w:w="1016" w:type="dxa"/>
            <w:tcBorders>
              <w:top w:val="single" w:sz="4" w:space="0" w:color="auto"/>
            </w:tcBorders>
            <w:shd w:val="clear" w:color="auto" w:fill="auto"/>
            <w:noWrap/>
            <w:vAlign w:val="bottom"/>
            <w:hideMark/>
          </w:tcPr>
          <w:p w14:paraId="3DC83FCD" w14:textId="1003B7CF"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5</w:t>
            </w:r>
            <w:r w:rsidR="00045B2A" w:rsidRPr="005B30A9">
              <w:rPr>
                <w:sz w:val="18"/>
              </w:rPr>
              <w:t xml:space="preserve"> </w:t>
            </w:r>
            <w:r w:rsidRPr="005B30A9">
              <w:rPr>
                <w:sz w:val="18"/>
              </w:rPr>
              <w:t>713</w:t>
            </w:r>
          </w:p>
        </w:tc>
        <w:tc>
          <w:tcPr>
            <w:tcW w:w="1016" w:type="dxa"/>
            <w:tcBorders>
              <w:top w:val="single" w:sz="4" w:space="0" w:color="auto"/>
            </w:tcBorders>
            <w:shd w:val="clear" w:color="auto" w:fill="auto"/>
            <w:noWrap/>
            <w:vAlign w:val="bottom"/>
            <w:hideMark/>
          </w:tcPr>
          <w:p w14:paraId="46445FF5" w14:textId="5180C3F8"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6</w:t>
            </w:r>
            <w:r w:rsidR="00045B2A" w:rsidRPr="005B30A9">
              <w:rPr>
                <w:sz w:val="18"/>
              </w:rPr>
              <w:t xml:space="preserve"> </w:t>
            </w:r>
            <w:r w:rsidRPr="005B30A9">
              <w:rPr>
                <w:sz w:val="18"/>
              </w:rPr>
              <w:t>944</w:t>
            </w:r>
          </w:p>
        </w:tc>
      </w:tr>
      <w:tr w:rsidR="007A1A09" w:rsidRPr="005B30A9" w14:paraId="1E7E7831" w14:textId="77777777" w:rsidTr="006F4860">
        <w:trPr>
          <w:trHeight w:val="240"/>
        </w:trPr>
        <w:tc>
          <w:tcPr>
            <w:tcW w:w="1276" w:type="dxa"/>
            <w:vMerge/>
            <w:tcBorders>
              <w:bottom w:val="single" w:sz="4" w:space="0" w:color="auto"/>
            </w:tcBorders>
            <w:shd w:val="clear" w:color="auto" w:fill="auto"/>
            <w:noWrap/>
          </w:tcPr>
          <w:p w14:paraId="5E7CD5D9" w14:textId="77777777" w:rsidR="009612CC" w:rsidRPr="005B30A9" w:rsidRDefault="009612CC" w:rsidP="007A1A09">
            <w:pPr>
              <w:pStyle w:val="SingleTxtG"/>
              <w:tabs>
                <w:tab w:val="clear" w:pos="1701"/>
                <w:tab w:val="clear" w:pos="2268"/>
                <w:tab w:val="clear" w:pos="2835"/>
              </w:tabs>
              <w:spacing w:after="0" w:line="220" w:lineRule="exact"/>
              <w:ind w:left="0" w:right="0"/>
              <w:jc w:val="left"/>
              <w:rPr>
                <w:bCs/>
                <w:sz w:val="18"/>
              </w:rPr>
            </w:pPr>
          </w:p>
        </w:tc>
        <w:tc>
          <w:tcPr>
            <w:tcW w:w="1015" w:type="dxa"/>
            <w:tcBorders>
              <w:bottom w:val="single" w:sz="4" w:space="0" w:color="auto"/>
            </w:tcBorders>
            <w:shd w:val="clear" w:color="auto" w:fill="auto"/>
            <w:vAlign w:val="bottom"/>
          </w:tcPr>
          <w:p w14:paraId="7624BC5F" w14:textId="77777777" w:rsidR="009612CC" w:rsidRPr="005B30A9" w:rsidRDefault="009612CC" w:rsidP="007A1A09">
            <w:pPr>
              <w:pStyle w:val="SingleTxtG"/>
              <w:tabs>
                <w:tab w:val="clear" w:pos="1701"/>
                <w:tab w:val="clear" w:pos="2268"/>
                <w:tab w:val="clear" w:pos="2835"/>
              </w:tabs>
              <w:spacing w:before="40" w:after="40" w:line="220" w:lineRule="exact"/>
              <w:ind w:left="0" w:right="0"/>
              <w:jc w:val="left"/>
              <w:rPr>
                <w:sz w:val="18"/>
              </w:rPr>
            </w:pPr>
            <w:r w:rsidRPr="005B30A9">
              <w:rPr>
                <w:sz w:val="18"/>
              </w:rPr>
              <w:t>Mujeres</w:t>
            </w:r>
          </w:p>
        </w:tc>
        <w:tc>
          <w:tcPr>
            <w:tcW w:w="1016" w:type="dxa"/>
            <w:tcBorders>
              <w:bottom w:val="single" w:sz="4" w:space="0" w:color="auto"/>
            </w:tcBorders>
            <w:shd w:val="clear" w:color="auto" w:fill="auto"/>
            <w:noWrap/>
            <w:vAlign w:val="bottom"/>
            <w:hideMark/>
          </w:tcPr>
          <w:p w14:paraId="7A5B80D8" w14:textId="7228E827"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3</w:t>
            </w:r>
            <w:r w:rsidR="00045B2A" w:rsidRPr="005B30A9">
              <w:rPr>
                <w:sz w:val="18"/>
              </w:rPr>
              <w:t xml:space="preserve"> </w:t>
            </w:r>
            <w:r w:rsidRPr="005B30A9">
              <w:rPr>
                <w:sz w:val="18"/>
              </w:rPr>
              <w:t>846</w:t>
            </w:r>
          </w:p>
        </w:tc>
        <w:tc>
          <w:tcPr>
            <w:tcW w:w="1016" w:type="dxa"/>
            <w:tcBorders>
              <w:bottom w:val="single" w:sz="4" w:space="0" w:color="auto"/>
            </w:tcBorders>
            <w:shd w:val="clear" w:color="auto" w:fill="auto"/>
            <w:noWrap/>
            <w:vAlign w:val="bottom"/>
            <w:hideMark/>
          </w:tcPr>
          <w:p w14:paraId="236AD3E2" w14:textId="267B9B86"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3</w:t>
            </w:r>
            <w:r w:rsidR="00045B2A" w:rsidRPr="005B30A9">
              <w:rPr>
                <w:sz w:val="18"/>
              </w:rPr>
              <w:t xml:space="preserve"> </w:t>
            </w:r>
            <w:r w:rsidRPr="005B30A9">
              <w:rPr>
                <w:sz w:val="18"/>
              </w:rPr>
              <w:t>958</w:t>
            </w:r>
          </w:p>
        </w:tc>
        <w:tc>
          <w:tcPr>
            <w:tcW w:w="1015" w:type="dxa"/>
            <w:tcBorders>
              <w:bottom w:val="single" w:sz="4" w:space="0" w:color="auto"/>
            </w:tcBorders>
            <w:shd w:val="clear" w:color="auto" w:fill="auto"/>
            <w:noWrap/>
            <w:vAlign w:val="bottom"/>
            <w:hideMark/>
          </w:tcPr>
          <w:p w14:paraId="544F50DA" w14:textId="7590D860"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3</w:t>
            </w:r>
            <w:r w:rsidR="00045B2A" w:rsidRPr="005B30A9">
              <w:rPr>
                <w:sz w:val="18"/>
              </w:rPr>
              <w:t xml:space="preserve"> </w:t>
            </w:r>
            <w:r w:rsidRPr="005B30A9">
              <w:rPr>
                <w:sz w:val="18"/>
              </w:rPr>
              <w:t>863</w:t>
            </w:r>
          </w:p>
        </w:tc>
        <w:tc>
          <w:tcPr>
            <w:tcW w:w="1016" w:type="dxa"/>
            <w:tcBorders>
              <w:bottom w:val="single" w:sz="4" w:space="0" w:color="auto"/>
            </w:tcBorders>
            <w:shd w:val="clear" w:color="auto" w:fill="auto"/>
            <w:noWrap/>
            <w:vAlign w:val="bottom"/>
            <w:hideMark/>
          </w:tcPr>
          <w:p w14:paraId="01DDAD8A" w14:textId="6998EF03"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3</w:t>
            </w:r>
            <w:r w:rsidR="00045B2A" w:rsidRPr="005B30A9">
              <w:rPr>
                <w:sz w:val="18"/>
              </w:rPr>
              <w:t xml:space="preserve"> </w:t>
            </w:r>
            <w:r w:rsidRPr="005B30A9">
              <w:rPr>
                <w:sz w:val="18"/>
              </w:rPr>
              <w:t>830</w:t>
            </w:r>
          </w:p>
        </w:tc>
        <w:tc>
          <w:tcPr>
            <w:tcW w:w="1016" w:type="dxa"/>
            <w:tcBorders>
              <w:bottom w:val="single" w:sz="4" w:space="0" w:color="auto"/>
            </w:tcBorders>
            <w:shd w:val="clear" w:color="auto" w:fill="auto"/>
            <w:noWrap/>
            <w:vAlign w:val="bottom"/>
            <w:hideMark/>
          </w:tcPr>
          <w:p w14:paraId="305741A7" w14:textId="0E74355D" w:rsidR="009612CC" w:rsidRPr="005B30A9" w:rsidRDefault="009612CC" w:rsidP="00045B2A">
            <w:pPr>
              <w:pStyle w:val="SingleTxtG"/>
              <w:tabs>
                <w:tab w:val="clear" w:pos="1701"/>
                <w:tab w:val="clear" w:pos="2268"/>
                <w:tab w:val="clear" w:pos="2835"/>
              </w:tabs>
              <w:spacing w:before="40" w:after="40" w:line="220" w:lineRule="exact"/>
              <w:ind w:left="0" w:right="28"/>
              <w:jc w:val="right"/>
              <w:rPr>
                <w:sz w:val="18"/>
              </w:rPr>
            </w:pPr>
            <w:r w:rsidRPr="005B30A9">
              <w:rPr>
                <w:sz w:val="18"/>
              </w:rPr>
              <w:t>4</w:t>
            </w:r>
            <w:r w:rsidR="00045B2A" w:rsidRPr="005B30A9">
              <w:rPr>
                <w:sz w:val="18"/>
              </w:rPr>
              <w:t xml:space="preserve"> </w:t>
            </w:r>
            <w:r w:rsidRPr="005B30A9">
              <w:rPr>
                <w:sz w:val="18"/>
              </w:rPr>
              <w:t>435</w:t>
            </w:r>
          </w:p>
        </w:tc>
      </w:tr>
      <w:tr w:rsidR="007A1A09" w:rsidRPr="005B30A9" w14:paraId="401E49E9" w14:textId="77777777" w:rsidTr="006F4860">
        <w:trPr>
          <w:trHeight w:val="240"/>
        </w:trPr>
        <w:tc>
          <w:tcPr>
            <w:tcW w:w="1276" w:type="dxa"/>
            <w:vMerge w:val="restart"/>
            <w:tcBorders>
              <w:top w:val="single" w:sz="4" w:space="0" w:color="auto"/>
              <w:bottom w:val="single" w:sz="12" w:space="0" w:color="auto"/>
            </w:tcBorders>
            <w:shd w:val="clear" w:color="auto" w:fill="auto"/>
            <w:noWrap/>
            <w:hideMark/>
          </w:tcPr>
          <w:p w14:paraId="74D5B615" w14:textId="7F4E3350" w:rsidR="009612CC" w:rsidRPr="005B30A9" w:rsidRDefault="009612CC" w:rsidP="00045B2A">
            <w:pPr>
              <w:pStyle w:val="SingleTxtG"/>
              <w:keepNext/>
              <w:keepLines/>
              <w:tabs>
                <w:tab w:val="clear" w:pos="1701"/>
                <w:tab w:val="clear" w:pos="2268"/>
                <w:tab w:val="clear" w:pos="2835"/>
              </w:tabs>
              <w:spacing w:after="0" w:line="220" w:lineRule="exact"/>
              <w:ind w:left="0" w:right="0"/>
              <w:jc w:val="left"/>
              <w:rPr>
                <w:bCs/>
                <w:sz w:val="18"/>
              </w:rPr>
            </w:pPr>
            <w:r w:rsidRPr="005B30A9">
              <w:rPr>
                <w:bCs/>
                <w:sz w:val="18"/>
              </w:rPr>
              <w:lastRenderedPageBreak/>
              <w:t>Más de 65</w:t>
            </w:r>
            <w:r w:rsidR="006F4860">
              <w:rPr>
                <w:bCs/>
                <w:sz w:val="18"/>
              </w:rPr>
              <w:t xml:space="preserve"> </w:t>
            </w:r>
            <w:r w:rsidR="006F4860">
              <w:rPr>
                <w:bCs/>
                <w:sz w:val="18"/>
              </w:rPr>
              <w:t>años</w:t>
            </w:r>
          </w:p>
        </w:tc>
        <w:tc>
          <w:tcPr>
            <w:tcW w:w="1015" w:type="dxa"/>
            <w:tcBorders>
              <w:top w:val="single" w:sz="4" w:space="0" w:color="auto"/>
              <w:bottom w:val="single" w:sz="4" w:space="0" w:color="auto"/>
            </w:tcBorders>
            <w:shd w:val="clear" w:color="auto" w:fill="auto"/>
            <w:vAlign w:val="bottom"/>
          </w:tcPr>
          <w:p w14:paraId="45B72C01" w14:textId="77777777" w:rsidR="009612CC" w:rsidRPr="005B30A9" w:rsidRDefault="009612CC" w:rsidP="00045B2A">
            <w:pPr>
              <w:pStyle w:val="SingleTxtG"/>
              <w:keepNext/>
              <w:keepLines/>
              <w:tabs>
                <w:tab w:val="clear" w:pos="1701"/>
                <w:tab w:val="clear" w:pos="2268"/>
                <w:tab w:val="clear" w:pos="2835"/>
              </w:tabs>
              <w:spacing w:before="80" w:after="80" w:line="220" w:lineRule="exact"/>
              <w:ind w:left="284" w:right="0"/>
              <w:jc w:val="left"/>
              <w:rPr>
                <w:b/>
                <w:sz w:val="18"/>
              </w:rPr>
            </w:pPr>
            <w:r w:rsidRPr="005B30A9">
              <w:rPr>
                <w:b/>
                <w:sz w:val="18"/>
              </w:rPr>
              <w:t>Total</w:t>
            </w:r>
          </w:p>
        </w:tc>
        <w:tc>
          <w:tcPr>
            <w:tcW w:w="1016" w:type="dxa"/>
            <w:tcBorders>
              <w:top w:val="single" w:sz="4" w:space="0" w:color="auto"/>
              <w:bottom w:val="single" w:sz="4" w:space="0" w:color="auto"/>
            </w:tcBorders>
            <w:shd w:val="clear" w:color="auto" w:fill="auto"/>
            <w:noWrap/>
            <w:vAlign w:val="bottom"/>
            <w:hideMark/>
          </w:tcPr>
          <w:p w14:paraId="1F1FFD41" w14:textId="1900FCBF" w:rsidR="009612CC" w:rsidRPr="005B30A9" w:rsidRDefault="009612CC" w:rsidP="00045B2A">
            <w:pPr>
              <w:pStyle w:val="SingleTxtG"/>
              <w:keepNext/>
              <w:keepLines/>
              <w:tabs>
                <w:tab w:val="clear" w:pos="1701"/>
                <w:tab w:val="clear" w:pos="2268"/>
                <w:tab w:val="clear" w:pos="2835"/>
              </w:tabs>
              <w:spacing w:before="80" w:after="80" w:line="220" w:lineRule="exact"/>
              <w:ind w:left="0" w:right="28"/>
              <w:jc w:val="right"/>
              <w:rPr>
                <w:b/>
                <w:sz w:val="18"/>
              </w:rPr>
            </w:pPr>
            <w:r w:rsidRPr="005B30A9">
              <w:rPr>
                <w:b/>
                <w:bCs/>
                <w:sz w:val="18"/>
              </w:rPr>
              <w:t>1</w:t>
            </w:r>
            <w:r w:rsidR="00045B2A" w:rsidRPr="005B30A9">
              <w:rPr>
                <w:b/>
                <w:bCs/>
                <w:sz w:val="18"/>
              </w:rPr>
              <w:t xml:space="preserve"> </w:t>
            </w:r>
            <w:r w:rsidRPr="005B30A9">
              <w:rPr>
                <w:b/>
                <w:bCs/>
                <w:sz w:val="18"/>
              </w:rPr>
              <w:t>337</w:t>
            </w:r>
          </w:p>
        </w:tc>
        <w:tc>
          <w:tcPr>
            <w:tcW w:w="1016" w:type="dxa"/>
            <w:tcBorders>
              <w:top w:val="single" w:sz="4" w:space="0" w:color="auto"/>
              <w:bottom w:val="single" w:sz="4" w:space="0" w:color="auto"/>
            </w:tcBorders>
            <w:shd w:val="clear" w:color="auto" w:fill="auto"/>
            <w:noWrap/>
            <w:vAlign w:val="bottom"/>
            <w:hideMark/>
          </w:tcPr>
          <w:p w14:paraId="294366C1" w14:textId="7B14B71E" w:rsidR="009612CC" w:rsidRPr="005B30A9" w:rsidRDefault="009612CC" w:rsidP="00045B2A">
            <w:pPr>
              <w:pStyle w:val="SingleTxtG"/>
              <w:keepNext/>
              <w:keepLines/>
              <w:tabs>
                <w:tab w:val="clear" w:pos="1701"/>
                <w:tab w:val="clear" w:pos="2268"/>
                <w:tab w:val="clear" w:pos="2835"/>
              </w:tabs>
              <w:spacing w:before="80" w:after="80" w:line="220" w:lineRule="exact"/>
              <w:ind w:left="0" w:right="28"/>
              <w:jc w:val="right"/>
              <w:rPr>
                <w:b/>
                <w:sz w:val="18"/>
              </w:rPr>
            </w:pPr>
            <w:r w:rsidRPr="005B30A9">
              <w:rPr>
                <w:b/>
                <w:bCs/>
                <w:sz w:val="18"/>
              </w:rPr>
              <w:t>1</w:t>
            </w:r>
            <w:r w:rsidR="00045B2A" w:rsidRPr="005B30A9">
              <w:rPr>
                <w:b/>
                <w:bCs/>
                <w:sz w:val="18"/>
              </w:rPr>
              <w:t xml:space="preserve"> </w:t>
            </w:r>
            <w:r w:rsidRPr="005B30A9">
              <w:rPr>
                <w:b/>
                <w:bCs/>
                <w:sz w:val="18"/>
              </w:rPr>
              <w:t>309</w:t>
            </w:r>
          </w:p>
        </w:tc>
        <w:tc>
          <w:tcPr>
            <w:tcW w:w="1015" w:type="dxa"/>
            <w:tcBorders>
              <w:top w:val="single" w:sz="4" w:space="0" w:color="auto"/>
              <w:bottom w:val="single" w:sz="4" w:space="0" w:color="auto"/>
            </w:tcBorders>
            <w:shd w:val="clear" w:color="auto" w:fill="auto"/>
            <w:noWrap/>
            <w:vAlign w:val="bottom"/>
            <w:hideMark/>
          </w:tcPr>
          <w:p w14:paraId="19C9C02D" w14:textId="00626C19" w:rsidR="009612CC" w:rsidRPr="005B30A9" w:rsidRDefault="009612CC" w:rsidP="00045B2A">
            <w:pPr>
              <w:pStyle w:val="SingleTxtG"/>
              <w:keepNext/>
              <w:keepLines/>
              <w:tabs>
                <w:tab w:val="clear" w:pos="1701"/>
                <w:tab w:val="clear" w:pos="2268"/>
                <w:tab w:val="clear" w:pos="2835"/>
              </w:tabs>
              <w:spacing w:before="80" w:after="80" w:line="220" w:lineRule="exact"/>
              <w:ind w:left="0" w:right="28"/>
              <w:jc w:val="right"/>
              <w:rPr>
                <w:b/>
                <w:sz w:val="18"/>
              </w:rPr>
            </w:pPr>
            <w:r w:rsidRPr="005B30A9">
              <w:rPr>
                <w:b/>
                <w:bCs/>
                <w:sz w:val="18"/>
              </w:rPr>
              <w:t>1</w:t>
            </w:r>
            <w:r w:rsidR="00045B2A" w:rsidRPr="005B30A9">
              <w:rPr>
                <w:b/>
                <w:bCs/>
                <w:sz w:val="18"/>
              </w:rPr>
              <w:t xml:space="preserve"> </w:t>
            </w:r>
            <w:r w:rsidRPr="005B30A9">
              <w:rPr>
                <w:b/>
                <w:bCs/>
                <w:sz w:val="18"/>
              </w:rPr>
              <w:t>304</w:t>
            </w:r>
          </w:p>
        </w:tc>
        <w:tc>
          <w:tcPr>
            <w:tcW w:w="1016" w:type="dxa"/>
            <w:tcBorders>
              <w:top w:val="single" w:sz="4" w:space="0" w:color="auto"/>
              <w:bottom w:val="single" w:sz="4" w:space="0" w:color="auto"/>
            </w:tcBorders>
            <w:shd w:val="clear" w:color="auto" w:fill="auto"/>
            <w:noWrap/>
            <w:vAlign w:val="bottom"/>
            <w:hideMark/>
          </w:tcPr>
          <w:p w14:paraId="6BDE2B74" w14:textId="68EE3972" w:rsidR="009612CC" w:rsidRPr="005B30A9" w:rsidRDefault="009612CC" w:rsidP="00045B2A">
            <w:pPr>
              <w:pStyle w:val="SingleTxtG"/>
              <w:keepNext/>
              <w:keepLines/>
              <w:tabs>
                <w:tab w:val="clear" w:pos="1701"/>
                <w:tab w:val="clear" w:pos="2268"/>
                <w:tab w:val="clear" w:pos="2835"/>
              </w:tabs>
              <w:spacing w:before="80" w:after="80" w:line="220" w:lineRule="exact"/>
              <w:ind w:left="0" w:right="28"/>
              <w:jc w:val="right"/>
              <w:rPr>
                <w:b/>
                <w:sz w:val="18"/>
              </w:rPr>
            </w:pPr>
            <w:r w:rsidRPr="005B30A9">
              <w:rPr>
                <w:b/>
                <w:bCs/>
                <w:sz w:val="18"/>
              </w:rPr>
              <w:t>1</w:t>
            </w:r>
            <w:r w:rsidR="00045B2A" w:rsidRPr="005B30A9">
              <w:rPr>
                <w:b/>
                <w:bCs/>
                <w:sz w:val="18"/>
              </w:rPr>
              <w:t xml:space="preserve"> </w:t>
            </w:r>
            <w:r w:rsidRPr="005B30A9">
              <w:rPr>
                <w:b/>
                <w:bCs/>
                <w:sz w:val="18"/>
              </w:rPr>
              <w:t>353</w:t>
            </w:r>
          </w:p>
        </w:tc>
        <w:tc>
          <w:tcPr>
            <w:tcW w:w="1016" w:type="dxa"/>
            <w:tcBorders>
              <w:top w:val="single" w:sz="4" w:space="0" w:color="auto"/>
              <w:bottom w:val="single" w:sz="4" w:space="0" w:color="auto"/>
            </w:tcBorders>
            <w:shd w:val="clear" w:color="auto" w:fill="auto"/>
            <w:noWrap/>
            <w:vAlign w:val="bottom"/>
            <w:hideMark/>
          </w:tcPr>
          <w:p w14:paraId="4535E851" w14:textId="313F7B66" w:rsidR="009612CC" w:rsidRPr="005B30A9" w:rsidRDefault="009612CC" w:rsidP="00045B2A">
            <w:pPr>
              <w:pStyle w:val="SingleTxtG"/>
              <w:keepNext/>
              <w:keepLines/>
              <w:tabs>
                <w:tab w:val="clear" w:pos="1701"/>
                <w:tab w:val="clear" w:pos="2268"/>
                <w:tab w:val="clear" w:pos="2835"/>
              </w:tabs>
              <w:spacing w:before="80" w:after="80" w:line="220" w:lineRule="exact"/>
              <w:ind w:left="0" w:right="28"/>
              <w:jc w:val="right"/>
              <w:rPr>
                <w:b/>
                <w:sz w:val="18"/>
              </w:rPr>
            </w:pPr>
            <w:r w:rsidRPr="005B30A9">
              <w:rPr>
                <w:b/>
                <w:bCs/>
                <w:sz w:val="18"/>
              </w:rPr>
              <w:t>1</w:t>
            </w:r>
            <w:r w:rsidR="00045B2A" w:rsidRPr="005B30A9">
              <w:rPr>
                <w:b/>
                <w:bCs/>
                <w:sz w:val="18"/>
              </w:rPr>
              <w:t xml:space="preserve"> </w:t>
            </w:r>
            <w:r w:rsidRPr="005B30A9">
              <w:rPr>
                <w:b/>
                <w:bCs/>
                <w:sz w:val="18"/>
              </w:rPr>
              <w:t>546</w:t>
            </w:r>
          </w:p>
        </w:tc>
      </w:tr>
      <w:tr w:rsidR="007A1A09" w:rsidRPr="005B30A9" w14:paraId="02A95BA9" w14:textId="77777777" w:rsidTr="006F4860">
        <w:trPr>
          <w:trHeight w:val="240"/>
        </w:trPr>
        <w:tc>
          <w:tcPr>
            <w:tcW w:w="1276" w:type="dxa"/>
            <w:vMerge/>
            <w:tcBorders>
              <w:top w:val="single" w:sz="12" w:space="0" w:color="auto"/>
            </w:tcBorders>
            <w:shd w:val="clear" w:color="auto" w:fill="auto"/>
            <w:noWrap/>
          </w:tcPr>
          <w:p w14:paraId="65064B5B" w14:textId="77777777" w:rsidR="009612CC" w:rsidRPr="005B30A9" w:rsidRDefault="009612CC" w:rsidP="00045B2A">
            <w:pPr>
              <w:pStyle w:val="SingleTxtG"/>
              <w:keepNext/>
              <w:keepLines/>
              <w:tabs>
                <w:tab w:val="clear" w:pos="1701"/>
                <w:tab w:val="clear" w:pos="2268"/>
                <w:tab w:val="clear" w:pos="2835"/>
              </w:tabs>
              <w:spacing w:after="0" w:line="220" w:lineRule="exact"/>
              <w:ind w:left="0" w:right="0"/>
              <w:jc w:val="left"/>
              <w:rPr>
                <w:bCs/>
                <w:sz w:val="18"/>
              </w:rPr>
            </w:pPr>
          </w:p>
        </w:tc>
        <w:tc>
          <w:tcPr>
            <w:tcW w:w="1015" w:type="dxa"/>
            <w:tcBorders>
              <w:top w:val="single" w:sz="4" w:space="0" w:color="auto"/>
            </w:tcBorders>
            <w:shd w:val="clear" w:color="auto" w:fill="auto"/>
            <w:vAlign w:val="bottom"/>
          </w:tcPr>
          <w:p w14:paraId="3D85C87C" w14:textId="77777777" w:rsidR="009612CC" w:rsidRPr="005B30A9" w:rsidRDefault="009612CC" w:rsidP="00045B2A">
            <w:pPr>
              <w:pStyle w:val="SingleTxtG"/>
              <w:keepNext/>
              <w:keepLines/>
              <w:tabs>
                <w:tab w:val="clear" w:pos="1701"/>
                <w:tab w:val="clear" w:pos="2268"/>
                <w:tab w:val="clear" w:pos="2835"/>
              </w:tabs>
              <w:spacing w:before="40" w:after="40" w:line="220" w:lineRule="exact"/>
              <w:ind w:left="0" w:right="0"/>
              <w:jc w:val="left"/>
              <w:rPr>
                <w:sz w:val="18"/>
              </w:rPr>
            </w:pPr>
            <w:r w:rsidRPr="005B30A9">
              <w:rPr>
                <w:sz w:val="18"/>
              </w:rPr>
              <w:t>Hombres</w:t>
            </w:r>
          </w:p>
        </w:tc>
        <w:tc>
          <w:tcPr>
            <w:tcW w:w="1016" w:type="dxa"/>
            <w:tcBorders>
              <w:top w:val="single" w:sz="4" w:space="0" w:color="auto"/>
            </w:tcBorders>
            <w:shd w:val="clear" w:color="auto" w:fill="auto"/>
            <w:noWrap/>
            <w:vAlign w:val="bottom"/>
            <w:hideMark/>
          </w:tcPr>
          <w:p w14:paraId="50692280" w14:textId="77777777" w:rsidR="009612CC" w:rsidRPr="005B30A9" w:rsidRDefault="009612CC" w:rsidP="00045B2A">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775</w:t>
            </w:r>
          </w:p>
        </w:tc>
        <w:tc>
          <w:tcPr>
            <w:tcW w:w="1016" w:type="dxa"/>
            <w:tcBorders>
              <w:top w:val="single" w:sz="4" w:space="0" w:color="auto"/>
            </w:tcBorders>
            <w:shd w:val="clear" w:color="auto" w:fill="auto"/>
            <w:noWrap/>
            <w:vAlign w:val="bottom"/>
            <w:hideMark/>
          </w:tcPr>
          <w:p w14:paraId="6C5D6017" w14:textId="77777777" w:rsidR="009612CC" w:rsidRPr="005B30A9" w:rsidRDefault="009612CC" w:rsidP="00045B2A">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754</w:t>
            </w:r>
          </w:p>
        </w:tc>
        <w:tc>
          <w:tcPr>
            <w:tcW w:w="1015" w:type="dxa"/>
            <w:tcBorders>
              <w:top w:val="single" w:sz="4" w:space="0" w:color="auto"/>
            </w:tcBorders>
            <w:shd w:val="clear" w:color="auto" w:fill="auto"/>
            <w:noWrap/>
            <w:vAlign w:val="bottom"/>
            <w:hideMark/>
          </w:tcPr>
          <w:p w14:paraId="553C3928" w14:textId="77777777" w:rsidR="009612CC" w:rsidRPr="005B30A9" w:rsidRDefault="009612CC" w:rsidP="00045B2A">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770</w:t>
            </w:r>
          </w:p>
        </w:tc>
        <w:tc>
          <w:tcPr>
            <w:tcW w:w="1016" w:type="dxa"/>
            <w:tcBorders>
              <w:top w:val="single" w:sz="4" w:space="0" w:color="auto"/>
            </w:tcBorders>
            <w:shd w:val="clear" w:color="auto" w:fill="auto"/>
            <w:noWrap/>
            <w:vAlign w:val="bottom"/>
            <w:hideMark/>
          </w:tcPr>
          <w:p w14:paraId="02699577" w14:textId="77777777" w:rsidR="009612CC" w:rsidRPr="005B30A9" w:rsidRDefault="009612CC" w:rsidP="00045B2A">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731</w:t>
            </w:r>
          </w:p>
        </w:tc>
        <w:tc>
          <w:tcPr>
            <w:tcW w:w="1016" w:type="dxa"/>
            <w:tcBorders>
              <w:top w:val="single" w:sz="4" w:space="0" w:color="auto"/>
            </w:tcBorders>
            <w:shd w:val="clear" w:color="auto" w:fill="auto"/>
            <w:noWrap/>
            <w:vAlign w:val="bottom"/>
            <w:hideMark/>
          </w:tcPr>
          <w:p w14:paraId="2797B938" w14:textId="77777777" w:rsidR="009612CC" w:rsidRPr="005B30A9" w:rsidRDefault="009612CC" w:rsidP="00045B2A">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925</w:t>
            </w:r>
          </w:p>
        </w:tc>
      </w:tr>
      <w:tr w:rsidR="007A1A09" w:rsidRPr="005B30A9" w14:paraId="449F9C22" w14:textId="77777777" w:rsidTr="006F4860">
        <w:trPr>
          <w:trHeight w:val="240"/>
        </w:trPr>
        <w:tc>
          <w:tcPr>
            <w:tcW w:w="1276" w:type="dxa"/>
            <w:vMerge/>
            <w:tcBorders>
              <w:bottom w:val="single" w:sz="4" w:space="0" w:color="auto"/>
            </w:tcBorders>
            <w:shd w:val="clear" w:color="auto" w:fill="auto"/>
            <w:noWrap/>
          </w:tcPr>
          <w:p w14:paraId="362E235C" w14:textId="77777777" w:rsidR="009612CC" w:rsidRPr="005B30A9" w:rsidRDefault="009612CC" w:rsidP="00045B2A">
            <w:pPr>
              <w:pStyle w:val="SingleTxtG"/>
              <w:keepNext/>
              <w:keepLines/>
              <w:tabs>
                <w:tab w:val="clear" w:pos="1701"/>
                <w:tab w:val="clear" w:pos="2268"/>
                <w:tab w:val="clear" w:pos="2835"/>
              </w:tabs>
              <w:spacing w:after="0" w:line="220" w:lineRule="exact"/>
              <w:ind w:left="0" w:right="0"/>
              <w:jc w:val="left"/>
              <w:rPr>
                <w:bCs/>
                <w:sz w:val="18"/>
              </w:rPr>
            </w:pPr>
          </w:p>
        </w:tc>
        <w:tc>
          <w:tcPr>
            <w:tcW w:w="1015" w:type="dxa"/>
            <w:tcBorders>
              <w:bottom w:val="single" w:sz="4" w:space="0" w:color="auto"/>
            </w:tcBorders>
            <w:shd w:val="clear" w:color="auto" w:fill="auto"/>
            <w:vAlign w:val="bottom"/>
          </w:tcPr>
          <w:p w14:paraId="230F4669" w14:textId="77777777" w:rsidR="009612CC" w:rsidRPr="005B30A9" w:rsidRDefault="009612CC" w:rsidP="00045B2A">
            <w:pPr>
              <w:pStyle w:val="SingleTxtG"/>
              <w:keepNext/>
              <w:keepLines/>
              <w:tabs>
                <w:tab w:val="clear" w:pos="1701"/>
                <w:tab w:val="clear" w:pos="2268"/>
                <w:tab w:val="clear" w:pos="2835"/>
              </w:tabs>
              <w:spacing w:before="40" w:after="40" w:line="220" w:lineRule="exact"/>
              <w:ind w:left="0" w:right="0"/>
              <w:jc w:val="left"/>
              <w:rPr>
                <w:sz w:val="18"/>
              </w:rPr>
            </w:pPr>
            <w:r w:rsidRPr="005B30A9">
              <w:rPr>
                <w:sz w:val="18"/>
              </w:rPr>
              <w:t>Mujeres</w:t>
            </w:r>
          </w:p>
        </w:tc>
        <w:tc>
          <w:tcPr>
            <w:tcW w:w="1016" w:type="dxa"/>
            <w:tcBorders>
              <w:bottom w:val="single" w:sz="4" w:space="0" w:color="auto"/>
            </w:tcBorders>
            <w:shd w:val="clear" w:color="auto" w:fill="auto"/>
            <w:noWrap/>
            <w:vAlign w:val="bottom"/>
            <w:hideMark/>
          </w:tcPr>
          <w:p w14:paraId="1C0CE74A" w14:textId="77777777" w:rsidR="009612CC" w:rsidRPr="005B30A9" w:rsidRDefault="009612CC" w:rsidP="00045B2A">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562</w:t>
            </w:r>
          </w:p>
        </w:tc>
        <w:tc>
          <w:tcPr>
            <w:tcW w:w="1016" w:type="dxa"/>
            <w:tcBorders>
              <w:bottom w:val="single" w:sz="4" w:space="0" w:color="auto"/>
            </w:tcBorders>
            <w:shd w:val="clear" w:color="auto" w:fill="auto"/>
            <w:noWrap/>
            <w:vAlign w:val="bottom"/>
            <w:hideMark/>
          </w:tcPr>
          <w:p w14:paraId="3611BDC0" w14:textId="77777777" w:rsidR="009612CC" w:rsidRPr="005B30A9" w:rsidRDefault="009612CC" w:rsidP="00045B2A">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555</w:t>
            </w:r>
          </w:p>
        </w:tc>
        <w:tc>
          <w:tcPr>
            <w:tcW w:w="1015" w:type="dxa"/>
            <w:tcBorders>
              <w:bottom w:val="single" w:sz="4" w:space="0" w:color="auto"/>
            </w:tcBorders>
            <w:shd w:val="clear" w:color="auto" w:fill="auto"/>
            <w:noWrap/>
            <w:vAlign w:val="bottom"/>
            <w:hideMark/>
          </w:tcPr>
          <w:p w14:paraId="61A94D9C" w14:textId="77777777" w:rsidR="009612CC" w:rsidRPr="005B30A9" w:rsidRDefault="009612CC" w:rsidP="00045B2A">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534</w:t>
            </w:r>
          </w:p>
        </w:tc>
        <w:tc>
          <w:tcPr>
            <w:tcW w:w="1016" w:type="dxa"/>
            <w:tcBorders>
              <w:bottom w:val="single" w:sz="4" w:space="0" w:color="auto"/>
            </w:tcBorders>
            <w:shd w:val="clear" w:color="auto" w:fill="auto"/>
            <w:noWrap/>
            <w:vAlign w:val="bottom"/>
            <w:hideMark/>
          </w:tcPr>
          <w:p w14:paraId="371331DD" w14:textId="77777777" w:rsidR="009612CC" w:rsidRPr="005B30A9" w:rsidRDefault="009612CC" w:rsidP="00045B2A">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622</w:t>
            </w:r>
          </w:p>
        </w:tc>
        <w:tc>
          <w:tcPr>
            <w:tcW w:w="1016" w:type="dxa"/>
            <w:tcBorders>
              <w:bottom w:val="single" w:sz="4" w:space="0" w:color="auto"/>
            </w:tcBorders>
            <w:shd w:val="clear" w:color="auto" w:fill="auto"/>
            <w:noWrap/>
            <w:vAlign w:val="bottom"/>
            <w:hideMark/>
          </w:tcPr>
          <w:p w14:paraId="766CBD1B" w14:textId="77777777" w:rsidR="009612CC" w:rsidRPr="005B30A9" w:rsidRDefault="009612CC" w:rsidP="00045B2A">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621</w:t>
            </w:r>
          </w:p>
        </w:tc>
      </w:tr>
      <w:tr w:rsidR="007A1A09" w:rsidRPr="005B30A9" w14:paraId="54D6CB5B" w14:textId="77777777" w:rsidTr="006F4860">
        <w:trPr>
          <w:trHeight w:val="240"/>
        </w:trPr>
        <w:tc>
          <w:tcPr>
            <w:tcW w:w="1276" w:type="dxa"/>
            <w:tcBorders>
              <w:top w:val="single" w:sz="4" w:space="0" w:color="auto"/>
              <w:bottom w:val="single" w:sz="12" w:space="0" w:color="auto"/>
            </w:tcBorders>
            <w:shd w:val="clear" w:color="auto" w:fill="auto"/>
            <w:noWrap/>
            <w:hideMark/>
          </w:tcPr>
          <w:p w14:paraId="3A35B0C6" w14:textId="77777777" w:rsidR="009612CC" w:rsidRPr="005B30A9" w:rsidRDefault="009612CC" w:rsidP="00045B2A">
            <w:pPr>
              <w:pStyle w:val="SingleTxtG"/>
              <w:keepNext/>
              <w:keepLines/>
              <w:tabs>
                <w:tab w:val="clear" w:pos="1701"/>
                <w:tab w:val="clear" w:pos="2268"/>
                <w:tab w:val="clear" w:pos="2835"/>
              </w:tabs>
              <w:spacing w:after="0" w:line="220" w:lineRule="exact"/>
              <w:ind w:left="0" w:right="0"/>
              <w:jc w:val="left"/>
              <w:rPr>
                <w:bCs/>
                <w:sz w:val="18"/>
              </w:rPr>
            </w:pPr>
            <w:r w:rsidRPr="005B30A9">
              <w:rPr>
                <w:bCs/>
                <w:sz w:val="18"/>
              </w:rPr>
              <w:t>Todos</w:t>
            </w:r>
          </w:p>
        </w:tc>
        <w:tc>
          <w:tcPr>
            <w:tcW w:w="1015" w:type="dxa"/>
            <w:tcBorders>
              <w:top w:val="single" w:sz="4" w:space="0" w:color="auto"/>
              <w:bottom w:val="single" w:sz="12" w:space="0" w:color="auto"/>
            </w:tcBorders>
            <w:shd w:val="clear" w:color="auto" w:fill="auto"/>
            <w:vAlign w:val="bottom"/>
          </w:tcPr>
          <w:p w14:paraId="38CB6F67" w14:textId="77777777" w:rsidR="009612CC" w:rsidRPr="005B30A9" w:rsidRDefault="009612CC" w:rsidP="00045B2A">
            <w:pPr>
              <w:pStyle w:val="SingleTxtG"/>
              <w:keepNext/>
              <w:keepLines/>
              <w:tabs>
                <w:tab w:val="clear" w:pos="1701"/>
                <w:tab w:val="clear" w:pos="2268"/>
                <w:tab w:val="clear" w:pos="2835"/>
              </w:tabs>
              <w:spacing w:before="80" w:after="80" w:line="220" w:lineRule="exact"/>
              <w:ind w:left="284" w:right="0"/>
              <w:jc w:val="left"/>
              <w:rPr>
                <w:b/>
                <w:sz w:val="18"/>
              </w:rPr>
            </w:pPr>
            <w:r w:rsidRPr="005B30A9">
              <w:rPr>
                <w:b/>
                <w:sz w:val="18"/>
              </w:rPr>
              <w:t>Total</w:t>
            </w:r>
          </w:p>
        </w:tc>
        <w:tc>
          <w:tcPr>
            <w:tcW w:w="1016" w:type="dxa"/>
            <w:tcBorders>
              <w:top w:val="single" w:sz="4" w:space="0" w:color="auto"/>
              <w:bottom w:val="single" w:sz="12" w:space="0" w:color="auto"/>
            </w:tcBorders>
            <w:shd w:val="clear" w:color="auto" w:fill="auto"/>
            <w:noWrap/>
            <w:vAlign w:val="bottom"/>
            <w:hideMark/>
          </w:tcPr>
          <w:p w14:paraId="6F7D833A" w14:textId="6BDB553C" w:rsidR="009612CC" w:rsidRPr="005B30A9" w:rsidRDefault="009612CC" w:rsidP="00045B2A">
            <w:pPr>
              <w:pStyle w:val="SingleTxtG"/>
              <w:keepNext/>
              <w:keepLines/>
              <w:tabs>
                <w:tab w:val="clear" w:pos="1701"/>
                <w:tab w:val="clear" w:pos="2268"/>
                <w:tab w:val="clear" w:pos="2835"/>
              </w:tabs>
              <w:spacing w:before="80" w:after="80" w:line="220" w:lineRule="exact"/>
              <w:ind w:left="0" w:right="28"/>
              <w:jc w:val="right"/>
              <w:rPr>
                <w:b/>
                <w:sz w:val="18"/>
              </w:rPr>
            </w:pPr>
            <w:r w:rsidRPr="005B30A9">
              <w:rPr>
                <w:b/>
                <w:bCs/>
                <w:sz w:val="18"/>
              </w:rPr>
              <w:t>44</w:t>
            </w:r>
            <w:r w:rsidR="00045B2A" w:rsidRPr="005B30A9">
              <w:rPr>
                <w:b/>
                <w:bCs/>
                <w:sz w:val="18"/>
              </w:rPr>
              <w:t xml:space="preserve"> </w:t>
            </w:r>
            <w:r w:rsidRPr="005B30A9">
              <w:rPr>
                <w:b/>
                <w:bCs/>
                <w:sz w:val="18"/>
              </w:rPr>
              <w:t>086</w:t>
            </w:r>
          </w:p>
        </w:tc>
        <w:tc>
          <w:tcPr>
            <w:tcW w:w="1016" w:type="dxa"/>
            <w:tcBorders>
              <w:top w:val="single" w:sz="4" w:space="0" w:color="auto"/>
              <w:bottom w:val="single" w:sz="12" w:space="0" w:color="auto"/>
            </w:tcBorders>
            <w:shd w:val="clear" w:color="auto" w:fill="auto"/>
            <w:noWrap/>
            <w:vAlign w:val="bottom"/>
            <w:hideMark/>
          </w:tcPr>
          <w:p w14:paraId="3D204CD8" w14:textId="3DE8926B" w:rsidR="009612CC" w:rsidRPr="005B30A9" w:rsidRDefault="009612CC" w:rsidP="00045B2A">
            <w:pPr>
              <w:pStyle w:val="SingleTxtG"/>
              <w:keepNext/>
              <w:keepLines/>
              <w:tabs>
                <w:tab w:val="clear" w:pos="1701"/>
                <w:tab w:val="clear" w:pos="2268"/>
                <w:tab w:val="clear" w:pos="2835"/>
              </w:tabs>
              <w:spacing w:before="80" w:after="80" w:line="220" w:lineRule="exact"/>
              <w:ind w:left="0" w:right="28"/>
              <w:jc w:val="right"/>
              <w:rPr>
                <w:b/>
                <w:sz w:val="18"/>
              </w:rPr>
            </w:pPr>
            <w:r w:rsidRPr="005B30A9">
              <w:rPr>
                <w:b/>
                <w:bCs/>
                <w:sz w:val="18"/>
              </w:rPr>
              <w:t>42</w:t>
            </w:r>
            <w:r w:rsidR="00045B2A" w:rsidRPr="005B30A9">
              <w:rPr>
                <w:b/>
                <w:bCs/>
                <w:sz w:val="18"/>
              </w:rPr>
              <w:t xml:space="preserve"> </w:t>
            </w:r>
            <w:r w:rsidRPr="005B30A9">
              <w:rPr>
                <w:b/>
                <w:bCs/>
                <w:sz w:val="18"/>
              </w:rPr>
              <w:t>846</w:t>
            </w:r>
          </w:p>
        </w:tc>
        <w:tc>
          <w:tcPr>
            <w:tcW w:w="1015" w:type="dxa"/>
            <w:tcBorders>
              <w:top w:val="single" w:sz="4" w:space="0" w:color="auto"/>
              <w:bottom w:val="single" w:sz="12" w:space="0" w:color="auto"/>
            </w:tcBorders>
            <w:shd w:val="clear" w:color="auto" w:fill="auto"/>
            <w:noWrap/>
            <w:vAlign w:val="bottom"/>
            <w:hideMark/>
          </w:tcPr>
          <w:p w14:paraId="1B30CF37" w14:textId="7CF2A423" w:rsidR="009612CC" w:rsidRPr="005B30A9" w:rsidRDefault="009612CC" w:rsidP="00045B2A">
            <w:pPr>
              <w:pStyle w:val="SingleTxtG"/>
              <w:keepNext/>
              <w:keepLines/>
              <w:tabs>
                <w:tab w:val="clear" w:pos="1701"/>
                <w:tab w:val="clear" w:pos="2268"/>
                <w:tab w:val="clear" w:pos="2835"/>
              </w:tabs>
              <w:spacing w:before="80" w:after="80" w:line="220" w:lineRule="exact"/>
              <w:ind w:left="0" w:right="28"/>
              <w:jc w:val="right"/>
              <w:rPr>
                <w:b/>
                <w:sz w:val="18"/>
              </w:rPr>
            </w:pPr>
            <w:r w:rsidRPr="005B30A9">
              <w:rPr>
                <w:b/>
                <w:bCs/>
                <w:sz w:val="18"/>
              </w:rPr>
              <w:t>38</w:t>
            </w:r>
            <w:r w:rsidR="00045B2A" w:rsidRPr="005B30A9">
              <w:rPr>
                <w:b/>
                <w:bCs/>
                <w:sz w:val="18"/>
              </w:rPr>
              <w:t xml:space="preserve"> </w:t>
            </w:r>
            <w:r w:rsidRPr="005B30A9">
              <w:rPr>
                <w:b/>
                <w:bCs/>
                <w:sz w:val="18"/>
              </w:rPr>
              <w:t>598</w:t>
            </w:r>
          </w:p>
        </w:tc>
        <w:tc>
          <w:tcPr>
            <w:tcW w:w="1016" w:type="dxa"/>
            <w:tcBorders>
              <w:top w:val="single" w:sz="4" w:space="0" w:color="auto"/>
              <w:bottom w:val="single" w:sz="12" w:space="0" w:color="auto"/>
            </w:tcBorders>
            <w:shd w:val="clear" w:color="auto" w:fill="auto"/>
            <w:noWrap/>
            <w:vAlign w:val="bottom"/>
            <w:hideMark/>
          </w:tcPr>
          <w:p w14:paraId="3A8A352A" w14:textId="3F8CF3D7" w:rsidR="009612CC" w:rsidRPr="005B30A9" w:rsidRDefault="009612CC" w:rsidP="00045B2A">
            <w:pPr>
              <w:pStyle w:val="SingleTxtG"/>
              <w:keepNext/>
              <w:keepLines/>
              <w:tabs>
                <w:tab w:val="clear" w:pos="1701"/>
                <w:tab w:val="clear" w:pos="2268"/>
                <w:tab w:val="clear" w:pos="2835"/>
              </w:tabs>
              <w:spacing w:before="80" w:after="80" w:line="220" w:lineRule="exact"/>
              <w:ind w:left="0" w:right="28"/>
              <w:jc w:val="right"/>
              <w:rPr>
                <w:b/>
                <w:sz w:val="18"/>
              </w:rPr>
            </w:pPr>
            <w:r w:rsidRPr="005B30A9">
              <w:rPr>
                <w:b/>
                <w:bCs/>
                <w:sz w:val="18"/>
              </w:rPr>
              <w:t>37</w:t>
            </w:r>
            <w:r w:rsidR="00045B2A" w:rsidRPr="005B30A9">
              <w:rPr>
                <w:b/>
                <w:bCs/>
                <w:sz w:val="18"/>
              </w:rPr>
              <w:t xml:space="preserve"> </w:t>
            </w:r>
            <w:r w:rsidRPr="005B30A9">
              <w:rPr>
                <w:b/>
                <w:bCs/>
                <w:sz w:val="18"/>
              </w:rPr>
              <w:t>313</w:t>
            </w:r>
          </w:p>
        </w:tc>
        <w:tc>
          <w:tcPr>
            <w:tcW w:w="1016" w:type="dxa"/>
            <w:tcBorders>
              <w:top w:val="single" w:sz="4" w:space="0" w:color="auto"/>
              <w:bottom w:val="single" w:sz="12" w:space="0" w:color="auto"/>
            </w:tcBorders>
            <w:shd w:val="clear" w:color="auto" w:fill="auto"/>
            <w:noWrap/>
            <w:vAlign w:val="bottom"/>
            <w:hideMark/>
          </w:tcPr>
          <w:p w14:paraId="63267156" w14:textId="6C8434F5" w:rsidR="009612CC" w:rsidRPr="005B30A9" w:rsidRDefault="009612CC" w:rsidP="00045B2A">
            <w:pPr>
              <w:pStyle w:val="SingleTxtG"/>
              <w:keepNext/>
              <w:keepLines/>
              <w:tabs>
                <w:tab w:val="clear" w:pos="1701"/>
                <w:tab w:val="clear" w:pos="2268"/>
                <w:tab w:val="clear" w:pos="2835"/>
              </w:tabs>
              <w:spacing w:before="80" w:after="80" w:line="220" w:lineRule="exact"/>
              <w:ind w:left="0" w:right="28"/>
              <w:jc w:val="right"/>
              <w:rPr>
                <w:b/>
                <w:sz w:val="18"/>
              </w:rPr>
            </w:pPr>
            <w:r w:rsidRPr="005B30A9">
              <w:rPr>
                <w:b/>
                <w:bCs/>
                <w:sz w:val="18"/>
              </w:rPr>
              <w:t>45</w:t>
            </w:r>
            <w:r w:rsidR="00045B2A" w:rsidRPr="005B30A9">
              <w:rPr>
                <w:b/>
                <w:bCs/>
                <w:sz w:val="18"/>
              </w:rPr>
              <w:t xml:space="preserve"> </w:t>
            </w:r>
            <w:r w:rsidRPr="005B30A9">
              <w:rPr>
                <w:b/>
                <w:bCs/>
                <w:sz w:val="18"/>
              </w:rPr>
              <w:t>514</w:t>
            </w:r>
          </w:p>
        </w:tc>
      </w:tr>
    </w:tbl>
    <w:p w14:paraId="4F44371A" w14:textId="77777777" w:rsidR="009612CC" w:rsidRPr="005B30A9" w:rsidRDefault="009612CC" w:rsidP="00045B2A">
      <w:pPr>
        <w:pStyle w:val="SingleTxtG"/>
        <w:spacing w:before="120"/>
        <w:ind w:firstLine="170"/>
        <w:jc w:val="left"/>
        <w:rPr>
          <w:sz w:val="18"/>
          <w:szCs w:val="18"/>
        </w:rPr>
      </w:pPr>
      <w:r w:rsidRPr="005B30A9">
        <w:rPr>
          <w:i/>
          <w:iCs/>
          <w:sz w:val="18"/>
          <w:szCs w:val="18"/>
        </w:rPr>
        <w:t>Fuente:</w:t>
      </w:r>
      <w:r w:rsidRPr="005B30A9">
        <w:rPr>
          <w:sz w:val="18"/>
          <w:szCs w:val="18"/>
        </w:rPr>
        <w:t xml:space="preserve"> Estadísticas de la policía de Austria sobre delitos.</w:t>
      </w:r>
    </w:p>
    <w:p w14:paraId="0702C082" w14:textId="77777777" w:rsidR="009612CC" w:rsidRPr="005B30A9" w:rsidRDefault="009612CC" w:rsidP="00045B2A">
      <w:pPr>
        <w:pStyle w:val="Table1G"/>
      </w:pPr>
      <w:r w:rsidRPr="005B30A9">
        <w:t>Cuadro 3</w:t>
      </w:r>
    </w:p>
    <w:p w14:paraId="0F9FE976" w14:textId="77777777" w:rsidR="009612CC" w:rsidRPr="005B30A9" w:rsidRDefault="009612CC" w:rsidP="00045B2A">
      <w:pPr>
        <w:pStyle w:val="SingleTxtG"/>
        <w:jc w:val="left"/>
        <w:rPr>
          <w:b/>
          <w:bCs/>
        </w:rPr>
      </w:pPr>
      <w:r w:rsidRPr="005B30A9">
        <w:rPr>
          <w:b/>
          <w:bCs/>
        </w:rPr>
        <w:t>Número de relaciones entre delincuentes y víctimas de delitos contra la vida y la integridad física: comparación quinquenal (2018-2022), por tipo de relación</w:t>
      </w:r>
    </w:p>
    <w:tbl>
      <w:tblPr>
        <w:tblW w:w="7371" w:type="dxa"/>
        <w:tblInd w:w="1134" w:type="dxa"/>
        <w:tblBorders>
          <w:top w:val="single" w:sz="4" w:space="0" w:color="auto"/>
        </w:tblBorders>
        <w:tblLayout w:type="fixed"/>
        <w:tblCellMar>
          <w:left w:w="0" w:type="dxa"/>
          <w:right w:w="0" w:type="dxa"/>
        </w:tblCellMar>
        <w:tblLook w:val="0420" w:firstRow="1" w:lastRow="0" w:firstColumn="0" w:lastColumn="0" w:noHBand="0" w:noVBand="1"/>
      </w:tblPr>
      <w:tblGrid>
        <w:gridCol w:w="2977"/>
        <w:gridCol w:w="878"/>
        <w:gridCol w:w="879"/>
        <w:gridCol w:w="879"/>
        <w:gridCol w:w="879"/>
        <w:gridCol w:w="879"/>
      </w:tblGrid>
      <w:tr w:rsidR="005C7EA1" w:rsidRPr="005B30A9" w14:paraId="246F05A2" w14:textId="77777777" w:rsidTr="00A45123">
        <w:trPr>
          <w:trHeight w:val="240"/>
          <w:tblHeader/>
        </w:trPr>
        <w:tc>
          <w:tcPr>
            <w:tcW w:w="2977" w:type="dxa"/>
            <w:tcBorders>
              <w:top w:val="single" w:sz="4" w:space="0" w:color="auto"/>
              <w:bottom w:val="single" w:sz="12" w:space="0" w:color="auto"/>
            </w:tcBorders>
            <w:shd w:val="clear" w:color="auto" w:fill="auto"/>
            <w:noWrap/>
            <w:vAlign w:val="bottom"/>
            <w:hideMark/>
          </w:tcPr>
          <w:p w14:paraId="04CC0A1F" w14:textId="77777777" w:rsidR="009612CC" w:rsidRPr="005B30A9" w:rsidRDefault="009612CC" w:rsidP="005C7EA1">
            <w:pPr>
              <w:pStyle w:val="SingleTxtG"/>
              <w:tabs>
                <w:tab w:val="clear" w:pos="1701"/>
                <w:tab w:val="clear" w:pos="2268"/>
                <w:tab w:val="clear" w:pos="2835"/>
              </w:tabs>
              <w:spacing w:before="80" w:after="80" w:line="200" w:lineRule="exact"/>
              <w:ind w:left="0" w:right="0"/>
              <w:jc w:val="left"/>
              <w:rPr>
                <w:i/>
                <w:sz w:val="16"/>
              </w:rPr>
            </w:pPr>
            <w:r w:rsidRPr="005B30A9">
              <w:rPr>
                <w:i/>
                <w:iCs/>
                <w:sz w:val="16"/>
              </w:rPr>
              <w:t>Relación</w:t>
            </w:r>
          </w:p>
        </w:tc>
        <w:tc>
          <w:tcPr>
            <w:tcW w:w="878" w:type="dxa"/>
            <w:tcBorders>
              <w:top w:val="single" w:sz="4" w:space="0" w:color="auto"/>
              <w:bottom w:val="single" w:sz="12" w:space="0" w:color="auto"/>
            </w:tcBorders>
            <w:shd w:val="clear" w:color="auto" w:fill="auto"/>
            <w:noWrap/>
            <w:vAlign w:val="bottom"/>
            <w:hideMark/>
          </w:tcPr>
          <w:p w14:paraId="22ACE7DC"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2018</w:t>
            </w:r>
          </w:p>
        </w:tc>
        <w:tc>
          <w:tcPr>
            <w:tcW w:w="879" w:type="dxa"/>
            <w:tcBorders>
              <w:top w:val="single" w:sz="4" w:space="0" w:color="auto"/>
              <w:bottom w:val="single" w:sz="12" w:space="0" w:color="auto"/>
            </w:tcBorders>
            <w:shd w:val="clear" w:color="auto" w:fill="auto"/>
            <w:noWrap/>
            <w:vAlign w:val="bottom"/>
            <w:hideMark/>
          </w:tcPr>
          <w:p w14:paraId="5E4796EC"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2019</w:t>
            </w:r>
          </w:p>
        </w:tc>
        <w:tc>
          <w:tcPr>
            <w:tcW w:w="879" w:type="dxa"/>
            <w:tcBorders>
              <w:top w:val="single" w:sz="4" w:space="0" w:color="auto"/>
              <w:bottom w:val="single" w:sz="12" w:space="0" w:color="auto"/>
            </w:tcBorders>
            <w:shd w:val="clear" w:color="auto" w:fill="auto"/>
            <w:noWrap/>
            <w:vAlign w:val="bottom"/>
            <w:hideMark/>
          </w:tcPr>
          <w:p w14:paraId="7B75B7D1"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2020</w:t>
            </w:r>
          </w:p>
        </w:tc>
        <w:tc>
          <w:tcPr>
            <w:tcW w:w="879" w:type="dxa"/>
            <w:tcBorders>
              <w:top w:val="single" w:sz="4" w:space="0" w:color="auto"/>
              <w:bottom w:val="single" w:sz="12" w:space="0" w:color="auto"/>
            </w:tcBorders>
            <w:shd w:val="clear" w:color="auto" w:fill="auto"/>
            <w:noWrap/>
            <w:vAlign w:val="bottom"/>
            <w:hideMark/>
          </w:tcPr>
          <w:p w14:paraId="6E19D631"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2021</w:t>
            </w:r>
          </w:p>
        </w:tc>
        <w:tc>
          <w:tcPr>
            <w:tcW w:w="879" w:type="dxa"/>
            <w:tcBorders>
              <w:top w:val="single" w:sz="4" w:space="0" w:color="auto"/>
              <w:bottom w:val="single" w:sz="12" w:space="0" w:color="auto"/>
            </w:tcBorders>
            <w:shd w:val="clear" w:color="auto" w:fill="auto"/>
            <w:noWrap/>
            <w:vAlign w:val="bottom"/>
            <w:hideMark/>
          </w:tcPr>
          <w:p w14:paraId="703B0D02"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2022</w:t>
            </w:r>
          </w:p>
        </w:tc>
      </w:tr>
      <w:tr w:rsidR="005C7EA1" w:rsidRPr="005B30A9" w14:paraId="7DB90855" w14:textId="77777777" w:rsidTr="00A45123">
        <w:trPr>
          <w:trHeight w:val="240"/>
        </w:trPr>
        <w:tc>
          <w:tcPr>
            <w:tcW w:w="2977" w:type="dxa"/>
            <w:tcBorders>
              <w:top w:val="single" w:sz="12" w:space="0" w:color="auto"/>
            </w:tcBorders>
            <w:shd w:val="clear" w:color="auto" w:fill="auto"/>
            <w:noWrap/>
            <w:hideMark/>
          </w:tcPr>
          <w:p w14:paraId="5237CDB9" w14:textId="77777777" w:rsidR="009612CC" w:rsidRPr="005B30A9" w:rsidRDefault="009612CC" w:rsidP="005C7EA1">
            <w:pPr>
              <w:pStyle w:val="SingleTxtG"/>
              <w:tabs>
                <w:tab w:val="clear" w:pos="1701"/>
                <w:tab w:val="clear" w:pos="2268"/>
                <w:tab w:val="clear" w:pos="2835"/>
              </w:tabs>
              <w:spacing w:before="40" w:after="40" w:line="220" w:lineRule="exact"/>
              <w:ind w:left="0" w:right="0"/>
              <w:jc w:val="left"/>
              <w:rPr>
                <w:bCs/>
                <w:sz w:val="18"/>
              </w:rPr>
            </w:pPr>
            <w:r w:rsidRPr="005B30A9">
              <w:rPr>
                <w:sz w:val="18"/>
              </w:rPr>
              <w:t>Conocido</w:t>
            </w:r>
          </w:p>
        </w:tc>
        <w:tc>
          <w:tcPr>
            <w:tcW w:w="878" w:type="dxa"/>
            <w:tcBorders>
              <w:top w:val="single" w:sz="12" w:space="0" w:color="auto"/>
            </w:tcBorders>
            <w:shd w:val="clear" w:color="auto" w:fill="auto"/>
            <w:noWrap/>
            <w:vAlign w:val="bottom"/>
            <w:hideMark/>
          </w:tcPr>
          <w:p w14:paraId="41DC230D" w14:textId="5D9ED9FD"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10</w:t>
            </w:r>
            <w:r w:rsidR="00FD107B" w:rsidRPr="005B30A9">
              <w:rPr>
                <w:sz w:val="18"/>
              </w:rPr>
              <w:t xml:space="preserve"> </w:t>
            </w:r>
            <w:r w:rsidRPr="005B30A9">
              <w:rPr>
                <w:sz w:val="18"/>
              </w:rPr>
              <w:t>503</w:t>
            </w:r>
          </w:p>
        </w:tc>
        <w:tc>
          <w:tcPr>
            <w:tcW w:w="879" w:type="dxa"/>
            <w:tcBorders>
              <w:top w:val="single" w:sz="12" w:space="0" w:color="auto"/>
            </w:tcBorders>
            <w:shd w:val="clear" w:color="auto" w:fill="auto"/>
            <w:noWrap/>
            <w:vAlign w:val="bottom"/>
            <w:hideMark/>
          </w:tcPr>
          <w:p w14:paraId="35397254" w14:textId="36C4350A"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11</w:t>
            </w:r>
            <w:r w:rsidR="00FD107B" w:rsidRPr="005B30A9">
              <w:rPr>
                <w:sz w:val="18"/>
              </w:rPr>
              <w:t xml:space="preserve"> </w:t>
            </w:r>
            <w:r w:rsidRPr="005B30A9">
              <w:rPr>
                <w:sz w:val="18"/>
              </w:rPr>
              <w:t>023</w:t>
            </w:r>
          </w:p>
        </w:tc>
        <w:tc>
          <w:tcPr>
            <w:tcW w:w="879" w:type="dxa"/>
            <w:tcBorders>
              <w:top w:val="single" w:sz="12" w:space="0" w:color="auto"/>
            </w:tcBorders>
            <w:shd w:val="clear" w:color="auto" w:fill="auto"/>
            <w:noWrap/>
            <w:vAlign w:val="bottom"/>
            <w:hideMark/>
          </w:tcPr>
          <w:p w14:paraId="77E3DABA" w14:textId="772720B6"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9</w:t>
            </w:r>
            <w:r w:rsidR="00FD107B" w:rsidRPr="005B30A9">
              <w:rPr>
                <w:sz w:val="18"/>
              </w:rPr>
              <w:t xml:space="preserve"> </w:t>
            </w:r>
            <w:r w:rsidRPr="005B30A9">
              <w:rPr>
                <w:sz w:val="18"/>
              </w:rPr>
              <w:t>789</w:t>
            </w:r>
          </w:p>
        </w:tc>
        <w:tc>
          <w:tcPr>
            <w:tcW w:w="879" w:type="dxa"/>
            <w:tcBorders>
              <w:top w:val="single" w:sz="12" w:space="0" w:color="auto"/>
            </w:tcBorders>
            <w:shd w:val="clear" w:color="auto" w:fill="auto"/>
            <w:noWrap/>
            <w:vAlign w:val="bottom"/>
            <w:hideMark/>
          </w:tcPr>
          <w:p w14:paraId="7B4B0615" w14:textId="42ECAFBE"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9</w:t>
            </w:r>
            <w:r w:rsidR="00FD107B" w:rsidRPr="005B30A9">
              <w:rPr>
                <w:sz w:val="18"/>
              </w:rPr>
              <w:t xml:space="preserve"> </w:t>
            </w:r>
            <w:r w:rsidRPr="005B30A9">
              <w:rPr>
                <w:sz w:val="18"/>
              </w:rPr>
              <w:t>656</w:t>
            </w:r>
          </w:p>
        </w:tc>
        <w:tc>
          <w:tcPr>
            <w:tcW w:w="879" w:type="dxa"/>
            <w:tcBorders>
              <w:top w:val="single" w:sz="12" w:space="0" w:color="auto"/>
            </w:tcBorders>
            <w:shd w:val="clear" w:color="auto" w:fill="auto"/>
            <w:noWrap/>
            <w:vAlign w:val="bottom"/>
            <w:hideMark/>
          </w:tcPr>
          <w:p w14:paraId="08353EDB" w14:textId="77452B5B"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11</w:t>
            </w:r>
            <w:r w:rsidR="00FD107B" w:rsidRPr="005B30A9">
              <w:rPr>
                <w:sz w:val="18"/>
              </w:rPr>
              <w:t xml:space="preserve"> </w:t>
            </w:r>
            <w:r w:rsidRPr="005B30A9">
              <w:rPr>
                <w:sz w:val="18"/>
              </w:rPr>
              <w:t>621</w:t>
            </w:r>
          </w:p>
        </w:tc>
      </w:tr>
      <w:tr w:rsidR="005C7EA1" w:rsidRPr="005B30A9" w14:paraId="3C9E10BA" w14:textId="77777777" w:rsidTr="00A45123">
        <w:trPr>
          <w:trHeight w:val="240"/>
        </w:trPr>
        <w:tc>
          <w:tcPr>
            <w:tcW w:w="2977" w:type="dxa"/>
            <w:shd w:val="clear" w:color="auto" w:fill="auto"/>
            <w:noWrap/>
            <w:hideMark/>
          </w:tcPr>
          <w:p w14:paraId="3E81AE99" w14:textId="77777777" w:rsidR="009612CC" w:rsidRPr="005B30A9" w:rsidRDefault="009612CC" w:rsidP="005C7EA1">
            <w:pPr>
              <w:pStyle w:val="SingleTxtG"/>
              <w:tabs>
                <w:tab w:val="clear" w:pos="1701"/>
                <w:tab w:val="clear" w:pos="2268"/>
                <w:tab w:val="clear" w:pos="2835"/>
              </w:tabs>
              <w:spacing w:before="40" w:after="40" w:line="220" w:lineRule="exact"/>
              <w:ind w:left="0" w:right="0"/>
              <w:jc w:val="left"/>
              <w:rPr>
                <w:bCs/>
                <w:sz w:val="18"/>
              </w:rPr>
            </w:pPr>
            <w:r w:rsidRPr="005B30A9">
              <w:rPr>
                <w:sz w:val="18"/>
              </w:rPr>
              <w:t>Miembro de la familia que vive en el mismo hogar</w:t>
            </w:r>
          </w:p>
        </w:tc>
        <w:tc>
          <w:tcPr>
            <w:tcW w:w="878" w:type="dxa"/>
            <w:shd w:val="clear" w:color="auto" w:fill="auto"/>
            <w:noWrap/>
            <w:vAlign w:val="bottom"/>
            <w:hideMark/>
          </w:tcPr>
          <w:p w14:paraId="1013F808" w14:textId="334BB2C8"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6</w:t>
            </w:r>
            <w:r w:rsidR="00FD107B" w:rsidRPr="005B30A9">
              <w:rPr>
                <w:sz w:val="18"/>
              </w:rPr>
              <w:t xml:space="preserve"> </w:t>
            </w:r>
            <w:r w:rsidRPr="005B30A9">
              <w:rPr>
                <w:sz w:val="18"/>
              </w:rPr>
              <w:t>699</w:t>
            </w:r>
          </w:p>
        </w:tc>
        <w:tc>
          <w:tcPr>
            <w:tcW w:w="879" w:type="dxa"/>
            <w:shd w:val="clear" w:color="auto" w:fill="auto"/>
            <w:noWrap/>
            <w:vAlign w:val="bottom"/>
            <w:hideMark/>
          </w:tcPr>
          <w:p w14:paraId="691EF337" w14:textId="47B0B3FA"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7</w:t>
            </w:r>
            <w:r w:rsidR="00FD107B" w:rsidRPr="005B30A9">
              <w:rPr>
                <w:sz w:val="18"/>
              </w:rPr>
              <w:t xml:space="preserve"> </w:t>
            </w:r>
            <w:r w:rsidRPr="005B30A9">
              <w:rPr>
                <w:sz w:val="18"/>
              </w:rPr>
              <w:t>151</w:t>
            </w:r>
          </w:p>
        </w:tc>
        <w:tc>
          <w:tcPr>
            <w:tcW w:w="879" w:type="dxa"/>
            <w:shd w:val="clear" w:color="auto" w:fill="auto"/>
            <w:noWrap/>
            <w:vAlign w:val="bottom"/>
            <w:hideMark/>
          </w:tcPr>
          <w:p w14:paraId="63657A8B" w14:textId="4124E990"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7</w:t>
            </w:r>
            <w:r w:rsidR="00FD107B" w:rsidRPr="005B30A9">
              <w:rPr>
                <w:sz w:val="18"/>
              </w:rPr>
              <w:t xml:space="preserve"> </w:t>
            </w:r>
            <w:r w:rsidRPr="005B30A9">
              <w:rPr>
                <w:sz w:val="18"/>
              </w:rPr>
              <w:t>271</w:t>
            </w:r>
          </w:p>
        </w:tc>
        <w:tc>
          <w:tcPr>
            <w:tcW w:w="879" w:type="dxa"/>
            <w:shd w:val="clear" w:color="auto" w:fill="auto"/>
            <w:noWrap/>
            <w:vAlign w:val="bottom"/>
            <w:hideMark/>
          </w:tcPr>
          <w:p w14:paraId="471B001C" w14:textId="519D7D2E"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7</w:t>
            </w:r>
            <w:r w:rsidR="00FD107B" w:rsidRPr="005B30A9">
              <w:rPr>
                <w:sz w:val="18"/>
              </w:rPr>
              <w:t xml:space="preserve"> </w:t>
            </w:r>
            <w:r w:rsidRPr="005B30A9">
              <w:rPr>
                <w:sz w:val="18"/>
              </w:rPr>
              <w:t>151</w:t>
            </w:r>
          </w:p>
        </w:tc>
        <w:tc>
          <w:tcPr>
            <w:tcW w:w="879" w:type="dxa"/>
            <w:shd w:val="clear" w:color="auto" w:fill="auto"/>
            <w:noWrap/>
            <w:vAlign w:val="bottom"/>
            <w:hideMark/>
          </w:tcPr>
          <w:p w14:paraId="71E0154D" w14:textId="003DB230"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7</w:t>
            </w:r>
            <w:r w:rsidR="00FD107B" w:rsidRPr="005B30A9">
              <w:rPr>
                <w:sz w:val="18"/>
              </w:rPr>
              <w:t xml:space="preserve"> </w:t>
            </w:r>
            <w:r w:rsidRPr="005B30A9">
              <w:rPr>
                <w:sz w:val="18"/>
              </w:rPr>
              <w:t>471</w:t>
            </w:r>
          </w:p>
        </w:tc>
      </w:tr>
      <w:tr w:rsidR="005C7EA1" w:rsidRPr="005B30A9" w14:paraId="6348A98D" w14:textId="77777777" w:rsidTr="00A45123">
        <w:trPr>
          <w:trHeight w:val="240"/>
        </w:trPr>
        <w:tc>
          <w:tcPr>
            <w:tcW w:w="2977" w:type="dxa"/>
            <w:shd w:val="clear" w:color="auto" w:fill="auto"/>
            <w:noWrap/>
            <w:hideMark/>
          </w:tcPr>
          <w:p w14:paraId="16F47CD3" w14:textId="77777777" w:rsidR="009612CC" w:rsidRPr="005B30A9" w:rsidRDefault="009612CC" w:rsidP="005C7EA1">
            <w:pPr>
              <w:pStyle w:val="SingleTxtG"/>
              <w:tabs>
                <w:tab w:val="clear" w:pos="1701"/>
                <w:tab w:val="clear" w:pos="2268"/>
                <w:tab w:val="clear" w:pos="2835"/>
              </w:tabs>
              <w:spacing w:before="40" w:after="40" w:line="220" w:lineRule="exact"/>
              <w:ind w:left="0" w:right="0"/>
              <w:jc w:val="left"/>
              <w:rPr>
                <w:bCs/>
                <w:sz w:val="18"/>
              </w:rPr>
            </w:pPr>
            <w:r w:rsidRPr="005B30A9">
              <w:rPr>
                <w:sz w:val="18"/>
              </w:rPr>
              <w:t>Miembros de la familia que no vive en el mismo hogar</w:t>
            </w:r>
          </w:p>
        </w:tc>
        <w:tc>
          <w:tcPr>
            <w:tcW w:w="878" w:type="dxa"/>
            <w:shd w:val="clear" w:color="auto" w:fill="auto"/>
            <w:noWrap/>
            <w:vAlign w:val="bottom"/>
            <w:hideMark/>
          </w:tcPr>
          <w:p w14:paraId="3C65688B" w14:textId="6E450DE3"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3</w:t>
            </w:r>
            <w:r w:rsidR="00FD107B" w:rsidRPr="005B30A9">
              <w:rPr>
                <w:sz w:val="18"/>
              </w:rPr>
              <w:t xml:space="preserve"> </w:t>
            </w:r>
            <w:r w:rsidRPr="005B30A9">
              <w:rPr>
                <w:sz w:val="18"/>
              </w:rPr>
              <w:t>075</w:t>
            </w:r>
          </w:p>
        </w:tc>
        <w:tc>
          <w:tcPr>
            <w:tcW w:w="879" w:type="dxa"/>
            <w:shd w:val="clear" w:color="auto" w:fill="auto"/>
            <w:noWrap/>
            <w:vAlign w:val="bottom"/>
            <w:hideMark/>
          </w:tcPr>
          <w:p w14:paraId="196877B0" w14:textId="37865C29"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3</w:t>
            </w:r>
            <w:r w:rsidR="00FD107B" w:rsidRPr="005B30A9">
              <w:rPr>
                <w:sz w:val="18"/>
              </w:rPr>
              <w:t xml:space="preserve"> </w:t>
            </w:r>
            <w:r w:rsidRPr="005B30A9">
              <w:rPr>
                <w:sz w:val="18"/>
              </w:rPr>
              <w:t>171</w:t>
            </w:r>
          </w:p>
        </w:tc>
        <w:tc>
          <w:tcPr>
            <w:tcW w:w="879" w:type="dxa"/>
            <w:shd w:val="clear" w:color="auto" w:fill="auto"/>
            <w:noWrap/>
            <w:vAlign w:val="bottom"/>
            <w:hideMark/>
          </w:tcPr>
          <w:p w14:paraId="57C45096" w14:textId="3294CFCE"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3</w:t>
            </w:r>
            <w:r w:rsidR="00FD107B" w:rsidRPr="005B30A9">
              <w:rPr>
                <w:sz w:val="18"/>
              </w:rPr>
              <w:t xml:space="preserve"> </w:t>
            </w:r>
            <w:r w:rsidRPr="005B30A9">
              <w:rPr>
                <w:sz w:val="18"/>
              </w:rPr>
              <w:t>074</w:t>
            </w:r>
          </w:p>
        </w:tc>
        <w:tc>
          <w:tcPr>
            <w:tcW w:w="879" w:type="dxa"/>
            <w:shd w:val="clear" w:color="auto" w:fill="auto"/>
            <w:noWrap/>
            <w:vAlign w:val="bottom"/>
            <w:hideMark/>
          </w:tcPr>
          <w:p w14:paraId="2154666E" w14:textId="797B5A9D"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3</w:t>
            </w:r>
            <w:r w:rsidR="00FD107B" w:rsidRPr="005B30A9">
              <w:rPr>
                <w:sz w:val="18"/>
              </w:rPr>
              <w:t xml:space="preserve"> </w:t>
            </w:r>
            <w:r w:rsidRPr="005B30A9">
              <w:rPr>
                <w:sz w:val="18"/>
              </w:rPr>
              <w:t>371</w:t>
            </w:r>
          </w:p>
        </w:tc>
        <w:tc>
          <w:tcPr>
            <w:tcW w:w="879" w:type="dxa"/>
            <w:shd w:val="clear" w:color="auto" w:fill="auto"/>
            <w:noWrap/>
            <w:vAlign w:val="bottom"/>
            <w:hideMark/>
          </w:tcPr>
          <w:p w14:paraId="3DEA5EEE" w14:textId="7D99805A"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3</w:t>
            </w:r>
            <w:r w:rsidR="00FD107B" w:rsidRPr="005B30A9">
              <w:rPr>
                <w:sz w:val="18"/>
              </w:rPr>
              <w:t xml:space="preserve"> </w:t>
            </w:r>
            <w:r w:rsidRPr="005B30A9">
              <w:rPr>
                <w:sz w:val="18"/>
              </w:rPr>
              <w:t>270</w:t>
            </w:r>
          </w:p>
        </w:tc>
      </w:tr>
      <w:tr w:rsidR="005C7EA1" w:rsidRPr="005B30A9" w14:paraId="7EF7FEDB" w14:textId="77777777" w:rsidTr="00A45123">
        <w:trPr>
          <w:trHeight w:val="240"/>
        </w:trPr>
        <w:tc>
          <w:tcPr>
            <w:tcW w:w="2977" w:type="dxa"/>
            <w:shd w:val="clear" w:color="auto" w:fill="auto"/>
            <w:noWrap/>
            <w:hideMark/>
          </w:tcPr>
          <w:p w14:paraId="759D5EEF" w14:textId="77777777" w:rsidR="009612CC" w:rsidRPr="005B30A9" w:rsidRDefault="009612CC" w:rsidP="005C7EA1">
            <w:pPr>
              <w:pStyle w:val="SingleTxtG"/>
              <w:tabs>
                <w:tab w:val="clear" w:pos="1701"/>
                <w:tab w:val="clear" w:pos="2268"/>
                <w:tab w:val="clear" w:pos="2835"/>
              </w:tabs>
              <w:spacing w:before="40" w:after="40" w:line="220" w:lineRule="exact"/>
              <w:ind w:left="0" w:right="0"/>
              <w:jc w:val="left"/>
              <w:rPr>
                <w:bCs/>
                <w:sz w:val="18"/>
              </w:rPr>
            </w:pPr>
            <w:r w:rsidRPr="005B30A9">
              <w:rPr>
                <w:sz w:val="18"/>
              </w:rPr>
              <w:t>Ninguna</w:t>
            </w:r>
          </w:p>
        </w:tc>
        <w:tc>
          <w:tcPr>
            <w:tcW w:w="878" w:type="dxa"/>
            <w:shd w:val="clear" w:color="auto" w:fill="auto"/>
            <w:noWrap/>
            <w:vAlign w:val="bottom"/>
            <w:hideMark/>
          </w:tcPr>
          <w:p w14:paraId="314FF96D" w14:textId="54E2625D"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17</w:t>
            </w:r>
            <w:r w:rsidR="00FD107B" w:rsidRPr="005B30A9">
              <w:rPr>
                <w:sz w:val="18"/>
              </w:rPr>
              <w:t xml:space="preserve"> </w:t>
            </w:r>
            <w:r w:rsidRPr="005B30A9">
              <w:rPr>
                <w:sz w:val="18"/>
              </w:rPr>
              <w:t>063</w:t>
            </w:r>
          </w:p>
        </w:tc>
        <w:tc>
          <w:tcPr>
            <w:tcW w:w="879" w:type="dxa"/>
            <w:shd w:val="clear" w:color="auto" w:fill="auto"/>
            <w:noWrap/>
            <w:vAlign w:val="bottom"/>
            <w:hideMark/>
          </w:tcPr>
          <w:p w14:paraId="64209526" w14:textId="5707BDAE"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18</w:t>
            </w:r>
            <w:r w:rsidR="00FD107B" w:rsidRPr="005B30A9">
              <w:rPr>
                <w:sz w:val="18"/>
              </w:rPr>
              <w:t xml:space="preserve"> </w:t>
            </w:r>
            <w:r w:rsidRPr="005B30A9">
              <w:rPr>
                <w:sz w:val="18"/>
              </w:rPr>
              <w:t>535</w:t>
            </w:r>
          </w:p>
        </w:tc>
        <w:tc>
          <w:tcPr>
            <w:tcW w:w="879" w:type="dxa"/>
            <w:shd w:val="clear" w:color="auto" w:fill="auto"/>
            <w:noWrap/>
            <w:vAlign w:val="bottom"/>
            <w:hideMark/>
          </w:tcPr>
          <w:p w14:paraId="5106C8BE" w14:textId="4EE617EB"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16</w:t>
            </w:r>
            <w:r w:rsidR="00FD107B" w:rsidRPr="005B30A9">
              <w:rPr>
                <w:sz w:val="18"/>
              </w:rPr>
              <w:t xml:space="preserve"> </w:t>
            </w:r>
            <w:r w:rsidRPr="005B30A9">
              <w:rPr>
                <w:sz w:val="18"/>
              </w:rPr>
              <w:t>001</w:t>
            </w:r>
          </w:p>
        </w:tc>
        <w:tc>
          <w:tcPr>
            <w:tcW w:w="879" w:type="dxa"/>
            <w:shd w:val="clear" w:color="auto" w:fill="auto"/>
            <w:noWrap/>
            <w:vAlign w:val="bottom"/>
            <w:hideMark/>
          </w:tcPr>
          <w:p w14:paraId="0C4FF71F" w14:textId="1A5AB248"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14</w:t>
            </w:r>
            <w:r w:rsidR="00FD107B" w:rsidRPr="005B30A9">
              <w:rPr>
                <w:sz w:val="18"/>
              </w:rPr>
              <w:t xml:space="preserve"> </w:t>
            </w:r>
            <w:r w:rsidRPr="005B30A9">
              <w:rPr>
                <w:sz w:val="18"/>
              </w:rPr>
              <w:t>697</w:t>
            </w:r>
          </w:p>
        </w:tc>
        <w:tc>
          <w:tcPr>
            <w:tcW w:w="879" w:type="dxa"/>
            <w:shd w:val="clear" w:color="auto" w:fill="auto"/>
            <w:noWrap/>
            <w:vAlign w:val="bottom"/>
            <w:hideMark/>
          </w:tcPr>
          <w:p w14:paraId="72C8086C" w14:textId="65007655"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19</w:t>
            </w:r>
            <w:r w:rsidR="00FD107B" w:rsidRPr="005B30A9">
              <w:rPr>
                <w:sz w:val="18"/>
              </w:rPr>
              <w:t xml:space="preserve"> </w:t>
            </w:r>
            <w:r w:rsidRPr="005B30A9">
              <w:rPr>
                <w:sz w:val="18"/>
              </w:rPr>
              <w:t>332</w:t>
            </w:r>
          </w:p>
        </w:tc>
      </w:tr>
      <w:tr w:rsidR="005C7EA1" w:rsidRPr="005B30A9" w14:paraId="12EB1DE1" w14:textId="77777777" w:rsidTr="00A45123">
        <w:trPr>
          <w:trHeight w:val="240"/>
        </w:trPr>
        <w:tc>
          <w:tcPr>
            <w:tcW w:w="2977" w:type="dxa"/>
            <w:shd w:val="clear" w:color="auto" w:fill="auto"/>
            <w:noWrap/>
            <w:hideMark/>
          </w:tcPr>
          <w:p w14:paraId="0AF91FDB" w14:textId="77777777" w:rsidR="009612CC" w:rsidRPr="005B30A9" w:rsidRDefault="009612CC" w:rsidP="005C7EA1">
            <w:pPr>
              <w:pStyle w:val="SingleTxtG"/>
              <w:tabs>
                <w:tab w:val="clear" w:pos="1701"/>
                <w:tab w:val="clear" w:pos="2268"/>
                <w:tab w:val="clear" w:pos="2835"/>
              </w:tabs>
              <w:spacing w:before="40" w:after="40" w:line="220" w:lineRule="exact"/>
              <w:ind w:left="0" w:right="0"/>
              <w:jc w:val="left"/>
              <w:rPr>
                <w:bCs/>
                <w:sz w:val="18"/>
              </w:rPr>
            </w:pPr>
            <w:r w:rsidRPr="005B30A9">
              <w:rPr>
                <w:sz w:val="18"/>
              </w:rPr>
              <w:t>Desconocida</w:t>
            </w:r>
          </w:p>
        </w:tc>
        <w:tc>
          <w:tcPr>
            <w:tcW w:w="878" w:type="dxa"/>
            <w:shd w:val="clear" w:color="auto" w:fill="auto"/>
            <w:noWrap/>
            <w:vAlign w:val="bottom"/>
            <w:hideMark/>
          </w:tcPr>
          <w:p w14:paraId="1247D79F"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854</w:t>
            </w:r>
          </w:p>
        </w:tc>
        <w:tc>
          <w:tcPr>
            <w:tcW w:w="879" w:type="dxa"/>
            <w:shd w:val="clear" w:color="auto" w:fill="auto"/>
            <w:noWrap/>
            <w:vAlign w:val="bottom"/>
            <w:hideMark/>
          </w:tcPr>
          <w:p w14:paraId="6927B80A"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722</w:t>
            </w:r>
          </w:p>
        </w:tc>
        <w:tc>
          <w:tcPr>
            <w:tcW w:w="879" w:type="dxa"/>
            <w:shd w:val="clear" w:color="auto" w:fill="auto"/>
            <w:noWrap/>
            <w:vAlign w:val="bottom"/>
            <w:hideMark/>
          </w:tcPr>
          <w:p w14:paraId="33CC4A33"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471</w:t>
            </w:r>
          </w:p>
        </w:tc>
        <w:tc>
          <w:tcPr>
            <w:tcW w:w="879" w:type="dxa"/>
            <w:shd w:val="clear" w:color="auto" w:fill="auto"/>
            <w:noWrap/>
            <w:vAlign w:val="bottom"/>
            <w:hideMark/>
          </w:tcPr>
          <w:p w14:paraId="3F4755F4"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413</w:t>
            </w:r>
          </w:p>
        </w:tc>
        <w:tc>
          <w:tcPr>
            <w:tcW w:w="879" w:type="dxa"/>
            <w:shd w:val="clear" w:color="auto" w:fill="auto"/>
            <w:noWrap/>
            <w:vAlign w:val="bottom"/>
            <w:hideMark/>
          </w:tcPr>
          <w:p w14:paraId="2EB939CC"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545</w:t>
            </w:r>
          </w:p>
        </w:tc>
      </w:tr>
      <w:tr w:rsidR="005C7EA1" w:rsidRPr="005B30A9" w14:paraId="46F7C675" w14:textId="77777777" w:rsidTr="00A45123">
        <w:trPr>
          <w:trHeight w:val="240"/>
        </w:trPr>
        <w:tc>
          <w:tcPr>
            <w:tcW w:w="2977" w:type="dxa"/>
            <w:tcBorders>
              <w:bottom w:val="single" w:sz="4" w:space="0" w:color="auto"/>
            </w:tcBorders>
            <w:shd w:val="clear" w:color="auto" w:fill="auto"/>
            <w:noWrap/>
            <w:hideMark/>
          </w:tcPr>
          <w:p w14:paraId="60E60140" w14:textId="77777777" w:rsidR="009612CC" w:rsidRPr="005B30A9" w:rsidRDefault="009612CC" w:rsidP="005C7EA1">
            <w:pPr>
              <w:pStyle w:val="SingleTxtG"/>
              <w:tabs>
                <w:tab w:val="clear" w:pos="1701"/>
                <w:tab w:val="clear" w:pos="2268"/>
                <w:tab w:val="clear" w:pos="2835"/>
              </w:tabs>
              <w:spacing w:before="40" w:after="40" w:line="220" w:lineRule="exact"/>
              <w:ind w:left="0" w:right="0"/>
              <w:jc w:val="left"/>
              <w:rPr>
                <w:bCs/>
                <w:sz w:val="18"/>
              </w:rPr>
            </w:pPr>
            <w:r w:rsidRPr="005B30A9">
              <w:rPr>
                <w:sz w:val="18"/>
              </w:rPr>
              <w:t>Conocido casual</w:t>
            </w:r>
          </w:p>
        </w:tc>
        <w:tc>
          <w:tcPr>
            <w:tcW w:w="878" w:type="dxa"/>
            <w:tcBorders>
              <w:bottom w:val="single" w:sz="4" w:space="0" w:color="auto"/>
            </w:tcBorders>
            <w:shd w:val="clear" w:color="auto" w:fill="auto"/>
            <w:noWrap/>
            <w:vAlign w:val="bottom"/>
            <w:hideMark/>
          </w:tcPr>
          <w:p w14:paraId="72CADD26" w14:textId="6E608672"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2</w:t>
            </w:r>
            <w:r w:rsidR="00FD107B" w:rsidRPr="005B30A9">
              <w:rPr>
                <w:sz w:val="18"/>
              </w:rPr>
              <w:t xml:space="preserve"> </w:t>
            </w:r>
            <w:r w:rsidRPr="005B30A9">
              <w:rPr>
                <w:sz w:val="18"/>
              </w:rPr>
              <w:t>173</w:t>
            </w:r>
          </w:p>
        </w:tc>
        <w:tc>
          <w:tcPr>
            <w:tcW w:w="879" w:type="dxa"/>
            <w:tcBorders>
              <w:bottom w:val="single" w:sz="4" w:space="0" w:color="auto"/>
            </w:tcBorders>
            <w:shd w:val="clear" w:color="auto" w:fill="auto"/>
            <w:noWrap/>
            <w:vAlign w:val="bottom"/>
            <w:hideMark/>
          </w:tcPr>
          <w:p w14:paraId="6B92E008" w14:textId="4EB44683"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2</w:t>
            </w:r>
            <w:r w:rsidR="00FD107B" w:rsidRPr="005B30A9">
              <w:rPr>
                <w:sz w:val="18"/>
              </w:rPr>
              <w:t xml:space="preserve"> </w:t>
            </w:r>
            <w:r w:rsidRPr="005B30A9">
              <w:rPr>
                <w:sz w:val="18"/>
              </w:rPr>
              <w:t>549</w:t>
            </w:r>
          </w:p>
        </w:tc>
        <w:tc>
          <w:tcPr>
            <w:tcW w:w="879" w:type="dxa"/>
            <w:tcBorders>
              <w:bottom w:val="single" w:sz="4" w:space="0" w:color="auto"/>
            </w:tcBorders>
            <w:shd w:val="clear" w:color="auto" w:fill="auto"/>
            <w:noWrap/>
            <w:vAlign w:val="bottom"/>
            <w:hideMark/>
          </w:tcPr>
          <w:p w14:paraId="7CA97C07" w14:textId="6761BBBD"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2</w:t>
            </w:r>
            <w:r w:rsidR="00FD107B" w:rsidRPr="005B30A9">
              <w:rPr>
                <w:sz w:val="18"/>
              </w:rPr>
              <w:t xml:space="preserve"> </w:t>
            </w:r>
            <w:r w:rsidRPr="005B30A9">
              <w:rPr>
                <w:sz w:val="18"/>
              </w:rPr>
              <w:t>270</w:t>
            </w:r>
          </w:p>
        </w:tc>
        <w:tc>
          <w:tcPr>
            <w:tcW w:w="879" w:type="dxa"/>
            <w:tcBorders>
              <w:bottom w:val="single" w:sz="4" w:space="0" w:color="auto"/>
            </w:tcBorders>
            <w:shd w:val="clear" w:color="auto" w:fill="auto"/>
            <w:noWrap/>
            <w:vAlign w:val="bottom"/>
            <w:hideMark/>
          </w:tcPr>
          <w:p w14:paraId="0D0812C1" w14:textId="73050E82"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FD107B" w:rsidRPr="005B30A9">
              <w:rPr>
                <w:sz w:val="18"/>
              </w:rPr>
              <w:t xml:space="preserve"> </w:t>
            </w:r>
            <w:r w:rsidRPr="005B30A9">
              <w:rPr>
                <w:sz w:val="18"/>
              </w:rPr>
              <w:t>929</w:t>
            </w:r>
          </w:p>
        </w:tc>
        <w:tc>
          <w:tcPr>
            <w:tcW w:w="879" w:type="dxa"/>
            <w:tcBorders>
              <w:bottom w:val="single" w:sz="4" w:space="0" w:color="auto"/>
            </w:tcBorders>
            <w:shd w:val="clear" w:color="auto" w:fill="auto"/>
            <w:noWrap/>
            <w:vAlign w:val="bottom"/>
            <w:hideMark/>
          </w:tcPr>
          <w:p w14:paraId="09C4337C" w14:textId="40526A8F"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r w:rsidRPr="005B30A9">
              <w:rPr>
                <w:sz w:val="18"/>
              </w:rPr>
              <w:t>2</w:t>
            </w:r>
            <w:r w:rsidR="00FD107B" w:rsidRPr="005B30A9">
              <w:rPr>
                <w:sz w:val="18"/>
              </w:rPr>
              <w:t xml:space="preserve"> </w:t>
            </w:r>
            <w:r w:rsidRPr="005B30A9">
              <w:rPr>
                <w:sz w:val="18"/>
              </w:rPr>
              <w:t>568</w:t>
            </w:r>
          </w:p>
        </w:tc>
      </w:tr>
      <w:tr w:rsidR="005C7EA1" w:rsidRPr="005B30A9" w14:paraId="63E5D1B3" w14:textId="77777777" w:rsidTr="00A45123">
        <w:trPr>
          <w:trHeight w:val="240"/>
        </w:trPr>
        <w:tc>
          <w:tcPr>
            <w:tcW w:w="2977" w:type="dxa"/>
            <w:tcBorders>
              <w:top w:val="single" w:sz="4" w:space="0" w:color="auto"/>
              <w:bottom w:val="single" w:sz="12" w:space="0" w:color="auto"/>
            </w:tcBorders>
            <w:shd w:val="clear" w:color="auto" w:fill="auto"/>
            <w:noWrap/>
            <w:hideMark/>
          </w:tcPr>
          <w:p w14:paraId="2A854900" w14:textId="77777777" w:rsidR="009612CC" w:rsidRPr="005B30A9" w:rsidRDefault="009612CC" w:rsidP="005C7EA1">
            <w:pPr>
              <w:pStyle w:val="SingleTxtG"/>
              <w:tabs>
                <w:tab w:val="clear" w:pos="1701"/>
                <w:tab w:val="clear" w:pos="2268"/>
                <w:tab w:val="clear" w:pos="2835"/>
              </w:tabs>
              <w:spacing w:before="80" w:after="80" w:line="220" w:lineRule="exact"/>
              <w:ind w:left="283" w:right="0"/>
              <w:jc w:val="left"/>
              <w:rPr>
                <w:b/>
                <w:bCs/>
                <w:sz w:val="18"/>
              </w:rPr>
            </w:pPr>
            <w:r w:rsidRPr="005B30A9">
              <w:rPr>
                <w:b/>
                <w:sz w:val="18"/>
              </w:rPr>
              <w:t>Total</w:t>
            </w:r>
          </w:p>
        </w:tc>
        <w:tc>
          <w:tcPr>
            <w:tcW w:w="878" w:type="dxa"/>
            <w:tcBorders>
              <w:top w:val="single" w:sz="4" w:space="0" w:color="auto"/>
              <w:bottom w:val="single" w:sz="12" w:space="0" w:color="auto"/>
            </w:tcBorders>
            <w:shd w:val="clear" w:color="auto" w:fill="auto"/>
            <w:noWrap/>
            <w:vAlign w:val="bottom"/>
            <w:hideMark/>
          </w:tcPr>
          <w:p w14:paraId="564E5E50" w14:textId="7BA4819D" w:rsidR="009612CC" w:rsidRPr="005B30A9" w:rsidRDefault="009612CC" w:rsidP="00FD107B">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40</w:t>
            </w:r>
            <w:r w:rsidR="00FD107B" w:rsidRPr="005B30A9">
              <w:rPr>
                <w:b/>
                <w:bCs/>
                <w:sz w:val="18"/>
              </w:rPr>
              <w:t xml:space="preserve"> </w:t>
            </w:r>
            <w:r w:rsidRPr="005B30A9">
              <w:rPr>
                <w:b/>
                <w:bCs/>
                <w:sz w:val="18"/>
              </w:rPr>
              <w:t>367</w:t>
            </w:r>
          </w:p>
        </w:tc>
        <w:tc>
          <w:tcPr>
            <w:tcW w:w="879" w:type="dxa"/>
            <w:tcBorders>
              <w:top w:val="single" w:sz="4" w:space="0" w:color="auto"/>
              <w:bottom w:val="single" w:sz="12" w:space="0" w:color="auto"/>
            </w:tcBorders>
            <w:shd w:val="clear" w:color="auto" w:fill="auto"/>
            <w:noWrap/>
            <w:vAlign w:val="bottom"/>
            <w:hideMark/>
          </w:tcPr>
          <w:p w14:paraId="178510AF" w14:textId="278983FA" w:rsidR="009612CC" w:rsidRPr="005B30A9" w:rsidRDefault="009612CC" w:rsidP="00FD107B">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43</w:t>
            </w:r>
            <w:r w:rsidR="00FD107B" w:rsidRPr="005B30A9">
              <w:rPr>
                <w:b/>
                <w:bCs/>
                <w:sz w:val="18"/>
              </w:rPr>
              <w:t xml:space="preserve"> </w:t>
            </w:r>
            <w:r w:rsidRPr="005B30A9">
              <w:rPr>
                <w:b/>
                <w:bCs/>
                <w:sz w:val="18"/>
              </w:rPr>
              <w:t>151</w:t>
            </w:r>
          </w:p>
        </w:tc>
        <w:tc>
          <w:tcPr>
            <w:tcW w:w="879" w:type="dxa"/>
            <w:tcBorders>
              <w:top w:val="single" w:sz="4" w:space="0" w:color="auto"/>
              <w:bottom w:val="single" w:sz="12" w:space="0" w:color="auto"/>
            </w:tcBorders>
            <w:shd w:val="clear" w:color="auto" w:fill="auto"/>
            <w:noWrap/>
            <w:vAlign w:val="bottom"/>
            <w:hideMark/>
          </w:tcPr>
          <w:p w14:paraId="66DDD972" w14:textId="41AB93B0" w:rsidR="009612CC" w:rsidRPr="005B30A9" w:rsidRDefault="009612CC" w:rsidP="00FD107B">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38</w:t>
            </w:r>
            <w:r w:rsidR="00FD107B" w:rsidRPr="005B30A9">
              <w:rPr>
                <w:b/>
                <w:bCs/>
                <w:sz w:val="18"/>
              </w:rPr>
              <w:t xml:space="preserve"> </w:t>
            </w:r>
            <w:r w:rsidRPr="005B30A9">
              <w:rPr>
                <w:b/>
                <w:bCs/>
                <w:sz w:val="18"/>
              </w:rPr>
              <w:t>876</w:t>
            </w:r>
          </w:p>
        </w:tc>
        <w:tc>
          <w:tcPr>
            <w:tcW w:w="879" w:type="dxa"/>
            <w:tcBorders>
              <w:top w:val="single" w:sz="4" w:space="0" w:color="auto"/>
              <w:bottom w:val="single" w:sz="12" w:space="0" w:color="auto"/>
            </w:tcBorders>
            <w:shd w:val="clear" w:color="auto" w:fill="auto"/>
            <w:noWrap/>
            <w:vAlign w:val="bottom"/>
            <w:hideMark/>
          </w:tcPr>
          <w:p w14:paraId="67EBDC61" w14:textId="33180439" w:rsidR="009612CC" w:rsidRPr="005B30A9" w:rsidRDefault="009612CC" w:rsidP="00FD107B">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37</w:t>
            </w:r>
            <w:r w:rsidR="00FD107B" w:rsidRPr="005B30A9">
              <w:rPr>
                <w:b/>
                <w:bCs/>
                <w:sz w:val="18"/>
              </w:rPr>
              <w:t xml:space="preserve"> </w:t>
            </w:r>
            <w:r w:rsidRPr="005B30A9">
              <w:rPr>
                <w:b/>
                <w:bCs/>
                <w:sz w:val="18"/>
              </w:rPr>
              <w:t>217</w:t>
            </w:r>
          </w:p>
        </w:tc>
        <w:tc>
          <w:tcPr>
            <w:tcW w:w="879" w:type="dxa"/>
            <w:tcBorders>
              <w:top w:val="single" w:sz="4" w:space="0" w:color="auto"/>
              <w:bottom w:val="single" w:sz="12" w:space="0" w:color="auto"/>
            </w:tcBorders>
            <w:shd w:val="clear" w:color="auto" w:fill="auto"/>
            <w:noWrap/>
            <w:vAlign w:val="bottom"/>
            <w:hideMark/>
          </w:tcPr>
          <w:p w14:paraId="5E7259A4" w14:textId="74B93714" w:rsidR="009612CC" w:rsidRPr="005B30A9" w:rsidRDefault="009612CC" w:rsidP="00FD107B">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44</w:t>
            </w:r>
            <w:r w:rsidR="00FD107B" w:rsidRPr="005B30A9">
              <w:rPr>
                <w:b/>
                <w:bCs/>
                <w:sz w:val="18"/>
              </w:rPr>
              <w:t xml:space="preserve"> </w:t>
            </w:r>
            <w:r w:rsidRPr="005B30A9">
              <w:rPr>
                <w:b/>
                <w:bCs/>
                <w:sz w:val="18"/>
              </w:rPr>
              <w:t>807</w:t>
            </w:r>
          </w:p>
        </w:tc>
      </w:tr>
    </w:tbl>
    <w:p w14:paraId="02AABA2A" w14:textId="77777777" w:rsidR="009612CC" w:rsidRPr="005B30A9" w:rsidRDefault="009612CC" w:rsidP="005C7EA1">
      <w:pPr>
        <w:pStyle w:val="SingleTxtG"/>
        <w:spacing w:before="120"/>
        <w:ind w:firstLine="170"/>
        <w:jc w:val="left"/>
        <w:rPr>
          <w:bCs/>
          <w:sz w:val="18"/>
          <w:szCs w:val="18"/>
        </w:rPr>
      </w:pPr>
      <w:r w:rsidRPr="005B30A9">
        <w:rPr>
          <w:i/>
          <w:iCs/>
          <w:sz w:val="18"/>
          <w:szCs w:val="18"/>
        </w:rPr>
        <w:t>Fuente:</w:t>
      </w:r>
      <w:r w:rsidRPr="005B30A9">
        <w:rPr>
          <w:sz w:val="18"/>
          <w:szCs w:val="18"/>
        </w:rPr>
        <w:t xml:space="preserve"> Estadísticas de la policía de Austria sobre delitos.</w:t>
      </w:r>
    </w:p>
    <w:p w14:paraId="6AB49394" w14:textId="77777777" w:rsidR="009612CC" w:rsidRPr="005B30A9" w:rsidRDefault="009612CC" w:rsidP="005C7EA1">
      <w:pPr>
        <w:pStyle w:val="Table1G"/>
      </w:pPr>
      <w:r w:rsidRPr="005B30A9">
        <w:t>Cuadro 4</w:t>
      </w:r>
    </w:p>
    <w:p w14:paraId="2C8E890F" w14:textId="3AF4D83D" w:rsidR="009612CC" w:rsidRPr="005B30A9" w:rsidRDefault="009612CC" w:rsidP="005C7EA1">
      <w:pPr>
        <w:pStyle w:val="SingleTxtG"/>
        <w:jc w:val="left"/>
        <w:rPr>
          <w:b/>
          <w:bCs/>
        </w:rPr>
      </w:pPr>
      <w:r w:rsidRPr="005B30A9">
        <w:rPr>
          <w:b/>
          <w:bCs/>
        </w:rPr>
        <w:t xml:space="preserve">Número de relaciones entre hombres sospechosos y mujeres víctimas </w:t>
      </w:r>
      <w:r w:rsidR="005C7EA1" w:rsidRPr="005B30A9">
        <w:rPr>
          <w:b/>
          <w:bCs/>
        </w:rPr>
        <w:br/>
      </w:r>
      <w:r w:rsidRPr="005B30A9">
        <w:rPr>
          <w:b/>
          <w:bCs/>
        </w:rPr>
        <w:t xml:space="preserve">de homicidio (incluidas las tentativas de homicidio): comparación </w:t>
      </w:r>
      <w:r w:rsidR="005C7EA1" w:rsidRPr="005B30A9">
        <w:rPr>
          <w:b/>
          <w:bCs/>
        </w:rPr>
        <w:br/>
      </w:r>
      <w:r w:rsidRPr="005B30A9">
        <w:rPr>
          <w:b/>
          <w:bCs/>
        </w:rPr>
        <w:t>quinquenal (2017-2021), por tipo de relación</w:t>
      </w:r>
    </w:p>
    <w:tbl>
      <w:tblPr>
        <w:tblW w:w="7370" w:type="dxa"/>
        <w:tblInd w:w="1134" w:type="dxa"/>
        <w:tblBorders>
          <w:top w:val="single" w:sz="4" w:space="0" w:color="auto"/>
        </w:tblBorders>
        <w:tblLayout w:type="fixed"/>
        <w:tblCellMar>
          <w:left w:w="0" w:type="dxa"/>
          <w:right w:w="0" w:type="dxa"/>
        </w:tblCellMar>
        <w:tblLook w:val="0420" w:firstRow="1" w:lastRow="0" w:firstColumn="0" w:lastColumn="0" w:noHBand="0" w:noVBand="1"/>
      </w:tblPr>
      <w:tblGrid>
        <w:gridCol w:w="555"/>
        <w:gridCol w:w="1646"/>
        <w:gridCol w:w="1647"/>
        <w:gridCol w:w="713"/>
        <w:gridCol w:w="704"/>
        <w:gridCol w:w="710"/>
        <w:gridCol w:w="958"/>
        <w:gridCol w:w="437"/>
      </w:tblGrid>
      <w:tr w:rsidR="00FD107B" w:rsidRPr="005B30A9" w14:paraId="3A5D7A0D" w14:textId="77777777" w:rsidTr="00A45123">
        <w:trPr>
          <w:trHeight w:val="240"/>
          <w:tblHeader/>
        </w:trPr>
        <w:tc>
          <w:tcPr>
            <w:tcW w:w="555" w:type="dxa"/>
            <w:tcBorders>
              <w:top w:val="single" w:sz="4" w:space="0" w:color="auto"/>
              <w:bottom w:val="single" w:sz="12" w:space="0" w:color="auto"/>
            </w:tcBorders>
            <w:shd w:val="clear" w:color="auto" w:fill="auto"/>
            <w:noWrap/>
            <w:vAlign w:val="bottom"/>
          </w:tcPr>
          <w:p w14:paraId="732CCB54" w14:textId="77777777" w:rsidR="009612CC" w:rsidRPr="005B30A9" w:rsidRDefault="009612CC" w:rsidP="005C7EA1">
            <w:pPr>
              <w:pStyle w:val="SingleTxtG"/>
              <w:tabs>
                <w:tab w:val="clear" w:pos="1701"/>
                <w:tab w:val="clear" w:pos="2268"/>
                <w:tab w:val="clear" w:pos="2835"/>
              </w:tabs>
              <w:spacing w:before="80" w:after="80" w:line="200" w:lineRule="exact"/>
              <w:ind w:left="0" w:right="0"/>
              <w:jc w:val="left"/>
              <w:rPr>
                <w:i/>
                <w:sz w:val="16"/>
              </w:rPr>
            </w:pPr>
            <w:r w:rsidRPr="005B30A9">
              <w:rPr>
                <w:i/>
                <w:iCs/>
                <w:sz w:val="16"/>
              </w:rPr>
              <w:t>Año</w:t>
            </w:r>
          </w:p>
        </w:tc>
        <w:tc>
          <w:tcPr>
            <w:tcW w:w="1646" w:type="dxa"/>
            <w:tcBorders>
              <w:top w:val="single" w:sz="4" w:space="0" w:color="auto"/>
              <w:bottom w:val="single" w:sz="12" w:space="0" w:color="auto"/>
            </w:tcBorders>
            <w:shd w:val="clear" w:color="auto" w:fill="auto"/>
            <w:noWrap/>
            <w:vAlign w:val="bottom"/>
          </w:tcPr>
          <w:p w14:paraId="18814F47" w14:textId="4CDCB90E"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sz w:val="16"/>
              </w:rPr>
              <w:t>Miembro de la familia que vive en el mismo</w:t>
            </w:r>
            <w:r w:rsidR="00A45123">
              <w:rPr>
                <w:i/>
                <w:sz w:val="16"/>
              </w:rPr>
              <w:t> </w:t>
            </w:r>
            <w:r w:rsidRPr="005B30A9">
              <w:rPr>
                <w:i/>
                <w:sz w:val="16"/>
              </w:rPr>
              <w:t>hogar</w:t>
            </w:r>
          </w:p>
        </w:tc>
        <w:tc>
          <w:tcPr>
            <w:tcW w:w="1647" w:type="dxa"/>
            <w:tcBorders>
              <w:top w:val="single" w:sz="4" w:space="0" w:color="auto"/>
              <w:bottom w:val="single" w:sz="12" w:space="0" w:color="auto"/>
            </w:tcBorders>
            <w:shd w:val="clear" w:color="auto" w:fill="auto"/>
            <w:vAlign w:val="bottom"/>
          </w:tcPr>
          <w:p w14:paraId="33CB10B7" w14:textId="7EC265DE"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sz w:val="16"/>
              </w:rPr>
              <w:t>Miembro de la familia que no vive en el mismo</w:t>
            </w:r>
            <w:r w:rsidR="00A45123">
              <w:rPr>
                <w:i/>
                <w:sz w:val="16"/>
              </w:rPr>
              <w:t> </w:t>
            </w:r>
            <w:r w:rsidRPr="005B30A9">
              <w:rPr>
                <w:i/>
                <w:sz w:val="16"/>
              </w:rPr>
              <w:t>hogar</w:t>
            </w:r>
          </w:p>
        </w:tc>
        <w:tc>
          <w:tcPr>
            <w:tcW w:w="713" w:type="dxa"/>
            <w:tcBorders>
              <w:top w:val="single" w:sz="4" w:space="0" w:color="auto"/>
              <w:bottom w:val="single" w:sz="12" w:space="0" w:color="auto"/>
            </w:tcBorders>
            <w:shd w:val="clear" w:color="auto" w:fill="auto"/>
            <w:vAlign w:val="bottom"/>
          </w:tcPr>
          <w:p w14:paraId="104CFF9F"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sz w:val="16"/>
              </w:rPr>
              <w:t>Conocido</w:t>
            </w:r>
          </w:p>
        </w:tc>
        <w:tc>
          <w:tcPr>
            <w:tcW w:w="704" w:type="dxa"/>
            <w:tcBorders>
              <w:top w:val="single" w:sz="4" w:space="0" w:color="auto"/>
              <w:bottom w:val="single" w:sz="12" w:space="0" w:color="auto"/>
            </w:tcBorders>
            <w:shd w:val="clear" w:color="auto" w:fill="auto"/>
            <w:vAlign w:val="bottom"/>
          </w:tcPr>
          <w:p w14:paraId="74F720A5"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sz w:val="16"/>
              </w:rPr>
              <w:t>Conocido casual</w:t>
            </w:r>
          </w:p>
        </w:tc>
        <w:tc>
          <w:tcPr>
            <w:tcW w:w="710" w:type="dxa"/>
            <w:tcBorders>
              <w:top w:val="single" w:sz="4" w:space="0" w:color="auto"/>
              <w:bottom w:val="single" w:sz="12" w:space="0" w:color="auto"/>
            </w:tcBorders>
            <w:shd w:val="clear" w:color="auto" w:fill="auto"/>
            <w:vAlign w:val="bottom"/>
          </w:tcPr>
          <w:p w14:paraId="47AC4863"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sz w:val="16"/>
              </w:rPr>
              <w:t>Ninguna</w:t>
            </w:r>
          </w:p>
        </w:tc>
        <w:tc>
          <w:tcPr>
            <w:tcW w:w="958" w:type="dxa"/>
            <w:tcBorders>
              <w:top w:val="single" w:sz="4" w:space="0" w:color="auto"/>
              <w:bottom w:val="single" w:sz="12" w:space="0" w:color="auto"/>
            </w:tcBorders>
            <w:shd w:val="clear" w:color="auto" w:fill="auto"/>
            <w:vAlign w:val="bottom"/>
          </w:tcPr>
          <w:p w14:paraId="3761CDEA"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sz w:val="16"/>
              </w:rPr>
              <w:t>Desconocida</w:t>
            </w:r>
          </w:p>
        </w:tc>
        <w:tc>
          <w:tcPr>
            <w:tcW w:w="437" w:type="dxa"/>
            <w:tcBorders>
              <w:top w:val="single" w:sz="4" w:space="0" w:color="auto"/>
              <w:bottom w:val="single" w:sz="12" w:space="0" w:color="auto"/>
            </w:tcBorders>
            <w:shd w:val="clear" w:color="auto" w:fill="auto"/>
            <w:vAlign w:val="bottom"/>
          </w:tcPr>
          <w:p w14:paraId="3E255C94"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sz w:val="16"/>
              </w:rPr>
              <w:t>Total</w:t>
            </w:r>
          </w:p>
        </w:tc>
      </w:tr>
      <w:tr w:rsidR="00FD107B" w:rsidRPr="005B30A9" w14:paraId="75F0060E" w14:textId="77777777" w:rsidTr="00A45123">
        <w:trPr>
          <w:trHeight w:val="240"/>
        </w:trPr>
        <w:tc>
          <w:tcPr>
            <w:tcW w:w="555" w:type="dxa"/>
            <w:tcBorders>
              <w:top w:val="single" w:sz="12" w:space="0" w:color="auto"/>
            </w:tcBorders>
            <w:shd w:val="clear" w:color="auto" w:fill="auto"/>
            <w:noWrap/>
          </w:tcPr>
          <w:p w14:paraId="2F2007DC" w14:textId="77777777" w:rsidR="009612CC" w:rsidRPr="005B30A9" w:rsidRDefault="009612CC" w:rsidP="005C7EA1">
            <w:pPr>
              <w:pStyle w:val="SingleTxtG"/>
              <w:tabs>
                <w:tab w:val="clear" w:pos="1701"/>
                <w:tab w:val="clear" w:pos="2268"/>
                <w:tab w:val="clear" w:pos="2835"/>
              </w:tabs>
              <w:spacing w:before="40" w:after="40" w:line="220" w:lineRule="exact"/>
              <w:ind w:left="0" w:right="0"/>
              <w:jc w:val="left"/>
              <w:rPr>
                <w:bCs/>
                <w:sz w:val="18"/>
              </w:rPr>
            </w:pPr>
            <w:r w:rsidRPr="005B30A9">
              <w:rPr>
                <w:sz w:val="18"/>
              </w:rPr>
              <w:t>2017</w:t>
            </w:r>
          </w:p>
        </w:tc>
        <w:tc>
          <w:tcPr>
            <w:tcW w:w="1646" w:type="dxa"/>
            <w:tcBorders>
              <w:top w:val="single" w:sz="12" w:space="0" w:color="auto"/>
            </w:tcBorders>
            <w:shd w:val="clear" w:color="auto" w:fill="auto"/>
            <w:noWrap/>
            <w:vAlign w:val="bottom"/>
          </w:tcPr>
          <w:p w14:paraId="7ADA532B"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39</w:t>
            </w:r>
          </w:p>
        </w:tc>
        <w:tc>
          <w:tcPr>
            <w:tcW w:w="1647" w:type="dxa"/>
            <w:tcBorders>
              <w:top w:val="single" w:sz="12" w:space="0" w:color="auto"/>
            </w:tcBorders>
            <w:shd w:val="clear" w:color="auto" w:fill="auto"/>
            <w:vAlign w:val="bottom"/>
          </w:tcPr>
          <w:p w14:paraId="24B58711"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10</w:t>
            </w:r>
          </w:p>
        </w:tc>
        <w:tc>
          <w:tcPr>
            <w:tcW w:w="713" w:type="dxa"/>
            <w:tcBorders>
              <w:top w:val="single" w:sz="12" w:space="0" w:color="auto"/>
            </w:tcBorders>
            <w:shd w:val="clear" w:color="auto" w:fill="auto"/>
            <w:vAlign w:val="bottom"/>
          </w:tcPr>
          <w:p w14:paraId="630B671F"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12</w:t>
            </w:r>
          </w:p>
        </w:tc>
        <w:tc>
          <w:tcPr>
            <w:tcW w:w="704" w:type="dxa"/>
            <w:tcBorders>
              <w:top w:val="single" w:sz="12" w:space="0" w:color="auto"/>
            </w:tcBorders>
            <w:shd w:val="clear" w:color="auto" w:fill="auto"/>
            <w:vAlign w:val="bottom"/>
          </w:tcPr>
          <w:p w14:paraId="47800932"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0</w:t>
            </w:r>
          </w:p>
        </w:tc>
        <w:tc>
          <w:tcPr>
            <w:tcW w:w="710" w:type="dxa"/>
            <w:tcBorders>
              <w:top w:val="single" w:sz="12" w:space="0" w:color="auto"/>
            </w:tcBorders>
            <w:shd w:val="clear" w:color="auto" w:fill="auto"/>
            <w:vAlign w:val="bottom"/>
          </w:tcPr>
          <w:p w14:paraId="15EDA373" w14:textId="77777777" w:rsidR="009612CC" w:rsidRPr="005B30A9" w:rsidDel="00497B64"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w:t>
            </w:r>
          </w:p>
        </w:tc>
        <w:tc>
          <w:tcPr>
            <w:tcW w:w="958" w:type="dxa"/>
            <w:tcBorders>
              <w:top w:val="single" w:sz="12" w:space="0" w:color="auto"/>
            </w:tcBorders>
            <w:shd w:val="clear" w:color="auto" w:fill="auto"/>
            <w:vAlign w:val="bottom"/>
          </w:tcPr>
          <w:p w14:paraId="58A435E9"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9</w:t>
            </w:r>
          </w:p>
        </w:tc>
        <w:tc>
          <w:tcPr>
            <w:tcW w:w="437" w:type="dxa"/>
            <w:tcBorders>
              <w:top w:val="single" w:sz="12" w:space="0" w:color="auto"/>
            </w:tcBorders>
            <w:shd w:val="clear" w:color="auto" w:fill="auto"/>
            <w:vAlign w:val="bottom"/>
          </w:tcPr>
          <w:p w14:paraId="2EB52242"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71</w:t>
            </w:r>
          </w:p>
        </w:tc>
      </w:tr>
      <w:tr w:rsidR="00FD107B" w:rsidRPr="005B30A9" w14:paraId="56CC6DFA" w14:textId="77777777" w:rsidTr="00A45123">
        <w:trPr>
          <w:trHeight w:val="240"/>
        </w:trPr>
        <w:tc>
          <w:tcPr>
            <w:tcW w:w="555" w:type="dxa"/>
            <w:shd w:val="clear" w:color="auto" w:fill="auto"/>
            <w:noWrap/>
          </w:tcPr>
          <w:p w14:paraId="14253D40" w14:textId="77777777" w:rsidR="009612CC" w:rsidRPr="005B30A9" w:rsidRDefault="009612CC" w:rsidP="005C7EA1">
            <w:pPr>
              <w:pStyle w:val="SingleTxtG"/>
              <w:tabs>
                <w:tab w:val="clear" w:pos="1701"/>
                <w:tab w:val="clear" w:pos="2268"/>
                <w:tab w:val="clear" w:pos="2835"/>
              </w:tabs>
              <w:spacing w:before="40" w:after="40" w:line="220" w:lineRule="exact"/>
              <w:ind w:left="0" w:right="0"/>
              <w:jc w:val="left"/>
              <w:rPr>
                <w:bCs/>
                <w:sz w:val="18"/>
              </w:rPr>
            </w:pPr>
            <w:r w:rsidRPr="005B30A9">
              <w:rPr>
                <w:sz w:val="18"/>
              </w:rPr>
              <w:t>2018</w:t>
            </w:r>
          </w:p>
        </w:tc>
        <w:tc>
          <w:tcPr>
            <w:tcW w:w="1646" w:type="dxa"/>
            <w:shd w:val="clear" w:color="auto" w:fill="auto"/>
            <w:noWrap/>
            <w:vAlign w:val="bottom"/>
          </w:tcPr>
          <w:p w14:paraId="73AB84F5"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35</w:t>
            </w:r>
          </w:p>
        </w:tc>
        <w:tc>
          <w:tcPr>
            <w:tcW w:w="1647" w:type="dxa"/>
            <w:shd w:val="clear" w:color="auto" w:fill="auto"/>
            <w:vAlign w:val="bottom"/>
          </w:tcPr>
          <w:p w14:paraId="16189A80"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22</w:t>
            </w:r>
          </w:p>
        </w:tc>
        <w:tc>
          <w:tcPr>
            <w:tcW w:w="713" w:type="dxa"/>
            <w:shd w:val="clear" w:color="auto" w:fill="auto"/>
            <w:vAlign w:val="bottom"/>
          </w:tcPr>
          <w:p w14:paraId="48EBDEC4"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13</w:t>
            </w:r>
          </w:p>
        </w:tc>
        <w:tc>
          <w:tcPr>
            <w:tcW w:w="704" w:type="dxa"/>
            <w:shd w:val="clear" w:color="auto" w:fill="auto"/>
            <w:vAlign w:val="bottom"/>
          </w:tcPr>
          <w:p w14:paraId="1BCDDCDF"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w:t>
            </w:r>
          </w:p>
        </w:tc>
        <w:tc>
          <w:tcPr>
            <w:tcW w:w="710" w:type="dxa"/>
            <w:shd w:val="clear" w:color="auto" w:fill="auto"/>
            <w:vAlign w:val="bottom"/>
          </w:tcPr>
          <w:p w14:paraId="439F1E6B"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9</w:t>
            </w:r>
          </w:p>
        </w:tc>
        <w:tc>
          <w:tcPr>
            <w:tcW w:w="958" w:type="dxa"/>
            <w:shd w:val="clear" w:color="auto" w:fill="auto"/>
            <w:vAlign w:val="bottom"/>
          </w:tcPr>
          <w:p w14:paraId="4A5ECCAE"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0</w:t>
            </w:r>
          </w:p>
        </w:tc>
        <w:tc>
          <w:tcPr>
            <w:tcW w:w="437" w:type="dxa"/>
            <w:shd w:val="clear" w:color="auto" w:fill="auto"/>
            <w:vAlign w:val="bottom"/>
          </w:tcPr>
          <w:p w14:paraId="31DF18F0"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82</w:t>
            </w:r>
          </w:p>
        </w:tc>
      </w:tr>
      <w:tr w:rsidR="00FD107B" w:rsidRPr="005B30A9" w14:paraId="3534BC36" w14:textId="77777777" w:rsidTr="00A45123">
        <w:trPr>
          <w:trHeight w:val="240"/>
        </w:trPr>
        <w:tc>
          <w:tcPr>
            <w:tcW w:w="555" w:type="dxa"/>
            <w:shd w:val="clear" w:color="auto" w:fill="auto"/>
            <w:noWrap/>
          </w:tcPr>
          <w:p w14:paraId="7BA3F1E6" w14:textId="77777777" w:rsidR="009612CC" w:rsidRPr="005B30A9" w:rsidRDefault="009612CC" w:rsidP="005C7EA1">
            <w:pPr>
              <w:pStyle w:val="SingleTxtG"/>
              <w:tabs>
                <w:tab w:val="clear" w:pos="1701"/>
                <w:tab w:val="clear" w:pos="2268"/>
                <w:tab w:val="clear" w:pos="2835"/>
              </w:tabs>
              <w:spacing w:before="40" w:after="40" w:line="220" w:lineRule="exact"/>
              <w:ind w:left="0" w:right="0"/>
              <w:jc w:val="left"/>
              <w:rPr>
                <w:bCs/>
                <w:sz w:val="18"/>
              </w:rPr>
            </w:pPr>
            <w:r w:rsidRPr="005B30A9">
              <w:rPr>
                <w:sz w:val="18"/>
              </w:rPr>
              <w:t>2019</w:t>
            </w:r>
          </w:p>
        </w:tc>
        <w:tc>
          <w:tcPr>
            <w:tcW w:w="1646" w:type="dxa"/>
            <w:shd w:val="clear" w:color="auto" w:fill="auto"/>
            <w:noWrap/>
            <w:vAlign w:val="bottom"/>
          </w:tcPr>
          <w:p w14:paraId="5B83FBD7"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39</w:t>
            </w:r>
          </w:p>
        </w:tc>
        <w:tc>
          <w:tcPr>
            <w:tcW w:w="1647" w:type="dxa"/>
            <w:shd w:val="clear" w:color="auto" w:fill="auto"/>
            <w:vAlign w:val="bottom"/>
          </w:tcPr>
          <w:p w14:paraId="71614789"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14</w:t>
            </w:r>
          </w:p>
        </w:tc>
        <w:tc>
          <w:tcPr>
            <w:tcW w:w="713" w:type="dxa"/>
            <w:shd w:val="clear" w:color="auto" w:fill="auto"/>
            <w:vAlign w:val="bottom"/>
          </w:tcPr>
          <w:p w14:paraId="3C024A35"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20</w:t>
            </w:r>
          </w:p>
        </w:tc>
        <w:tc>
          <w:tcPr>
            <w:tcW w:w="704" w:type="dxa"/>
            <w:shd w:val="clear" w:color="auto" w:fill="auto"/>
            <w:vAlign w:val="bottom"/>
          </w:tcPr>
          <w:p w14:paraId="3EE59B69"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w:t>
            </w:r>
          </w:p>
        </w:tc>
        <w:tc>
          <w:tcPr>
            <w:tcW w:w="710" w:type="dxa"/>
            <w:shd w:val="clear" w:color="auto" w:fill="auto"/>
            <w:vAlign w:val="bottom"/>
          </w:tcPr>
          <w:p w14:paraId="0987E1EA"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16</w:t>
            </w:r>
          </w:p>
        </w:tc>
        <w:tc>
          <w:tcPr>
            <w:tcW w:w="958" w:type="dxa"/>
            <w:shd w:val="clear" w:color="auto" w:fill="auto"/>
            <w:vAlign w:val="bottom"/>
          </w:tcPr>
          <w:p w14:paraId="3CF28E86"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w:t>
            </w:r>
          </w:p>
        </w:tc>
        <w:tc>
          <w:tcPr>
            <w:tcW w:w="437" w:type="dxa"/>
            <w:shd w:val="clear" w:color="auto" w:fill="auto"/>
            <w:vAlign w:val="bottom"/>
          </w:tcPr>
          <w:p w14:paraId="40526D37"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94</w:t>
            </w:r>
          </w:p>
        </w:tc>
      </w:tr>
      <w:tr w:rsidR="00FD107B" w:rsidRPr="005B30A9" w14:paraId="27C1E9A2" w14:textId="77777777" w:rsidTr="00A45123">
        <w:trPr>
          <w:trHeight w:val="240"/>
        </w:trPr>
        <w:tc>
          <w:tcPr>
            <w:tcW w:w="555" w:type="dxa"/>
            <w:shd w:val="clear" w:color="auto" w:fill="auto"/>
            <w:noWrap/>
          </w:tcPr>
          <w:p w14:paraId="4325264E" w14:textId="77777777" w:rsidR="009612CC" w:rsidRPr="005B30A9" w:rsidRDefault="009612CC" w:rsidP="005C7EA1">
            <w:pPr>
              <w:pStyle w:val="SingleTxtG"/>
              <w:tabs>
                <w:tab w:val="clear" w:pos="1701"/>
                <w:tab w:val="clear" w:pos="2268"/>
                <w:tab w:val="clear" w:pos="2835"/>
              </w:tabs>
              <w:spacing w:before="40" w:after="40" w:line="220" w:lineRule="exact"/>
              <w:ind w:left="0" w:right="0"/>
              <w:jc w:val="left"/>
              <w:rPr>
                <w:bCs/>
                <w:sz w:val="18"/>
              </w:rPr>
            </w:pPr>
            <w:r w:rsidRPr="005B30A9">
              <w:rPr>
                <w:sz w:val="18"/>
              </w:rPr>
              <w:t>2020</w:t>
            </w:r>
          </w:p>
        </w:tc>
        <w:tc>
          <w:tcPr>
            <w:tcW w:w="1646" w:type="dxa"/>
            <w:shd w:val="clear" w:color="auto" w:fill="auto"/>
            <w:noWrap/>
            <w:vAlign w:val="bottom"/>
          </w:tcPr>
          <w:p w14:paraId="033B4B24"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38</w:t>
            </w:r>
          </w:p>
        </w:tc>
        <w:tc>
          <w:tcPr>
            <w:tcW w:w="1647" w:type="dxa"/>
            <w:shd w:val="clear" w:color="auto" w:fill="auto"/>
            <w:vAlign w:val="bottom"/>
          </w:tcPr>
          <w:p w14:paraId="14BE5E86"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9</w:t>
            </w:r>
          </w:p>
        </w:tc>
        <w:tc>
          <w:tcPr>
            <w:tcW w:w="713" w:type="dxa"/>
            <w:shd w:val="clear" w:color="auto" w:fill="auto"/>
            <w:vAlign w:val="bottom"/>
          </w:tcPr>
          <w:p w14:paraId="663D083B"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21</w:t>
            </w:r>
          </w:p>
        </w:tc>
        <w:tc>
          <w:tcPr>
            <w:tcW w:w="704" w:type="dxa"/>
            <w:shd w:val="clear" w:color="auto" w:fill="auto"/>
            <w:vAlign w:val="bottom"/>
          </w:tcPr>
          <w:p w14:paraId="4E71B033"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w:t>
            </w:r>
          </w:p>
        </w:tc>
        <w:tc>
          <w:tcPr>
            <w:tcW w:w="710" w:type="dxa"/>
            <w:shd w:val="clear" w:color="auto" w:fill="auto"/>
            <w:vAlign w:val="bottom"/>
          </w:tcPr>
          <w:p w14:paraId="7A817C86"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8</w:t>
            </w:r>
          </w:p>
        </w:tc>
        <w:tc>
          <w:tcPr>
            <w:tcW w:w="958" w:type="dxa"/>
            <w:shd w:val="clear" w:color="auto" w:fill="auto"/>
            <w:vAlign w:val="bottom"/>
          </w:tcPr>
          <w:p w14:paraId="54932560"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0</w:t>
            </w:r>
          </w:p>
        </w:tc>
        <w:tc>
          <w:tcPr>
            <w:tcW w:w="437" w:type="dxa"/>
            <w:shd w:val="clear" w:color="auto" w:fill="auto"/>
            <w:vAlign w:val="bottom"/>
          </w:tcPr>
          <w:p w14:paraId="2C0DC817"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77</w:t>
            </w:r>
          </w:p>
        </w:tc>
      </w:tr>
      <w:tr w:rsidR="00FD107B" w:rsidRPr="005B30A9" w14:paraId="53A850CB" w14:textId="77777777" w:rsidTr="00A45123">
        <w:trPr>
          <w:trHeight w:val="240"/>
        </w:trPr>
        <w:tc>
          <w:tcPr>
            <w:tcW w:w="555" w:type="dxa"/>
            <w:tcBorders>
              <w:bottom w:val="single" w:sz="12" w:space="0" w:color="auto"/>
            </w:tcBorders>
            <w:shd w:val="clear" w:color="auto" w:fill="auto"/>
            <w:noWrap/>
          </w:tcPr>
          <w:p w14:paraId="552CA612" w14:textId="77777777" w:rsidR="009612CC" w:rsidRPr="005B30A9" w:rsidRDefault="009612CC" w:rsidP="005C7EA1">
            <w:pPr>
              <w:pStyle w:val="SingleTxtG"/>
              <w:tabs>
                <w:tab w:val="clear" w:pos="1701"/>
                <w:tab w:val="clear" w:pos="2268"/>
                <w:tab w:val="clear" w:pos="2835"/>
              </w:tabs>
              <w:spacing w:before="40" w:after="40" w:line="220" w:lineRule="exact"/>
              <w:ind w:left="0" w:right="0"/>
              <w:jc w:val="left"/>
              <w:rPr>
                <w:bCs/>
                <w:sz w:val="18"/>
              </w:rPr>
            </w:pPr>
            <w:r w:rsidRPr="005B30A9">
              <w:rPr>
                <w:sz w:val="18"/>
              </w:rPr>
              <w:t>2021</w:t>
            </w:r>
          </w:p>
        </w:tc>
        <w:tc>
          <w:tcPr>
            <w:tcW w:w="1646" w:type="dxa"/>
            <w:tcBorders>
              <w:bottom w:val="single" w:sz="12" w:space="0" w:color="auto"/>
            </w:tcBorders>
            <w:shd w:val="clear" w:color="auto" w:fill="auto"/>
            <w:noWrap/>
            <w:vAlign w:val="bottom"/>
          </w:tcPr>
          <w:p w14:paraId="2CEBDF8D"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29</w:t>
            </w:r>
          </w:p>
        </w:tc>
        <w:tc>
          <w:tcPr>
            <w:tcW w:w="1647" w:type="dxa"/>
            <w:tcBorders>
              <w:bottom w:val="single" w:sz="12" w:space="0" w:color="auto"/>
            </w:tcBorders>
            <w:shd w:val="clear" w:color="auto" w:fill="auto"/>
            <w:vAlign w:val="bottom"/>
          </w:tcPr>
          <w:p w14:paraId="6FEBE3FC"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15</w:t>
            </w:r>
          </w:p>
        </w:tc>
        <w:tc>
          <w:tcPr>
            <w:tcW w:w="713" w:type="dxa"/>
            <w:tcBorders>
              <w:bottom w:val="single" w:sz="12" w:space="0" w:color="auto"/>
            </w:tcBorders>
            <w:shd w:val="clear" w:color="auto" w:fill="auto"/>
            <w:vAlign w:val="bottom"/>
          </w:tcPr>
          <w:p w14:paraId="47962A7D"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14</w:t>
            </w:r>
          </w:p>
        </w:tc>
        <w:tc>
          <w:tcPr>
            <w:tcW w:w="704" w:type="dxa"/>
            <w:tcBorders>
              <w:bottom w:val="single" w:sz="12" w:space="0" w:color="auto"/>
            </w:tcBorders>
            <w:shd w:val="clear" w:color="auto" w:fill="auto"/>
            <w:vAlign w:val="bottom"/>
          </w:tcPr>
          <w:p w14:paraId="66E8E5A2"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0</w:t>
            </w:r>
          </w:p>
        </w:tc>
        <w:tc>
          <w:tcPr>
            <w:tcW w:w="710" w:type="dxa"/>
            <w:tcBorders>
              <w:bottom w:val="single" w:sz="12" w:space="0" w:color="auto"/>
            </w:tcBorders>
            <w:shd w:val="clear" w:color="auto" w:fill="auto"/>
            <w:vAlign w:val="bottom"/>
          </w:tcPr>
          <w:p w14:paraId="0FBE6B18"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7</w:t>
            </w:r>
          </w:p>
        </w:tc>
        <w:tc>
          <w:tcPr>
            <w:tcW w:w="958" w:type="dxa"/>
            <w:tcBorders>
              <w:bottom w:val="single" w:sz="12" w:space="0" w:color="auto"/>
            </w:tcBorders>
            <w:shd w:val="clear" w:color="auto" w:fill="auto"/>
            <w:vAlign w:val="bottom"/>
          </w:tcPr>
          <w:p w14:paraId="171F3922"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w:t>
            </w:r>
          </w:p>
        </w:tc>
        <w:tc>
          <w:tcPr>
            <w:tcW w:w="437" w:type="dxa"/>
            <w:tcBorders>
              <w:bottom w:val="single" w:sz="12" w:space="0" w:color="auto"/>
            </w:tcBorders>
            <w:shd w:val="clear" w:color="auto" w:fill="auto"/>
            <w:vAlign w:val="bottom"/>
          </w:tcPr>
          <w:p w14:paraId="23DF96C9"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66</w:t>
            </w:r>
          </w:p>
        </w:tc>
      </w:tr>
    </w:tbl>
    <w:p w14:paraId="7B30694A" w14:textId="77777777" w:rsidR="009612CC" w:rsidRPr="005B30A9" w:rsidRDefault="009612CC" w:rsidP="00FD107B">
      <w:pPr>
        <w:pStyle w:val="SingleTxtG"/>
        <w:spacing w:before="120"/>
        <w:ind w:firstLine="170"/>
        <w:jc w:val="left"/>
        <w:rPr>
          <w:sz w:val="18"/>
          <w:szCs w:val="18"/>
        </w:rPr>
      </w:pPr>
      <w:r w:rsidRPr="005B30A9">
        <w:rPr>
          <w:i/>
          <w:iCs/>
          <w:sz w:val="18"/>
          <w:szCs w:val="18"/>
        </w:rPr>
        <w:t>Fuente:</w:t>
      </w:r>
      <w:r w:rsidRPr="005B30A9">
        <w:rPr>
          <w:sz w:val="18"/>
          <w:szCs w:val="18"/>
        </w:rPr>
        <w:t xml:space="preserve"> Estadísticas de la policía de Austria sobre delitos.</w:t>
      </w:r>
    </w:p>
    <w:p w14:paraId="0B442B28" w14:textId="77777777" w:rsidR="009612CC" w:rsidRPr="005B30A9" w:rsidRDefault="009612CC" w:rsidP="00FD107B">
      <w:pPr>
        <w:pStyle w:val="Table1G"/>
      </w:pPr>
      <w:r w:rsidRPr="005B30A9">
        <w:t>Cuadro 5</w:t>
      </w:r>
    </w:p>
    <w:p w14:paraId="513846F7" w14:textId="54A10002" w:rsidR="009612CC" w:rsidRPr="005B30A9" w:rsidRDefault="009612CC" w:rsidP="00FD107B">
      <w:pPr>
        <w:pStyle w:val="SingleTxtG"/>
        <w:jc w:val="left"/>
        <w:rPr>
          <w:b/>
          <w:bCs/>
        </w:rPr>
      </w:pPr>
      <w:r w:rsidRPr="005B30A9">
        <w:rPr>
          <w:b/>
          <w:bCs/>
        </w:rPr>
        <w:t xml:space="preserve">Número de tentativas de feminicidio y feminicidios efectivos: comparación </w:t>
      </w:r>
      <w:r w:rsidR="00FD107B" w:rsidRPr="005B30A9">
        <w:rPr>
          <w:b/>
          <w:bCs/>
        </w:rPr>
        <w:br/>
      </w:r>
      <w:r w:rsidRPr="005B30A9">
        <w:rPr>
          <w:b/>
          <w:bCs/>
        </w:rPr>
        <w:t>quinquenal (2017-2021)</w:t>
      </w:r>
    </w:p>
    <w:tbl>
      <w:tblPr>
        <w:tblW w:w="7370" w:type="dxa"/>
        <w:tblInd w:w="1134" w:type="dxa"/>
        <w:tblBorders>
          <w:top w:val="single" w:sz="4" w:space="0" w:color="auto"/>
        </w:tblBorders>
        <w:tblLayout w:type="fixed"/>
        <w:tblCellMar>
          <w:left w:w="0" w:type="dxa"/>
          <w:right w:w="0" w:type="dxa"/>
        </w:tblCellMar>
        <w:tblLook w:val="0420" w:firstRow="1" w:lastRow="0" w:firstColumn="0" w:lastColumn="0" w:noHBand="0" w:noVBand="1"/>
      </w:tblPr>
      <w:tblGrid>
        <w:gridCol w:w="567"/>
        <w:gridCol w:w="2267"/>
        <w:gridCol w:w="2268"/>
        <w:gridCol w:w="2268"/>
      </w:tblGrid>
      <w:tr w:rsidR="00FD107B" w:rsidRPr="005B30A9" w14:paraId="041AB029" w14:textId="77777777" w:rsidTr="00A45123">
        <w:trPr>
          <w:trHeight w:val="240"/>
          <w:tblHeader/>
        </w:trPr>
        <w:tc>
          <w:tcPr>
            <w:tcW w:w="567" w:type="dxa"/>
            <w:tcBorders>
              <w:top w:val="single" w:sz="4" w:space="0" w:color="auto"/>
              <w:bottom w:val="single" w:sz="12" w:space="0" w:color="auto"/>
            </w:tcBorders>
            <w:shd w:val="clear" w:color="auto" w:fill="auto"/>
            <w:vAlign w:val="bottom"/>
          </w:tcPr>
          <w:p w14:paraId="77075CBA" w14:textId="77777777" w:rsidR="009612CC" w:rsidRPr="005B30A9" w:rsidRDefault="009612CC" w:rsidP="00FD107B">
            <w:pPr>
              <w:pStyle w:val="SingleTxtG"/>
              <w:tabs>
                <w:tab w:val="clear" w:pos="1701"/>
                <w:tab w:val="clear" w:pos="2268"/>
                <w:tab w:val="clear" w:pos="2835"/>
              </w:tabs>
              <w:spacing w:before="80" w:after="80" w:line="200" w:lineRule="exact"/>
              <w:ind w:left="0" w:right="0"/>
              <w:jc w:val="left"/>
              <w:rPr>
                <w:i/>
                <w:sz w:val="16"/>
              </w:rPr>
            </w:pPr>
            <w:r w:rsidRPr="005B30A9">
              <w:rPr>
                <w:i/>
                <w:iCs/>
                <w:sz w:val="16"/>
              </w:rPr>
              <w:t>Año</w:t>
            </w:r>
          </w:p>
        </w:tc>
        <w:tc>
          <w:tcPr>
            <w:tcW w:w="2267" w:type="dxa"/>
            <w:tcBorders>
              <w:top w:val="single" w:sz="4" w:space="0" w:color="auto"/>
              <w:bottom w:val="single" w:sz="12" w:space="0" w:color="auto"/>
            </w:tcBorders>
            <w:shd w:val="clear" w:color="auto" w:fill="auto"/>
            <w:noWrap/>
            <w:vAlign w:val="bottom"/>
          </w:tcPr>
          <w:p w14:paraId="707D3418"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Tentativas</w:t>
            </w:r>
          </w:p>
        </w:tc>
        <w:tc>
          <w:tcPr>
            <w:tcW w:w="2268" w:type="dxa"/>
            <w:tcBorders>
              <w:top w:val="single" w:sz="4" w:space="0" w:color="auto"/>
              <w:bottom w:val="single" w:sz="12" w:space="0" w:color="auto"/>
            </w:tcBorders>
            <w:shd w:val="clear" w:color="auto" w:fill="auto"/>
            <w:vAlign w:val="bottom"/>
          </w:tcPr>
          <w:p w14:paraId="0E44658C"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Efectivos</w:t>
            </w:r>
          </w:p>
        </w:tc>
        <w:tc>
          <w:tcPr>
            <w:tcW w:w="2268" w:type="dxa"/>
            <w:tcBorders>
              <w:top w:val="single" w:sz="4" w:space="0" w:color="auto"/>
              <w:bottom w:val="single" w:sz="12" w:space="0" w:color="auto"/>
            </w:tcBorders>
            <w:shd w:val="clear" w:color="auto" w:fill="auto"/>
            <w:noWrap/>
            <w:vAlign w:val="bottom"/>
          </w:tcPr>
          <w:p w14:paraId="70F863D4"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sz w:val="16"/>
              </w:rPr>
              <w:t>Total</w:t>
            </w:r>
          </w:p>
        </w:tc>
      </w:tr>
      <w:tr w:rsidR="00FD107B" w:rsidRPr="005B30A9" w14:paraId="7759CF84" w14:textId="77777777" w:rsidTr="00A45123">
        <w:trPr>
          <w:trHeight w:val="240"/>
        </w:trPr>
        <w:tc>
          <w:tcPr>
            <w:tcW w:w="567" w:type="dxa"/>
            <w:tcBorders>
              <w:top w:val="single" w:sz="12" w:space="0" w:color="auto"/>
            </w:tcBorders>
            <w:shd w:val="clear" w:color="auto" w:fill="auto"/>
          </w:tcPr>
          <w:p w14:paraId="0EE4B6FD"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2017</w:t>
            </w:r>
          </w:p>
        </w:tc>
        <w:tc>
          <w:tcPr>
            <w:tcW w:w="2267" w:type="dxa"/>
            <w:tcBorders>
              <w:top w:val="single" w:sz="12" w:space="0" w:color="auto"/>
            </w:tcBorders>
            <w:shd w:val="clear" w:color="auto" w:fill="auto"/>
            <w:noWrap/>
            <w:vAlign w:val="bottom"/>
          </w:tcPr>
          <w:p w14:paraId="774CD42F"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55</w:t>
            </w:r>
          </w:p>
        </w:tc>
        <w:tc>
          <w:tcPr>
            <w:tcW w:w="2268" w:type="dxa"/>
            <w:tcBorders>
              <w:top w:val="single" w:sz="12" w:space="0" w:color="auto"/>
            </w:tcBorders>
            <w:shd w:val="clear" w:color="auto" w:fill="auto"/>
            <w:vAlign w:val="bottom"/>
          </w:tcPr>
          <w:p w14:paraId="59750BD4"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36</w:t>
            </w:r>
          </w:p>
        </w:tc>
        <w:tc>
          <w:tcPr>
            <w:tcW w:w="2268" w:type="dxa"/>
            <w:tcBorders>
              <w:top w:val="single" w:sz="12" w:space="0" w:color="auto"/>
            </w:tcBorders>
            <w:shd w:val="clear" w:color="auto" w:fill="auto"/>
            <w:noWrap/>
            <w:vAlign w:val="bottom"/>
          </w:tcPr>
          <w:p w14:paraId="7A53AE7C"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91</w:t>
            </w:r>
          </w:p>
        </w:tc>
      </w:tr>
      <w:tr w:rsidR="00FD107B" w:rsidRPr="005B30A9" w14:paraId="54515520" w14:textId="77777777" w:rsidTr="00A45123">
        <w:trPr>
          <w:trHeight w:val="240"/>
        </w:trPr>
        <w:tc>
          <w:tcPr>
            <w:tcW w:w="567" w:type="dxa"/>
            <w:shd w:val="clear" w:color="auto" w:fill="auto"/>
          </w:tcPr>
          <w:p w14:paraId="4B7B008D"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2018</w:t>
            </w:r>
          </w:p>
        </w:tc>
        <w:tc>
          <w:tcPr>
            <w:tcW w:w="2267" w:type="dxa"/>
            <w:shd w:val="clear" w:color="auto" w:fill="auto"/>
            <w:vAlign w:val="bottom"/>
          </w:tcPr>
          <w:p w14:paraId="48D0F5F7"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55</w:t>
            </w:r>
          </w:p>
        </w:tc>
        <w:tc>
          <w:tcPr>
            <w:tcW w:w="2268" w:type="dxa"/>
            <w:shd w:val="clear" w:color="auto" w:fill="auto"/>
            <w:vAlign w:val="bottom"/>
          </w:tcPr>
          <w:p w14:paraId="1378EF48"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41</w:t>
            </w:r>
          </w:p>
        </w:tc>
        <w:tc>
          <w:tcPr>
            <w:tcW w:w="2268" w:type="dxa"/>
            <w:shd w:val="clear" w:color="auto" w:fill="auto"/>
            <w:noWrap/>
            <w:vAlign w:val="bottom"/>
          </w:tcPr>
          <w:p w14:paraId="21805BE0"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96</w:t>
            </w:r>
          </w:p>
        </w:tc>
      </w:tr>
      <w:tr w:rsidR="00FD107B" w:rsidRPr="005B30A9" w14:paraId="4D311F3C" w14:textId="77777777" w:rsidTr="00A45123">
        <w:trPr>
          <w:trHeight w:val="240"/>
        </w:trPr>
        <w:tc>
          <w:tcPr>
            <w:tcW w:w="567" w:type="dxa"/>
            <w:shd w:val="clear" w:color="auto" w:fill="auto"/>
          </w:tcPr>
          <w:p w14:paraId="4F3B81AB"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2019</w:t>
            </w:r>
          </w:p>
        </w:tc>
        <w:tc>
          <w:tcPr>
            <w:tcW w:w="2267" w:type="dxa"/>
            <w:shd w:val="clear" w:color="auto" w:fill="auto"/>
            <w:vAlign w:val="bottom"/>
          </w:tcPr>
          <w:p w14:paraId="38EA5D2E"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65</w:t>
            </w:r>
          </w:p>
        </w:tc>
        <w:tc>
          <w:tcPr>
            <w:tcW w:w="2268" w:type="dxa"/>
            <w:shd w:val="clear" w:color="auto" w:fill="auto"/>
            <w:vAlign w:val="bottom"/>
          </w:tcPr>
          <w:p w14:paraId="1205824F"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39</w:t>
            </w:r>
          </w:p>
        </w:tc>
        <w:tc>
          <w:tcPr>
            <w:tcW w:w="2268" w:type="dxa"/>
            <w:shd w:val="clear" w:color="auto" w:fill="auto"/>
            <w:noWrap/>
            <w:vAlign w:val="bottom"/>
          </w:tcPr>
          <w:p w14:paraId="7864C6F2"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104</w:t>
            </w:r>
          </w:p>
        </w:tc>
      </w:tr>
      <w:tr w:rsidR="00FD107B" w:rsidRPr="005B30A9" w14:paraId="419D3181" w14:textId="77777777" w:rsidTr="00A45123">
        <w:trPr>
          <w:trHeight w:val="240"/>
        </w:trPr>
        <w:tc>
          <w:tcPr>
            <w:tcW w:w="567" w:type="dxa"/>
            <w:shd w:val="clear" w:color="auto" w:fill="auto"/>
          </w:tcPr>
          <w:p w14:paraId="70881B3C"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2020</w:t>
            </w:r>
          </w:p>
        </w:tc>
        <w:tc>
          <w:tcPr>
            <w:tcW w:w="2267" w:type="dxa"/>
            <w:shd w:val="clear" w:color="auto" w:fill="auto"/>
            <w:vAlign w:val="bottom"/>
          </w:tcPr>
          <w:p w14:paraId="3089AFDA"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51</w:t>
            </w:r>
          </w:p>
        </w:tc>
        <w:tc>
          <w:tcPr>
            <w:tcW w:w="2268" w:type="dxa"/>
            <w:shd w:val="clear" w:color="auto" w:fill="auto"/>
            <w:vAlign w:val="bottom"/>
          </w:tcPr>
          <w:p w14:paraId="2D2C1D22"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31</w:t>
            </w:r>
          </w:p>
        </w:tc>
        <w:tc>
          <w:tcPr>
            <w:tcW w:w="2268" w:type="dxa"/>
            <w:shd w:val="clear" w:color="auto" w:fill="auto"/>
            <w:noWrap/>
            <w:vAlign w:val="bottom"/>
          </w:tcPr>
          <w:p w14:paraId="10665A27"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82</w:t>
            </w:r>
          </w:p>
        </w:tc>
      </w:tr>
      <w:tr w:rsidR="00FD107B" w:rsidRPr="005B30A9" w14:paraId="0FA2DBFE" w14:textId="77777777" w:rsidTr="00A45123">
        <w:trPr>
          <w:trHeight w:val="240"/>
        </w:trPr>
        <w:tc>
          <w:tcPr>
            <w:tcW w:w="567" w:type="dxa"/>
            <w:tcBorders>
              <w:bottom w:val="single" w:sz="12" w:space="0" w:color="auto"/>
            </w:tcBorders>
            <w:shd w:val="clear" w:color="auto" w:fill="auto"/>
          </w:tcPr>
          <w:p w14:paraId="46810990"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2021</w:t>
            </w:r>
          </w:p>
        </w:tc>
        <w:tc>
          <w:tcPr>
            <w:tcW w:w="2267" w:type="dxa"/>
            <w:tcBorders>
              <w:bottom w:val="single" w:sz="12" w:space="0" w:color="auto"/>
            </w:tcBorders>
            <w:shd w:val="clear" w:color="auto" w:fill="auto"/>
            <w:vAlign w:val="bottom"/>
          </w:tcPr>
          <w:p w14:paraId="5F58C223"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38</w:t>
            </w:r>
          </w:p>
        </w:tc>
        <w:tc>
          <w:tcPr>
            <w:tcW w:w="2268" w:type="dxa"/>
            <w:tcBorders>
              <w:bottom w:val="single" w:sz="12" w:space="0" w:color="auto"/>
            </w:tcBorders>
            <w:shd w:val="clear" w:color="auto" w:fill="auto"/>
            <w:vAlign w:val="bottom"/>
          </w:tcPr>
          <w:p w14:paraId="6B1C96F9"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36</w:t>
            </w:r>
          </w:p>
        </w:tc>
        <w:tc>
          <w:tcPr>
            <w:tcW w:w="2268" w:type="dxa"/>
            <w:tcBorders>
              <w:bottom w:val="single" w:sz="12" w:space="0" w:color="auto"/>
            </w:tcBorders>
            <w:shd w:val="clear" w:color="auto" w:fill="auto"/>
            <w:noWrap/>
            <w:vAlign w:val="bottom"/>
          </w:tcPr>
          <w:p w14:paraId="42D8BBA1"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74</w:t>
            </w:r>
          </w:p>
        </w:tc>
      </w:tr>
    </w:tbl>
    <w:p w14:paraId="75DE6434" w14:textId="77777777" w:rsidR="009612CC" w:rsidRPr="005B30A9" w:rsidRDefault="009612CC" w:rsidP="00FD107B">
      <w:pPr>
        <w:pStyle w:val="SingleTxtG"/>
        <w:spacing w:before="120"/>
        <w:ind w:firstLine="170"/>
        <w:jc w:val="left"/>
        <w:rPr>
          <w:sz w:val="18"/>
          <w:szCs w:val="18"/>
        </w:rPr>
      </w:pPr>
      <w:r w:rsidRPr="005B30A9">
        <w:rPr>
          <w:i/>
          <w:iCs/>
          <w:sz w:val="18"/>
          <w:szCs w:val="18"/>
        </w:rPr>
        <w:t>Fuente:</w:t>
      </w:r>
      <w:r w:rsidRPr="005B30A9">
        <w:rPr>
          <w:sz w:val="18"/>
          <w:szCs w:val="18"/>
        </w:rPr>
        <w:t xml:space="preserve"> Estadísticas de la policía de Austria sobre delitos.</w:t>
      </w:r>
    </w:p>
    <w:p w14:paraId="6FB72349" w14:textId="77777777" w:rsidR="009612CC" w:rsidRPr="005B30A9" w:rsidRDefault="009612CC" w:rsidP="00FD107B">
      <w:pPr>
        <w:pStyle w:val="Table1G"/>
      </w:pPr>
      <w:r w:rsidRPr="005B30A9">
        <w:lastRenderedPageBreak/>
        <w:t>Cuadro 6</w:t>
      </w:r>
    </w:p>
    <w:p w14:paraId="5FD1A639" w14:textId="6599A028" w:rsidR="009612CC" w:rsidRPr="005B30A9" w:rsidRDefault="009612CC" w:rsidP="00FD107B">
      <w:pPr>
        <w:pStyle w:val="SingleTxtG"/>
        <w:jc w:val="left"/>
        <w:rPr>
          <w:b/>
          <w:bCs/>
        </w:rPr>
      </w:pPr>
      <w:r w:rsidRPr="005B30A9">
        <w:rPr>
          <w:b/>
          <w:bCs/>
        </w:rPr>
        <w:t xml:space="preserve">Edad de las mujeres víctimas de homicidio (incluidas las tentativas </w:t>
      </w:r>
      <w:r w:rsidR="00C912F0">
        <w:rPr>
          <w:b/>
          <w:bCs/>
        </w:rPr>
        <w:br/>
      </w:r>
      <w:r w:rsidRPr="005B30A9">
        <w:rPr>
          <w:b/>
          <w:bCs/>
        </w:rPr>
        <w:t>de homicidio): comparación quinquenal (2017-2021)</w:t>
      </w:r>
    </w:p>
    <w:tbl>
      <w:tblPr>
        <w:tblW w:w="7370" w:type="dxa"/>
        <w:tblInd w:w="1134" w:type="dxa"/>
        <w:tblBorders>
          <w:top w:val="single" w:sz="4" w:space="0" w:color="auto"/>
        </w:tblBorders>
        <w:tblLayout w:type="fixed"/>
        <w:tblCellMar>
          <w:left w:w="0" w:type="dxa"/>
          <w:right w:w="0" w:type="dxa"/>
        </w:tblCellMar>
        <w:tblLook w:val="0420" w:firstRow="1" w:lastRow="0" w:firstColumn="0" w:lastColumn="0" w:noHBand="0" w:noVBand="1"/>
      </w:tblPr>
      <w:tblGrid>
        <w:gridCol w:w="944"/>
        <w:gridCol w:w="918"/>
        <w:gridCol w:w="918"/>
        <w:gridCol w:w="918"/>
        <w:gridCol w:w="918"/>
        <w:gridCol w:w="918"/>
        <w:gridCol w:w="918"/>
        <w:gridCol w:w="918"/>
      </w:tblGrid>
      <w:tr w:rsidR="00FD107B" w:rsidRPr="005B30A9" w14:paraId="375D4134" w14:textId="77777777" w:rsidTr="00C912F0">
        <w:trPr>
          <w:trHeight w:val="240"/>
          <w:tblHeader/>
        </w:trPr>
        <w:tc>
          <w:tcPr>
            <w:tcW w:w="944" w:type="dxa"/>
            <w:tcBorders>
              <w:top w:val="single" w:sz="4" w:space="0" w:color="auto"/>
              <w:bottom w:val="single" w:sz="12" w:space="0" w:color="auto"/>
            </w:tcBorders>
            <w:shd w:val="clear" w:color="auto" w:fill="auto"/>
            <w:noWrap/>
            <w:vAlign w:val="bottom"/>
          </w:tcPr>
          <w:p w14:paraId="08E2B88B" w14:textId="77777777" w:rsidR="009612CC" w:rsidRPr="005B30A9" w:rsidRDefault="009612CC" w:rsidP="00FD107B">
            <w:pPr>
              <w:pStyle w:val="SingleTxtG"/>
              <w:tabs>
                <w:tab w:val="clear" w:pos="1701"/>
                <w:tab w:val="clear" w:pos="2268"/>
                <w:tab w:val="clear" w:pos="2835"/>
              </w:tabs>
              <w:spacing w:before="80" w:after="80" w:line="200" w:lineRule="exact"/>
              <w:ind w:left="0" w:right="0"/>
              <w:jc w:val="left"/>
              <w:rPr>
                <w:i/>
                <w:sz w:val="16"/>
              </w:rPr>
            </w:pPr>
            <w:r w:rsidRPr="005B30A9">
              <w:rPr>
                <w:i/>
                <w:iCs/>
                <w:sz w:val="16"/>
              </w:rPr>
              <w:t>Año</w:t>
            </w:r>
          </w:p>
        </w:tc>
        <w:tc>
          <w:tcPr>
            <w:tcW w:w="918" w:type="dxa"/>
            <w:tcBorders>
              <w:top w:val="single" w:sz="4" w:space="0" w:color="auto"/>
              <w:bottom w:val="single" w:sz="12" w:space="0" w:color="auto"/>
            </w:tcBorders>
            <w:shd w:val="clear" w:color="auto" w:fill="auto"/>
            <w:noWrap/>
            <w:vAlign w:val="bottom"/>
          </w:tcPr>
          <w:p w14:paraId="7CCE6C2F"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 17</w:t>
            </w:r>
            <w:r w:rsidRPr="005B30A9">
              <w:rPr>
                <w:i/>
                <w:sz w:val="16"/>
              </w:rPr>
              <w:t xml:space="preserve"> </w:t>
            </w:r>
          </w:p>
        </w:tc>
        <w:tc>
          <w:tcPr>
            <w:tcW w:w="918" w:type="dxa"/>
            <w:tcBorders>
              <w:top w:val="single" w:sz="4" w:space="0" w:color="auto"/>
              <w:bottom w:val="single" w:sz="12" w:space="0" w:color="auto"/>
            </w:tcBorders>
            <w:shd w:val="clear" w:color="auto" w:fill="auto"/>
            <w:vAlign w:val="bottom"/>
          </w:tcPr>
          <w:p w14:paraId="1619300D"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18 a 20</w:t>
            </w:r>
          </w:p>
        </w:tc>
        <w:tc>
          <w:tcPr>
            <w:tcW w:w="918" w:type="dxa"/>
            <w:tcBorders>
              <w:top w:val="single" w:sz="4" w:space="0" w:color="auto"/>
              <w:bottom w:val="single" w:sz="12" w:space="0" w:color="auto"/>
            </w:tcBorders>
            <w:shd w:val="clear" w:color="auto" w:fill="auto"/>
            <w:vAlign w:val="bottom"/>
          </w:tcPr>
          <w:p w14:paraId="5F5528A1"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21 a 24</w:t>
            </w:r>
          </w:p>
        </w:tc>
        <w:tc>
          <w:tcPr>
            <w:tcW w:w="918" w:type="dxa"/>
            <w:tcBorders>
              <w:top w:val="single" w:sz="4" w:space="0" w:color="auto"/>
              <w:bottom w:val="single" w:sz="12" w:space="0" w:color="auto"/>
            </w:tcBorders>
            <w:shd w:val="clear" w:color="auto" w:fill="auto"/>
            <w:vAlign w:val="bottom"/>
          </w:tcPr>
          <w:p w14:paraId="61049462"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25 a 39</w:t>
            </w:r>
          </w:p>
        </w:tc>
        <w:tc>
          <w:tcPr>
            <w:tcW w:w="918" w:type="dxa"/>
            <w:tcBorders>
              <w:top w:val="single" w:sz="4" w:space="0" w:color="auto"/>
              <w:bottom w:val="single" w:sz="12" w:space="0" w:color="auto"/>
            </w:tcBorders>
            <w:shd w:val="clear" w:color="auto" w:fill="auto"/>
            <w:vAlign w:val="bottom"/>
          </w:tcPr>
          <w:p w14:paraId="07BD6306"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40 a 64</w:t>
            </w:r>
          </w:p>
        </w:tc>
        <w:tc>
          <w:tcPr>
            <w:tcW w:w="918" w:type="dxa"/>
            <w:tcBorders>
              <w:top w:val="single" w:sz="4" w:space="0" w:color="auto"/>
              <w:bottom w:val="single" w:sz="12" w:space="0" w:color="auto"/>
            </w:tcBorders>
            <w:shd w:val="clear" w:color="auto" w:fill="auto"/>
            <w:vAlign w:val="bottom"/>
          </w:tcPr>
          <w:p w14:paraId="078C947B"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 65</w:t>
            </w:r>
            <w:r w:rsidRPr="005B30A9">
              <w:rPr>
                <w:i/>
                <w:sz w:val="16"/>
              </w:rPr>
              <w:t xml:space="preserve"> </w:t>
            </w:r>
          </w:p>
        </w:tc>
        <w:tc>
          <w:tcPr>
            <w:tcW w:w="918" w:type="dxa"/>
            <w:tcBorders>
              <w:top w:val="single" w:sz="4" w:space="0" w:color="auto"/>
              <w:bottom w:val="single" w:sz="12" w:space="0" w:color="auto"/>
            </w:tcBorders>
            <w:shd w:val="clear" w:color="auto" w:fill="auto"/>
            <w:vAlign w:val="bottom"/>
          </w:tcPr>
          <w:p w14:paraId="3728E81C"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sz w:val="16"/>
              </w:rPr>
              <w:t>Total</w:t>
            </w:r>
          </w:p>
        </w:tc>
      </w:tr>
      <w:tr w:rsidR="00FD107B" w:rsidRPr="005B30A9" w14:paraId="4171A6D0" w14:textId="77777777" w:rsidTr="00C912F0">
        <w:trPr>
          <w:trHeight w:val="240"/>
        </w:trPr>
        <w:tc>
          <w:tcPr>
            <w:tcW w:w="944" w:type="dxa"/>
            <w:tcBorders>
              <w:top w:val="single" w:sz="12" w:space="0" w:color="auto"/>
            </w:tcBorders>
            <w:shd w:val="clear" w:color="auto" w:fill="auto"/>
            <w:noWrap/>
          </w:tcPr>
          <w:p w14:paraId="0F9B493A"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2017</w:t>
            </w:r>
          </w:p>
        </w:tc>
        <w:tc>
          <w:tcPr>
            <w:tcW w:w="918" w:type="dxa"/>
            <w:tcBorders>
              <w:top w:val="single" w:sz="12" w:space="0" w:color="auto"/>
            </w:tcBorders>
            <w:shd w:val="clear" w:color="auto" w:fill="auto"/>
            <w:noWrap/>
            <w:vAlign w:val="bottom"/>
          </w:tcPr>
          <w:p w14:paraId="5354E7AC"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12</w:t>
            </w:r>
          </w:p>
        </w:tc>
        <w:tc>
          <w:tcPr>
            <w:tcW w:w="918" w:type="dxa"/>
            <w:tcBorders>
              <w:top w:val="single" w:sz="12" w:space="0" w:color="auto"/>
            </w:tcBorders>
            <w:shd w:val="clear" w:color="auto" w:fill="auto"/>
            <w:vAlign w:val="bottom"/>
          </w:tcPr>
          <w:p w14:paraId="7B4894C3"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w:t>
            </w:r>
          </w:p>
        </w:tc>
        <w:tc>
          <w:tcPr>
            <w:tcW w:w="918" w:type="dxa"/>
            <w:tcBorders>
              <w:top w:val="single" w:sz="12" w:space="0" w:color="auto"/>
            </w:tcBorders>
            <w:shd w:val="clear" w:color="auto" w:fill="auto"/>
            <w:vAlign w:val="bottom"/>
          </w:tcPr>
          <w:p w14:paraId="2A7FF088"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8</w:t>
            </w:r>
          </w:p>
        </w:tc>
        <w:tc>
          <w:tcPr>
            <w:tcW w:w="918" w:type="dxa"/>
            <w:tcBorders>
              <w:top w:val="single" w:sz="12" w:space="0" w:color="auto"/>
            </w:tcBorders>
            <w:shd w:val="clear" w:color="auto" w:fill="auto"/>
            <w:vAlign w:val="bottom"/>
          </w:tcPr>
          <w:p w14:paraId="093B5645"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16</w:t>
            </w:r>
          </w:p>
        </w:tc>
        <w:tc>
          <w:tcPr>
            <w:tcW w:w="918" w:type="dxa"/>
            <w:tcBorders>
              <w:top w:val="single" w:sz="12" w:space="0" w:color="auto"/>
            </w:tcBorders>
            <w:shd w:val="clear" w:color="auto" w:fill="auto"/>
            <w:vAlign w:val="bottom"/>
          </w:tcPr>
          <w:p w14:paraId="446945C5"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37</w:t>
            </w:r>
          </w:p>
        </w:tc>
        <w:tc>
          <w:tcPr>
            <w:tcW w:w="918" w:type="dxa"/>
            <w:tcBorders>
              <w:top w:val="single" w:sz="12" w:space="0" w:color="auto"/>
            </w:tcBorders>
            <w:shd w:val="clear" w:color="auto" w:fill="auto"/>
            <w:vAlign w:val="bottom"/>
          </w:tcPr>
          <w:p w14:paraId="15A672F5"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16</w:t>
            </w:r>
          </w:p>
        </w:tc>
        <w:tc>
          <w:tcPr>
            <w:tcW w:w="918" w:type="dxa"/>
            <w:tcBorders>
              <w:top w:val="single" w:sz="12" w:space="0" w:color="auto"/>
            </w:tcBorders>
            <w:shd w:val="clear" w:color="auto" w:fill="auto"/>
            <w:vAlign w:val="bottom"/>
          </w:tcPr>
          <w:p w14:paraId="2D94D30F"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91</w:t>
            </w:r>
          </w:p>
        </w:tc>
      </w:tr>
      <w:tr w:rsidR="00FD107B" w:rsidRPr="005B30A9" w14:paraId="0197972C" w14:textId="77777777" w:rsidTr="00C912F0">
        <w:trPr>
          <w:trHeight w:val="240"/>
        </w:trPr>
        <w:tc>
          <w:tcPr>
            <w:tcW w:w="944" w:type="dxa"/>
            <w:shd w:val="clear" w:color="auto" w:fill="auto"/>
            <w:noWrap/>
          </w:tcPr>
          <w:p w14:paraId="40195487"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2018</w:t>
            </w:r>
          </w:p>
        </w:tc>
        <w:tc>
          <w:tcPr>
            <w:tcW w:w="918" w:type="dxa"/>
            <w:shd w:val="clear" w:color="auto" w:fill="auto"/>
            <w:noWrap/>
            <w:vAlign w:val="bottom"/>
          </w:tcPr>
          <w:p w14:paraId="26CC8627"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10</w:t>
            </w:r>
          </w:p>
        </w:tc>
        <w:tc>
          <w:tcPr>
            <w:tcW w:w="918" w:type="dxa"/>
            <w:shd w:val="clear" w:color="auto" w:fill="auto"/>
            <w:vAlign w:val="bottom"/>
          </w:tcPr>
          <w:p w14:paraId="0F43481C"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6</w:t>
            </w:r>
          </w:p>
        </w:tc>
        <w:tc>
          <w:tcPr>
            <w:tcW w:w="918" w:type="dxa"/>
            <w:shd w:val="clear" w:color="auto" w:fill="auto"/>
            <w:vAlign w:val="bottom"/>
          </w:tcPr>
          <w:p w14:paraId="233207A8"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w:t>
            </w:r>
          </w:p>
        </w:tc>
        <w:tc>
          <w:tcPr>
            <w:tcW w:w="918" w:type="dxa"/>
            <w:shd w:val="clear" w:color="auto" w:fill="auto"/>
            <w:vAlign w:val="bottom"/>
          </w:tcPr>
          <w:p w14:paraId="515C7552"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30</w:t>
            </w:r>
          </w:p>
        </w:tc>
        <w:tc>
          <w:tcPr>
            <w:tcW w:w="918" w:type="dxa"/>
            <w:shd w:val="clear" w:color="auto" w:fill="auto"/>
            <w:vAlign w:val="bottom"/>
          </w:tcPr>
          <w:p w14:paraId="630DBAF4"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33</w:t>
            </w:r>
          </w:p>
        </w:tc>
        <w:tc>
          <w:tcPr>
            <w:tcW w:w="918" w:type="dxa"/>
            <w:shd w:val="clear" w:color="auto" w:fill="auto"/>
            <w:vAlign w:val="bottom"/>
          </w:tcPr>
          <w:p w14:paraId="20CA1FA0"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15</w:t>
            </w:r>
          </w:p>
        </w:tc>
        <w:tc>
          <w:tcPr>
            <w:tcW w:w="918" w:type="dxa"/>
            <w:shd w:val="clear" w:color="auto" w:fill="auto"/>
            <w:vAlign w:val="bottom"/>
          </w:tcPr>
          <w:p w14:paraId="052BEFB5"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96</w:t>
            </w:r>
          </w:p>
        </w:tc>
      </w:tr>
      <w:tr w:rsidR="00FD107B" w:rsidRPr="005B30A9" w14:paraId="50277F95" w14:textId="77777777" w:rsidTr="00C912F0">
        <w:trPr>
          <w:trHeight w:val="240"/>
        </w:trPr>
        <w:tc>
          <w:tcPr>
            <w:tcW w:w="944" w:type="dxa"/>
            <w:shd w:val="clear" w:color="auto" w:fill="auto"/>
            <w:noWrap/>
          </w:tcPr>
          <w:p w14:paraId="2F8F311A"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2019</w:t>
            </w:r>
          </w:p>
        </w:tc>
        <w:tc>
          <w:tcPr>
            <w:tcW w:w="918" w:type="dxa"/>
            <w:shd w:val="clear" w:color="auto" w:fill="auto"/>
            <w:noWrap/>
            <w:vAlign w:val="bottom"/>
          </w:tcPr>
          <w:p w14:paraId="235B7C2E"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11</w:t>
            </w:r>
          </w:p>
        </w:tc>
        <w:tc>
          <w:tcPr>
            <w:tcW w:w="918" w:type="dxa"/>
            <w:shd w:val="clear" w:color="auto" w:fill="auto"/>
            <w:vAlign w:val="bottom"/>
          </w:tcPr>
          <w:p w14:paraId="07B7A580"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4</w:t>
            </w:r>
          </w:p>
        </w:tc>
        <w:tc>
          <w:tcPr>
            <w:tcW w:w="918" w:type="dxa"/>
            <w:shd w:val="clear" w:color="auto" w:fill="auto"/>
            <w:vAlign w:val="bottom"/>
          </w:tcPr>
          <w:p w14:paraId="2B54E4D9"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5</w:t>
            </w:r>
          </w:p>
        </w:tc>
        <w:tc>
          <w:tcPr>
            <w:tcW w:w="918" w:type="dxa"/>
            <w:shd w:val="clear" w:color="auto" w:fill="auto"/>
            <w:vAlign w:val="bottom"/>
          </w:tcPr>
          <w:p w14:paraId="72DC23A5"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29</w:t>
            </w:r>
          </w:p>
        </w:tc>
        <w:tc>
          <w:tcPr>
            <w:tcW w:w="918" w:type="dxa"/>
            <w:shd w:val="clear" w:color="auto" w:fill="auto"/>
            <w:vAlign w:val="bottom"/>
          </w:tcPr>
          <w:p w14:paraId="02506C17"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39</w:t>
            </w:r>
          </w:p>
        </w:tc>
        <w:tc>
          <w:tcPr>
            <w:tcW w:w="918" w:type="dxa"/>
            <w:shd w:val="clear" w:color="auto" w:fill="auto"/>
            <w:vAlign w:val="bottom"/>
          </w:tcPr>
          <w:p w14:paraId="624F62E1"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16</w:t>
            </w:r>
          </w:p>
        </w:tc>
        <w:tc>
          <w:tcPr>
            <w:tcW w:w="918" w:type="dxa"/>
            <w:shd w:val="clear" w:color="auto" w:fill="auto"/>
            <w:vAlign w:val="bottom"/>
          </w:tcPr>
          <w:p w14:paraId="1A91383F"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104</w:t>
            </w:r>
          </w:p>
        </w:tc>
      </w:tr>
      <w:tr w:rsidR="00FD107B" w:rsidRPr="005B30A9" w14:paraId="5A5E5AB4" w14:textId="77777777" w:rsidTr="00C912F0">
        <w:trPr>
          <w:trHeight w:val="240"/>
        </w:trPr>
        <w:tc>
          <w:tcPr>
            <w:tcW w:w="944" w:type="dxa"/>
            <w:shd w:val="clear" w:color="auto" w:fill="auto"/>
            <w:noWrap/>
          </w:tcPr>
          <w:p w14:paraId="165667E6"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2020</w:t>
            </w:r>
          </w:p>
        </w:tc>
        <w:tc>
          <w:tcPr>
            <w:tcW w:w="918" w:type="dxa"/>
            <w:shd w:val="clear" w:color="auto" w:fill="auto"/>
            <w:noWrap/>
            <w:vAlign w:val="bottom"/>
          </w:tcPr>
          <w:p w14:paraId="0BDCA432"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7</w:t>
            </w:r>
          </w:p>
        </w:tc>
        <w:tc>
          <w:tcPr>
            <w:tcW w:w="918" w:type="dxa"/>
            <w:shd w:val="clear" w:color="auto" w:fill="auto"/>
            <w:vAlign w:val="bottom"/>
          </w:tcPr>
          <w:p w14:paraId="2A93CA23"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4</w:t>
            </w:r>
          </w:p>
        </w:tc>
        <w:tc>
          <w:tcPr>
            <w:tcW w:w="918" w:type="dxa"/>
            <w:shd w:val="clear" w:color="auto" w:fill="auto"/>
            <w:vAlign w:val="bottom"/>
          </w:tcPr>
          <w:p w14:paraId="02BE6E7F"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w:t>
            </w:r>
          </w:p>
        </w:tc>
        <w:tc>
          <w:tcPr>
            <w:tcW w:w="918" w:type="dxa"/>
            <w:shd w:val="clear" w:color="auto" w:fill="auto"/>
            <w:vAlign w:val="bottom"/>
          </w:tcPr>
          <w:p w14:paraId="5EA1A014"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29</w:t>
            </w:r>
          </w:p>
        </w:tc>
        <w:tc>
          <w:tcPr>
            <w:tcW w:w="918" w:type="dxa"/>
            <w:shd w:val="clear" w:color="auto" w:fill="auto"/>
            <w:vAlign w:val="bottom"/>
          </w:tcPr>
          <w:p w14:paraId="798703F8"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26</w:t>
            </w:r>
          </w:p>
        </w:tc>
        <w:tc>
          <w:tcPr>
            <w:tcW w:w="918" w:type="dxa"/>
            <w:shd w:val="clear" w:color="auto" w:fill="auto"/>
            <w:vAlign w:val="bottom"/>
          </w:tcPr>
          <w:p w14:paraId="4BB036BB"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14</w:t>
            </w:r>
          </w:p>
        </w:tc>
        <w:tc>
          <w:tcPr>
            <w:tcW w:w="918" w:type="dxa"/>
            <w:shd w:val="clear" w:color="auto" w:fill="auto"/>
            <w:vAlign w:val="bottom"/>
          </w:tcPr>
          <w:p w14:paraId="423084AB"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82</w:t>
            </w:r>
          </w:p>
        </w:tc>
      </w:tr>
      <w:tr w:rsidR="00FD107B" w:rsidRPr="005B30A9" w14:paraId="57EDCFC3" w14:textId="77777777" w:rsidTr="00C912F0">
        <w:trPr>
          <w:trHeight w:val="240"/>
        </w:trPr>
        <w:tc>
          <w:tcPr>
            <w:tcW w:w="944" w:type="dxa"/>
            <w:tcBorders>
              <w:bottom w:val="single" w:sz="12" w:space="0" w:color="auto"/>
            </w:tcBorders>
            <w:shd w:val="clear" w:color="auto" w:fill="auto"/>
            <w:noWrap/>
          </w:tcPr>
          <w:p w14:paraId="70CA8946"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2021</w:t>
            </w:r>
          </w:p>
        </w:tc>
        <w:tc>
          <w:tcPr>
            <w:tcW w:w="918" w:type="dxa"/>
            <w:tcBorders>
              <w:bottom w:val="single" w:sz="12" w:space="0" w:color="auto"/>
            </w:tcBorders>
            <w:shd w:val="clear" w:color="auto" w:fill="auto"/>
            <w:noWrap/>
            <w:vAlign w:val="bottom"/>
          </w:tcPr>
          <w:p w14:paraId="25013320"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5</w:t>
            </w:r>
          </w:p>
        </w:tc>
        <w:tc>
          <w:tcPr>
            <w:tcW w:w="918" w:type="dxa"/>
            <w:tcBorders>
              <w:bottom w:val="single" w:sz="12" w:space="0" w:color="auto"/>
            </w:tcBorders>
            <w:shd w:val="clear" w:color="auto" w:fill="auto"/>
            <w:vAlign w:val="bottom"/>
          </w:tcPr>
          <w:p w14:paraId="3A130D4B"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w:t>
            </w:r>
          </w:p>
        </w:tc>
        <w:tc>
          <w:tcPr>
            <w:tcW w:w="918" w:type="dxa"/>
            <w:tcBorders>
              <w:bottom w:val="single" w:sz="12" w:space="0" w:color="auto"/>
            </w:tcBorders>
            <w:shd w:val="clear" w:color="auto" w:fill="auto"/>
            <w:vAlign w:val="bottom"/>
          </w:tcPr>
          <w:p w14:paraId="07F1D8B5"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4</w:t>
            </w:r>
          </w:p>
        </w:tc>
        <w:tc>
          <w:tcPr>
            <w:tcW w:w="918" w:type="dxa"/>
            <w:tcBorders>
              <w:bottom w:val="single" w:sz="12" w:space="0" w:color="auto"/>
            </w:tcBorders>
            <w:shd w:val="clear" w:color="auto" w:fill="auto"/>
            <w:vAlign w:val="bottom"/>
          </w:tcPr>
          <w:p w14:paraId="64133ECA"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24</w:t>
            </w:r>
          </w:p>
        </w:tc>
        <w:tc>
          <w:tcPr>
            <w:tcW w:w="918" w:type="dxa"/>
            <w:tcBorders>
              <w:bottom w:val="single" w:sz="12" w:space="0" w:color="auto"/>
            </w:tcBorders>
            <w:shd w:val="clear" w:color="auto" w:fill="auto"/>
            <w:vAlign w:val="bottom"/>
          </w:tcPr>
          <w:p w14:paraId="515CBD93"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24</w:t>
            </w:r>
          </w:p>
        </w:tc>
        <w:tc>
          <w:tcPr>
            <w:tcW w:w="918" w:type="dxa"/>
            <w:tcBorders>
              <w:bottom w:val="single" w:sz="12" w:space="0" w:color="auto"/>
            </w:tcBorders>
            <w:shd w:val="clear" w:color="auto" w:fill="auto"/>
            <w:vAlign w:val="bottom"/>
          </w:tcPr>
          <w:p w14:paraId="6DE18358"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15</w:t>
            </w:r>
          </w:p>
        </w:tc>
        <w:tc>
          <w:tcPr>
            <w:tcW w:w="918" w:type="dxa"/>
            <w:tcBorders>
              <w:bottom w:val="single" w:sz="12" w:space="0" w:color="auto"/>
            </w:tcBorders>
            <w:shd w:val="clear" w:color="auto" w:fill="auto"/>
            <w:vAlign w:val="bottom"/>
          </w:tcPr>
          <w:p w14:paraId="7F78CA17"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74</w:t>
            </w:r>
          </w:p>
        </w:tc>
      </w:tr>
    </w:tbl>
    <w:p w14:paraId="59484BF9" w14:textId="77777777" w:rsidR="009612CC" w:rsidRPr="005B30A9" w:rsidRDefault="009612CC" w:rsidP="00FD107B">
      <w:pPr>
        <w:pStyle w:val="SingleTxtG"/>
        <w:spacing w:before="120"/>
        <w:ind w:firstLine="170"/>
        <w:jc w:val="left"/>
        <w:rPr>
          <w:bCs/>
          <w:sz w:val="18"/>
          <w:szCs w:val="18"/>
        </w:rPr>
      </w:pPr>
      <w:r w:rsidRPr="005B30A9">
        <w:rPr>
          <w:i/>
          <w:iCs/>
          <w:sz w:val="18"/>
          <w:szCs w:val="18"/>
        </w:rPr>
        <w:t>Fuente:</w:t>
      </w:r>
      <w:r w:rsidRPr="005B30A9">
        <w:rPr>
          <w:sz w:val="18"/>
          <w:szCs w:val="18"/>
        </w:rPr>
        <w:t xml:space="preserve"> Estadísticas de la policía de Austria sobre delitos.</w:t>
      </w:r>
    </w:p>
    <w:p w14:paraId="45976B05" w14:textId="77777777" w:rsidR="009612CC" w:rsidRPr="005B30A9" w:rsidRDefault="009612CC" w:rsidP="00FD107B">
      <w:pPr>
        <w:pStyle w:val="Table1G"/>
      </w:pPr>
      <w:r w:rsidRPr="005B30A9">
        <w:t>Cuadro 7</w:t>
      </w:r>
    </w:p>
    <w:p w14:paraId="5CF1774E" w14:textId="1F614F95" w:rsidR="009612CC" w:rsidRPr="005B30A9" w:rsidRDefault="009612CC" w:rsidP="00FD107B">
      <w:pPr>
        <w:pStyle w:val="SingleTxtG"/>
        <w:jc w:val="left"/>
        <w:rPr>
          <w:b/>
          <w:bCs/>
        </w:rPr>
      </w:pPr>
      <w:r w:rsidRPr="005B30A9">
        <w:rPr>
          <w:b/>
          <w:bCs/>
        </w:rPr>
        <w:t>Número de mujeres que reciben asistencia e importe de los fondos destinados a</w:t>
      </w:r>
      <w:r w:rsidR="00FD107B" w:rsidRPr="005B30A9">
        <w:rPr>
          <w:b/>
          <w:bCs/>
        </w:rPr>
        <w:t> </w:t>
      </w:r>
      <w:r w:rsidRPr="005B30A9">
        <w:rPr>
          <w:b/>
          <w:bCs/>
        </w:rPr>
        <w:t>prestar asistencia en los tribunales: comparación trienal (2020-2022)</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994"/>
        <w:gridCol w:w="1172"/>
        <w:gridCol w:w="1319"/>
        <w:gridCol w:w="1292"/>
        <w:gridCol w:w="1247"/>
        <w:gridCol w:w="1346"/>
      </w:tblGrid>
      <w:tr w:rsidR="00FD107B" w:rsidRPr="005B30A9" w14:paraId="50835438" w14:textId="77777777" w:rsidTr="00FD107B">
        <w:trPr>
          <w:trHeight w:val="240"/>
          <w:tblHeader/>
        </w:trPr>
        <w:tc>
          <w:tcPr>
            <w:tcW w:w="1239" w:type="dxa"/>
            <w:vMerge w:val="restart"/>
            <w:tcBorders>
              <w:top w:val="single" w:sz="4" w:space="0" w:color="auto"/>
              <w:bottom w:val="single" w:sz="12" w:space="0" w:color="auto"/>
            </w:tcBorders>
            <w:shd w:val="clear" w:color="auto" w:fill="auto"/>
            <w:vAlign w:val="bottom"/>
          </w:tcPr>
          <w:p w14:paraId="367AD908" w14:textId="77777777" w:rsidR="009612CC" w:rsidRPr="005B30A9" w:rsidRDefault="009612CC" w:rsidP="00FD107B">
            <w:pPr>
              <w:pStyle w:val="SingleTxtG"/>
              <w:tabs>
                <w:tab w:val="clear" w:pos="1701"/>
                <w:tab w:val="clear" w:pos="2268"/>
                <w:tab w:val="clear" w:pos="2835"/>
              </w:tabs>
              <w:spacing w:before="80" w:after="80" w:line="200" w:lineRule="exact"/>
              <w:ind w:left="0" w:right="0"/>
              <w:jc w:val="left"/>
              <w:rPr>
                <w:i/>
                <w:sz w:val="16"/>
              </w:rPr>
            </w:pPr>
            <w:r w:rsidRPr="005B30A9">
              <w:rPr>
                <w:i/>
                <w:iCs/>
                <w:sz w:val="16"/>
              </w:rPr>
              <w:t>Año</w:t>
            </w:r>
          </w:p>
        </w:tc>
        <w:tc>
          <w:tcPr>
            <w:tcW w:w="1367" w:type="dxa"/>
            <w:vMerge w:val="restart"/>
            <w:tcBorders>
              <w:top w:val="single" w:sz="4" w:space="0" w:color="auto"/>
              <w:bottom w:val="single" w:sz="12" w:space="0" w:color="auto"/>
            </w:tcBorders>
            <w:shd w:val="clear" w:color="auto" w:fill="auto"/>
            <w:vAlign w:val="bottom"/>
          </w:tcPr>
          <w:p w14:paraId="21E4DEC0"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Mujeres que reciben asistencia</w:t>
            </w:r>
            <w:r w:rsidRPr="005B30A9">
              <w:rPr>
                <w:i/>
                <w:sz w:val="16"/>
              </w:rPr>
              <w:t xml:space="preserve"> </w:t>
            </w:r>
          </w:p>
        </w:tc>
        <w:tc>
          <w:tcPr>
            <w:tcW w:w="4594" w:type="dxa"/>
            <w:gridSpan w:val="3"/>
            <w:tcBorders>
              <w:top w:val="single" w:sz="4" w:space="0" w:color="auto"/>
              <w:bottom w:val="single" w:sz="4" w:space="0" w:color="auto"/>
            </w:tcBorders>
            <w:shd w:val="clear" w:color="auto" w:fill="auto"/>
            <w:vAlign w:val="bottom"/>
          </w:tcPr>
          <w:p w14:paraId="6442333B" w14:textId="77777777" w:rsidR="009612CC" w:rsidRPr="005B30A9" w:rsidRDefault="009612CC" w:rsidP="00FD107B">
            <w:pPr>
              <w:pStyle w:val="SingleTxtG"/>
              <w:tabs>
                <w:tab w:val="clear" w:pos="1701"/>
                <w:tab w:val="clear" w:pos="2268"/>
                <w:tab w:val="clear" w:pos="2835"/>
              </w:tabs>
              <w:spacing w:before="80" w:after="80" w:line="200" w:lineRule="exact"/>
              <w:ind w:left="113" w:right="0"/>
              <w:jc w:val="center"/>
              <w:rPr>
                <w:i/>
                <w:sz w:val="16"/>
              </w:rPr>
            </w:pPr>
            <w:r w:rsidRPr="005B30A9">
              <w:rPr>
                <w:i/>
                <w:iCs/>
                <w:sz w:val="16"/>
              </w:rPr>
              <w:t>Fondos en euros</w:t>
            </w:r>
          </w:p>
        </w:tc>
        <w:tc>
          <w:tcPr>
            <w:tcW w:w="1638" w:type="dxa"/>
            <w:vMerge w:val="restart"/>
            <w:tcBorders>
              <w:top w:val="single" w:sz="4" w:space="0" w:color="auto"/>
              <w:bottom w:val="single" w:sz="12" w:space="0" w:color="auto"/>
            </w:tcBorders>
            <w:shd w:val="clear" w:color="auto" w:fill="auto"/>
            <w:vAlign w:val="bottom"/>
          </w:tcPr>
          <w:p w14:paraId="5AB44336" w14:textId="77777777" w:rsidR="009612CC" w:rsidRPr="005B30A9" w:rsidRDefault="009612CC" w:rsidP="00FD107B">
            <w:pPr>
              <w:pStyle w:val="SingleTxtG"/>
              <w:tabs>
                <w:tab w:val="clear" w:pos="1701"/>
                <w:tab w:val="clear" w:pos="2268"/>
                <w:tab w:val="clear" w:pos="2835"/>
              </w:tabs>
              <w:spacing w:before="80" w:after="80" w:line="200" w:lineRule="exact"/>
              <w:ind w:left="57" w:right="28"/>
              <w:jc w:val="right"/>
              <w:rPr>
                <w:i/>
                <w:sz w:val="16"/>
              </w:rPr>
            </w:pPr>
            <w:r w:rsidRPr="005B30A9">
              <w:rPr>
                <w:i/>
                <w:iCs/>
                <w:sz w:val="16"/>
              </w:rPr>
              <w:t>Importe por víctima</w:t>
            </w:r>
          </w:p>
        </w:tc>
      </w:tr>
      <w:tr w:rsidR="00FD107B" w:rsidRPr="005B30A9" w14:paraId="7B7A9721" w14:textId="77777777" w:rsidTr="00FD107B">
        <w:trPr>
          <w:trHeight w:val="240"/>
          <w:tblHeader/>
        </w:trPr>
        <w:tc>
          <w:tcPr>
            <w:tcW w:w="1239" w:type="dxa"/>
            <w:vMerge/>
            <w:tcBorders>
              <w:top w:val="nil"/>
              <w:bottom w:val="single" w:sz="12" w:space="0" w:color="auto"/>
            </w:tcBorders>
            <w:shd w:val="clear" w:color="auto" w:fill="auto"/>
            <w:vAlign w:val="bottom"/>
          </w:tcPr>
          <w:p w14:paraId="5942CDDF"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sz w:val="18"/>
              </w:rPr>
            </w:pPr>
          </w:p>
        </w:tc>
        <w:tc>
          <w:tcPr>
            <w:tcW w:w="1367" w:type="dxa"/>
            <w:vMerge/>
            <w:tcBorders>
              <w:top w:val="nil"/>
              <w:bottom w:val="single" w:sz="12" w:space="0" w:color="auto"/>
            </w:tcBorders>
            <w:shd w:val="clear" w:color="auto" w:fill="auto"/>
            <w:vAlign w:val="bottom"/>
          </w:tcPr>
          <w:p w14:paraId="72E0C292"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p>
        </w:tc>
        <w:tc>
          <w:tcPr>
            <w:tcW w:w="1540" w:type="dxa"/>
            <w:tcBorders>
              <w:top w:val="single" w:sz="4" w:space="0" w:color="auto"/>
              <w:bottom w:val="single" w:sz="12" w:space="0" w:color="auto"/>
            </w:tcBorders>
            <w:shd w:val="clear" w:color="auto" w:fill="auto"/>
            <w:vAlign w:val="bottom"/>
          </w:tcPr>
          <w:p w14:paraId="33953DB9"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iCs/>
                <w:sz w:val="16"/>
              </w:rPr>
            </w:pPr>
            <w:r w:rsidRPr="005B30A9">
              <w:rPr>
                <w:i/>
                <w:iCs/>
                <w:sz w:val="16"/>
              </w:rPr>
              <w:t>Asistencia psicosocial</w:t>
            </w:r>
          </w:p>
        </w:tc>
        <w:tc>
          <w:tcPr>
            <w:tcW w:w="1527" w:type="dxa"/>
            <w:tcBorders>
              <w:top w:val="single" w:sz="4" w:space="0" w:color="auto"/>
              <w:bottom w:val="single" w:sz="12" w:space="0" w:color="auto"/>
            </w:tcBorders>
            <w:shd w:val="clear" w:color="auto" w:fill="auto"/>
            <w:vAlign w:val="bottom"/>
          </w:tcPr>
          <w:p w14:paraId="7F6D9E39"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iCs/>
                <w:sz w:val="16"/>
              </w:rPr>
            </w:pPr>
            <w:r w:rsidRPr="005B30A9">
              <w:rPr>
                <w:i/>
                <w:iCs/>
                <w:sz w:val="16"/>
              </w:rPr>
              <w:t>Asistencia jurídica</w:t>
            </w:r>
          </w:p>
        </w:tc>
        <w:tc>
          <w:tcPr>
            <w:tcW w:w="1527" w:type="dxa"/>
            <w:tcBorders>
              <w:top w:val="single" w:sz="4" w:space="0" w:color="auto"/>
              <w:bottom w:val="single" w:sz="12" w:space="0" w:color="auto"/>
            </w:tcBorders>
            <w:shd w:val="clear" w:color="auto" w:fill="auto"/>
            <w:vAlign w:val="bottom"/>
          </w:tcPr>
          <w:p w14:paraId="2B5BDD81" w14:textId="77777777" w:rsidR="009612CC" w:rsidRPr="005B30A9" w:rsidRDefault="009612CC" w:rsidP="00FD107B">
            <w:pPr>
              <w:pStyle w:val="SingleTxtG"/>
              <w:tabs>
                <w:tab w:val="clear" w:pos="1701"/>
                <w:tab w:val="clear" w:pos="2268"/>
                <w:tab w:val="clear" w:pos="2835"/>
              </w:tabs>
              <w:spacing w:before="80" w:after="80" w:line="200" w:lineRule="exact"/>
              <w:ind w:left="0" w:right="28"/>
              <w:jc w:val="right"/>
              <w:rPr>
                <w:i/>
                <w:iCs/>
                <w:sz w:val="16"/>
              </w:rPr>
            </w:pPr>
            <w:r w:rsidRPr="005B30A9">
              <w:rPr>
                <w:i/>
                <w:iCs/>
                <w:sz w:val="16"/>
              </w:rPr>
              <w:t>Total</w:t>
            </w:r>
          </w:p>
        </w:tc>
        <w:tc>
          <w:tcPr>
            <w:tcW w:w="1638" w:type="dxa"/>
            <w:vMerge/>
            <w:tcBorders>
              <w:top w:val="single" w:sz="12" w:space="0" w:color="auto"/>
              <w:bottom w:val="single" w:sz="12" w:space="0" w:color="auto"/>
            </w:tcBorders>
            <w:shd w:val="clear" w:color="auto" w:fill="auto"/>
            <w:vAlign w:val="bottom"/>
          </w:tcPr>
          <w:p w14:paraId="7E4D6DCF"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sz w:val="18"/>
              </w:rPr>
            </w:pPr>
          </w:p>
        </w:tc>
      </w:tr>
      <w:tr w:rsidR="00FD107B" w:rsidRPr="005B30A9" w14:paraId="52003287" w14:textId="77777777" w:rsidTr="00FD107B">
        <w:trPr>
          <w:trHeight w:val="240"/>
        </w:trPr>
        <w:tc>
          <w:tcPr>
            <w:tcW w:w="1239" w:type="dxa"/>
            <w:tcBorders>
              <w:top w:val="single" w:sz="12" w:space="0" w:color="auto"/>
            </w:tcBorders>
            <w:shd w:val="clear" w:color="auto" w:fill="auto"/>
          </w:tcPr>
          <w:p w14:paraId="2904D3C9"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2020</w:t>
            </w:r>
          </w:p>
        </w:tc>
        <w:tc>
          <w:tcPr>
            <w:tcW w:w="1367" w:type="dxa"/>
            <w:tcBorders>
              <w:top w:val="single" w:sz="12" w:space="0" w:color="auto"/>
            </w:tcBorders>
            <w:shd w:val="clear" w:color="auto" w:fill="auto"/>
            <w:vAlign w:val="bottom"/>
          </w:tcPr>
          <w:p w14:paraId="393D972B" w14:textId="5236B1FE"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7</w:t>
            </w:r>
            <w:r w:rsidR="00FD107B" w:rsidRPr="005B30A9">
              <w:rPr>
                <w:sz w:val="18"/>
              </w:rPr>
              <w:t xml:space="preserve"> </w:t>
            </w:r>
            <w:r w:rsidRPr="005B30A9">
              <w:rPr>
                <w:sz w:val="18"/>
              </w:rPr>
              <w:t>105</w:t>
            </w:r>
          </w:p>
        </w:tc>
        <w:tc>
          <w:tcPr>
            <w:tcW w:w="1540" w:type="dxa"/>
            <w:tcBorders>
              <w:top w:val="single" w:sz="12" w:space="0" w:color="auto"/>
            </w:tcBorders>
            <w:shd w:val="clear" w:color="auto" w:fill="auto"/>
            <w:vAlign w:val="bottom"/>
          </w:tcPr>
          <w:p w14:paraId="0ADD1B99" w14:textId="08AA9455"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2</w:t>
            </w:r>
            <w:r w:rsidR="00FD107B" w:rsidRPr="005B30A9">
              <w:rPr>
                <w:sz w:val="18"/>
              </w:rPr>
              <w:t xml:space="preserve"> </w:t>
            </w:r>
            <w:r w:rsidRPr="005B30A9">
              <w:rPr>
                <w:sz w:val="18"/>
              </w:rPr>
              <w:t>939</w:t>
            </w:r>
            <w:r w:rsidR="00FD107B" w:rsidRPr="005B30A9">
              <w:rPr>
                <w:sz w:val="18"/>
              </w:rPr>
              <w:t xml:space="preserve"> </w:t>
            </w:r>
            <w:r w:rsidRPr="005B30A9">
              <w:rPr>
                <w:sz w:val="18"/>
              </w:rPr>
              <w:t>506,38</w:t>
            </w:r>
          </w:p>
        </w:tc>
        <w:tc>
          <w:tcPr>
            <w:tcW w:w="1527" w:type="dxa"/>
            <w:tcBorders>
              <w:top w:val="single" w:sz="12" w:space="0" w:color="auto"/>
            </w:tcBorders>
            <w:shd w:val="clear" w:color="auto" w:fill="auto"/>
            <w:vAlign w:val="bottom"/>
          </w:tcPr>
          <w:p w14:paraId="5F78814A" w14:textId="46BE30DC"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w:t>
            </w:r>
            <w:r w:rsidR="00FD107B" w:rsidRPr="005B30A9">
              <w:rPr>
                <w:sz w:val="18"/>
              </w:rPr>
              <w:t xml:space="preserve"> </w:t>
            </w:r>
            <w:r w:rsidRPr="005B30A9">
              <w:rPr>
                <w:sz w:val="18"/>
              </w:rPr>
              <w:t>604</w:t>
            </w:r>
            <w:r w:rsidR="00FD107B" w:rsidRPr="005B30A9">
              <w:rPr>
                <w:sz w:val="18"/>
              </w:rPr>
              <w:t xml:space="preserve"> </w:t>
            </w:r>
            <w:r w:rsidRPr="005B30A9">
              <w:rPr>
                <w:sz w:val="18"/>
              </w:rPr>
              <w:t>181,10</w:t>
            </w:r>
          </w:p>
        </w:tc>
        <w:tc>
          <w:tcPr>
            <w:tcW w:w="1527" w:type="dxa"/>
            <w:tcBorders>
              <w:top w:val="single" w:sz="12" w:space="0" w:color="auto"/>
            </w:tcBorders>
            <w:shd w:val="clear" w:color="auto" w:fill="auto"/>
            <w:vAlign w:val="bottom"/>
          </w:tcPr>
          <w:p w14:paraId="2D04E361" w14:textId="30C72F1A"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6</w:t>
            </w:r>
            <w:r w:rsidR="00FD107B" w:rsidRPr="005B30A9">
              <w:rPr>
                <w:sz w:val="18"/>
              </w:rPr>
              <w:t xml:space="preserve"> </w:t>
            </w:r>
            <w:r w:rsidRPr="005B30A9">
              <w:rPr>
                <w:sz w:val="18"/>
              </w:rPr>
              <w:t>543</w:t>
            </w:r>
            <w:r w:rsidR="00FD107B" w:rsidRPr="005B30A9">
              <w:rPr>
                <w:sz w:val="18"/>
              </w:rPr>
              <w:t xml:space="preserve"> </w:t>
            </w:r>
            <w:r w:rsidRPr="005B30A9">
              <w:rPr>
                <w:sz w:val="18"/>
              </w:rPr>
              <w:t>687,48</w:t>
            </w:r>
          </w:p>
        </w:tc>
        <w:tc>
          <w:tcPr>
            <w:tcW w:w="1638" w:type="dxa"/>
            <w:tcBorders>
              <w:top w:val="single" w:sz="12" w:space="0" w:color="auto"/>
            </w:tcBorders>
            <w:shd w:val="clear" w:color="auto" w:fill="auto"/>
            <w:vAlign w:val="bottom"/>
          </w:tcPr>
          <w:p w14:paraId="2F93BE81"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921,00</w:t>
            </w:r>
          </w:p>
        </w:tc>
      </w:tr>
      <w:tr w:rsidR="00FD107B" w:rsidRPr="005B30A9" w14:paraId="51717567" w14:textId="77777777" w:rsidTr="00FD107B">
        <w:trPr>
          <w:trHeight w:val="240"/>
        </w:trPr>
        <w:tc>
          <w:tcPr>
            <w:tcW w:w="1239" w:type="dxa"/>
            <w:shd w:val="clear" w:color="auto" w:fill="auto"/>
          </w:tcPr>
          <w:p w14:paraId="6C9F52CF"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2021</w:t>
            </w:r>
          </w:p>
        </w:tc>
        <w:tc>
          <w:tcPr>
            <w:tcW w:w="1367" w:type="dxa"/>
            <w:shd w:val="clear" w:color="auto" w:fill="auto"/>
            <w:vAlign w:val="bottom"/>
          </w:tcPr>
          <w:p w14:paraId="3738D360" w14:textId="55CC6124"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7</w:t>
            </w:r>
            <w:r w:rsidR="00FD107B" w:rsidRPr="005B30A9">
              <w:rPr>
                <w:sz w:val="18"/>
              </w:rPr>
              <w:t xml:space="preserve"> </w:t>
            </w:r>
            <w:r w:rsidRPr="005B30A9">
              <w:rPr>
                <w:sz w:val="18"/>
              </w:rPr>
              <w:t>417</w:t>
            </w:r>
          </w:p>
        </w:tc>
        <w:tc>
          <w:tcPr>
            <w:tcW w:w="1540" w:type="dxa"/>
            <w:shd w:val="clear" w:color="auto" w:fill="auto"/>
            <w:vAlign w:val="bottom"/>
          </w:tcPr>
          <w:p w14:paraId="1A11CD3D" w14:textId="78E1E7BD"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w:t>
            </w:r>
            <w:r w:rsidR="00FD107B" w:rsidRPr="005B30A9">
              <w:rPr>
                <w:sz w:val="18"/>
              </w:rPr>
              <w:t xml:space="preserve"> </w:t>
            </w:r>
            <w:r w:rsidRPr="005B30A9">
              <w:rPr>
                <w:sz w:val="18"/>
              </w:rPr>
              <w:t>015</w:t>
            </w:r>
            <w:r w:rsidR="00FD107B" w:rsidRPr="005B30A9">
              <w:rPr>
                <w:sz w:val="18"/>
              </w:rPr>
              <w:t xml:space="preserve"> </w:t>
            </w:r>
            <w:r w:rsidRPr="005B30A9">
              <w:rPr>
                <w:sz w:val="18"/>
              </w:rPr>
              <w:t>230,10</w:t>
            </w:r>
          </w:p>
        </w:tc>
        <w:tc>
          <w:tcPr>
            <w:tcW w:w="1527" w:type="dxa"/>
            <w:shd w:val="clear" w:color="auto" w:fill="auto"/>
            <w:vAlign w:val="bottom"/>
          </w:tcPr>
          <w:p w14:paraId="37FB5BF3" w14:textId="7F405F31"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w:t>
            </w:r>
            <w:r w:rsidR="00FD107B" w:rsidRPr="005B30A9">
              <w:rPr>
                <w:sz w:val="18"/>
              </w:rPr>
              <w:t xml:space="preserve"> </w:t>
            </w:r>
            <w:r w:rsidRPr="005B30A9">
              <w:rPr>
                <w:sz w:val="18"/>
              </w:rPr>
              <w:t>840</w:t>
            </w:r>
            <w:r w:rsidR="00FD107B" w:rsidRPr="005B30A9">
              <w:rPr>
                <w:sz w:val="18"/>
              </w:rPr>
              <w:t xml:space="preserve"> </w:t>
            </w:r>
            <w:r w:rsidRPr="005B30A9">
              <w:rPr>
                <w:sz w:val="18"/>
              </w:rPr>
              <w:t>767,23</w:t>
            </w:r>
          </w:p>
        </w:tc>
        <w:tc>
          <w:tcPr>
            <w:tcW w:w="1527" w:type="dxa"/>
            <w:shd w:val="clear" w:color="auto" w:fill="auto"/>
            <w:vAlign w:val="bottom"/>
          </w:tcPr>
          <w:p w14:paraId="41035B5C" w14:textId="2007C4ED"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6</w:t>
            </w:r>
            <w:r w:rsidR="00FD107B" w:rsidRPr="005B30A9">
              <w:rPr>
                <w:sz w:val="18"/>
              </w:rPr>
              <w:t xml:space="preserve"> </w:t>
            </w:r>
            <w:r w:rsidRPr="005B30A9">
              <w:rPr>
                <w:sz w:val="18"/>
              </w:rPr>
              <w:t>855</w:t>
            </w:r>
            <w:r w:rsidR="00FD107B" w:rsidRPr="005B30A9">
              <w:rPr>
                <w:sz w:val="18"/>
              </w:rPr>
              <w:t xml:space="preserve"> </w:t>
            </w:r>
            <w:r w:rsidRPr="005B30A9">
              <w:rPr>
                <w:sz w:val="18"/>
              </w:rPr>
              <w:t>997,32</w:t>
            </w:r>
          </w:p>
        </w:tc>
        <w:tc>
          <w:tcPr>
            <w:tcW w:w="1638" w:type="dxa"/>
            <w:shd w:val="clear" w:color="auto" w:fill="auto"/>
            <w:vAlign w:val="bottom"/>
          </w:tcPr>
          <w:p w14:paraId="38D4A958" w14:textId="77777777"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924,36</w:t>
            </w:r>
          </w:p>
        </w:tc>
      </w:tr>
      <w:tr w:rsidR="00FD107B" w:rsidRPr="005B30A9" w14:paraId="6553969E" w14:textId="77777777" w:rsidTr="00FD107B">
        <w:trPr>
          <w:trHeight w:val="240"/>
        </w:trPr>
        <w:tc>
          <w:tcPr>
            <w:tcW w:w="1239" w:type="dxa"/>
            <w:tcBorders>
              <w:bottom w:val="single" w:sz="12" w:space="0" w:color="auto"/>
            </w:tcBorders>
            <w:shd w:val="clear" w:color="auto" w:fill="auto"/>
          </w:tcPr>
          <w:p w14:paraId="08B1C17E"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2022</w:t>
            </w:r>
          </w:p>
        </w:tc>
        <w:tc>
          <w:tcPr>
            <w:tcW w:w="1367" w:type="dxa"/>
            <w:tcBorders>
              <w:bottom w:val="single" w:sz="12" w:space="0" w:color="auto"/>
            </w:tcBorders>
            <w:shd w:val="clear" w:color="auto" w:fill="auto"/>
            <w:vAlign w:val="bottom"/>
          </w:tcPr>
          <w:p w14:paraId="2658C6C8" w14:textId="443B79F1"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8</w:t>
            </w:r>
            <w:r w:rsidR="00FD107B" w:rsidRPr="005B30A9">
              <w:rPr>
                <w:sz w:val="18"/>
              </w:rPr>
              <w:t xml:space="preserve"> </w:t>
            </w:r>
            <w:r w:rsidRPr="005B30A9">
              <w:rPr>
                <w:sz w:val="18"/>
              </w:rPr>
              <w:t>014</w:t>
            </w:r>
          </w:p>
        </w:tc>
        <w:tc>
          <w:tcPr>
            <w:tcW w:w="1540" w:type="dxa"/>
            <w:tcBorders>
              <w:bottom w:val="single" w:sz="12" w:space="0" w:color="auto"/>
            </w:tcBorders>
            <w:shd w:val="clear" w:color="auto" w:fill="auto"/>
            <w:vAlign w:val="bottom"/>
          </w:tcPr>
          <w:p w14:paraId="36CEAF7D" w14:textId="33CE654C"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3</w:t>
            </w:r>
            <w:r w:rsidR="00FD107B" w:rsidRPr="005B30A9">
              <w:rPr>
                <w:sz w:val="18"/>
              </w:rPr>
              <w:t xml:space="preserve"> </w:t>
            </w:r>
            <w:r w:rsidRPr="005B30A9">
              <w:rPr>
                <w:sz w:val="18"/>
              </w:rPr>
              <w:t>634</w:t>
            </w:r>
            <w:r w:rsidR="00FD107B" w:rsidRPr="005B30A9">
              <w:rPr>
                <w:sz w:val="18"/>
              </w:rPr>
              <w:t xml:space="preserve"> </w:t>
            </w:r>
            <w:r w:rsidRPr="005B30A9">
              <w:rPr>
                <w:sz w:val="18"/>
              </w:rPr>
              <w:t>579,07</w:t>
            </w:r>
          </w:p>
        </w:tc>
        <w:tc>
          <w:tcPr>
            <w:tcW w:w="1527" w:type="dxa"/>
            <w:tcBorders>
              <w:bottom w:val="single" w:sz="12" w:space="0" w:color="auto"/>
            </w:tcBorders>
            <w:shd w:val="clear" w:color="auto" w:fill="auto"/>
            <w:vAlign w:val="bottom"/>
          </w:tcPr>
          <w:p w14:paraId="322F172B" w14:textId="5C066C8C"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4</w:t>
            </w:r>
            <w:r w:rsidR="00FD107B" w:rsidRPr="005B30A9">
              <w:rPr>
                <w:sz w:val="18"/>
              </w:rPr>
              <w:t xml:space="preserve"> </w:t>
            </w:r>
            <w:r w:rsidRPr="005B30A9">
              <w:rPr>
                <w:sz w:val="18"/>
              </w:rPr>
              <w:t>515</w:t>
            </w:r>
            <w:r w:rsidR="00FD107B" w:rsidRPr="005B30A9">
              <w:rPr>
                <w:sz w:val="18"/>
              </w:rPr>
              <w:t xml:space="preserve"> </w:t>
            </w:r>
            <w:r w:rsidRPr="005B30A9">
              <w:rPr>
                <w:sz w:val="18"/>
              </w:rPr>
              <w:t>921,01</w:t>
            </w:r>
          </w:p>
        </w:tc>
        <w:tc>
          <w:tcPr>
            <w:tcW w:w="1527" w:type="dxa"/>
            <w:tcBorders>
              <w:bottom w:val="single" w:sz="12" w:space="0" w:color="auto"/>
            </w:tcBorders>
            <w:shd w:val="clear" w:color="auto" w:fill="auto"/>
            <w:vAlign w:val="bottom"/>
          </w:tcPr>
          <w:p w14:paraId="53988E68" w14:textId="1E6184D9"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8</w:t>
            </w:r>
            <w:r w:rsidR="00FD107B" w:rsidRPr="005B30A9">
              <w:rPr>
                <w:sz w:val="18"/>
              </w:rPr>
              <w:t xml:space="preserve"> </w:t>
            </w:r>
            <w:r w:rsidRPr="005B30A9">
              <w:rPr>
                <w:sz w:val="18"/>
              </w:rPr>
              <w:t>150</w:t>
            </w:r>
            <w:r w:rsidR="00FD107B" w:rsidRPr="005B30A9">
              <w:rPr>
                <w:sz w:val="18"/>
              </w:rPr>
              <w:t xml:space="preserve"> </w:t>
            </w:r>
            <w:r w:rsidRPr="005B30A9">
              <w:rPr>
                <w:sz w:val="18"/>
              </w:rPr>
              <w:t>500,09</w:t>
            </w:r>
          </w:p>
        </w:tc>
        <w:tc>
          <w:tcPr>
            <w:tcW w:w="1638" w:type="dxa"/>
            <w:tcBorders>
              <w:bottom w:val="single" w:sz="12" w:space="0" w:color="auto"/>
            </w:tcBorders>
            <w:shd w:val="clear" w:color="auto" w:fill="auto"/>
            <w:vAlign w:val="bottom"/>
          </w:tcPr>
          <w:p w14:paraId="1E9C180E" w14:textId="0AA32D48" w:rsidR="009612CC" w:rsidRPr="005B30A9" w:rsidRDefault="009612CC" w:rsidP="00FD107B">
            <w:pPr>
              <w:pStyle w:val="SingleTxtG"/>
              <w:tabs>
                <w:tab w:val="clear" w:pos="1701"/>
                <w:tab w:val="clear" w:pos="2268"/>
                <w:tab w:val="clear" w:pos="2835"/>
              </w:tabs>
              <w:spacing w:before="40" w:after="40" w:line="220" w:lineRule="exact"/>
              <w:ind w:left="0" w:right="28"/>
              <w:jc w:val="right"/>
              <w:rPr>
                <w:bCs/>
                <w:sz w:val="18"/>
              </w:rPr>
            </w:pPr>
            <w:r w:rsidRPr="005B30A9">
              <w:rPr>
                <w:sz w:val="18"/>
              </w:rPr>
              <w:t>1</w:t>
            </w:r>
            <w:r w:rsidR="00FD107B" w:rsidRPr="005B30A9">
              <w:rPr>
                <w:sz w:val="18"/>
              </w:rPr>
              <w:t xml:space="preserve"> </w:t>
            </w:r>
            <w:r w:rsidRPr="005B30A9">
              <w:rPr>
                <w:sz w:val="18"/>
              </w:rPr>
              <w:t>017,03</w:t>
            </w:r>
          </w:p>
        </w:tc>
      </w:tr>
    </w:tbl>
    <w:p w14:paraId="52C61AD1" w14:textId="77777777" w:rsidR="009612CC" w:rsidRPr="005B30A9" w:rsidRDefault="009612CC" w:rsidP="00FD107B">
      <w:pPr>
        <w:pStyle w:val="SingleTxtG"/>
        <w:spacing w:before="120"/>
        <w:ind w:firstLine="170"/>
        <w:jc w:val="left"/>
        <w:rPr>
          <w:sz w:val="18"/>
          <w:szCs w:val="18"/>
        </w:rPr>
      </w:pPr>
      <w:r w:rsidRPr="005B30A9">
        <w:rPr>
          <w:i/>
          <w:iCs/>
          <w:sz w:val="18"/>
          <w:szCs w:val="18"/>
        </w:rPr>
        <w:t>Fuente:</w:t>
      </w:r>
      <w:r w:rsidRPr="005B30A9">
        <w:rPr>
          <w:sz w:val="18"/>
          <w:szCs w:val="18"/>
        </w:rPr>
        <w:t xml:space="preserve"> BMJ.</w:t>
      </w:r>
    </w:p>
    <w:p w14:paraId="14FFA197" w14:textId="77777777" w:rsidR="009612CC" w:rsidRPr="005B30A9" w:rsidRDefault="009612CC" w:rsidP="00FD107B">
      <w:pPr>
        <w:pStyle w:val="Table1G"/>
      </w:pPr>
      <w:r w:rsidRPr="005B30A9">
        <w:t>Cuadro 8</w:t>
      </w:r>
    </w:p>
    <w:p w14:paraId="064AA79B" w14:textId="455B9616" w:rsidR="009612CC" w:rsidRPr="005B30A9" w:rsidRDefault="009612CC" w:rsidP="00FD107B">
      <w:pPr>
        <w:pStyle w:val="SingleTxtG"/>
        <w:jc w:val="left"/>
        <w:rPr>
          <w:b/>
          <w:bCs/>
        </w:rPr>
      </w:pPr>
      <w:r w:rsidRPr="005B30A9">
        <w:rPr>
          <w:b/>
          <w:bCs/>
        </w:rPr>
        <w:t xml:space="preserve">Proporción de personas en situación de riesgo de pobreza: comparación </w:t>
      </w:r>
      <w:r w:rsidR="00C912F0">
        <w:rPr>
          <w:b/>
          <w:bCs/>
        </w:rPr>
        <w:br/>
      </w:r>
      <w:r w:rsidRPr="005B30A9">
        <w:rPr>
          <w:b/>
          <w:bCs/>
        </w:rPr>
        <w:t>quinquenal (2018-2022)</w:t>
      </w:r>
      <w:r w:rsidR="00FD107B" w:rsidRPr="005B30A9">
        <w:rPr>
          <w:b/>
          <w:bCs/>
        </w:rPr>
        <w:br/>
      </w:r>
      <w:r w:rsidR="00FD107B" w:rsidRPr="005B30A9">
        <w:rPr>
          <w:sz w:val="16"/>
          <w:szCs w:val="16"/>
        </w:rPr>
        <w:t>(En porcentaje)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720"/>
        <w:gridCol w:w="3650"/>
      </w:tblGrid>
      <w:tr w:rsidR="00FD107B" w:rsidRPr="005B30A9" w14:paraId="6A08DF88" w14:textId="77777777" w:rsidTr="00FD107B">
        <w:trPr>
          <w:trHeight w:val="240"/>
          <w:tblHeader/>
        </w:trPr>
        <w:tc>
          <w:tcPr>
            <w:tcW w:w="3720" w:type="dxa"/>
            <w:tcBorders>
              <w:top w:val="single" w:sz="12" w:space="0" w:color="auto"/>
              <w:bottom w:val="nil"/>
            </w:tcBorders>
            <w:shd w:val="clear" w:color="auto" w:fill="auto"/>
            <w:vAlign w:val="bottom"/>
          </w:tcPr>
          <w:p w14:paraId="0B443831"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i/>
                <w:sz w:val="16"/>
              </w:rPr>
            </w:pPr>
            <w:r w:rsidRPr="005B30A9">
              <w:rPr>
                <w:sz w:val="18"/>
              </w:rPr>
              <w:t>2018</w:t>
            </w:r>
          </w:p>
        </w:tc>
        <w:tc>
          <w:tcPr>
            <w:tcW w:w="3650" w:type="dxa"/>
            <w:tcBorders>
              <w:top w:val="single" w:sz="12" w:space="0" w:color="auto"/>
              <w:bottom w:val="nil"/>
            </w:tcBorders>
            <w:shd w:val="clear" w:color="auto" w:fill="auto"/>
            <w:vAlign w:val="bottom"/>
          </w:tcPr>
          <w:p w14:paraId="532C6AC5" w14:textId="11FE3DE5"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14,3</w:t>
            </w:r>
          </w:p>
        </w:tc>
      </w:tr>
      <w:tr w:rsidR="00FD107B" w:rsidRPr="005B30A9" w14:paraId="2EB70D90" w14:textId="77777777" w:rsidTr="00FD107B">
        <w:trPr>
          <w:trHeight w:val="240"/>
        </w:trPr>
        <w:tc>
          <w:tcPr>
            <w:tcW w:w="3720" w:type="dxa"/>
            <w:tcBorders>
              <w:top w:val="nil"/>
            </w:tcBorders>
            <w:shd w:val="clear" w:color="auto" w:fill="auto"/>
          </w:tcPr>
          <w:p w14:paraId="717447AF"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2019</w:t>
            </w:r>
          </w:p>
        </w:tc>
        <w:tc>
          <w:tcPr>
            <w:tcW w:w="3650" w:type="dxa"/>
            <w:tcBorders>
              <w:top w:val="nil"/>
            </w:tcBorders>
            <w:shd w:val="clear" w:color="auto" w:fill="auto"/>
            <w:vAlign w:val="bottom"/>
          </w:tcPr>
          <w:p w14:paraId="14EEF844" w14:textId="4F3FCAD9"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13,3</w:t>
            </w:r>
          </w:p>
        </w:tc>
      </w:tr>
      <w:tr w:rsidR="009612CC" w:rsidRPr="005B30A9" w14:paraId="33D6C78B" w14:textId="77777777" w:rsidTr="00FD107B">
        <w:trPr>
          <w:trHeight w:val="240"/>
        </w:trPr>
        <w:tc>
          <w:tcPr>
            <w:tcW w:w="3720" w:type="dxa"/>
            <w:shd w:val="clear" w:color="auto" w:fill="auto"/>
          </w:tcPr>
          <w:p w14:paraId="3F902461"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2020</w:t>
            </w:r>
          </w:p>
        </w:tc>
        <w:tc>
          <w:tcPr>
            <w:tcW w:w="3650" w:type="dxa"/>
            <w:shd w:val="clear" w:color="auto" w:fill="auto"/>
            <w:vAlign w:val="bottom"/>
          </w:tcPr>
          <w:p w14:paraId="17D079A1" w14:textId="406B1A06"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13,9</w:t>
            </w:r>
          </w:p>
        </w:tc>
      </w:tr>
      <w:tr w:rsidR="009612CC" w:rsidRPr="005B30A9" w14:paraId="1F4B2C93" w14:textId="77777777" w:rsidTr="00FD107B">
        <w:trPr>
          <w:trHeight w:val="240"/>
        </w:trPr>
        <w:tc>
          <w:tcPr>
            <w:tcW w:w="3720" w:type="dxa"/>
            <w:shd w:val="clear" w:color="auto" w:fill="auto"/>
          </w:tcPr>
          <w:p w14:paraId="51B1DFDC"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2021</w:t>
            </w:r>
          </w:p>
        </w:tc>
        <w:tc>
          <w:tcPr>
            <w:tcW w:w="3650" w:type="dxa"/>
            <w:shd w:val="clear" w:color="auto" w:fill="auto"/>
            <w:vAlign w:val="bottom"/>
          </w:tcPr>
          <w:p w14:paraId="2FE5D5E3" w14:textId="05995E35"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14,7</w:t>
            </w:r>
          </w:p>
        </w:tc>
      </w:tr>
      <w:tr w:rsidR="009612CC" w:rsidRPr="005B30A9" w14:paraId="58DE156E" w14:textId="77777777" w:rsidTr="00FD107B">
        <w:trPr>
          <w:trHeight w:val="240"/>
        </w:trPr>
        <w:tc>
          <w:tcPr>
            <w:tcW w:w="3720" w:type="dxa"/>
            <w:tcBorders>
              <w:bottom w:val="single" w:sz="12" w:space="0" w:color="auto"/>
            </w:tcBorders>
            <w:shd w:val="clear" w:color="auto" w:fill="auto"/>
          </w:tcPr>
          <w:p w14:paraId="21F9C557"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2022</w:t>
            </w:r>
          </w:p>
        </w:tc>
        <w:tc>
          <w:tcPr>
            <w:tcW w:w="3650" w:type="dxa"/>
            <w:tcBorders>
              <w:bottom w:val="single" w:sz="12" w:space="0" w:color="auto"/>
            </w:tcBorders>
            <w:shd w:val="clear" w:color="auto" w:fill="auto"/>
            <w:vAlign w:val="bottom"/>
          </w:tcPr>
          <w:p w14:paraId="06146E74" w14:textId="45388971"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14,8</w:t>
            </w:r>
          </w:p>
        </w:tc>
      </w:tr>
    </w:tbl>
    <w:p w14:paraId="5AE90D21" w14:textId="77777777" w:rsidR="009612CC" w:rsidRPr="005B30A9" w:rsidRDefault="009612CC" w:rsidP="00FD107B">
      <w:pPr>
        <w:pStyle w:val="SingleTxtG"/>
        <w:spacing w:before="120"/>
        <w:ind w:firstLine="170"/>
        <w:jc w:val="left"/>
        <w:rPr>
          <w:sz w:val="18"/>
          <w:szCs w:val="18"/>
        </w:rPr>
      </w:pPr>
      <w:r w:rsidRPr="005B30A9">
        <w:rPr>
          <w:i/>
          <w:iCs/>
          <w:sz w:val="18"/>
          <w:szCs w:val="18"/>
        </w:rPr>
        <w:t>Fuente:</w:t>
      </w:r>
      <w:r w:rsidRPr="005B30A9">
        <w:rPr>
          <w:sz w:val="18"/>
          <w:szCs w:val="18"/>
        </w:rPr>
        <w:t xml:space="preserve"> Órgano de Estadísticas de Austria (según la definición de EU-SILC: tasa de riesgo de pobreza).</w:t>
      </w:r>
    </w:p>
    <w:p w14:paraId="39A9819B" w14:textId="77777777" w:rsidR="009612CC" w:rsidRPr="005B30A9" w:rsidRDefault="009612CC" w:rsidP="00FD107B">
      <w:pPr>
        <w:pStyle w:val="Table1G"/>
      </w:pPr>
      <w:r w:rsidRPr="005B30A9">
        <w:t>Cuadro 9</w:t>
      </w:r>
    </w:p>
    <w:p w14:paraId="36DDF040" w14:textId="77777777" w:rsidR="009612CC" w:rsidRPr="005B30A9" w:rsidRDefault="009612CC" w:rsidP="00FD107B">
      <w:pPr>
        <w:pStyle w:val="SingleTxtG"/>
        <w:jc w:val="left"/>
        <w:rPr>
          <w:b/>
          <w:bCs/>
        </w:rPr>
      </w:pPr>
      <w:r w:rsidRPr="005B30A9">
        <w:rPr>
          <w:b/>
          <w:bCs/>
        </w:rPr>
        <w:t>Índice de Palma (proporción del total de ingresos percibidos por el 10 % más rico, dividida por la proporción del 40 % más pobre): comparación trienal (2018-2020)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66"/>
        <w:gridCol w:w="3604"/>
      </w:tblGrid>
      <w:tr w:rsidR="009612CC" w:rsidRPr="005B30A9" w14:paraId="2FA6DEFC" w14:textId="77777777" w:rsidTr="00D9435A">
        <w:trPr>
          <w:tblHeader/>
        </w:trPr>
        <w:tc>
          <w:tcPr>
            <w:tcW w:w="3766" w:type="dxa"/>
            <w:tcBorders>
              <w:top w:val="single" w:sz="12" w:space="0" w:color="auto"/>
              <w:bottom w:val="nil"/>
            </w:tcBorders>
            <w:shd w:val="clear" w:color="auto" w:fill="auto"/>
            <w:vAlign w:val="bottom"/>
          </w:tcPr>
          <w:p w14:paraId="7B569206"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bCs/>
                <w:sz w:val="18"/>
              </w:rPr>
              <w:t>2018</w:t>
            </w:r>
          </w:p>
        </w:tc>
        <w:tc>
          <w:tcPr>
            <w:tcW w:w="3604" w:type="dxa"/>
            <w:tcBorders>
              <w:top w:val="single" w:sz="12" w:space="0" w:color="auto"/>
              <w:bottom w:val="nil"/>
            </w:tcBorders>
            <w:shd w:val="clear" w:color="auto" w:fill="auto"/>
            <w:vAlign w:val="bottom"/>
          </w:tcPr>
          <w:p w14:paraId="432CFB06"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0,89</w:t>
            </w:r>
          </w:p>
        </w:tc>
      </w:tr>
      <w:tr w:rsidR="009612CC" w:rsidRPr="005B30A9" w14:paraId="2A7FC34F" w14:textId="77777777" w:rsidTr="00D9435A">
        <w:tc>
          <w:tcPr>
            <w:tcW w:w="3766" w:type="dxa"/>
            <w:tcBorders>
              <w:top w:val="nil"/>
            </w:tcBorders>
            <w:shd w:val="clear" w:color="auto" w:fill="auto"/>
          </w:tcPr>
          <w:p w14:paraId="2FC5402A"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bCs/>
                <w:sz w:val="18"/>
              </w:rPr>
              <w:t>2019</w:t>
            </w:r>
          </w:p>
        </w:tc>
        <w:tc>
          <w:tcPr>
            <w:tcW w:w="3604" w:type="dxa"/>
            <w:tcBorders>
              <w:top w:val="nil"/>
            </w:tcBorders>
            <w:shd w:val="clear" w:color="auto" w:fill="auto"/>
            <w:vAlign w:val="bottom"/>
          </w:tcPr>
          <w:p w14:paraId="3D3B6433"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0,95</w:t>
            </w:r>
          </w:p>
        </w:tc>
      </w:tr>
      <w:tr w:rsidR="009612CC" w:rsidRPr="005B30A9" w14:paraId="3B94CEAF" w14:textId="77777777" w:rsidTr="00D9435A">
        <w:tc>
          <w:tcPr>
            <w:tcW w:w="3766" w:type="dxa"/>
            <w:shd w:val="clear" w:color="auto" w:fill="auto"/>
          </w:tcPr>
          <w:p w14:paraId="02746BD2"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bCs/>
                <w:sz w:val="18"/>
              </w:rPr>
              <w:t>2020</w:t>
            </w:r>
          </w:p>
        </w:tc>
        <w:tc>
          <w:tcPr>
            <w:tcW w:w="3604" w:type="dxa"/>
            <w:shd w:val="clear" w:color="auto" w:fill="auto"/>
            <w:vAlign w:val="bottom"/>
          </w:tcPr>
          <w:p w14:paraId="4758FAA8"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0,93</w:t>
            </w:r>
          </w:p>
        </w:tc>
      </w:tr>
    </w:tbl>
    <w:p w14:paraId="56C9DD46" w14:textId="0B122F72" w:rsidR="009612CC" w:rsidRPr="005B30A9" w:rsidRDefault="009612CC" w:rsidP="00FD107B">
      <w:pPr>
        <w:pStyle w:val="SingleTxtG"/>
        <w:spacing w:before="120"/>
        <w:ind w:firstLine="170"/>
        <w:jc w:val="left"/>
        <w:rPr>
          <w:sz w:val="18"/>
          <w:szCs w:val="18"/>
        </w:rPr>
      </w:pPr>
      <w:r w:rsidRPr="005B30A9">
        <w:rPr>
          <w:i/>
          <w:iCs/>
          <w:sz w:val="18"/>
          <w:szCs w:val="18"/>
        </w:rPr>
        <w:t>Fuente:</w:t>
      </w:r>
      <w:r w:rsidRPr="005B30A9">
        <w:rPr>
          <w:sz w:val="18"/>
          <w:szCs w:val="18"/>
        </w:rPr>
        <w:t xml:space="preserve"> </w:t>
      </w:r>
      <w:hyperlink r:id="rId63" w:history="1">
        <w:r w:rsidRPr="005B30A9">
          <w:rPr>
            <w:rStyle w:val="Hipervnculo"/>
            <w:sz w:val="18"/>
            <w:szCs w:val="18"/>
          </w:rPr>
          <w:t>https://data.oecd.org/inequality/income-inequality.htm.</w:t>
        </w:r>
      </w:hyperlink>
    </w:p>
    <w:p w14:paraId="193AAE22" w14:textId="77777777" w:rsidR="009612CC" w:rsidRPr="005B30A9" w:rsidRDefault="009612CC" w:rsidP="00FD107B">
      <w:pPr>
        <w:pStyle w:val="Table1G"/>
      </w:pPr>
      <w:r w:rsidRPr="005B30A9">
        <w:lastRenderedPageBreak/>
        <w:t>Cuadro 10</w:t>
      </w:r>
    </w:p>
    <w:p w14:paraId="7B3710CF" w14:textId="05728054" w:rsidR="009612CC" w:rsidRPr="005B30A9" w:rsidRDefault="009612CC" w:rsidP="00FD107B">
      <w:pPr>
        <w:pStyle w:val="SingleTxtG"/>
        <w:keepNext/>
        <w:keepLines/>
        <w:jc w:val="left"/>
        <w:rPr>
          <w:b/>
          <w:bCs/>
        </w:rPr>
      </w:pPr>
      <w:r w:rsidRPr="005B30A9">
        <w:rPr>
          <w:b/>
          <w:bCs/>
        </w:rPr>
        <w:t xml:space="preserve">Índice de ingresos públicos frente al PIB y proporción de los ingresos públicos </w:t>
      </w:r>
      <w:r w:rsidR="00FD107B" w:rsidRPr="005B30A9">
        <w:rPr>
          <w:b/>
          <w:bCs/>
        </w:rPr>
        <w:br/>
      </w:r>
      <w:r w:rsidRPr="005B30A9">
        <w:rPr>
          <w:b/>
          <w:bCs/>
        </w:rPr>
        <w:t xml:space="preserve">que proceden de la recaudación de impuestos: comparación quinquenal </w:t>
      </w:r>
      <w:r w:rsidR="00FD107B" w:rsidRPr="005B30A9">
        <w:rPr>
          <w:b/>
          <w:bCs/>
        </w:rPr>
        <w:br/>
      </w:r>
      <w:r w:rsidRPr="005B30A9">
        <w:rPr>
          <w:b/>
          <w:bCs/>
        </w:rPr>
        <w:t>(2018-2022)</w:t>
      </w:r>
      <w:r w:rsidRPr="005B30A9">
        <w:t xml:space="preserve"> </w:t>
      </w:r>
    </w:p>
    <w:tbl>
      <w:tblPr>
        <w:tblW w:w="7370" w:type="dxa"/>
        <w:tblInd w:w="1134" w:type="dxa"/>
        <w:tblBorders>
          <w:top w:val="single" w:sz="4" w:space="0" w:color="auto"/>
        </w:tblBorders>
        <w:tblLayout w:type="fixed"/>
        <w:tblCellMar>
          <w:left w:w="0" w:type="dxa"/>
          <w:right w:w="0" w:type="dxa"/>
        </w:tblCellMar>
        <w:tblLook w:val="0420" w:firstRow="1" w:lastRow="0" w:firstColumn="0" w:lastColumn="0" w:noHBand="0" w:noVBand="1"/>
      </w:tblPr>
      <w:tblGrid>
        <w:gridCol w:w="1224"/>
        <w:gridCol w:w="1328"/>
        <w:gridCol w:w="963"/>
        <w:gridCol w:w="964"/>
        <w:gridCol w:w="963"/>
        <w:gridCol w:w="964"/>
        <w:gridCol w:w="964"/>
      </w:tblGrid>
      <w:tr w:rsidR="00FD107B" w:rsidRPr="005B30A9" w14:paraId="020F5E4F" w14:textId="77777777" w:rsidTr="007A4BD8">
        <w:trPr>
          <w:trHeight w:val="240"/>
          <w:tblHeader/>
        </w:trPr>
        <w:tc>
          <w:tcPr>
            <w:tcW w:w="2552" w:type="dxa"/>
            <w:gridSpan w:val="2"/>
            <w:tcBorders>
              <w:top w:val="single" w:sz="4" w:space="0" w:color="auto"/>
              <w:bottom w:val="single" w:sz="12" w:space="0" w:color="auto"/>
            </w:tcBorders>
            <w:shd w:val="clear" w:color="auto" w:fill="auto"/>
            <w:noWrap/>
            <w:vAlign w:val="bottom"/>
            <w:hideMark/>
          </w:tcPr>
          <w:p w14:paraId="0A8CD9D3" w14:textId="60E15868" w:rsidR="009612CC" w:rsidRPr="005B30A9" w:rsidRDefault="009612CC" w:rsidP="00FD107B">
            <w:pPr>
              <w:pStyle w:val="SingleTxtG"/>
              <w:keepNext/>
              <w:keepLines/>
              <w:tabs>
                <w:tab w:val="clear" w:pos="1701"/>
                <w:tab w:val="clear" w:pos="2268"/>
                <w:tab w:val="clear" w:pos="2835"/>
              </w:tabs>
              <w:spacing w:before="80" w:after="80" w:line="200" w:lineRule="exact"/>
              <w:ind w:left="0" w:right="0"/>
              <w:jc w:val="left"/>
              <w:rPr>
                <w:i/>
                <w:sz w:val="16"/>
              </w:rPr>
            </w:pPr>
          </w:p>
        </w:tc>
        <w:tc>
          <w:tcPr>
            <w:tcW w:w="963" w:type="dxa"/>
            <w:tcBorders>
              <w:top w:val="single" w:sz="4" w:space="0" w:color="auto"/>
              <w:bottom w:val="single" w:sz="12" w:space="0" w:color="auto"/>
            </w:tcBorders>
            <w:shd w:val="clear" w:color="auto" w:fill="auto"/>
            <w:noWrap/>
            <w:vAlign w:val="bottom"/>
            <w:hideMark/>
          </w:tcPr>
          <w:p w14:paraId="588D3A9C" w14:textId="77777777" w:rsidR="009612CC" w:rsidRPr="005B30A9" w:rsidRDefault="009612CC" w:rsidP="00D339D7">
            <w:pPr>
              <w:pStyle w:val="SingleTxtG"/>
              <w:keepNext/>
              <w:keepLines/>
              <w:tabs>
                <w:tab w:val="clear" w:pos="1701"/>
                <w:tab w:val="clear" w:pos="2268"/>
                <w:tab w:val="clear" w:pos="2835"/>
              </w:tabs>
              <w:spacing w:before="80" w:after="80" w:line="200" w:lineRule="exact"/>
              <w:ind w:left="0" w:right="28"/>
              <w:jc w:val="right"/>
              <w:rPr>
                <w:i/>
                <w:sz w:val="16"/>
              </w:rPr>
            </w:pPr>
            <w:r w:rsidRPr="005B30A9">
              <w:rPr>
                <w:i/>
                <w:iCs/>
                <w:sz w:val="16"/>
              </w:rPr>
              <w:t>2018</w:t>
            </w:r>
          </w:p>
        </w:tc>
        <w:tc>
          <w:tcPr>
            <w:tcW w:w="964" w:type="dxa"/>
            <w:tcBorders>
              <w:top w:val="single" w:sz="4" w:space="0" w:color="auto"/>
              <w:bottom w:val="single" w:sz="12" w:space="0" w:color="auto"/>
            </w:tcBorders>
            <w:shd w:val="clear" w:color="auto" w:fill="auto"/>
            <w:noWrap/>
            <w:vAlign w:val="bottom"/>
            <w:hideMark/>
          </w:tcPr>
          <w:p w14:paraId="3D0E4D09" w14:textId="77777777" w:rsidR="009612CC" w:rsidRPr="005B30A9" w:rsidRDefault="009612CC" w:rsidP="00D339D7">
            <w:pPr>
              <w:pStyle w:val="SingleTxtG"/>
              <w:keepNext/>
              <w:keepLines/>
              <w:tabs>
                <w:tab w:val="clear" w:pos="1701"/>
                <w:tab w:val="clear" w:pos="2268"/>
                <w:tab w:val="clear" w:pos="2835"/>
              </w:tabs>
              <w:spacing w:before="80" w:after="80" w:line="200" w:lineRule="exact"/>
              <w:ind w:left="0" w:right="28"/>
              <w:jc w:val="right"/>
              <w:rPr>
                <w:i/>
                <w:sz w:val="16"/>
              </w:rPr>
            </w:pPr>
            <w:r w:rsidRPr="005B30A9">
              <w:rPr>
                <w:i/>
                <w:iCs/>
                <w:sz w:val="16"/>
              </w:rPr>
              <w:t>2019</w:t>
            </w:r>
          </w:p>
        </w:tc>
        <w:tc>
          <w:tcPr>
            <w:tcW w:w="963" w:type="dxa"/>
            <w:tcBorders>
              <w:top w:val="single" w:sz="4" w:space="0" w:color="auto"/>
              <w:bottom w:val="single" w:sz="12" w:space="0" w:color="auto"/>
            </w:tcBorders>
            <w:shd w:val="clear" w:color="auto" w:fill="auto"/>
            <w:noWrap/>
            <w:vAlign w:val="bottom"/>
            <w:hideMark/>
          </w:tcPr>
          <w:p w14:paraId="68AE2E5B" w14:textId="77777777" w:rsidR="009612CC" w:rsidRPr="005B30A9" w:rsidRDefault="009612CC" w:rsidP="00D339D7">
            <w:pPr>
              <w:pStyle w:val="SingleTxtG"/>
              <w:keepNext/>
              <w:keepLines/>
              <w:tabs>
                <w:tab w:val="clear" w:pos="1701"/>
                <w:tab w:val="clear" w:pos="2268"/>
                <w:tab w:val="clear" w:pos="2835"/>
              </w:tabs>
              <w:spacing w:before="80" w:after="80" w:line="200" w:lineRule="exact"/>
              <w:ind w:left="0" w:right="28"/>
              <w:jc w:val="right"/>
              <w:rPr>
                <w:i/>
                <w:sz w:val="16"/>
              </w:rPr>
            </w:pPr>
            <w:r w:rsidRPr="005B30A9">
              <w:rPr>
                <w:i/>
                <w:iCs/>
                <w:sz w:val="16"/>
              </w:rPr>
              <w:t>2020</w:t>
            </w:r>
          </w:p>
        </w:tc>
        <w:tc>
          <w:tcPr>
            <w:tcW w:w="964" w:type="dxa"/>
            <w:tcBorders>
              <w:top w:val="single" w:sz="4" w:space="0" w:color="auto"/>
              <w:bottom w:val="single" w:sz="12" w:space="0" w:color="auto"/>
            </w:tcBorders>
            <w:shd w:val="clear" w:color="auto" w:fill="auto"/>
            <w:noWrap/>
            <w:vAlign w:val="bottom"/>
            <w:hideMark/>
          </w:tcPr>
          <w:p w14:paraId="7D353BF6" w14:textId="77777777" w:rsidR="009612CC" w:rsidRPr="005B30A9" w:rsidRDefault="009612CC" w:rsidP="00D339D7">
            <w:pPr>
              <w:pStyle w:val="SingleTxtG"/>
              <w:keepNext/>
              <w:keepLines/>
              <w:tabs>
                <w:tab w:val="clear" w:pos="1701"/>
                <w:tab w:val="clear" w:pos="2268"/>
                <w:tab w:val="clear" w:pos="2835"/>
              </w:tabs>
              <w:spacing w:before="80" w:after="80" w:line="200" w:lineRule="exact"/>
              <w:ind w:left="0" w:right="28"/>
              <w:jc w:val="right"/>
              <w:rPr>
                <w:i/>
                <w:sz w:val="16"/>
              </w:rPr>
            </w:pPr>
            <w:r w:rsidRPr="005B30A9">
              <w:rPr>
                <w:i/>
                <w:iCs/>
                <w:sz w:val="16"/>
              </w:rPr>
              <w:t>2021</w:t>
            </w:r>
          </w:p>
        </w:tc>
        <w:tc>
          <w:tcPr>
            <w:tcW w:w="964" w:type="dxa"/>
            <w:tcBorders>
              <w:top w:val="single" w:sz="4" w:space="0" w:color="auto"/>
              <w:bottom w:val="single" w:sz="12" w:space="0" w:color="auto"/>
            </w:tcBorders>
            <w:shd w:val="clear" w:color="auto" w:fill="auto"/>
            <w:noWrap/>
            <w:vAlign w:val="bottom"/>
            <w:hideMark/>
          </w:tcPr>
          <w:p w14:paraId="7E4A4393" w14:textId="77777777" w:rsidR="009612CC" w:rsidRPr="005B30A9" w:rsidRDefault="009612CC" w:rsidP="00D339D7">
            <w:pPr>
              <w:pStyle w:val="SingleTxtG"/>
              <w:keepNext/>
              <w:keepLines/>
              <w:tabs>
                <w:tab w:val="clear" w:pos="1701"/>
                <w:tab w:val="clear" w:pos="2268"/>
                <w:tab w:val="clear" w:pos="2835"/>
              </w:tabs>
              <w:spacing w:before="80" w:after="80" w:line="200" w:lineRule="exact"/>
              <w:ind w:left="0" w:right="28"/>
              <w:jc w:val="right"/>
              <w:rPr>
                <w:i/>
                <w:sz w:val="16"/>
              </w:rPr>
            </w:pPr>
            <w:r w:rsidRPr="005B30A9">
              <w:rPr>
                <w:i/>
                <w:iCs/>
                <w:sz w:val="16"/>
              </w:rPr>
              <w:t>2022</w:t>
            </w:r>
          </w:p>
        </w:tc>
      </w:tr>
      <w:tr w:rsidR="00FD107B" w:rsidRPr="005B30A9" w14:paraId="35E34C11" w14:textId="77777777" w:rsidTr="007A4BD8">
        <w:trPr>
          <w:trHeight w:val="240"/>
        </w:trPr>
        <w:tc>
          <w:tcPr>
            <w:tcW w:w="1224" w:type="dxa"/>
            <w:tcBorders>
              <w:top w:val="single" w:sz="12" w:space="0" w:color="auto"/>
            </w:tcBorders>
            <w:shd w:val="clear" w:color="auto" w:fill="auto"/>
            <w:noWrap/>
            <w:hideMark/>
          </w:tcPr>
          <w:p w14:paraId="22A1B293" w14:textId="77777777" w:rsidR="009612CC" w:rsidRPr="005B30A9" w:rsidRDefault="009612CC" w:rsidP="00FD107B">
            <w:pPr>
              <w:pStyle w:val="SingleTxtG"/>
              <w:keepNext/>
              <w:keepLines/>
              <w:tabs>
                <w:tab w:val="clear" w:pos="1701"/>
                <w:tab w:val="clear" w:pos="2268"/>
                <w:tab w:val="clear" w:pos="2835"/>
              </w:tabs>
              <w:spacing w:before="40" w:after="40" w:line="220" w:lineRule="exact"/>
              <w:ind w:left="0" w:right="0"/>
              <w:jc w:val="left"/>
              <w:rPr>
                <w:bCs/>
                <w:sz w:val="18"/>
              </w:rPr>
            </w:pPr>
            <w:r w:rsidRPr="005B30A9">
              <w:rPr>
                <w:sz w:val="18"/>
              </w:rPr>
              <w:t>PIB</w:t>
            </w:r>
          </w:p>
        </w:tc>
        <w:tc>
          <w:tcPr>
            <w:tcW w:w="1328" w:type="dxa"/>
            <w:tcBorders>
              <w:top w:val="single" w:sz="12" w:space="0" w:color="auto"/>
            </w:tcBorders>
            <w:shd w:val="clear" w:color="auto" w:fill="auto"/>
            <w:noWrap/>
            <w:hideMark/>
          </w:tcPr>
          <w:p w14:paraId="304C7BE2" w14:textId="77777777" w:rsidR="009612CC" w:rsidRPr="005B30A9" w:rsidRDefault="009612CC" w:rsidP="00FD107B">
            <w:pPr>
              <w:pStyle w:val="SingleTxtG"/>
              <w:keepNext/>
              <w:keepLines/>
              <w:tabs>
                <w:tab w:val="clear" w:pos="1701"/>
                <w:tab w:val="clear" w:pos="2268"/>
                <w:tab w:val="clear" w:pos="2835"/>
              </w:tabs>
              <w:spacing w:before="40" w:after="40" w:line="220" w:lineRule="exact"/>
              <w:ind w:left="0" w:right="0"/>
              <w:jc w:val="left"/>
              <w:rPr>
                <w:bCs/>
                <w:sz w:val="18"/>
              </w:rPr>
            </w:pPr>
            <w:r w:rsidRPr="005B30A9">
              <w:rPr>
                <w:sz w:val="18"/>
              </w:rPr>
              <w:t>miles de millones de euros</w:t>
            </w:r>
          </w:p>
        </w:tc>
        <w:tc>
          <w:tcPr>
            <w:tcW w:w="963" w:type="dxa"/>
            <w:tcBorders>
              <w:top w:val="single" w:sz="12" w:space="0" w:color="auto"/>
            </w:tcBorders>
            <w:shd w:val="clear" w:color="auto" w:fill="auto"/>
            <w:noWrap/>
            <w:vAlign w:val="bottom"/>
            <w:hideMark/>
          </w:tcPr>
          <w:p w14:paraId="01396CB7" w14:textId="77777777"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385,3</w:t>
            </w:r>
          </w:p>
        </w:tc>
        <w:tc>
          <w:tcPr>
            <w:tcW w:w="964" w:type="dxa"/>
            <w:tcBorders>
              <w:top w:val="single" w:sz="12" w:space="0" w:color="auto"/>
            </w:tcBorders>
            <w:shd w:val="clear" w:color="auto" w:fill="auto"/>
            <w:noWrap/>
            <w:vAlign w:val="bottom"/>
            <w:hideMark/>
          </w:tcPr>
          <w:p w14:paraId="130C5345" w14:textId="77777777"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397,2</w:t>
            </w:r>
          </w:p>
        </w:tc>
        <w:tc>
          <w:tcPr>
            <w:tcW w:w="963" w:type="dxa"/>
            <w:tcBorders>
              <w:top w:val="single" w:sz="12" w:space="0" w:color="auto"/>
            </w:tcBorders>
            <w:shd w:val="clear" w:color="auto" w:fill="auto"/>
            <w:noWrap/>
            <w:vAlign w:val="bottom"/>
            <w:hideMark/>
          </w:tcPr>
          <w:p w14:paraId="5AE326AD" w14:textId="77777777"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381,0</w:t>
            </w:r>
          </w:p>
        </w:tc>
        <w:tc>
          <w:tcPr>
            <w:tcW w:w="964" w:type="dxa"/>
            <w:tcBorders>
              <w:top w:val="single" w:sz="12" w:space="0" w:color="auto"/>
            </w:tcBorders>
            <w:shd w:val="clear" w:color="auto" w:fill="auto"/>
            <w:noWrap/>
            <w:vAlign w:val="bottom"/>
            <w:hideMark/>
          </w:tcPr>
          <w:p w14:paraId="574FB16C" w14:textId="77777777"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406,1</w:t>
            </w:r>
          </w:p>
        </w:tc>
        <w:tc>
          <w:tcPr>
            <w:tcW w:w="964" w:type="dxa"/>
            <w:tcBorders>
              <w:top w:val="single" w:sz="12" w:space="0" w:color="auto"/>
            </w:tcBorders>
            <w:shd w:val="clear" w:color="auto" w:fill="auto"/>
            <w:noWrap/>
            <w:vAlign w:val="bottom"/>
            <w:hideMark/>
          </w:tcPr>
          <w:p w14:paraId="2756540D" w14:textId="77777777"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446,9</w:t>
            </w:r>
          </w:p>
        </w:tc>
      </w:tr>
      <w:tr w:rsidR="00FD107B" w:rsidRPr="005B30A9" w14:paraId="22B015C4" w14:textId="77777777" w:rsidTr="007A4BD8">
        <w:trPr>
          <w:trHeight w:val="240"/>
        </w:trPr>
        <w:tc>
          <w:tcPr>
            <w:tcW w:w="1224" w:type="dxa"/>
            <w:vMerge w:val="restart"/>
            <w:shd w:val="clear" w:color="auto" w:fill="auto"/>
            <w:noWrap/>
            <w:hideMark/>
          </w:tcPr>
          <w:p w14:paraId="6BE9FDBE" w14:textId="77777777" w:rsidR="009612CC" w:rsidRPr="005B30A9" w:rsidRDefault="009612CC" w:rsidP="00FD107B">
            <w:pPr>
              <w:pStyle w:val="SingleTxtG"/>
              <w:keepNext/>
              <w:keepLines/>
              <w:tabs>
                <w:tab w:val="clear" w:pos="1701"/>
                <w:tab w:val="clear" w:pos="2268"/>
                <w:tab w:val="clear" w:pos="2835"/>
              </w:tabs>
              <w:spacing w:before="40" w:after="40" w:line="220" w:lineRule="exact"/>
              <w:ind w:left="0" w:right="0"/>
              <w:jc w:val="left"/>
              <w:rPr>
                <w:bCs/>
                <w:sz w:val="18"/>
              </w:rPr>
            </w:pPr>
            <w:r w:rsidRPr="005B30A9">
              <w:rPr>
                <w:sz w:val="18"/>
              </w:rPr>
              <w:t>Ingresos</w:t>
            </w:r>
          </w:p>
        </w:tc>
        <w:tc>
          <w:tcPr>
            <w:tcW w:w="1328" w:type="dxa"/>
            <w:shd w:val="clear" w:color="auto" w:fill="auto"/>
            <w:noWrap/>
            <w:hideMark/>
          </w:tcPr>
          <w:p w14:paraId="0AB84C80" w14:textId="77777777" w:rsidR="009612CC" w:rsidRPr="005B30A9" w:rsidRDefault="009612CC" w:rsidP="00FD107B">
            <w:pPr>
              <w:pStyle w:val="SingleTxtG"/>
              <w:keepNext/>
              <w:keepLines/>
              <w:tabs>
                <w:tab w:val="clear" w:pos="1701"/>
                <w:tab w:val="clear" w:pos="2268"/>
                <w:tab w:val="clear" w:pos="2835"/>
              </w:tabs>
              <w:spacing w:before="40" w:after="40" w:line="220" w:lineRule="exact"/>
              <w:ind w:left="0" w:right="0"/>
              <w:jc w:val="left"/>
              <w:rPr>
                <w:bCs/>
                <w:sz w:val="18"/>
              </w:rPr>
            </w:pPr>
            <w:r w:rsidRPr="005B30A9">
              <w:rPr>
                <w:sz w:val="18"/>
              </w:rPr>
              <w:t>miles de millones de euros</w:t>
            </w:r>
          </w:p>
        </w:tc>
        <w:tc>
          <w:tcPr>
            <w:tcW w:w="963" w:type="dxa"/>
            <w:shd w:val="clear" w:color="auto" w:fill="auto"/>
            <w:noWrap/>
            <w:vAlign w:val="bottom"/>
            <w:hideMark/>
          </w:tcPr>
          <w:p w14:paraId="5B5B8252" w14:textId="77777777"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188,5</w:t>
            </w:r>
          </w:p>
        </w:tc>
        <w:tc>
          <w:tcPr>
            <w:tcW w:w="964" w:type="dxa"/>
            <w:shd w:val="clear" w:color="auto" w:fill="auto"/>
            <w:noWrap/>
            <w:vAlign w:val="bottom"/>
            <w:hideMark/>
          </w:tcPr>
          <w:p w14:paraId="60A369FD" w14:textId="77777777"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195,6</w:t>
            </w:r>
          </w:p>
        </w:tc>
        <w:tc>
          <w:tcPr>
            <w:tcW w:w="963" w:type="dxa"/>
            <w:shd w:val="clear" w:color="auto" w:fill="auto"/>
            <w:noWrap/>
            <w:vAlign w:val="bottom"/>
            <w:hideMark/>
          </w:tcPr>
          <w:p w14:paraId="782605D1" w14:textId="77777777"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185,9</w:t>
            </w:r>
          </w:p>
        </w:tc>
        <w:tc>
          <w:tcPr>
            <w:tcW w:w="964" w:type="dxa"/>
            <w:shd w:val="clear" w:color="auto" w:fill="auto"/>
            <w:noWrap/>
            <w:vAlign w:val="bottom"/>
            <w:hideMark/>
          </w:tcPr>
          <w:p w14:paraId="65BA2D3E" w14:textId="77777777"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204,2</w:t>
            </w:r>
          </w:p>
        </w:tc>
        <w:tc>
          <w:tcPr>
            <w:tcW w:w="964" w:type="dxa"/>
            <w:shd w:val="clear" w:color="auto" w:fill="auto"/>
            <w:noWrap/>
            <w:vAlign w:val="bottom"/>
            <w:hideMark/>
          </w:tcPr>
          <w:p w14:paraId="3266895A" w14:textId="77777777"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221,7</w:t>
            </w:r>
          </w:p>
        </w:tc>
      </w:tr>
      <w:tr w:rsidR="00FD107B" w:rsidRPr="005B30A9" w14:paraId="2BB78F27" w14:textId="77777777" w:rsidTr="007A4BD8">
        <w:trPr>
          <w:trHeight w:val="240"/>
        </w:trPr>
        <w:tc>
          <w:tcPr>
            <w:tcW w:w="1224" w:type="dxa"/>
            <w:vMerge/>
            <w:shd w:val="clear" w:color="auto" w:fill="auto"/>
            <w:noWrap/>
            <w:hideMark/>
          </w:tcPr>
          <w:p w14:paraId="583FD266"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p>
        </w:tc>
        <w:tc>
          <w:tcPr>
            <w:tcW w:w="1328" w:type="dxa"/>
            <w:shd w:val="clear" w:color="auto" w:fill="auto"/>
            <w:noWrap/>
            <w:hideMark/>
          </w:tcPr>
          <w:p w14:paraId="237776DC" w14:textId="046FBD5F"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 xml:space="preserve">en </w:t>
            </w:r>
            <w:r w:rsidR="00FD107B" w:rsidRPr="005B30A9">
              <w:rPr>
                <w:sz w:val="18"/>
              </w:rPr>
              <w:t>porcentaje</w:t>
            </w:r>
            <w:r w:rsidRPr="005B30A9">
              <w:rPr>
                <w:sz w:val="18"/>
              </w:rPr>
              <w:t xml:space="preserve"> del</w:t>
            </w:r>
            <w:r w:rsidR="007A4BD8">
              <w:rPr>
                <w:sz w:val="18"/>
              </w:rPr>
              <w:t> </w:t>
            </w:r>
            <w:r w:rsidRPr="005B30A9">
              <w:rPr>
                <w:sz w:val="18"/>
              </w:rPr>
              <w:t>PIB</w:t>
            </w:r>
          </w:p>
        </w:tc>
        <w:tc>
          <w:tcPr>
            <w:tcW w:w="963" w:type="dxa"/>
            <w:shd w:val="clear" w:color="auto" w:fill="auto"/>
            <w:noWrap/>
            <w:vAlign w:val="bottom"/>
            <w:hideMark/>
          </w:tcPr>
          <w:p w14:paraId="3917ADAA" w14:textId="20E8AE21"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48,9</w:t>
            </w:r>
          </w:p>
        </w:tc>
        <w:tc>
          <w:tcPr>
            <w:tcW w:w="964" w:type="dxa"/>
            <w:shd w:val="clear" w:color="auto" w:fill="auto"/>
            <w:noWrap/>
            <w:vAlign w:val="bottom"/>
            <w:hideMark/>
          </w:tcPr>
          <w:p w14:paraId="5C6E2122" w14:textId="196CE85B"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49,2</w:t>
            </w:r>
          </w:p>
        </w:tc>
        <w:tc>
          <w:tcPr>
            <w:tcW w:w="963" w:type="dxa"/>
            <w:shd w:val="clear" w:color="auto" w:fill="auto"/>
            <w:noWrap/>
            <w:vAlign w:val="bottom"/>
            <w:hideMark/>
          </w:tcPr>
          <w:p w14:paraId="07F9EF0B" w14:textId="021A9FAA"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48,8</w:t>
            </w:r>
          </w:p>
        </w:tc>
        <w:tc>
          <w:tcPr>
            <w:tcW w:w="964" w:type="dxa"/>
            <w:shd w:val="clear" w:color="auto" w:fill="auto"/>
            <w:noWrap/>
            <w:vAlign w:val="bottom"/>
            <w:hideMark/>
          </w:tcPr>
          <w:p w14:paraId="1A543CBC" w14:textId="526BDD80"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50,3</w:t>
            </w:r>
          </w:p>
        </w:tc>
        <w:tc>
          <w:tcPr>
            <w:tcW w:w="964" w:type="dxa"/>
            <w:shd w:val="clear" w:color="auto" w:fill="auto"/>
            <w:noWrap/>
            <w:vAlign w:val="bottom"/>
            <w:hideMark/>
          </w:tcPr>
          <w:p w14:paraId="2CAAB391" w14:textId="0F1D5FCE"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49,6</w:t>
            </w:r>
          </w:p>
        </w:tc>
      </w:tr>
      <w:tr w:rsidR="00FD107B" w:rsidRPr="005B30A9" w14:paraId="1F053FB1" w14:textId="77777777" w:rsidTr="007A4BD8">
        <w:trPr>
          <w:trHeight w:val="240"/>
        </w:trPr>
        <w:tc>
          <w:tcPr>
            <w:tcW w:w="1224" w:type="dxa"/>
            <w:vMerge w:val="restart"/>
            <w:shd w:val="clear" w:color="auto" w:fill="auto"/>
            <w:noWrap/>
            <w:hideMark/>
          </w:tcPr>
          <w:p w14:paraId="3BFB9DF7"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Impuestos</w:t>
            </w:r>
          </w:p>
        </w:tc>
        <w:tc>
          <w:tcPr>
            <w:tcW w:w="1328" w:type="dxa"/>
            <w:shd w:val="clear" w:color="auto" w:fill="auto"/>
            <w:noWrap/>
            <w:hideMark/>
          </w:tcPr>
          <w:p w14:paraId="3EE7DB8E"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miles de millones de euros</w:t>
            </w:r>
          </w:p>
        </w:tc>
        <w:tc>
          <w:tcPr>
            <w:tcW w:w="963" w:type="dxa"/>
            <w:shd w:val="clear" w:color="auto" w:fill="auto"/>
            <w:noWrap/>
            <w:vAlign w:val="bottom"/>
            <w:hideMark/>
          </w:tcPr>
          <w:p w14:paraId="5FDEB3B8"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106,4</w:t>
            </w:r>
          </w:p>
        </w:tc>
        <w:tc>
          <w:tcPr>
            <w:tcW w:w="964" w:type="dxa"/>
            <w:shd w:val="clear" w:color="auto" w:fill="auto"/>
            <w:noWrap/>
            <w:vAlign w:val="bottom"/>
            <w:hideMark/>
          </w:tcPr>
          <w:p w14:paraId="7DA19193"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110,4</w:t>
            </w:r>
          </w:p>
        </w:tc>
        <w:tc>
          <w:tcPr>
            <w:tcW w:w="963" w:type="dxa"/>
            <w:shd w:val="clear" w:color="auto" w:fill="auto"/>
            <w:noWrap/>
            <w:vAlign w:val="bottom"/>
            <w:hideMark/>
          </w:tcPr>
          <w:p w14:paraId="3A5ABEA5"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101,8</w:t>
            </w:r>
          </w:p>
        </w:tc>
        <w:tc>
          <w:tcPr>
            <w:tcW w:w="964" w:type="dxa"/>
            <w:shd w:val="clear" w:color="auto" w:fill="auto"/>
            <w:noWrap/>
            <w:vAlign w:val="bottom"/>
            <w:hideMark/>
          </w:tcPr>
          <w:p w14:paraId="46509EBA"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114,0</w:t>
            </w:r>
          </w:p>
        </w:tc>
        <w:tc>
          <w:tcPr>
            <w:tcW w:w="964" w:type="dxa"/>
            <w:shd w:val="clear" w:color="auto" w:fill="auto"/>
            <w:noWrap/>
            <w:vAlign w:val="bottom"/>
            <w:hideMark/>
          </w:tcPr>
          <w:p w14:paraId="1DE616CC"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127,2</w:t>
            </w:r>
          </w:p>
        </w:tc>
      </w:tr>
      <w:tr w:rsidR="00FD107B" w:rsidRPr="005B30A9" w14:paraId="17A82847" w14:textId="77777777" w:rsidTr="007A4BD8">
        <w:trPr>
          <w:trHeight w:val="240"/>
        </w:trPr>
        <w:tc>
          <w:tcPr>
            <w:tcW w:w="1224" w:type="dxa"/>
            <w:vMerge/>
            <w:shd w:val="clear" w:color="auto" w:fill="auto"/>
            <w:noWrap/>
            <w:hideMark/>
          </w:tcPr>
          <w:p w14:paraId="276929E4"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p>
        </w:tc>
        <w:tc>
          <w:tcPr>
            <w:tcW w:w="1328" w:type="dxa"/>
            <w:shd w:val="clear" w:color="auto" w:fill="auto"/>
            <w:noWrap/>
            <w:hideMark/>
          </w:tcPr>
          <w:p w14:paraId="0878D956" w14:textId="72100431"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 xml:space="preserve">en </w:t>
            </w:r>
            <w:r w:rsidR="00FD107B" w:rsidRPr="005B30A9">
              <w:rPr>
                <w:sz w:val="18"/>
              </w:rPr>
              <w:t>porcentaje</w:t>
            </w:r>
            <w:r w:rsidRPr="005B30A9">
              <w:rPr>
                <w:sz w:val="18"/>
              </w:rPr>
              <w:t xml:space="preserve"> del</w:t>
            </w:r>
            <w:r w:rsidR="007A4BD8">
              <w:rPr>
                <w:sz w:val="18"/>
              </w:rPr>
              <w:t> </w:t>
            </w:r>
            <w:r w:rsidRPr="005B30A9">
              <w:rPr>
                <w:sz w:val="18"/>
              </w:rPr>
              <w:t>PIB</w:t>
            </w:r>
          </w:p>
        </w:tc>
        <w:tc>
          <w:tcPr>
            <w:tcW w:w="963" w:type="dxa"/>
            <w:shd w:val="clear" w:color="auto" w:fill="auto"/>
            <w:noWrap/>
            <w:vAlign w:val="bottom"/>
            <w:hideMark/>
          </w:tcPr>
          <w:p w14:paraId="1F3672FD" w14:textId="74F12651"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27,6</w:t>
            </w:r>
          </w:p>
        </w:tc>
        <w:tc>
          <w:tcPr>
            <w:tcW w:w="964" w:type="dxa"/>
            <w:shd w:val="clear" w:color="auto" w:fill="auto"/>
            <w:noWrap/>
            <w:vAlign w:val="bottom"/>
            <w:hideMark/>
          </w:tcPr>
          <w:p w14:paraId="06E616FA" w14:textId="6257F260"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27,8</w:t>
            </w:r>
          </w:p>
        </w:tc>
        <w:tc>
          <w:tcPr>
            <w:tcW w:w="963" w:type="dxa"/>
            <w:shd w:val="clear" w:color="auto" w:fill="auto"/>
            <w:noWrap/>
            <w:vAlign w:val="bottom"/>
            <w:hideMark/>
          </w:tcPr>
          <w:p w14:paraId="440C17BD" w14:textId="62FA3DF1"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26,7</w:t>
            </w:r>
          </w:p>
        </w:tc>
        <w:tc>
          <w:tcPr>
            <w:tcW w:w="964" w:type="dxa"/>
            <w:shd w:val="clear" w:color="auto" w:fill="auto"/>
            <w:noWrap/>
            <w:vAlign w:val="bottom"/>
            <w:hideMark/>
          </w:tcPr>
          <w:p w14:paraId="1EF779DD" w14:textId="35272410"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28,1</w:t>
            </w:r>
          </w:p>
        </w:tc>
        <w:tc>
          <w:tcPr>
            <w:tcW w:w="964" w:type="dxa"/>
            <w:shd w:val="clear" w:color="auto" w:fill="auto"/>
            <w:noWrap/>
            <w:vAlign w:val="bottom"/>
            <w:hideMark/>
          </w:tcPr>
          <w:p w14:paraId="170AE2B6" w14:textId="399F47AA"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28,5</w:t>
            </w:r>
          </w:p>
        </w:tc>
      </w:tr>
      <w:tr w:rsidR="00FD107B" w:rsidRPr="005B30A9" w14:paraId="1E93676D" w14:textId="77777777" w:rsidTr="007A4BD8">
        <w:trPr>
          <w:trHeight w:val="240"/>
        </w:trPr>
        <w:tc>
          <w:tcPr>
            <w:tcW w:w="1224" w:type="dxa"/>
            <w:vMerge/>
            <w:shd w:val="clear" w:color="auto" w:fill="auto"/>
            <w:noWrap/>
            <w:hideMark/>
          </w:tcPr>
          <w:p w14:paraId="291DDC33"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p>
        </w:tc>
        <w:tc>
          <w:tcPr>
            <w:tcW w:w="1328" w:type="dxa"/>
            <w:shd w:val="clear" w:color="auto" w:fill="auto"/>
            <w:noWrap/>
            <w:hideMark/>
          </w:tcPr>
          <w:p w14:paraId="7995510A" w14:textId="3E82E261"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 xml:space="preserve">en </w:t>
            </w:r>
            <w:r w:rsidR="00FD107B" w:rsidRPr="005B30A9">
              <w:rPr>
                <w:sz w:val="18"/>
              </w:rPr>
              <w:t xml:space="preserve">porcentaje </w:t>
            </w:r>
            <w:r w:rsidRPr="005B30A9">
              <w:rPr>
                <w:sz w:val="18"/>
              </w:rPr>
              <w:t>de los ingresos</w:t>
            </w:r>
          </w:p>
        </w:tc>
        <w:tc>
          <w:tcPr>
            <w:tcW w:w="963" w:type="dxa"/>
            <w:shd w:val="clear" w:color="auto" w:fill="auto"/>
            <w:noWrap/>
            <w:vAlign w:val="bottom"/>
            <w:hideMark/>
          </w:tcPr>
          <w:p w14:paraId="7052D588" w14:textId="2E8D1409"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56,4</w:t>
            </w:r>
          </w:p>
        </w:tc>
        <w:tc>
          <w:tcPr>
            <w:tcW w:w="964" w:type="dxa"/>
            <w:shd w:val="clear" w:color="auto" w:fill="auto"/>
            <w:noWrap/>
            <w:vAlign w:val="bottom"/>
            <w:hideMark/>
          </w:tcPr>
          <w:p w14:paraId="34D6A7A3" w14:textId="7546577C"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56,4</w:t>
            </w:r>
          </w:p>
        </w:tc>
        <w:tc>
          <w:tcPr>
            <w:tcW w:w="963" w:type="dxa"/>
            <w:shd w:val="clear" w:color="auto" w:fill="auto"/>
            <w:noWrap/>
            <w:vAlign w:val="bottom"/>
            <w:hideMark/>
          </w:tcPr>
          <w:p w14:paraId="29E9DAFA" w14:textId="2697356C"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54,8</w:t>
            </w:r>
          </w:p>
        </w:tc>
        <w:tc>
          <w:tcPr>
            <w:tcW w:w="964" w:type="dxa"/>
            <w:shd w:val="clear" w:color="auto" w:fill="auto"/>
            <w:noWrap/>
            <w:vAlign w:val="bottom"/>
            <w:hideMark/>
          </w:tcPr>
          <w:p w14:paraId="0B827C98" w14:textId="11E93000"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55,8</w:t>
            </w:r>
          </w:p>
        </w:tc>
        <w:tc>
          <w:tcPr>
            <w:tcW w:w="964" w:type="dxa"/>
            <w:shd w:val="clear" w:color="auto" w:fill="auto"/>
            <w:noWrap/>
            <w:vAlign w:val="bottom"/>
            <w:hideMark/>
          </w:tcPr>
          <w:p w14:paraId="27F2898B" w14:textId="39E33995"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57,4</w:t>
            </w:r>
          </w:p>
        </w:tc>
      </w:tr>
      <w:tr w:rsidR="00FD107B" w:rsidRPr="005B30A9" w14:paraId="79EAFB05" w14:textId="77777777" w:rsidTr="007A4BD8">
        <w:trPr>
          <w:trHeight w:val="240"/>
        </w:trPr>
        <w:tc>
          <w:tcPr>
            <w:tcW w:w="1224" w:type="dxa"/>
            <w:vMerge w:val="restart"/>
            <w:shd w:val="clear" w:color="auto" w:fill="auto"/>
            <w:hideMark/>
          </w:tcPr>
          <w:p w14:paraId="17F3707B"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Impuestos y cotizaciones a la seguridad social (ODC)</w:t>
            </w:r>
          </w:p>
        </w:tc>
        <w:tc>
          <w:tcPr>
            <w:tcW w:w="1328" w:type="dxa"/>
            <w:shd w:val="clear" w:color="auto" w:fill="auto"/>
            <w:noWrap/>
            <w:hideMark/>
          </w:tcPr>
          <w:p w14:paraId="712ED4C7"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miles de millones de euros</w:t>
            </w:r>
          </w:p>
        </w:tc>
        <w:tc>
          <w:tcPr>
            <w:tcW w:w="963" w:type="dxa"/>
            <w:shd w:val="clear" w:color="auto" w:fill="auto"/>
            <w:noWrap/>
            <w:vAlign w:val="bottom"/>
            <w:hideMark/>
          </w:tcPr>
          <w:p w14:paraId="2CA5DC0B"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165,1</w:t>
            </w:r>
          </w:p>
        </w:tc>
        <w:tc>
          <w:tcPr>
            <w:tcW w:w="964" w:type="dxa"/>
            <w:shd w:val="clear" w:color="auto" w:fill="auto"/>
            <w:noWrap/>
            <w:vAlign w:val="bottom"/>
            <w:hideMark/>
          </w:tcPr>
          <w:p w14:paraId="71F74E50"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171,5</w:t>
            </w:r>
          </w:p>
        </w:tc>
        <w:tc>
          <w:tcPr>
            <w:tcW w:w="963" w:type="dxa"/>
            <w:shd w:val="clear" w:color="auto" w:fill="auto"/>
            <w:noWrap/>
            <w:vAlign w:val="bottom"/>
            <w:hideMark/>
          </w:tcPr>
          <w:p w14:paraId="3784355F"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162,6</w:t>
            </w:r>
          </w:p>
        </w:tc>
        <w:tc>
          <w:tcPr>
            <w:tcW w:w="964" w:type="dxa"/>
            <w:shd w:val="clear" w:color="auto" w:fill="auto"/>
            <w:noWrap/>
            <w:vAlign w:val="bottom"/>
            <w:hideMark/>
          </w:tcPr>
          <w:p w14:paraId="66003CF9"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177,9</w:t>
            </w:r>
          </w:p>
        </w:tc>
        <w:tc>
          <w:tcPr>
            <w:tcW w:w="964" w:type="dxa"/>
            <w:shd w:val="clear" w:color="auto" w:fill="auto"/>
            <w:noWrap/>
            <w:vAlign w:val="bottom"/>
            <w:hideMark/>
          </w:tcPr>
          <w:p w14:paraId="323016E4"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194,8</w:t>
            </w:r>
          </w:p>
        </w:tc>
      </w:tr>
      <w:tr w:rsidR="00FD107B" w:rsidRPr="005B30A9" w14:paraId="5FC8D953" w14:textId="77777777" w:rsidTr="007A4BD8">
        <w:trPr>
          <w:trHeight w:val="240"/>
        </w:trPr>
        <w:tc>
          <w:tcPr>
            <w:tcW w:w="1224" w:type="dxa"/>
            <w:vMerge/>
            <w:shd w:val="clear" w:color="auto" w:fill="auto"/>
            <w:hideMark/>
          </w:tcPr>
          <w:p w14:paraId="46ACF8FC"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p>
        </w:tc>
        <w:tc>
          <w:tcPr>
            <w:tcW w:w="1328" w:type="dxa"/>
            <w:shd w:val="clear" w:color="auto" w:fill="auto"/>
            <w:noWrap/>
            <w:hideMark/>
          </w:tcPr>
          <w:p w14:paraId="74D8B349" w14:textId="4F7628AC"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 xml:space="preserve">en </w:t>
            </w:r>
            <w:r w:rsidR="00FD107B" w:rsidRPr="005B30A9">
              <w:rPr>
                <w:sz w:val="18"/>
              </w:rPr>
              <w:t xml:space="preserve">porcentaje </w:t>
            </w:r>
            <w:r w:rsidRPr="005B30A9">
              <w:rPr>
                <w:sz w:val="18"/>
              </w:rPr>
              <w:t>del</w:t>
            </w:r>
            <w:r w:rsidR="007A4BD8">
              <w:rPr>
                <w:sz w:val="18"/>
              </w:rPr>
              <w:t> </w:t>
            </w:r>
            <w:r w:rsidRPr="005B30A9">
              <w:rPr>
                <w:sz w:val="18"/>
              </w:rPr>
              <w:t>PIB</w:t>
            </w:r>
          </w:p>
        </w:tc>
        <w:tc>
          <w:tcPr>
            <w:tcW w:w="963" w:type="dxa"/>
            <w:shd w:val="clear" w:color="auto" w:fill="auto"/>
            <w:noWrap/>
            <w:vAlign w:val="bottom"/>
            <w:hideMark/>
          </w:tcPr>
          <w:p w14:paraId="3862EC42" w14:textId="5D24CAD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42,9</w:t>
            </w:r>
          </w:p>
        </w:tc>
        <w:tc>
          <w:tcPr>
            <w:tcW w:w="964" w:type="dxa"/>
            <w:shd w:val="clear" w:color="auto" w:fill="auto"/>
            <w:noWrap/>
            <w:vAlign w:val="bottom"/>
            <w:hideMark/>
          </w:tcPr>
          <w:p w14:paraId="460E79D1" w14:textId="67867F68"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43,2</w:t>
            </w:r>
          </w:p>
        </w:tc>
        <w:tc>
          <w:tcPr>
            <w:tcW w:w="963" w:type="dxa"/>
            <w:shd w:val="clear" w:color="auto" w:fill="auto"/>
            <w:noWrap/>
            <w:vAlign w:val="bottom"/>
            <w:hideMark/>
          </w:tcPr>
          <w:p w14:paraId="34641899" w14:textId="2DD2A8CD"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42,7</w:t>
            </w:r>
          </w:p>
        </w:tc>
        <w:tc>
          <w:tcPr>
            <w:tcW w:w="964" w:type="dxa"/>
            <w:shd w:val="clear" w:color="auto" w:fill="auto"/>
            <w:noWrap/>
            <w:vAlign w:val="bottom"/>
            <w:hideMark/>
          </w:tcPr>
          <w:p w14:paraId="7F107EF8" w14:textId="05A28928"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43,8</w:t>
            </w:r>
          </w:p>
        </w:tc>
        <w:tc>
          <w:tcPr>
            <w:tcW w:w="964" w:type="dxa"/>
            <w:shd w:val="clear" w:color="auto" w:fill="auto"/>
            <w:noWrap/>
            <w:vAlign w:val="bottom"/>
            <w:hideMark/>
          </w:tcPr>
          <w:p w14:paraId="36E3E4AF" w14:textId="47747E5A"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43,6</w:t>
            </w:r>
          </w:p>
        </w:tc>
      </w:tr>
      <w:tr w:rsidR="00FD107B" w:rsidRPr="005B30A9" w14:paraId="17934C4D" w14:textId="77777777" w:rsidTr="007A4BD8">
        <w:trPr>
          <w:trHeight w:val="240"/>
        </w:trPr>
        <w:tc>
          <w:tcPr>
            <w:tcW w:w="1224" w:type="dxa"/>
            <w:vMerge/>
            <w:tcBorders>
              <w:bottom w:val="single" w:sz="12" w:space="0" w:color="auto"/>
            </w:tcBorders>
            <w:shd w:val="clear" w:color="auto" w:fill="auto"/>
            <w:hideMark/>
          </w:tcPr>
          <w:p w14:paraId="3746377E" w14:textId="77777777"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p>
        </w:tc>
        <w:tc>
          <w:tcPr>
            <w:tcW w:w="1328" w:type="dxa"/>
            <w:tcBorders>
              <w:bottom w:val="single" w:sz="12" w:space="0" w:color="auto"/>
            </w:tcBorders>
            <w:shd w:val="clear" w:color="auto" w:fill="auto"/>
            <w:noWrap/>
            <w:hideMark/>
          </w:tcPr>
          <w:p w14:paraId="1BCBBDA9" w14:textId="6160BDA2" w:rsidR="009612CC" w:rsidRPr="005B30A9" w:rsidRDefault="009612CC" w:rsidP="00FD107B">
            <w:pPr>
              <w:pStyle w:val="SingleTxtG"/>
              <w:tabs>
                <w:tab w:val="clear" w:pos="1701"/>
                <w:tab w:val="clear" w:pos="2268"/>
                <w:tab w:val="clear" w:pos="2835"/>
              </w:tabs>
              <w:spacing w:before="40" w:after="40" w:line="220" w:lineRule="exact"/>
              <w:ind w:left="0" w:right="0"/>
              <w:jc w:val="left"/>
              <w:rPr>
                <w:bCs/>
                <w:sz w:val="18"/>
              </w:rPr>
            </w:pPr>
            <w:r w:rsidRPr="005B30A9">
              <w:rPr>
                <w:sz w:val="18"/>
              </w:rPr>
              <w:t xml:space="preserve">en </w:t>
            </w:r>
            <w:r w:rsidR="00FD107B" w:rsidRPr="005B30A9">
              <w:rPr>
                <w:sz w:val="18"/>
              </w:rPr>
              <w:t xml:space="preserve">porcentaje </w:t>
            </w:r>
            <w:r w:rsidRPr="005B30A9">
              <w:rPr>
                <w:sz w:val="18"/>
              </w:rPr>
              <w:t>de los ingresos</w:t>
            </w:r>
          </w:p>
        </w:tc>
        <w:tc>
          <w:tcPr>
            <w:tcW w:w="963" w:type="dxa"/>
            <w:tcBorders>
              <w:bottom w:val="single" w:sz="12" w:space="0" w:color="auto"/>
            </w:tcBorders>
            <w:shd w:val="clear" w:color="auto" w:fill="auto"/>
            <w:noWrap/>
            <w:vAlign w:val="bottom"/>
            <w:hideMark/>
          </w:tcPr>
          <w:p w14:paraId="7237AA8C" w14:textId="5B200CB9"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87,6</w:t>
            </w:r>
          </w:p>
        </w:tc>
        <w:tc>
          <w:tcPr>
            <w:tcW w:w="964" w:type="dxa"/>
            <w:tcBorders>
              <w:bottom w:val="single" w:sz="12" w:space="0" w:color="auto"/>
            </w:tcBorders>
            <w:shd w:val="clear" w:color="auto" w:fill="auto"/>
            <w:noWrap/>
            <w:vAlign w:val="bottom"/>
            <w:hideMark/>
          </w:tcPr>
          <w:p w14:paraId="5C96B8DD" w14:textId="779500BA"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87,7</w:t>
            </w:r>
          </w:p>
        </w:tc>
        <w:tc>
          <w:tcPr>
            <w:tcW w:w="963" w:type="dxa"/>
            <w:tcBorders>
              <w:bottom w:val="single" w:sz="12" w:space="0" w:color="auto"/>
            </w:tcBorders>
            <w:shd w:val="clear" w:color="auto" w:fill="auto"/>
            <w:noWrap/>
            <w:vAlign w:val="bottom"/>
            <w:hideMark/>
          </w:tcPr>
          <w:p w14:paraId="1D3EE7CE" w14:textId="2A49D283"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87,4</w:t>
            </w:r>
          </w:p>
        </w:tc>
        <w:tc>
          <w:tcPr>
            <w:tcW w:w="964" w:type="dxa"/>
            <w:tcBorders>
              <w:bottom w:val="single" w:sz="12" w:space="0" w:color="auto"/>
            </w:tcBorders>
            <w:shd w:val="clear" w:color="auto" w:fill="auto"/>
            <w:noWrap/>
            <w:vAlign w:val="bottom"/>
            <w:hideMark/>
          </w:tcPr>
          <w:p w14:paraId="114F846F" w14:textId="6D1DB7A4"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87,1</w:t>
            </w:r>
          </w:p>
        </w:tc>
        <w:tc>
          <w:tcPr>
            <w:tcW w:w="964" w:type="dxa"/>
            <w:tcBorders>
              <w:bottom w:val="single" w:sz="12" w:space="0" w:color="auto"/>
            </w:tcBorders>
            <w:shd w:val="clear" w:color="auto" w:fill="auto"/>
            <w:noWrap/>
            <w:vAlign w:val="bottom"/>
            <w:hideMark/>
          </w:tcPr>
          <w:p w14:paraId="32984B73" w14:textId="281AF66E"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87,9</w:t>
            </w:r>
          </w:p>
        </w:tc>
      </w:tr>
    </w:tbl>
    <w:p w14:paraId="08E2F16E" w14:textId="77777777" w:rsidR="009612CC" w:rsidRPr="005B30A9" w:rsidRDefault="009612CC" w:rsidP="00FD107B">
      <w:pPr>
        <w:pStyle w:val="SingleTxtG"/>
        <w:spacing w:before="120"/>
        <w:ind w:firstLine="170"/>
        <w:jc w:val="left"/>
        <w:rPr>
          <w:sz w:val="18"/>
          <w:szCs w:val="18"/>
        </w:rPr>
      </w:pPr>
      <w:r w:rsidRPr="005B30A9">
        <w:rPr>
          <w:i/>
          <w:iCs/>
          <w:sz w:val="18"/>
          <w:szCs w:val="18"/>
        </w:rPr>
        <w:t>Fuente</w:t>
      </w:r>
      <w:r w:rsidRPr="005B30A9">
        <w:rPr>
          <w:sz w:val="18"/>
          <w:szCs w:val="18"/>
        </w:rPr>
        <w:t>: Estadísticas del BMF de Austria.</w:t>
      </w:r>
    </w:p>
    <w:p w14:paraId="0554B912" w14:textId="77777777" w:rsidR="009612CC" w:rsidRPr="005B30A9" w:rsidRDefault="009612CC" w:rsidP="00D339D7">
      <w:pPr>
        <w:pStyle w:val="Table1G"/>
      </w:pPr>
      <w:r w:rsidRPr="005B30A9">
        <w:t>Cuadro 11</w:t>
      </w:r>
    </w:p>
    <w:p w14:paraId="1E4C8C2E" w14:textId="53208028" w:rsidR="009612CC" w:rsidRPr="005B30A9" w:rsidRDefault="009612CC" w:rsidP="00D339D7">
      <w:pPr>
        <w:pStyle w:val="SingleTxtG"/>
        <w:jc w:val="left"/>
        <w:rPr>
          <w:b/>
          <w:bCs/>
        </w:rPr>
      </w:pPr>
      <w:r w:rsidRPr="005B30A9">
        <w:rPr>
          <w:b/>
          <w:bCs/>
        </w:rPr>
        <w:t>Tipos del impuesto sobre la renta</w:t>
      </w:r>
      <w:r w:rsidR="00D339D7" w:rsidRPr="005B30A9">
        <w:br/>
      </w:r>
      <w:r w:rsidR="00D339D7" w:rsidRPr="005B30A9">
        <w:rPr>
          <w:sz w:val="16"/>
          <w:szCs w:val="16"/>
        </w:rPr>
        <w:t>(En porcentaje)</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5326"/>
        <w:gridCol w:w="2044"/>
      </w:tblGrid>
      <w:tr w:rsidR="00FD107B" w:rsidRPr="005B30A9" w14:paraId="2E0D5A9B" w14:textId="77777777" w:rsidTr="00FD107B">
        <w:trPr>
          <w:trHeight w:val="240"/>
          <w:tblHeader/>
        </w:trPr>
        <w:tc>
          <w:tcPr>
            <w:tcW w:w="6414" w:type="dxa"/>
            <w:tcBorders>
              <w:top w:val="single" w:sz="4" w:space="0" w:color="auto"/>
              <w:bottom w:val="single" w:sz="12" w:space="0" w:color="auto"/>
            </w:tcBorders>
            <w:shd w:val="clear" w:color="auto" w:fill="auto"/>
            <w:vAlign w:val="bottom"/>
          </w:tcPr>
          <w:p w14:paraId="79AA93BA" w14:textId="77777777" w:rsidR="009612CC" w:rsidRPr="005B30A9" w:rsidRDefault="009612CC" w:rsidP="00FD107B">
            <w:pPr>
              <w:pStyle w:val="SingleTxtG"/>
              <w:tabs>
                <w:tab w:val="clear" w:pos="1701"/>
                <w:tab w:val="clear" w:pos="2268"/>
                <w:tab w:val="clear" w:pos="2835"/>
              </w:tabs>
              <w:spacing w:before="80" w:after="80" w:line="200" w:lineRule="exact"/>
              <w:ind w:left="0" w:right="0"/>
              <w:jc w:val="left"/>
              <w:rPr>
                <w:i/>
                <w:sz w:val="16"/>
              </w:rPr>
            </w:pPr>
            <w:r w:rsidRPr="005B30A9">
              <w:rPr>
                <w:i/>
                <w:iCs/>
                <w:sz w:val="16"/>
              </w:rPr>
              <w:t>Partes del impuesto</w:t>
            </w:r>
          </w:p>
        </w:tc>
        <w:tc>
          <w:tcPr>
            <w:tcW w:w="2424" w:type="dxa"/>
            <w:tcBorders>
              <w:top w:val="single" w:sz="4" w:space="0" w:color="auto"/>
              <w:bottom w:val="single" w:sz="12" w:space="0" w:color="auto"/>
            </w:tcBorders>
            <w:shd w:val="clear" w:color="auto" w:fill="auto"/>
            <w:vAlign w:val="bottom"/>
          </w:tcPr>
          <w:p w14:paraId="1FF250AA" w14:textId="77777777"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Impuesto</w:t>
            </w:r>
          </w:p>
        </w:tc>
      </w:tr>
      <w:tr w:rsidR="00FD107B" w:rsidRPr="005B30A9" w14:paraId="69951D41" w14:textId="77777777" w:rsidTr="00FD107B">
        <w:trPr>
          <w:trHeight w:val="240"/>
        </w:trPr>
        <w:tc>
          <w:tcPr>
            <w:tcW w:w="6414" w:type="dxa"/>
            <w:tcBorders>
              <w:top w:val="single" w:sz="12" w:space="0" w:color="auto"/>
            </w:tcBorders>
            <w:shd w:val="clear" w:color="auto" w:fill="auto"/>
            <w:hideMark/>
          </w:tcPr>
          <w:p w14:paraId="5159C5C6" w14:textId="03031D3D" w:rsidR="009612CC" w:rsidRPr="005B30A9" w:rsidRDefault="009612CC" w:rsidP="00FD107B">
            <w:pPr>
              <w:pStyle w:val="SingleTxtG"/>
              <w:tabs>
                <w:tab w:val="clear" w:pos="1701"/>
                <w:tab w:val="clear" w:pos="2268"/>
                <w:tab w:val="clear" w:pos="2835"/>
              </w:tabs>
              <w:spacing w:before="40" w:after="40" w:line="220" w:lineRule="exact"/>
              <w:ind w:left="0" w:right="0"/>
              <w:jc w:val="left"/>
              <w:rPr>
                <w:sz w:val="18"/>
              </w:rPr>
            </w:pPr>
            <w:r w:rsidRPr="005B30A9">
              <w:rPr>
                <w:sz w:val="18"/>
              </w:rPr>
              <w:t xml:space="preserve">Hasta 11 000 euros </w:t>
            </w:r>
            <w:r w:rsidR="007A4BD8">
              <w:rPr>
                <w:sz w:val="18"/>
              </w:rPr>
              <w:br/>
            </w:r>
            <w:r w:rsidRPr="005B30A9">
              <w:rPr>
                <w:sz w:val="18"/>
              </w:rPr>
              <w:t>(en 2023: 11 693 euros)</w:t>
            </w:r>
          </w:p>
        </w:tc>
        <w:tc>
          <w:tcPr>
            <w:tcW w:w="2424" w:type="dxa"/>
            <w:tcBorders>
              <w:top w:val="single" w:sz="12" w:space="0" w:color="auto"/>
            </w:tcBorders>
            <w:shd w:val="clear" w:color="auto" w:fill="auto"/>
            <w:vAlign w:val="bottom"/>
            <w:hideMark/>
          </w:tcPr>
          <w:p w14:paraId="7C05121F" w14:textId="12A22006"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0</w:t>
            </w:r>
          </w:p>
        </w:tc>
      </w:tr>
      <w:tr w:rsidR="00FD107B" w:rsidRPr="005B30A9" w14:paraId="04D0FFA8" w14:textId="77777777" w:rsidTr="00FD107B">
        <w:trPr>
          <w:trHeight w:val="240"/>
        </w:trPr>
        <w:tc>
          <w:tcPr>
            <w:tcW w:w="6414" w:type="dxa"/>
            <w:shd w:val="clear" w:color="auto" w:fill="auto"/>
            <w:hideMark/>
          </w:tcPr>
          <w:p w14:paraId="18903955" w14:textId="29855CF7" w:rsidR="009612CC" w:rsidRPr="005B30A9" w:rsidRDefault="009612CC" w:rsidP="00FD107B">
            <w:pPr>
              <w:pStyle w:val="SingleTxtG"/>
              <w:tabs>
                <w:tab w:val="clear" w:pos="1701"/>
                <w:tab w:val="clear" w:pos="2268"/>
                <w:tab w:val="clear" w:pos="2835"/>
              </w:tabs>
              <w:spacing w:before="40" w:after="40" w:line="220" w:lineRule="exact"/>
              <w:ind w:left="0" w:right="0"/>
              <w:jc w:val="left"/>
              <w:rPr>
                <w:sz w:val="18"/>
              </w:rPr>
            </w:pPr>
            <w:r w:rsidRPr="005B30A9">
              <w:rPr>
                <w:sz w:val="18"/>
              </w:rPr>
              <w:t xml:space="preserve">11 000 y 18 000 euros </w:t>
            </w:r>
            <w:r w:rsidR="007A4BD8">
              <w:rPr>
                <w:sz w:val="18"/>
              </w:rPr>
              <w:br/>
            </w:r>
            <w:r w:rsidRPr="005B30A9">
              <w:rPr>
                <w:sz w:val="18"/>
              </w:rPr>
              <w:t>(2023: 11 693 y 19 134 euros, respectivamente)</w:t>
            </w:r>
          </w:p>
        </w:tc>
        <w:tc>
          <w:tcPr>
            <w:tcW w:w="2424" w:type="dxa"/>
            <w:shd w:val="clear" w:color="auto" w:fill="auto"/>
            <w:vAlign w:val="bottom"/>
            <w:hideMark/>
          </w:tcPr>
          <w:p w14:paraId="6FF428E0" w14:textId="70B34378"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20</w:t>
            </w:r>
          </w:p>
        </w:tc>
      </w:tr>
      <w:tr w:rsidR="00FD107B" w:rsidRPr="005B30A9" w14:paraId="04BE9CA3" w14:textId="77777777" w:rsidTr="00FD107B">
        <w:trPr>
          <w:trHeight w:val="240"/>
        </w:trPr>
        <w:tc>
          <w:tcPr>
            <w:tcW w:w="6414" w:type="dxa"/>
            <w:shd w:val="clear" w:color="auto" w:fill="auto"/>
            <w:hideMark/>
          </w:tcPr>
          <w:p w14:paraId="60EC8142" w14:textId="7C4C4539" w:rsidR="009612CC" w:rsidRPr="005B30A9" w:rsidRDefault="009612CC" w:rsidP="00FD107B">
            <w:pPr>
              <w:pStyle w:val="SingleTxtG"/>
              <w:tabs>
                <w:tab w:val="clear" w:pos="1701"/>
                <w:tab w:val="clear" w:pos="2268"/>
                <w:tab w:val="clear" w:pos="2835"/>
              </w:tabs>
              <w:spacing w:before="40" w:after="40" w:line="220" w:lineRule="exact"/>
              <w:ind w:left="0" w:right="0"/>
              <w:jc w:val="left"/>
              <w:rPr>
                <w:sz w:val="18"/>
              </w:rPr>
            </w:pPr>
            <w:r w:rsidRPr="005B30A9">
              <w:rPr>
                <w:sz w:val="18"/>
              </w:rPr>
              <w:t xml:space="preserve">18 000 y 31 000 euros </w:t>
            </w:r>
            <w:r w:rsidR="007A4BD8">
              <w:rPr>
                <w:sz w:val="18"/>
              </w:rPr>
              <w:br/>
            </w:r>
            <w:r w:rsidRPr="005B30A9">
              <w:rPr>
                <w:sz w:val="18"/>
              </w:rPr>
              <w:t>(en 2023: 19 134 y 32 075 euros, respectivamente)</w:t>
            </w:r>
          </w:p>
        </w:tc>
        <w:tc>
          <w:tcPr>
            <w:tcW w:w="2424" w:type="dxa"/>
            <w:shd w:val="clear" w:color="auto" w:fill="auto"/>
            <w:vAlign w:val="bottom"/>
            <w:hideMark/>
          </w:tcPr>
          <w:p w14:paraId="6C27A7C7" w14:textId="283042C3"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Hasta 2021:</w:t>
            </w:r>
            <w:r w:rsidRPr="005B30A9">
              <w:rPr>
                <w:sz w:val="18"/>
              </w:rPr>
              <w:tab/>
              <w:t>35</w:t>
            </w:r>
          </w:p>
          <w:p w14:paraId="485C5F39" w14:textId="5E7E0988"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2022:</w:t>
            </w:r>
            <w:r w:rsidRPr="005B30A9">
              <w:rPr>
                <w:sz w:val="18"/>
              </w:rPr>
              <w:tab/>
              <w:t>32,50</w:t>
            </w:r>
          </w:p>
          <w:p w14:paraId="1ABDF722" w14:textId="24408651"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Desde 2023:</w:t>
            </w:r>
            <w:r w:rsidRPr="005B30A9">
              <w:rPr>
                <w:sz w:val="18"/>
              </w:rPr>
              <w:tab/>
              <w:t>30</w:t>
            </w:r>
          </w:p>
        </w:tc>
      </w:tr>
      <w:tr w:rsidR="00FD107B" w:rsidRPr="005B30A9" w14:paraId="7118850B" w14:textId="77777777" w:rsidTr="00FD107B">
        <w:trPr>
          <w:trHeight w:val="240"/>
        </w:trPr>
        <w:tc>
          <w:tcPr>
            <w:tcW w:w="6414" w:type="dxa"/>
            <w:shd w:val="clear" w:color="auto" w:fill="auto"/>
            <w:hideMark/>
          </w:tcPr>
          <w:p w14:paraId="1F8BBF0E" w14:textId="15089638" w:rsidR="009612CC" w:rsidRPr="005B30A9" w:rsidRDefault="009612CC" w:rsidP="00FD107B">
            <w:pPr>
              <w:pStyle w:val="SingleTxtG"/>
              <w:tabs>
                <w:tab w:val="clear" w:pos="1701"/>
                <w:tab w:val="clear" w:pos="2268"/>
                <w:tab w:val="clear" w:pos="2835"/>
              </w:tabs>
              <w:spacing w:before="40" w:after="40" w:line="220" w:lineRule="exact"/>
              <w:ind w:left="0" w:right="0"/>
              <w:jc w:val="left"/>
              <w:rPr>
                <w:sz w:val="18"/>
              </w:rPr>
            </w:pPr>
            <w:r w:rsidRPr="005B30A9">
              <w:rPr>
                <w:sz w:val="18"/>
              </w:rPr>
              <w:t xml:space="preserve">31 000 y 60 000 euros </w:t>
            </w:r>
            <w:r w:rsidR="007A4BD8">
              <w:rPr>
                <w:sz w:val="18"/>
              </w:rPr>
              <w:br/>
            </w:r>
            <w:r w:rsidRPr="005B30A9">
              <w:rPr>
                <w:sz w:val="18"/>
              </w:rPr>
              <w:t xml:space="preserve">(en 2023: 32 075 y 62 080 euros, respectivamente) </w:t>
            </w:r>
          </w:p>
        </w:tc>
        <w:tc>
          <w:tcPr>
            <w:tcW w:w="2424" w:type="dxa"/>
            <w:shd w:val="clear" w:color="auto" w:fill="auto"/>
            <w:vAlign w:val="bottom"/>
            <w:hideMark/>
          </w:tcPr>
          <w:p w14:paraId="4F2D4B82" w14:textId="5A6D9815"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Hasta 2022:</w:t>
            </w:r>
            <w:r w:rsidRPr="005B30A9">
              <w:rPr>
                <w:sz w:val="18"/>
              </w:rPr>
              <w:tab/>
              <w:t>42</w:t>
            </w:r>
          </w:p>
          <w:p w14:paraId="17B6A8C0" w14:textId="3970427C"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2023:</w:t>
            </w:r>
            <w:r w:rsidRPr="005B30A9">
              <w:rPr>
                <w:sz w:val="18"/>
              </w:rPr>
              <w:tab/>
              <w:t>41</w:t>
            </w:r>
          </w:p>
          <w:p w14:paraId="55747E27" w14:textId="22B35542"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Desde 2024:</w:t>
            </w:r>
            <w:r w:rsidRPr="005B30A9">
              <w:rPr>
                <w:sz w:val="18"/>
              </w:rPr>
              <w:tab/>
              <w:t>40</w:t>
            </w:r>
          </w:p>
        </w:tc>
      </w:tr>
      <w:tr w:rsidR="00FD107B" w:rsidRPr="005B30A9" w14:paraId="68EDA6EB" w14:textId="77777777" w:rsidTr="00FD107B">
        <w:trPr>
          <w:trHeight w:val="240"/>
        </w:trPr>
        <w:tc>
          <w:tcPr>
            <w:tcW w:w="6414" w:type="dxa"/>
            <w:shd w:val="clear" w:color="auto" w:fill="auto"/>
            <w:hideMark/>
          </w:tcPr>
          <w:p w14:paraId="54B4DFE5" w14:textId="05779539" w:rsidR="009612CC" w:rsidRPr="005B30A9" w:rsidRDefault="009612CC" w:rsidP="00FD107B">
            <w:pPr>
              <w:pStyle w:val="SingleTxtG"/>
              <w:tabs>
                <w:tab w:val="clear" w:pos="1701"/>
                <w:tab w:val="clear" w:pos="2268"/>
                <w:tab w:val="clear" w:pos="2835"/>
              </w:tabs>
              <w:spacing w:before="40" w:after="40" w:line="220" w:lineRule="exact"/>
              <w:ind w:left="0" w:right="0"/>
              <w:jc w:val="left"/>
              <w:rPr>
                <w:sz w:val="18"/>
              </w:rPr>
            </w:pPr>
            <w:r w:rsidRPr="005B30A9">
              <w:rPr>
                <w:sz w:val="18"/>
              </w:rPr>
              <w:t xml:space="preserve">60 000 y 90 000 euros </w:t>
            </w:r>
            <w:r w:rsidR="007A4BD8">
              <w:rPr>
                <w:sz w:val="18"/>
              </w:rPr>
              <w:br/>
            </w:r>
            <w:r w:rsidRPr="005B30A9">
              <w:rPr>
                <w:sz w:val="18"/>
              </w:rPr>
              <w:t>(en 2023: 62 080 y 93 120 euros, respectivamente)</w:t>
            </w:r>
          </w:p>
        </w:tc>
        <w:tc>
          <w:tcPr>
            <w:tcW w:w="2424" w:type="dxa"/>
            <w:shd w:val="clear" w:color="auto" w:fill="auto"/>
            <w:vAlign w:val="bottom"/>
            <w:hideMark/>
          </w:tcPr>
          <w:p w14:paraId="39FE396C" w14:textId="54DA8005"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48</w:t>
            </w:r>
          </w:p>
        </w:tc>
      </w:tr>
      <w:tr w:rsidR="00FD107B" w:rsidRPr="005B30A9" w14:paraId="31DCFB52" w14:textId="77777777" w:rsidTr="00FD107B">
        <w:trPr>
          <w:trHeight w:val="240"/>
        </w:trPr>
        <w:tc>
          <w:tcPr>
            <w:tcW w:w="6414" w:type="dxa"/>
            <w:shd w:val="clear" w:color="auto" w:fill="auto"/>
            <w:hideMark/>
          </w:tcPr>
          <w:p w14:paraId="0029788A" w14:textId="57A46BFF" w:rsidR="009612CC" w:rsidRPr="005B30A9" w:rsidRDefault="009612CC" w:rsidP="00FD107B">
            <w:pPr>
              <w:pStyle w:val="SingleTxtG"/>
              <w:tabs>
                <w:tab w:val="clear" w:pos="1701"/>
                <w:tab w:val="clear" w:pos="2268"/>
                <w:tab w:val="clear" w:pos="2835"/>
              </w:tabs>
              <w:spacing w:before="40" w:after="40" w:line="220" w:lineRule="exact"/>
              <w:ind w:left="0" w:right="0"/>
              <w:jc w:val="left"/>
              <w:rPr>
                <w:sz w:val="18"/>
              </w:rPr>
            </w:pPr>
            <w:r w:rsidRPr="005B30A9">
              <w:rPr>
                <w:sz w:val="18"/>
              </w:rPr>
              <w:t xml:space="preserve">Más de 90 000 euros </w:t>
            </w:r>
            <w:r w:rsidR="007A4BD8">
              <w:rPr>
                <w:sz w:val="18"/>
              </w:rPr>
              <w:br/>
            </w:r>
            <w:r w:rsidRPr="005B30A9">
              <w:rPr>
                <w:sz w:val="18"/>
              </w:rPr>
              <w:t>(en 2023: 93 120 euros)</w:t>
            </w:r>
          </w:p>
        </w:tc>
        <w:tc>
          <w:tcPr>
            <w:tcW w:w="2424" w:type="dxa"/>
            <w:shd w:val="clear" w:color="auto" w:fill="auto"/>
            <w:vAlign w:val="bottom"/>
            <w:hideMark/>
          </w:tcPr>
          <w:p w14:paraId="52020093" w14:textId="5D6E1EC0"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50</w:t>
            </w:r>
          </w:p>
        </w:tc>
      </w:tr>
      <w:tr w:rsidR="00FD107B" w:rsidRPr="005B30A9" w14:paraId="1E1C8362" w14:textId="77777777" w:rsidTr="00FD107B">
        <w:trPr>
          <w:trHeight w:val="240"/>
        </w:trPr>
        <w:tc>
          <w:tcPr>
            <w:tcW w:w="6414" w:type="dxa"/>
            <w:tcBorders>
              <w:bottom w:val="single" w:sz="12" w:space="0" w:color="auto"/>
            </w:tcBorders>
            <w:shd w:val="clear" w:color="auto" w:fill="auto"/>
          </w:tcPr>
          <w:p w14:paraId="05A23A94" w14:textId="59CFE9A1" w:rsidR="009612CC" w:rsidRPr="005B30A9" w:rsidRDefault="009612CC" w:rsidP="00FD107B">
            <w:pPr>
              <w:pStyle w:val="SingleTxtG"/>
              <w:tabs>
                <w:tab w:val="clear" w:pos="1701"/>
                <w:tab w:val="clear" w:pos="2268"/>
                <w:tab w:val="clear" w:pos="2835"/>
              </w:tabs>
              <w:spacing w:before="40" w:after="40" w:line="220" w:lineRule="exact"/>
              <w:ind w:left="0" w:right="0"/>
              <w:jc w:val="left"/>
              <w:rPr>
                <w:sz w:val="18"/>
              </w:rPr>
            </w:pPr>
            <w:r w:rsidRPr="005B30A9">
              <w:rPr>
                <w:sz w:val="18"/>
              </w:rPr>
              <w:t xml:space="preserve">Más de 1 000 000 de euros </w:t>
            </w:r>
            <w:r w:rsidR="007A4BD8">
              <w:rPr>
                <w:sz w:val="18"/>
              </w:rPr>
              <w:br/>
            </w:r>
            <w:r w:rsidRPr="005B30A9">
              <w:rPr>
                <w:sz w:val="18"/>
              </w:rPr>
              <w:t>(sin ajuste por inflación)</w:t>
            </w:r>
          </w:p>
        </w:tc>
        <w:tc>
          <w:tcPr>
            <w:tcW w:w="2424" w:type="dxa"/>
            <w:tcBorders>
              <w:bottom w:val="single" w:sz="12" w:space="0" w:color="auto"/>
            </w:tcBorders>
            <w:shd w:val="clear" w:color="auto" w:fill="auto"/>
            <w:vAlign w:val="bottom"/>
          </w:tcPr>
          <w:p w14:paraId="3BAE05AD" w14:textId="649E8AE8"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55</w:t>
            </w:r>
          </w:p>
        </w:tc>
      </w:tr>
    </w:tbl>
    <w:p w14:paraId="46E90FA8" w14:textId="77777777" w:rsidR="009612CC" w:rsidRPr="005B30A9" w:rsidRDefault="009612CC" w:rsidP="00D339D7">
      <w:pPr>
        <w:pStyle w:val="SingleTxtG"/>
        <w:spacing w:before="120"/>
        <w:ind w:firstLine="170"/>
        <w:jc w:val="left"/>
        <w:rPr>
          <w:sz w:val="18"/>
          <w:szCs w:val="18"/>
        </w:rPr>
      </w:pPr>
      <w:r w:rsidRPr="005B30A9">
        <w:rPr>
          <w:i/>
          <w:iCs/>
          <w:sz w:val="18"/>
          <w:szCs w:val="18"/>
        </w:rPr>
        <w:t>Fuente:</w:t>
      </w:r>
      <w:r w:rsidRPr="005B30A9">
        <w:rPr>
          <w:sz w:val="18"/>
          <w:szCs w:val="18"/>
        </w:rPr>
        <w:t xml:space="preserve"> BMF.</w:t>
      </w:r>
    </w:p>
    <w:p w14:paraId="760A7DB0" w14:textId="77777777" w:rsidR="009612CC" w:rsidRPr="005B30A9" w:rsidRDefault="009612CC" w:rsidP="00D339D7">
      <w:pPr>
        <w:pStyle w:val="Table1G"/>
      </w:pPr>
      <w:r w:rsidRPr="005B30A9">
        <w:lastRenderedPageBreak/>
        <w:t>Cuadro 12</w:t>
      </w:r>
    </w:p>
    <w:p w14:paraId="0B84CB17" w14:textId="3783C13D" w:rsidR="009612CC" w:rsidRPr="005B30A9" w:rsidRDefault="009612CC" w:rsidP="007A4BD8">
      <w:pPr>
        <w:pStyle w:val="SingleTxtG"/>
        <w:keepNext/>
        <w:keepLines/>
        <w:jc w:val="left"/>
        <w:rPr>
          <w:b/>
          <w:bCs/>
        </w:rPr>
      </w:pPr>
      <w:r w:rsidRPr="005B30A9">
        <w:rPr>
          <w:b/>
          <w:bCs/>
        </w:rPr>
        <w:t xml:space="preserve">Desglose del presupuesto público asignado a gastos sociales (2018-2022) </w:t>
      </w:r>
      <w:r w:rsidR="00D339D7" w:rsidRPr="005B30A9">
        <w:rPr>
          <w:b/>
          <w:bCs/>
        </w:rPr>
        <w:br/>
      </w:r>
      <w:r w:rsidRPr="005B30A9">
        <w:rPr>
          <w:b/>
          <w:bCs/>
        </w:rPr>
        <w:t>en millones de euros</w:t>
      </w:r>
      <w:r w:rsidRPr="005B30A9">
        <w:t xml:space="preserve"> </w:t>
      </w:r>
      <w:r w:rsidRPr="005B30A9">
        <w:rPr>
          <w:b/>
          <w:bCs/>
        </w:rPr>
        <w:t>y por categorías</w:t>
      </w:r>
      <w:r w:rsidRPr="005B30A9">
        <w:t xml:space="preserve"> </w:t>
      </w:r>
    </w:p>
    <w:tbl>
      <w:tblPr>
        <w:tblW w:w="8504" w:type="dxa"/>
        <w:tblInd w:w="1134" w:type="dxa"/>
        <w:tblBorders>
          <w:top w:val="single" w:sz="4" w:space="0" w:color="auto"/>
        </w:tblBorders>
        <w:tblLayout w:type="fixed"/>
        <w:tblCellMar>
          <w:left w:w="0" w:type="dxa"/>
          <w:right w:w="0" w:type="dxa"/>
        </w:tblCellMar>
        <w:tblLook w:val="0420" w:firstRow="1" w:lastRow="0" w:firstColumn="0" w:lastColumn="0" w:noHBand="0" w:noVBand="1"/>
      </w:tblPr>
      <w:tblGrid>
        <w:gridCol w:w="1224"/>
        <w:gridCol w:w="764"/>
        <w:gridCol w:w="1970"/>
        <w:gridCol w:w="909"/>
        <w:gridCol w:w="909"/>
        <w:gridCol w:w="909"/>
        <w:gridCol w:w="909"/>
        <w:gridCol w:w="910"/>
      </w:tblGrid>
      <w:tr w:rsidR="00D339D7" w:rsidRPr="005B30A9" w14:paraId="2ABB9219" w14:textId="77777777" w:rsidTr="007A4BD8">
        <w:trPr>
          <w:trHeight w:val="240"/>
          <w:tblHeader/>
        </w:trPr>
        <w:tc>
          <w:tcPr>
            <w:tcW w:w="1224" w:type="dxa"/>
            <w:tcBorders>
              <w:top w:val="single" w:sz="4" w:space="0" w:color="auto"/>
              <w:bottom w:val="single" w:sz="12" w:space="0" w:color="auto"/>
            </w:tcBorders>
            <w:shd w:val="clear" w:color="auto" w:fill="auto"/>
            <w:vAlign w:val="bottom"/>
            <w:hideMark/>
          </w:tcPr>
          <w:p w14:paraId="006FF877" w14:textId="77777777" w:rsidR="009612CC" w:rsidRPr="005B30A9" w:rsidRDefault="009612CC" w:rsidP="00D339D7">
            <w:pPr>
              <w:pStyle w:val="SingleTxtG"/>
              <w:tabs>
                <w:tab w:val="clear" w:pos="1701"/>
                <w:tab w:val="clear" w:pos="2268"/>
                <w:tab w:val="clear" w:pos="2835"/>
              </w:tabs>
              <w:spacing w:before="80" w:after="80" w:line="200" w:lineRule="exact"/>
              <w:ind w:left="0" w:right="0"/>
              <w:jc w:val="left"/>
              <w:rPr>
                <w:i/>
                <w:sz w:val="16"/>
              </w:rPr>
            </w:pPr>
            <w:r w:rsidRPr="005B30A9">
              <w:rPr>
                <w:i/>
                <w:iCs/>
                <w:sz w:val="16"/>
              </w:rPr>
              <w:t>Categoría examinada</w:t>
            </w:r>
          </w:p>
        </w:tc>
        <w:tc>
          <w:tcPr>
            <w:tcW w:w="764" w:type="dxa"/>
            <w:tcBorders>
              <w:top w:val="single" w:sz="4" w:space="0" w:color="auto"/>
              <w:bottom w:val="single" w:sz="12" w:space="0" w:color="auto"/>
            </w:tcBorders>
            <w:shd w:val="clear" w:color="auto" w:fill="auto"/>
            <w:vAlign w:val="bottom"/>
            <w:hideMark/>
          </w:tcPr>
          <w:p w14:paraId="629BAF2A" w14:textId="4F97222F" w:rsidR="009612CC" w:rsidRPr="005B30A9" w:rsidRDefault="009612CC" w:rsidP="007A4BD8">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 xml:space="preserve">Nivel </w:t>
            </w:r>
            <w:r w:rsidR="00D339D7" w:rsidRPr="005B30A9">
              <w:rPr>
                <w:i/>
                <w:iCs/>
                <w:sz w:val="16"/>
              </w:rPr>
              <w:br/>
            </w:r>
            <w:r w:rsidRPr="005B30A9">
              <w:rPr>
                <w:i/>
                <w:iCs/>
                <w:sz w:val="16"/>
              </w:rPr>
              <w:t>de la CFG</w:t>
            </w:r>
          </w:p>
        </w:tc>
        <w:tc>
          <w:tcPr>
            <w:tcW w:w="1970" w:type="dxa"/>
            <w:tcBorders>
              <w:top w:val="single" w:sz="4" w:space="0" w:color="auto"/>
              <w:bottom w:val="single" w:sz="12" w:space="0" w:color="auto"/>
            </w:tcBorders>
            <w:shd w:val="clear" w:color="auto" w:fill="auto"/>
            <w:noWrap/>
            <w:vAlign w:val="bottom"/>
            <w:hideMark/>
          </w:tcPr>
          <w:p w14:paraId="099BD878" w14:textId="77777777" w:rsidR="009612CC" w:rsidRPr="005B30A9" w:rsidRDefault="009612CC" w:rsidP="007A4BD8">
            <w:pPr>
              <w:pStyle w:val="SingleTxtG"/>
              <w:tabs>
                <w:tab w:val="clear" w:pos="1701"/>
                <w:tab w:val="clear" w:pos="2268"/>
                <w:tab w:val="clear" w:pos="2835"/>
              </w:tabs>
              <w:spacing w:before="80" w:after="80" w:line="200" w:lineRule="exact"/>
              <w:ind w:left="85" w:right="0"/>
              <w:jc w:val="left"/>
              <w:rPr>
                <w:i/>
                <w:sz w:val="16"/>
              </w:rPr>
            </w:pPr>
            <w:r w:rsidRPr="005B30A9">
              <w:rPr>
                <w:i/>
                <w:iCs/>
                <w:sz w:val="16"/>
              </w:rPr>
              <w:t>Término en la CFG</w:t>
            </w:r>
          </w:p>
        </w:tc>
        <w:tc>
          <w:tcPr>
            <w:tcW w:w="909" w:type="dxa"/>
            <w:tcBorders>
              <w:top w:val="single" w:sz="4" w:space="0" w:color="auto"/>
              <w:bottom w:val="single" w:sz="12" w:space="0" w:color="auto"/>
            </w:tcBorders>
            <w:shd w:val="clear" w:color="auto" w:fill="auto"/>
            <w:noWrap/>
            <w:vAlign w:val="bottom"/>
            <w:hideMark/>
          </w:tcPr>
          <w:p w14:paraId="3ACC3C5A" w14:textId="77777777"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2018</w:t>
            </w:r>
          </w:p>
        </w:tc>
        <w:tc>
          <w:tcPr>
            <w:tcW w:w="909" w:type="dxa"/>
            <w:tcBorders>
              <w:top w:val="single" w:sz="4" w:space="0" w:color="auto"/>
              <w:bottom w:val="single" w:sz="12" w:space="0" w:color="auto"/>
            </w:tcBorders>
            <w:shd w:val="clear" w:color="auto" w:fill="auto"/>
            <w:noWrap/>
            <w:vAlign w:val="bottom"/>
            <w:hideMark/>
          </w:tcPr>
          <w:p w14:paraId="48340A7B" w14:textId="77777777"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2019</w:t>
            </w:r>
          </w:p>
        </w:tc>
        <w:tc>
          <w:tcPr>
            <w:tcW w:w="909" w:type="dxa"/>
            <w:tcBorders>
              <w:top w:val="single" w:sz="4" w:space="0" w:color="auto"/>
              <w:bottom w:val="single" w:sz="12" w:space="0" w:color="auto"/>
            </w:tcBorders>
            <w:shd w:val="clear" w:color="auto" w:fill="auto"/>
            <w:noWrap/>
            <w:vAlign w:val="bottom"/>
            <w:hideMark/>
          </w:tcPr>
          <w:p w14:paraId="0F82FCF5" w14:textId="77777777"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2020</w:t>
            </w:r>
          </w:p>
        </w:tc>
        <w:tc>
          <w:tcPr>
            <w:tcW w:w="909" w:type="dxa"/>
            <w:tcBorders>
              <w:top w:val="single" w:sz="4" w:space="0" w:color="auto"/>
              <w:bottom w:val="single" w:sz="12" w:space="0" w:color="auto"/>
            </w:tcBorders>
            <w:shd w:val="clear" w:color="auto" w:fill="auto"/>
            <w:noWrap/>
            <w:vAlign w:val="bottom"/>
            <w:hideMark/>
          </w:tcPr>
          <w:p w14:paraId="2F2F088A" w14:textId="77777777"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2021</w:t>
            </w:r>
          </w:p>
        </w:tc>
        <w:tc>
          <w:tcPr>
            <w:tcW w:w="910" w:type="dxa"/>
            <w:tcBorders>
              <w:top w:val="single" w:sz="4" w:space="0" w:color="auto"/>
              <w:bottom w:val="single" w:sz="12" w:space="0" w:color="auto"/>
            </w:tcBorders>
            <w:shd w:val="clear" w:color="auto" w:fill="auto"/>
            <w:noWrap/>
            <w:vAlign w:val="bottom"/>
            <w:hideMark/>
          </w:tcPr>
          <w:p w14:paraId="3A675F30" w14:textId="77777777"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2022</w:t>
            </w:r>
          </w:p>
        </w:tc>
      </w:tr>
      <w:tr w:rsidR="00D339D7" w:rsidRPr="005B30A9" w14:paraId="3B856054" w14:textId="77777777" w:rsidTr="007A4BD8">
        <w:trPr>
          <w:trHeight w:val="240"/>
        </w:trPr>
        <w:tc>
          <w:tcPr>
            <w:tcW w:w="1224" w:type="dxa"/>
            <w:tcBorders>
              <w:top w:val="single" w:sz="12" w:space="0" w:color="auto"/>
            </w:tcBorders>
            <w:shd w:val="clear" w:color="auto" w:fill="auto"/>
            <w:noWrap/>
            <w:hideMark/>
          </w:tcPr>
          <w:p w14:paraId="78E0A4DE"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sz w:val="18"/>
              </w:rPr>
              <w:t>Educación</w:t>
            </w:r>
          </w:p>
        </w:tc>
        <w:tc>
          <w:tcPr>
            <w:tcW w:w="764" w:type="dxa"/>
            <w:tcBorders>
              <w:top w:val="single" w:sz="12" w:space="0" w:color="auto"/>
            </w:tcBorders>
            <w:shd w:val="clear" w:color="auto" w:fill="auto"/>
            <w:noWrap/>
            <w:vAlign w:val="bottom"/>
            <w:hideMark/>
          </w:tcPr>
          <w:p w14:paraId="5D21C60B" w14:textId="77777777" w:rsidR="009612CC" w:rsidRPr="005B30A9" w:rsidRDefault="009612CC" w:rsidP="007A4BD8">
            <w:pPr>
              <w:pStyle w:val="SingleTxtG"/>
              <w:tabs>
                <w:tab w:val="clear" w:pos="1701"/>
                <w:tab w:val="clear" w:pos="2268"/>
                <w:tab w:val="clear" w:pos="2835"/>
              </w:tabs>
              <w:spacing w:before="40" w:after="40" w:line="220" w:lineRule="exact"/>
              <w:ind w:left="0" w:right="28"/>
              <w:jc w:val="right"/>
              <w:rPr>
                <w:bCs/>
                <w:sz w:val="18"/>
              </w:rPr>
            </w:pPr>
            <w:r w:rsidRPr="005B30A9">
              <w:rPr>
                <w:sz w:val="18"/>
              </w:rPr>
              <w:t>09.</w:t>
            </w:r>
          </w:p>
        </w:tc>
        <w:tc>
          <w:tcPr>
            <w:tcW w:w="1970" w:type="dxa"/>
            <w:tcBorders>
              <w:top w:val="single" w:sz="12" w:space="0" w:color="auto"/>
            </w:tcBorders>
            <w:shd w:val="clear" w:color="auto" w:fill="auto"/>
            <w:vAlign w:val="bottom"/>
            <w:hideMark/>
          </w:tcPr>
          <w:p w14:paraId="73B77553" w14:textId="77777777" w:rsidR="009612CC" w:rsidRPr="005B30A9" w:rsidRDefault="009612CC" w:rsidP="007A4BD8">
            <w:pPr>
              <w:pStyle w:val="SingleTxtG"/>
              <w:tabs>
                <w:tab w:val="clear" w:pos="1701"/>
                <w:tab w:val="clear" w:pos="2268"/>
                <w:tab w:val="clear" w:pos="2835"/>
              </w:tabs>
              <w:spacing w:before="40" w:after="40" w:line="220" w:lineRule="exact"/>
              <w:ind w:left="85" w:right="0"/>
              <w:jc w:val="left"/>
              <w:rPr>
                <w:bCs/>
                <w:sz w:val="18"/>
              </w:rPr>
            </w:pPr>
            <w:r w:rsidRPr="005B30A9">
              <w:rPr>
                <w:sz w:val="18"/>
              </w:rPr>
              <w:t>Educación</w:t>
            </w:r>
          </w:p>
        </w:tc>
        <w:tc>
          <w:tcPr>
            <w:tcW w:w="909" w:type="dxa"/>
            <w:tcBorders>
              <w:top w:val="single" w:sz="12" w:space="0" w:color="auto"/>
            </w:tcBorders>
            <w:shd w:val="clear" w:color="auto" w:fill="auto"/>
            <w:noWrap/>
            <w:vAlign w:val="bottom"/>
            <w:hideMark/>
          </w:tcPr>
          <w:p w14:paraId="601CEF7B" w14:textId="69BBBAFC"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18</w:t>
            </w:r>
            <w:r w:rsidR="00D339D7" w:rsidRPr="005B30A9">
              <w:rPr>
                <w:sz w:val="18"/>
              </w:rPr>
              <w:t xml:space="preserve"> </w:t>
            </w:r>
            <w:r w:rsidRPr="005B30A9">
              <w:rPr>
                <w:sz w:val="18"/>
              </w:rPr>
              <w:t>410</w:t>
            </w:r>
          </w:p>
        </w:tc>
        <w:tc>
          <w:tcPr>
            <w:tcW w:w="909" w:type="dxa"/>
            <w:tcBorders>
              <w:top w:val="single" w:sz="12" w:space="0" w:color="auto"/>
            </w:tcBorders>
            <w:shd w:val="clear" w:color="auto" w:fill="auto"/>
            <w:noWrap/>
            <w:vAlign w:val="bottom"/>
            <w:hideMark/>
          </w:tcPr>
          <w:p w14:paraId="511C251D" w14:textId="67A83F6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19</w:t>
            </w:r>
            <w:r w:rsidR="00D339D7" w:rsidRPr="005B30A9">
              <w:rPr>
                <w:sz w:val="18"/>
              </w:rPr>
              <w:t xml:space="preserve"> </w:t>
            </w:r>
            <w:r w:rsidRPr="005B30A9">
              <w:rPr>
                <w:sz w:val="18"/>
              </w:rPr>
              <w:t>085</w:t>
            </w:r>
          </w:p>
        </w:tc>
        <w:tc>
          <w:tcPr>
            <w:tcW w:w="909" w:type="dxa"/>
            <w:tcBorders>
              <w:top w:val="single" w:sz="12" w:space="0" w:color="auto"/>
            </w:tcBorders>
            <w:shd w:val="clear" w:color="auto" w:fill="auto"/>
            <w:noWrap/>
            <w:vAlign w:val="bottom"/>
            <w:hideMark/>
          </w:tcPr>
          <w:p w14:paraId="3FC8A4CC" w14:textId="4658FD6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19</w:t>
            </w:r>
            <w:r w:rsidR="00D339D7" w:rsidRPr="005B30A9">
              <w:rPr>
                <w:sz w:val="18"/>
              </w:rPr>
              <w:t xml:space="preserve"> </w:t>
            </w:r>
            <w:r w:rsidRPr="005B30A9">
              <w:rPr>
                <w:sz w:val="18"/>
              </w:rPr>
              <w:t>357</w:t>
            </w:r>
          </w:p>
        </w:tc>
        <w:tc>
          <w:tcPr>
            <w:tcW w:w="909" w:type="dxa"/>
            <w:tcBorders>
              <w:top w:val="single" w:sz="12" w:space="0" w:color="auto"/>
            </w:tcBorders>
            <w:shd w:val="clear" w:color="auto" w:fill="auto"/>
            <w:noWrap/>
            <w:vAlign w:val="bottom"/>
            <w:hideMark/>
          </w:tcPr>
          <w:p w14:paraId="0F670918" w14:textId="567F3ACE"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20</w:t>
            </w:r>
            <w:r w:rsidR="00D339D7" w:rsidRPr="005B30A9">
              <w:rPr>
                <w:sz w:val="18"/>
              </w:rPr>
              <w:t xml:space="preserve"> </w:t>
            </w:r>
            <w:r w:rsidRPr="005B30A9">
              <w:rPr>
                <w:sz w:val="18"/>
              </w:rPr>
              <w:t>056</w:t>
            </w:r>
          </w:p>
        </w:tc>
        <w:tc>
          <w:tcPr>
            <w:tcW w:w="910" w:type="dxa"/>
            <w:tcBorders>
              <w:top w:val="single" w:sz="12" w:space="0" w:color="auto"/>
            </w:tcBorders>
            <w:shd w:val="clear" w:color="auto" w:fill="auto"/>
            <w:noWrap/>
            <w:vAlign w:val="bottom"/>
            <w:hideMark/>
          </w:tcPr>
          <w:p w14:paraId="7ED48F2B" w14:textId="1833FC50"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21</w:t>
            </w:r>
            <w:r w:rsidR="00D339D7" w:rsidRPr="005B30A9">
              <w:rPr>
                <w:sz w:val="18"/>
              </w:rPr>
              <w:t xml:space="preserve"> </w:t>
            </w:r>
            <w:r w:rsidRPr="005B30A9">
              <w:rPr>
                <w:sz w:val="18"/>
              </w:rPr>
              <w:t>281</w:t>
            </w:r>
          </w:p>
        </w:tc>
      </w:tr>
      <w:tr w:rsidR="00D339D7" w:rsidRPr="005B30A9" w14:paraId="1147D0FB" w14:textId="77777777" w:rsidTr="007A4BD8">
        <w:trPr>
          <w:trHeight w:val="240"/>
        </w:trPr>
        <w:tc>
          <w:tcPr>
            <w:tcW w:w="1224" w:type="dxa"/>
            <w:shd w:val="clear" w:color="auto" w:fill="auto"/>
            <w:hideMark/>
          </w:tcPr>
          <w:p w14:paraId="06CD4C2A"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sz w:val="18"/>
              </w:rPr>
              <w:t>Sanidad y alimentación</w:t>
            </w:r>
          </w:p>
        </w:tc>
        <w:tc>
          <w:tcPr>
            <w:tcW w:w="764" w:type="dxa"/>
            <w:shd w:val="clear" w:color="auto" w:fill="auto"/>
            <w:noWrap/>
            <w:vAlign w:val="bottom"/>
            <w:hideMark/>
          </w:tcPr>
          <w:p w14:paraId="0CEF8BFA" w14:textId="77777777" w:rsidR="009612CC" w:rsidRPr="005B30A9" w:rsidRDefault="009612CC" w:rsidP="007A4BD8">
            <w:pPr>
              <w:pStyle w:val="SingleTxtG"/>
              <w:tabs>
                <w:tab w:val="clear" w:pos="1701"/>
                <w:tab w:val="clear" w:pos="2268"/>
                <w:tab w:val="clear" w:pos="2835"/>
              </w:tabs>
              <w:spacing w:before="40" w:after="40" w:line="220" w:lineRule="exact"/>
              <w:ind w:left="0" w:right="28"/>
              <w:jc w:val="right"/>
              <w:rPr>
                <w:bCs/>
                <w:sz w:val="18"/>
              </w:rPr>
            </w:pPr>
            <w:r w:rsidRPr="005B30A9">
              <w:rPr>
                <w:sz w:val="18"/>
              </w:rPr>
              <w:t>7.</w:t>
            </w:r>
          </w:p>
        </w:tc>
        <w:tc>
          <w:tcPr>
            <w:tcW w:w="1970" w:type="dxa"/>
            <w:shd w:val="clear" w:color="auto" w:fill="auto"/>
            <w:vAlign w:val="bottom"/>
            <w:hideMark/>
          </w:tcPr>
          <w:p w14:paraId="5CD9A972" w14:textId="77777777" w:rsidR="009612CC" w:rsidRPr="005B30A9" w:rsidRDefault="009612CC" w:rsidP="007A4BD8">
            <w:pPr>
              <w:pStyle w:val="SingleTxtG"/>
              <w:tabs>
                <w:tab w:val="clear" w:pos="1701"/>
                <w:tab w:val="clear" w:pos="2268"/>
                <w:tab w:val="clear" w:pos="2835"/>
              </w:tabs>
              <w:spacing w:before="40" w:after="40" w:line="220" w:lineRule="exact"/>
              <w:ind w:left="85" w:right="0"/>
              <w:jc w:val="left"/>
              <w:rPr>
                <w:bCs/>
                <w:sz w:val="18"/>
              </w:rPr>
            </w:pPr>
            <w:r w:rsidRPr="005B30A9">
              <w:rPr>
                <w:sz w:val="18"/>
              </w:rPr>
              <w:t>Sanidad</w:t>
            </w:r>
          </w:p>
        </w:tc>
        <w:tc>
          <w:tcPr>
            <w:tcW w:w="909" w:type="dxa"/>
            <w:shd w:val="clear" w:color="auto" w:fill="auto"/>
            <w:noWrap/>
            <w:vAlign w:val="bottom"/>
            <w:hideMark/>
          </w:tcPr>
          <w:p w14:paraId="25465A06" w14:textId="029211C2"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31</w:t>
            </w:r>
            <w:r w:rsidR="00D339D7" w:rsidRPr="005B30A9">
              <w:rPr>
                <w:sz w:val="18"/>
              </w:rPr>
              <w:t xml:space="preserve"> </w:t>
            </w:r>
            <w:r w:rsidRPr="005B30A9">
              <w:rPr>
                <w:sz w:val="18"/>
              </w:rPr>
              <w:t>770</w:t>
            </w:r>
          </w:p>
        </w:tc>
        <w:tc>
          <w:tcPr>
            <w:tcW w:w="909" w:type="dxa"/>
            <w:shd w:val="clear" w:color="auto" w:fill="auto"/>
            <w:noWrap/>
            <w:vAlign w:val="bottom"/>
            <w:hideMark/>
          </w:tcPr>
          <w:p w14:paraId="16F86954" w14:textId="3670D0F9"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32</w:t>
            </w:r>
            <w:r w:rsidR="00D339D7" w:rsidRPr="005B30A9">
              <w:rPr>
                <w:sz w:val="18"/>
              </w:rPr>
              <w:t xml:space="preserve"> </w:t>
            </w:r>
            <w:r w:rsidRPr="005B30A9">
              <w:rPr>
                <w:sz w:val="18"/>
              </w:rPr>
              <w:t>971</w:t>
            </w:r>
          </w:p>
        </w:tc>
        <w:tc>
          <w:tcPr>
            <w:tcW w:w="909" w:type="dxa"/>
            <w:shd w:val="clear" w:color="auto" w:fill="auto"/>
            <w:noWrap/>
            <w:vAlign w:val="bottom"/>
            <w:hideMark/>
          </w:tcPr>
          <w:p w14:paraId="52ED8A7D" w14:textId="238ECB5D"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35</w:t>
            </w:r>
            <w:r w:rsidR="00D339D7" w:rsidRPr="005B30A9">
              <w:rPr>
                <w:sz w:val="18"/>
              </w:rPr>
              <w:t xml:space="preserve"> </w:t>
            </w:r>
            <w:r w:rsidRPr="005B30A9">
              <w:rPr>
                <w:sz w:val="18"/>
              </w:rPr>
              <w:t>133</w:t>
            </w:r>
          </w:p>
        </w:tc>
        <w:tc>
          <w:tcPr>
            <w:tcW w:w="909" w:type="dxa"/>
            <w:shd w:val="clear" w:color="auto" w:fill="auto"/>
            <w:noWrap/>
            <w:vAlign w:val="bottom"/>
            <w:hideMark/>
          </w:tcPr>
          <w:p w14:paraId="7DE6C87B" w14:textId="3975D683"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40</w:t>
            </w:r>
            <w:r w:rsidR="00D339D7" w:rsidRPr="005B30A9">
              <w:rPr>
                <w:sz w:val="18"/>
              </w:rPr>
              <w:t xml:space="preserve"> </w:t>
            </w:r>
            <w:r w:rsidRPr="005B30A9">
              <w:rPr>
                <w:sz w:val="18"/>
              </w:rPr>
              <w:t>840</w:t>
            </w:r>
          </w:p>
        </w:tc>
        <w:tc>
          <w:tcPr>
            <w:tcW w:w="910" w:type="dxa"/>
            <w:shd w:val="clear" w:color="auto" w:fill="auto"/>
            <w:noWrap/>
            <w:vAlign w:val="bottom"/>
            <w:hideMark/>
          </w:tcPr>
          <w:p w14:paraId="19A6062E" w14:textId="10165278"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41</w:t>
            </w:r>
            <w:r w:rsidR="00D339D7" w:rsidRPr="005B30A9">
              <w:rPr>
                <w:sz w:val="18"/>
              </w:rPr>
              <w:t xml:space="preserve"> </w:t>
            </w:r>
            <w:r w:rsidRPr="005B30A9">
              <w:rPr>
                <w:sz w:val="18"/>
              </w:rPr>
              <w:t>816</w:t>
            </w:r>
          </w:p>
        </w:tc>
      </w:tr>
      <w:tr w:rsidR="00D339D7" w:rsidRPr="005B30A9" w14:paraId="3F899EA6" w14:textId="77777777" w:rsidTr="007A4BD8">
        <w:trPr>
          <w:trHeight w:val="240"/>
        </w:trPr>
        <w:tc>
          <w:tcPr>
            <w:tcW w:w="1224" w:type="dxa"/>
            <w:shd w:val="clear" w:color="auto" w:fill="auto"/>
            <w:noWrap/>
            <w:hideMark/>
          </w:tcPr>
          <w:p w14:paraId="0B28DE7D"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sz w:val="18"/>
              </w:rPr>
              <w:t>Seguridad social</w:t>
            </w:r>
          </w:p>
        </w:tc>
        <w:tc>
          <w:tcPr>
            <w:tcW w:w="764" w:type="dxa"/>
            <w:shd w:val="clear" w:color="auto" w:fill="auto"/>
            <w:noWrap/>
            <w:vAlign w:val="bottom"/>
            <w:hideMark/>
          </w:tcPr>
          <w:p w14:paraId="39EC28D1" w14:textId="77777777" w:rsidR="009612CC" w:rsidRPr="005B30A9" w:rsidRDefault="009612CC" w:rsidP="007A4BD8">
            <w:pPr>
              <w:pStyle w:val="SingleTxtG"/>
              <w:tabs>
                <w:tab w:val="clear" w:pos="1701"/>
                <w:tab w:val="clear" w:pos="2268"/>
                <w:tab w:val="clear" w:pos="2835"/>
              </w:tabs>
              <w:spacing w:before="40" w:after="40" w:line="220" w:lineRule="exact"/>
              <w:ind w:left="0" w:right="28"/>
              <w:jc w:val="right"/>
              <w:rPr>
                <w:bCs/>
                <w:sz w:val="18"/>
              </w:rPr>
            </w:pPr>
            <w:r w:rsidRPr="005B30A9">
              <w:rPr>
                <w:sz w:val="18"/>
              </w:rPr>
              <w:t>10.</w:t>
            </w:r>
          </w:p>
        </w:tc>
        <w:tc>
          <w:tcPr>
            <w:tcW w:w="1970" w:type="dxa"/>
            <w:shd w:val="clear" w:color="auto" w:fill="auto"/>
            <w:noWrap/>
            <w:vAlign w:val="bottom"/>
            <w:hideMark/>
          </w:tcPr>
          <w:p w14:paraId="33E6B7BD" w14:textId="77777777" w:rsidR="009612CC" w:rsidRPr="005B30A9" w:rsidRDefault="009612CC" w:rsidP="007A4BD8">
            <w:pPr>
              <w:pStyle w:val="SingleTxtG"/>
              <w:tabs>
                <w:tab w:val="clear" w:pos="1701"/>
                <w:tab w:val="clear" w:pos="2268"/>
                <w:tab w:val="clear" w:pos="2835"/>
              </w:tabs>
              <w:spacing w:before="40" w:after="40" w:line="220" w:lineRule="exact"/>
              <w:ind w:left="85" w:right="0"/>
              <w:jc w:val="left"/>
              <w:rPr>
                <w:bCs/>
                <w:sz w:val="18"/>
              </w:rPr>
            </w:pPr>
            <w:r w:rsidRPr="005B30A9">
              <w:rPr>
                <w:sz w:val="18"/>
              </w:rPr>
              <w:t>Protección social</w:t>
            </w:r>
          </w:p>
        </w:tc>
        <w:tc>
          <w:tcPr>
            <w:tcW w:w="909" w:type="dxa"/>
            <w:shd w:val="clear" w:color="auto" w:fill="auto"/>
            <w:noWrap/>
            <w:vAlign w:val="bottom"/>
            <w:hideMark/>
          </w:tcPr>
          <w:p w14:paraId="35239106" w14:textId="507B53F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77</w:t>
            </w:r>
            <w:r w:rsidR="00D339D7" w:rsidRPr="005B30A9">
              <w:rPr>
                <w:sz w:val="18"/>
              </w:rPr>
              <w:t xml:space="preserve"> </w:t>
            </w:r>
            <w:r w:rsidRPr="005B30A9">
              <w:rPr>
                <w:sz w:val="18"/>
              </w:rPr>
              <w:t>713</w:t>
            </w:r>
          </w:p>
        </w:tc>
        <w:tc>
          <w:tcPr>
            <w:tcW w:w="909" w:type="dxa"/>
            <w:shd w:val="clear" w:color="auto" w:fill="auto"/>
            <w:noWrap/>
            <w:vAlign w:val="bottom"/>
            <w:hideMark/>
          </w:tcPr>
          <w:p w14:paraId="307F51F9" w14:textId="0D73E35A"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80</w:t>
            </w:r>
            <w:r w:rsidR="00D339D7" w:rsidRPr="005B30A9">
              <w:rPr>
                <w:sz w:val="18"/>
              </w:rPr>
              <w:t xml:space="preserve"> </w:t>
            </w:r>
            <w:r w:rsidRPr="005B30A9">
              <w:rPr>
                <w:sz w:val="18"/>
              </w:rPr>
              <w:t>117</w:t>
            </w:r>
          </w:p>
        </w:tc>
        <w:tc>
          <w:tcPr>
            <w:tcW w:w="909" w:type="dxa"/>
            <w:shd w:val="clear" w:color="auto" w:fill="auto"/>
            <w:noWrap/>
            <w:vAlign w:val="bottom"/>
            <w:hideMark/>
          </w:tcPr>
          <w:p w14:paraId="1F78792D" w14:textId="536A87B9"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86</w:t>
            </w:r>
            <w:r w:rsidR="00D339D7" w:rsidRPr="005B30A9">
              <w:rPr>
                <w:sz w:val="18"/>
              </w:rPr>
              <w:t xml:space="preserve"> </w:t>
            </w:r>
            <w:r w:rsidRPr="005B30A9">
              <w:rPr>
                <w:sz w:val="18"/>
              </w:rPr>
              <w:t>730</w:t>
            </w:r>
          </w:p>
        </w:tc>
        <w:tc>
          <w:tcPr>
            <w:tcW w:w="909" w:type="dxa"/>
            <w:shd w:val="clear" w:color="auto" w:fill="auto"/>
            <w:noWrap/>
            <w:vAlign w:val="bottom"/>
            <w:hideMark/>
          </w:tcPr>
          <w:p w14:paraId="6BCD8445" w14:textId="5D5733BC"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89</w:t>
            </w:r>
            <w:r w:rsidR="00D339D7" w:rsidRPr="005B30A9">
              <w:rPr>
                <w:sz w:val="18"/>
              </w:rPr>
              <w:t xml:space="preserve"> </w:t>
            </w:r>
            <w:r w:rsidRPr="005B30A9">
              <w:rPr>
                <w:sz w:val="18"/>
              </w:rPr>
              <w:t>000</w:t>
            </w:r>
          </w:p>
        </w:tc>
        <w:tc>
          <w:tcPr>
            <w:tcW w:w="910" w:type="dxa"/>
            <w:shd w:val="clear" w:color="auto" w:fill="auto"/>
            <w:noWrap/>
            <w:vAlign w:val="bottom"/>
            <w:hideMark/>
          </w:tcPr>
          <w:p w14:paraId="46582B80" w14:textId="49962B62"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92</w:t>
            </w:r>
            <w:r w:rsidR="00D339D7" w:rsidRPr="005B30A9">
              <w:rPr>
                <w:sz w:val="18"/>
              </w:rPr>
              <w:t xml:space="preserve"> </w:t>
            </w:r>
            <w:r w:rsidRPr="005B30A9">
              <w:rPr>
                <w:sz w:val="18"/>
              </w:rPr>
              <w:t>171</w:t>
            </w:r>
          </w:p>
        </w:tc>
      </w:tr>
      <w:tr w:rsidR="00D339D7" w:rsidRPr="005B30A9" w14:paraId="41150B02" w14:textId="77777777" w:rsidTr="007A4BD8">
        <w:trPr>
          <w:trHeight w:val="240"/>
        </w:trPr>
        <w:tc>
          <w:tcPr>
            <w:tcW w:w="1224" w:type="dxa"/>
            <w:shd w:val="clear" w:color="auto" w:fill="auto"/>
            <w:noWrap/>
            <w:hideMark/>
          </w:tcPr>
          <w:p w14:paraId="1D981548"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sz w:val="18"/>
              </w:rPr>
              <w:t>Empleo</w:t>
            </w:r>
          </w:p>
        </w:tc>
        <w:tc>
          <w:tcPr>
            <w:tcW w:w="764" w:type="dxa"/>
            <w:shd w:val="clear" w:color="auto" w:fill="auto"/>
            <w:noWrap/>
            <w:vAlign w:val="bottom"/>
            <w:hideMark/>
          </w:tcPr>
          <w:p w14:paraId="6E752FDD" w14:textId="77777777" w:rsidR="009612CC" w:rsidRPr="005B30A9" w:rsidRDefault="009612CC" w:rsidP="007A4BD8">
            <w:pPr>
              <w:pStyle w:val="SingleTxtG"/>
              <w:tabs>
                <w:tab w:val="clear" w:pos="1701"/>
                <w:tab w:val="clear" w:pos="2268"/>
                <w:tab w:val="clear" w:pos="2835"/>
              </w:tabs>
              <w:spacing w:before="40" w:after="40" w:line="220" w:lineRule="exact"/>
              <w:ind w:left="0" w:right="28"/>
              <w:jc w:val="right"/>
              <w:rPr>
                <w:bCs/>
                <w:sz w:val="18"/>
              </w:rPr>
            </w:pPr>
            <w:r w:rsidRPr="005B30A9">
              <w:rPr>
                <w:sz w:val="18"/>
              </w:rPr>
              <w:t>10,5</w:t>
            </w:r>
          </w:p>
        </w:tc>
        <w:tc>
          <w:tcPr>
            <w:tcW w:w="1970" w:type="dxa"/>
            <w:shd w:val="clear" w:color="auto" w:fill="auto"/>
            <w:vAlign w:val="bottom"/>
            <w:hideMark/>
          </w:tcPr>
          <w:p w14:paraId="20BA20C8" w14:textId="77777777" w:rsidR="009612CC" w:rsidRPr="005B30A9" w:rsidRDefault="009612CC" w:rsidP="007A4BD8">
            <w:pPr>
              <w:pStyle w:val="SingleTxtG"/>
              <w:tabs>
                <w:tab w:val="clear" w:pos="1701"/>
                <w:tab w:val="clear" w:pos="2268"/>
                <w:tab w:val="clear" w:pos="2835"/>
              </w:tabs>
              <w:spacing w:before="40" w:after="40" w:line="220" w:lineRule="exact"/>
              <w:ind w:left="85" w:right="0"/>
              <w:jc w:val="left"/>
              <w:rPr>
                <w:bCs/>
                <w:sz w:val="18"/>
              </w:rPr>
            </w:pPr>
            <w:r w:rsidRPr="005B30A9">
              <w:rPr>
                <w:sz w:val="18"/>
              </w:rPr>
              <w:t>incluido el desempleo</w:t>
            </w:r>
          </w:p>
        </w:tc>
        <w:tc>
          <w:tcPr>
            <w:tcW w:w="909" w:type="dxa"/>
            <w:shd w:val="clear" w:color="auto" w:fill="auto"/>
            <w:noWrap/>
            <w:vAlign w:val="bottom"/>
            <w:hideMark/>
          </w:tcPr>
          <w:p w14:paraId="1F8856ED" w14:textId="4482C411"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w:t>
            </w:r>
            <w:r w:rsidR="00D339D7" w:rsidRPr="005B30A9">
              <w:rPr>
                <w:sz w:val="18"/>
              </w:rPr>
              <w:t xml:space="preserve"> </w:t>
            </w:r>
            <w:r w:rsidRPr="005B30A9">
              <w:rPr>
                <w:sz w:val="18"/>
              </w:rPr>
              <w:t>693</w:t>
            </w:r>
          </w:p>
        </w:tc>
        <w:tc>
          <w:tcPr>
            <w:tcW w:w="909" w:type="dxa"/>
            <w:shd w:val="clear" w:color="auto" w:fill="auto"/>
            <w:noWrap/>
            <w:vAlign w:val="bottom"/>
            <w:hideMark/>
          </w:tcPr>
          <w:p w14:paraId="4C7B7366" w14:textId="4ADB951B"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w:t>
            </w:r>
            <w:r w:rsidR="00D339D7" w:rsidRPr="005B30A9">
              <w:rPr>
                <w:sz w:val="18"/>
              </w:rPr>
              <w:t xml:space="preserve"> </w:t>
            </w:r>
            <w:r w:rsidRPr="005B30A9">
              <w:rPr>
                <w:sz w:val="18"/>
              </w:rPr>
              <w:t>731</w:t>
            </w:r>
          </w:p>
        </w:tc>
        <w:tc>
          <w:tcPr>
            <w:tcW w:w="909" w:type="dxa"/>
            <w:shd w:val="clear" w:color="auto" w:fill="auto"/>
            <w:noWrap/>
            <w:vAlign w:val="bottom"/>
            <w:hideMark/>
          </w:tcPr>
          <w:p w14:paraId="3706FDD3" w14:textId="0292CA41"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7</w:t>
            </w:r>
            <w:r w:rsidR="00D339D7" w:rsidRPr="005B30A9">
              <w:rPr>
                <w:sz w:val="18"/>
              </w:rPr>
              <w:t xml:space="preserve"> </w:t>
            </w:r>
            <w:r w:rsidRPr="005B30A9">
              <w:rPr>
                <w:sz w:val="18"/>
              </w:rPr>
              <w:t>230</w:t>
            </w:r>
          </w:p>
        </w:tc>
        <w:tc>
          <w:tcPr>
            <w:tcW w:w="909" w:type="dxa"/>
            <w:shd w:val="clear" w:color="auto" w:fill="auto"/>
            <w:noWrap/>
            <w:vAlign w:val="bottom"/>
            <w:hideMark/>
          </w:tcPr>
          <w:p w14:paraId="22446577" w14:textId="6109AEE8"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7</w:t>
            </w:r>
            <w:r w:rsidR="00D339D7" w:rsidRPr="005B30A9">
              <w:rPr>
                <w:sz w:val="18"/>
              </w:rPr>
              <w:t xml:space="preserve"> </w:t>
            </w:r>
            <w:r w:rsidRPr="005B30A9">
              <w:rPr>
                <w:sz w:val="18"/>
              </w:rPr>
              <w:t>047</w:t>
            </w:r>
          </w:p>
        </w:tc>
        <w:tc>
          <w:tcPr>
            <w:tcW w:w="910" w:type="dxa"/>
            <w:shd w:val="clear" w:color="auto" w:fill="auto"/>
            <w:noWrap/>
            <w:vAlign w:val="bottom"/>
            <w:hideMark/>
          </w:tcPr>
          <w:p w14:paraId="34F54998" w14:textId="398A6544"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5</w:t>
            </w:r>
            <w:r w:rsidR="00D339D7" w:rsidRPr="005B30A9">
              <w:rPr>
                <w:sz w:val="18"/>
              </w:rPr>
              <w:t xml:space="preserve"> </w:t>
            </w:r>
            <w:r w:rsidRPr="005B30A9">
              <w:rPr>
                <w:sz w:val="18"/>
              </w:rPr>
              <w:t>304</w:t>
            </w:r>
          </w:p>
        </w:tc>
      </w:tr>
      <w:tr w:rsidR="00D339D7" w:rsidRPr="005B30A9" w14:paraId="77FC7A60" w14:textId="77777777" w:rsidTr="007A4BD8">
        <w:trPr>
          <w:trHeight w:val="240"/>
        </w:trPr>
        <w:tc>
          <w:tcPr>
            <w:tcW w:w="1224" w:type="dxa"/>
            <w:shd w:val="clear" w:color="auto" w:fill="auto"/>
            <w:noWrap/>
            <w:hideMark/>
          </w:tcPr>
          <w:p w14:paraId="5F542DCE"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sz w:val="18"/>
              </w:rPr>
              <w:t>Vivienda</w:t>
            </w:r>
          </w:p>
        </w:tc>
        <w:tc>
          <w:tcPr>
            <w:tcW w:w="764" w:type="dxa"/>
            <w:shd w:val="clear" w:color="auto" w:fill="auto"/>
            <w:noWrap/>
            <w:vAlign w:val="bottom"/>
            <w:hideMark/>
          </w:tcPr>
          <w:p w14:paraId="3B6E2F1F" w14:textId="5ADEC24A" w:rsidR="009612CC" w:rsidRPr="005B30A9" w:rsidRDefault="009612CC" w:rsidP="007A4BD8">
            <w:pPr>
              <w:pStyle w:val="SingleTxtG"/>
              <w:tabs>
                <w:tab w:val="clear" w:pos="1701"/>
                <w:tab w:val="clear" w:pos="2268"/>
                <w:tab w:val="clear" w:pos="2835"/>
              </w:tabs>
              <w:spacing w:before="40" w:after="40" w:line="220" w:lineRule="exact"/>
              <w:ind w:left="0" w:right="28"/>
              <w:jc w:val="right"/>
              <w:rPr>
                <w:bCs/>
                <w:sz w:val="18"/>
              </w:rPr>
            </w:pPr>
            <w:r w:rsidRPr="005B30A9">
              <w:rPr>
                <w:sz w:val="18"/>
              </w:rPr>
              <w:t>06</w:t>
            </w:r>
            <w:r w:rsidR="007A4BD8">
              <w:rPr>
                <w:sz w:val="18"/>
              </w:rPr>
              <w:t>,</w:t>
            </w:r>
            <w:r w:rsidRPr="005B30A9">
              <w:rPr>
                <w:sz w:val="18"/>
              </w:rPr>
              <w:t>1</w:t>
            </w:r>
          </w:p>
        </w:tc>
        <w:tc>
          <w:tcPr>
            <w:tcW w:w="1970" w:type="dxa"/>
            <w:shd w:val="clear" w:color="auto" w:fill="auto"/>
            <w:vAlign w:val="bottom"/>
            <w:hideMark/>
          </w:tcPr>
          <w:p w14:paraId="0D1298B3" w14:textId="77777777" w:rsidR="009612CC" w:rsidRPr="005B30A9" w:rsidRDefault="009612CC" w:rsidP="007A4BD8">
            <w:pPr>
              <w:pStyle w:val="SingleTxtG"/>
              <w:tabs>
                <w:tab w:val="clear" w:pos="1701"/>
                <w:tab w:val="clear" w:pos="2268"/>
                <w:tab w:val="clear" w:pos="2835"/>
              </w:tabs>
              <w:spacing w:before="40" w:after="40" w:line="220" w:lineRule="exact"/>
              <w:ind w:left="85" w:right="0"/>
              <w:jc w:val="left"/>
              <w:rPr>
                <w:bCs/>
                <w:sz w:val="18"/>
              </w:rPr>
            </w:pPr>
            <w:r w:rsidRPr="005B30A9">
              <w:rPr>
                <w:sz w:val="18"/>
              </w:rPr>
              <w:t>Fomento de la vivienda</w:t>
            </w:r>
          </w:p>
        </w:tc>
        <w:tc>
          <w:tcPr>
            <w:tcW w:w="909" w:type="dxa"/>
            <w:shd w:val="clear" w:color="auto" w:fill="auto"/>
            <w:noWrap/>
            <w:vAlign w:val="bottom"/>
            <w:hideMark/>
          </w:tcPr>
          <w:p w14:paraId="1D78B5BD"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730</w:t>
            </w:r>
          </w:p>
        </w:tc>
        <w:tc>
          <w:tcPr>
            <w:tcW w:w="909" w:type="dxa"/>
            <w:shd w:val="clear" w:color="auto" w:fill="auto"/>
            <w:noWrap/>
            <w:vAlign w:val="bottom"/>
            <w:hideMark/>
          </w:tcPr>
          <w:p w14:paraId="3AE0DBAB"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653</w:t>
            </w:r>
          </w:p>
        </w:tc>
        <w:tc>
          <w:tcPr>
            <w:tcW w:w="909" w:type="dxa"/>
            <w:shd w:val="clear" w:color="auto" w:fill="auto"/>
            <w:noWrap/>
            <w:vAlign w:val="bottom"/>
            <w:hideMark/>
          </w:tcPr>
          <w:p w14:paraId="5F57F7F3"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529</w:t>
            </w:r>
          </w:p>
        </w:tc>
        <w:tc>
          <w:tcPr>
            <w:tcW w:w="909" w:type="dxa"/>
            <w:shd w:val="clear" w:color="auto" w:fill="auto"/>
            <w:noWrap/>
            <w:vAlign w:val="bottom"/>
            <w:hideMark/>
          </w:tcPr>
          <w:p w14:paraId="4CD01465"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648</w:t>
            </w:r>
          </w:p>
        </w:tc>
        <w:tc>
          <w:tcPr>
            <w:tcW w:w="910" w:type="dxa"/>
            <w:shd w:val="clear" w:color="auto" w:fill="auto"/>
            <w:noWrap/>
            <w:vAlign w:val="bottom"/>
            <w:hideMark/>
          </w:tcPr>
          <w:p w14:paraId="65AB4ED7"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804</w:t>
            </w:r>
          </w:p>
        </w:tc>
      </w:tr>
      <w:tr w:rsidR="00D339D7" w:rsidRPr="005B30A9" w14:paraId="5477ACD5" w14:textId="77777777" w:rsidTr="007A4BD8">
        <w:trPr>
          <w:trHeight w:val="240"/>
        </w:trPr>
        <w:tc>
          <w:tcPr>
            <w:tcW w:w="1224" w:type="dxa"/>
            <w:shd w:val="clear" w:color="auto" w:fill="auto"/>
            <w:noWrap/>
            <w:hideMark/>
          </w:tcPr>
          <w:p w14:paraId="2BEFA0C6"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sz w:val="18"/>
              </w:rPr>
              <w:t>Agua</w:t>
            </w:r>
          </w:p>
        </w:tc>
        <w:tc>
          <w:tcPr>
            <w:tcW w:w="764" w:type="dxa"/>
            <w:shd w:val="clear" w:color="auto" w:fill="auto"/>
            <w:noWrap/>
            <w:vAlign w:val="bottom"/>
            <w:hideMark/>
          </w:tcPr>
          <w:p w14:paraId="22F794FD" w14:textId="0C646F57" w:rsidR="009612CC" w:rsidRPr="005B30A9" w:rsidRDefault="009612CC" w:rsidP="007A4BD8">
            <w:pPr>
              <w:pStyle w:val="SingleTxtG"/>
              <w:tabs>
                <w:tab w:val="clear" w:pos="1701"/>
                <w:tab w:val="clear" w:pos="2268"/>
                <w:tab w:val="clear" w:pos="2835"/>
              </w:tabs>
              <w:spacing w:before="40" w:after="40" w:line="220" w:lineRule="exact"/>
              <w:ind w:left="0" w:right="28"/>
              <w:jc w:val="right"/>
              <w:rPr>
                <w:bCs/>
                <w:sz w:val="18"/>
              </w:rPr>
            </w:pPr>
            <w:r w:rsidRPr="005B30A9">
              <w:rPr>
                <w:sz w:val="18"/>
              </w:rPr>
              <w:t>06</w:t>
            </w:r>
            <w:r w:rsidR="007A4BD8">
              <w:rPr>
                <w:sz w:val="18"/>
              </w:rPr>
              <w:t>,</w:t>
            </w:r>
            <w:r w:rsidRPr="005B30A9">
              <w:rPr>
                <w:sz w:val="18"/>
              </w:rPr>
              <w:t>3</w:t>
            </w:r>
          </w:p>
        </w:tc>
        <w:tc>
          <w:tcPr>
            <w:tcW w:w="1970" w:type="dxa"/>
            <w:shd w:val="clear" w:color="auto" w:fill="auto"/>
            <w:vAlign w:val="bottom"/>
            <w:hideMark/>
          </w:tcPr>
          <w:p w14:paraId="0F1B6536" w14:textId="77777777" w:rsidR="009612CC" w:rsidRPr="005B30A9" w:rsidRDefault="009612CC" w:rsidP="007A4BD8">
            <w:pPr>
              <w:pStyle w:val="SingleTxtG"/>
              <w:tabs>
                <w:tab w:val="clear" w:pos="1701"/>
                <w:tab w:val="clear" w:pos="2268"/>
                <w:tab w:val="clear" w:pos="2835"/>
              </w:tabs>
              <w:spacing w:before="40" w:after="40" w:line="220" w:lineRule="exact"/>
              <w:ind w:left="85" w:right="0"/>
              <w:jc w:val="left"/>
              <w:rPr>
                <w:bCs/>
                <w:sz w:val="18"/>
              </w:rPr>
            </w:pPr>
            <w:r w:rsidRPr="005B30A9">
              <w:rPr>
                <w:sz w:val="18"/>
              </w:rPr>
              <w:t>Suministro de agua</w:t>
            </w:r>
          </w:p>
        </w:tc>
        <w:tc>
          <w:tcPr>
            <w:tcW w:w="909" w:type="dxa"/>
            <w:shd w:val="clear" w:color="auto" w:fill="auto"/>
            <w:noWrap/>
            <w:vAlign w:val="bottom"/>
            <w:hideMark/>
          </w:tcPr>
          <w:p w14:paraId="29067E0B"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83</w:t>
            </w:r>
          </w:p>
        </w:tc>
        <w:tc>
          <w:tcPr>
            <w:tcW w:w="909" w:type="dxa"/>
            <w:shd w:val="clear" w:color="auto" w:fill="auto"/>
            <w:noWrap/>
            <w:vAlign w:val="bottom"/>
            <w:hideMark/>
          </w:tcPr>
          <w:p w14:paraId="791E3306"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76</w:t>
            </w:r>
          </w:p>
        </w:tc>
        <w:tc>
          <w:tcPr>
            <w:tcW w:w="909" w:type="dxa"/>
            <w:shd w:val="clear" w:color="auto" w:fill="auto"/>
            <w:noWrap/>
            <w:vAlign w:val="bottom"/>
            <w:hideMark/>
          </w:tcPr>
          <w:p w14:paraId="169874E1"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70</w:t>
            </w:r>
          </w:p>
        </w:tc>
        <w:tc>
          <w:tcPr>
            <w:tcW w:w="909" w:type="dxa"/>
            <w:shd w:val="clear" w:color="auto" w:fill="auto"/>
            <w:noWrap/>
            <w:vAlign w:val="bottom"/>
            <w:hideMark/>
          </w:tcPr>
          <w:p w14:paraId="71C88D6A"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84</w:t>
            </w:r>
          </w:p>
        </w:tc>
        <w:tc>
          <w:tcPr>
            <w:tcW w:w="910" w:type="dxa"/>
            <w:shd w:val="clear" w:color="auto" w:fill="auto"/>
            <w:noWrap/>
            <w:vAlign w:val="bottom"/>
            <w:hideMark/>
          </w:tcPr>
          <w:p w14:paraId="35E605C2"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109</w:t>
            </w:r>
          </w:p>
        </w:tc>
      </w:tr>
      <w:tr w:rsidR="00D339D7" w:rsidRPr="005B30A9" w14:paraId="62EDC50A" w14:textId="77777777" w:rsidTr="007A4BD8">
        <w:trPr>
          <w:trHeight w:val="240"/>
        </w:trPr>
        <w:tc>
          <w:tcPr>
            <w:tcW w:w="1224" w:type="dxa"/>
            <w:shd w:val="clear" w:color="auto" w:fill="auto"/>
            <w:noWrap/>
            <w:hideMark/>
          </w:tcPr>
          <w:p w14:paraId="0E2E3A8D"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sz w:val="18"/>
              </w:rPr>
              <w:t>Aguas residuales</w:t>
            </w:r>
          </w:p>
        </w:tc>
        <w:tc>
          <w:tcPr>
            <w:tcW w:w="764" w:type="dxa"/>
            <w:shd w:val="clear" w:color="auto" w:fill="auto"/>
            <w:noWrap/>
            <w:vAlign w:val="bottom"/>
            <w:hideMark/>
          </w:tcPr>
          <w:p w14:paraId="1E88FE87" w14:textId="7770E55C" w:rsidR="009612CC" w:rsidRPr="005B30A9" w:rsidRDefault="009612CC" w:rsidP="007A4BD8">
            <w:pPr>
              <w:pStyle w:val="SingleTxtG"/>
              <w:tabs>
                <w:tab w:val="clear" w:pos="1701"/>
                <w:tab w:val="clear" w:pos="2268"/>
                <w:tab w:val="clear" w:pos="2835"/>
              </w:tabs>
              <w:spacing w:before="40" w:after="40" w:line="220" w:lineRule="exact"/>
              <w:ind w:left="0" w:right="28"/>
              <w:jc w:val="right"/>
              <w:rPr>
                <w:bCs/>
                <w:sz w:val="18"/>
              </w:rPr>
            </w:pPr>
            <w:r w:rsidRPr="005B30A9">
              <w:rPr>
                <w:sz w:val="18"/>
              </w:rPr>
              <w:t>05</w:t>
            </w:r>
            <w:r w:rsidR="007A4BD8">
              <w:rPr>
                <w:sz w:val="18"/>
              </w:rPr>
              <w:t>,</w:t>
            </w:r>
            <w:r w:rsidRPr="005B30A9">
              <w:rPr>
                <w:sz w:val="18"/>
              </w:rPr>
              <w:t>2</w:t>
            </w:r>
          </w:p>
        </w:tc>
        <w:tc>
          <w:tcPr>
            <w:tcW w:w="1970" w:type="dxa"/>
            <w:shd w:val="clear" w:color="auto" w:fill="auto"/>
            <w:vAlign w:val="bottom"/>
            <w:hideMark/>
          </w:tcPr>
          <w:p w14:paraId="08994994" w14:textId="77777777" w:rsidR="009612CC" w:rsidRPr="005B30A9" w:rsidRDefault="009612CC" w:rsidP="007A4BD8">
            <w:pPr>
              <w:pStyle w:val="SingleTxtG"/>
              <w:tabs>
                <w:tab w:val="clear" w:pos="1701"/>
                <w:tab w:val="clear" w:pos="2268"/>
                <w:tab w:val="clear" w:pos="2835"/>
              </w:tabs>
              <w:spacing w:before="40" w:after="40" w:line="220" w:lineRule="exact"/>
              <w:ind w:left="85" w:right="0"/>
              <w:jc w:val="left"/>
              <w:rPr>
                <w:bCs/>
                <w:sz w:val="18"/>
              </w:rPr>
            </w:pPr>
            <w:r w:rsidRPr="005B30A9">
              <w:rPr>
                <w:sz w:val="18"/>
              </w:rPr>
              <w:t>Gestión de las aguas residuales</w:t>
            </w:r>
          </w:p>
        </w:tc>
        <w:tc>
          <w:tcPr>
            <w:tcW w:w="909" w:type="dxa"/>
            <w:shd w:val="clear" w:color="auto" w:fill="auto"/>
            <w:noWrap/>
            <w:vAlign w:val="bottom"/>
            <w:hideMark/>
          </w:tcPr>
          <w:p w14:paraId="7BA85FA5"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339</w:t>
            </w:r>
          </w:p>
        </w:tc>
        <w:tc>
          <w:tcPr>
            <w:tcW w:w="909" w:type="dxa"/>
            <w:shd w:val="clear" w:color="auto" w:fill="auto"/>
            <w:noWrap/>
            <w:vAlign w:val="bottom"/>
            <w:hideMark/>
          </w:tcPr>
          <w:p w14:paraId="056A3594"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374</w:t>
            </w:r>
          </w:p>
        </w:tc>
        <w:tc>
          <w:tcPr>
            <w:tcW w:w="909" w:type="dxa"/>
            <w:shd w:val="clear" w:color="auto" w:fill="auto"/>
            <w:noWrap/>
            <w:vAlign w:val="bottom"/>
            <w:hideMark/>
          </w:tcPr>
          <w:p w14:paraId="56963353"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383</w:t>
            </w:r>
          </w:p>
        </w:tc>
        <w:tc>
          <w:tcPr>
            <w:tcW w:w="909" w:type="dxa"/>
            <w:shd w:val="clear" w:color="auto" w:fill="auto"/>
            <w:noWrap/>
            <w:vAlign w:val="bottom"/>
            <w:hideMark/>
          </w:tcPr>
          <w:p w14:paraId="5B3BD8B5"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384</w:t>
            </w:r>
          </w:p>
        </w:tc>
        <w:tc>
          <w:tcPr>
            <w:tcW w:w="910" w:type="dxa"/>
            <w:shd w:val="clear" w:color="auto" w:fill="auto"/>
            <w:noWrap/>
            <w:vAlign w:val="bottom"/>
            <w:hideMark/>
          </w:tcPr>
          <w:p w14:paraId="21F584A0"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459</w:t>
            </w:r>
          </w:p>
        </w:tc>
      </w:tr>
      <w:tr w:rsidR="00D339D7" w:rsidRPr="005B30A9" w14:paraId="445759B0" w14:textId="77777777" w:rsidTr="007A4BD8">
        <w:trPr>
          <w:trHeight w:val="240"/>
        </w:trPr>
        <w:tc>
          <w:tcPr>
            <w:tcW w:w="1224" w:type="dxa"/>
            <w:tcBorders>
              <w:bottom w:val="single" w:sz="4" w:space="0" w:color="auto"/>
            </w:tcBorders>
            <w:shd w:val="clear" w:color="auto" w:fill="auto"/>
            <w:noWrap/>
            <w:hideMark/>
          </w:tcPr>
          <w:p w14:paraId="56AD0572" w14:textId="77777777" w:rsidR="009612CC" w:rsidRPr="005B30A9" w:rsidRDefault="009612CC" w:rsidP="00D339D7">
            <w:pPr>
              <w:pStyle w:val="SingleTxtG"/>
              <w:keepNext/>
              <w:keepLines/>
              <w:tabs>
                <w:tab w:val="clear" w:pos="1701"/>
                <w:tab w:val="clear" w:pos="2268"/>
                <w:tab w:val="clear" w:pos="2835"/>
              </w:tabs>
              <w:spacing w:before="40" w:after="40" w:line="220" w:lineRule="exact"/>
              <w:ind w:left="0" w:right="0"/>
              <w:jc w:val="left"/>
              <w:rPr>
                <w:bCs/>
                <w:sz w:val="18"/>
              </w:rPr>
            </w:pPr>
            <w:r w:rsidRPr="005B30A9">
              <w:rPr>
                <w:sz w:val="18"/>
              </w:rPr>
              <w:t>Cultura</w:t>
            </w:r>
          </w:p>
        </w:tc>
        <w:tc>
          <w:tcPr>
            <w:tcW w:w="764" w:type="dxa"/>
            <w:tcBorders>
              <w:bottom w:val="single" w:sz="4" w:space="0" w:color="auto"/>
            </w:tcBorders>
            <w:shd w:val="clear" w:color="auto" w:fill="auto"/>
            <w:noWrap/>
            <w:vAlign w:val="bottom"/>
            <w:hideMark/>
          </w:tcPr>
          <w:p w14:paraId="46B6C712" w14:textId="65D5A70D" w:rsidR="009612CC" w:rsidRPr="005B30A9" w:rsidRDefault="009612CC" w:rsidP="007A4BD8">
            <w:pPr>
              <w:pStyle w:val="SingleTxtG"/>
              <w:keepNext/>
              <w:keepLines/>
              <w:tabs>
                <w:tab w:val="clear" w:pos="1701"/>
                <w:tab w:val="clear" w:pos="2268"/>
                <w:tab w:val="clear" w:pos="2835"/>
              </w:tabs>
              <w:spacing w:before="40" w:after="40" w:line="220" w:lineRule="exact"/>
              <w:ind w:left="0" w:right="28"/>
              <w:jc w:val="right"/>
              <w:rPr>
                <w:bCs/>
                <w:sz w:val="18"/>
              </w:rPr>
            </w:pPr>
            <w:r w:rsidRPr="005B30A9">
              <w:rPr>
                <w:sz w:val="18"/>
              </w:rPr>
              <w:t>08</w:t>
            </w:r>
            <w:r w:rsidR="007A4BD8">
              <w:rPr>
                <w:sz w:val="18"/>
              </w:rPr>
              <w:t>,</w:t>
            </w:r>
            <w:r w:rsidRPr="005B30A9">
              <w:rPr>
                <w:sz w:val="18"/>
              </w:rPr>
              <w:t>2</w:t>
            </w:r>
          </w:p>
        </w:tc>
        <w:tc>
          <w:tcPr>
            <w:tcW w:w="1970" w:type="dxa"/>
            <w:tcBorders>
              <w:bottom w:val="single" w:sz="4" w:space="0" w:color="auto"/>
            </w:tcBorders>
            <w:shd w:val="clear" w:color="auto" w:fill="auto"/>
            <w:vAlign w:val="bottom"/>
            <w:hideMark/>
          </w:tcPr>
          <w:p w14:paraId="6CFFE384" w14:textId="77777777" w:rsidR="009612CC" w:rsidRPr="005B30A9" w:rsidRDefault="009612CC" w:rsidP="007A4BD8">
            <w:pPr>
              <w:pStyle w:val="SingleTxtG"/>
              <w:keepNext/>
              <w:keepLines/>
              <w:tabs>
                <w:tab w:val="clear" w:pos="1701"/>
                <w:tab w:val="clear" w:pos="2268"/>
                <w:tab w:val="clear" w:pos="2835"/>
              </w:tabs>
              <w:spacing w:before="40" w:after="40" w:line="220" w:lineRule="exact"/>
              <w:ind w:left="85" w:right="0"/>
              <w:jc w:val="left"/>
              <w:rPr>
                <w:bCs/>
                <w:sz w:val="18"/>
              </w:rPr>
            </w:pPr>
            <w:r w:rsidRPr="005B30A9">
              <w:rPr>
                <w:sz w:val="18"/>
              </w:rPr>
              <w:t>Cultura</w:t>
            </w:r>
          </w:p>
        </w:tc>
        <w:tc>
          <w:tcPr>
            <w:tcW w:w="909" w:type="dxa"/>
            <w:tcBorders>
              <w:bottom w:val="single" w:sz="4" w:space="0" w:color="auto"/>
            </w:tcBorders>
            <w:shd w:val="clear" w:color="auto" w:fill="auto"/>
            <w:noWrap/>
            <w:vAlign w:val="bottom"/>
            <w:hideMark/>
          </w:tcPr>
          <w:p w14:paraId="2FC820F6" w14:textId="0FCF9C5B"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2</w:t>
            </w:r>
            <w:r w:rsidR="00D339D7" w:rsidRPr="005B30A9">
              <w:rPr>
                <w:sz w:val="18"/>
              </w:rPr>
              <w:t xml:space="preserve"> </w:t>
            </w:r>
            <w:r w:rsidRPr="005B30A9">
              <w:rPr>
                <w:sz w:val="18"/>
              </w:rPr>
              <w:t>010</w:t>
            </w:r>
          </w:p>
        </w:tc>
        <w:tc>
          <w:tcPr>
            <w:tcW w:w="909" w:type="dxa"/>
            <w:tcBorders>
              <w:bottom w:val="single" w:sz="4" w:space="0" w:color="auto"/>
            </w:tcBorders>
            <w:shd w:val="clear" w:color="auto" w:fill="auto"/>
            <w:noWrap/>
            <w:vAlign w:val="bottom"/>
            <w:hideMark/>
          </w:tcPr>
          <w:p w14:paraId="2BA54753" w14:textId="73BA8FE0"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2</w:t>
            </w:r>
            <w:r w:rsidR="00D339D7" w:rsidRPr="005B30A9">
              <w:rPr>
                <w:sz w:val="18"/>
              </w:rPr>
              <w:t xml:space="preserve"> </w:t>
            </w:r>
            <w:r w:rsidRPr="005B30A9">
              <w:rPr>
                <w:sz w:val="18"/>
              </w:rPr>
              <w:t>121</w:t>
            </w:r>
          </w:p>
        </w:tc>
        <w:tc>
          <w:tcPr>
            <w:tcW w:w="909" w:type="dxa"/>
            <w:tcBorders>
              <w:bottom w:val="single" w:sz="4" w:space="0" w:color="auto"/>
            </w:tcBorders>
            <w:shd w:val="clear" w:color="auto" w:fill="auto"/>
            <w:noWrap/>
            <w:vAlign w:val="bottom"/>
            <w:hideMark/>
          </w:tcPr>
          <w:p w14:paraId="7EADF957" w14:textId="2B73780A"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2</w:t>
            </w:r>
            <w:r w:rsidR="00D339D7" w:rsidRPr="005B30A9">
              <w:rPr>
                <w:sz w:val="18"/>
              </w:rPr>
              <w:t xml:space="preserve"> </w:t>
            </w:r>
            <w:r w:rsidRPr="005B30A9">
              <w:rPr>
                <w:sz w:val="18"/>
              </w:rPr>
              <w:t>008</w:t>
            </w:r>
          </w:p>
        </w:tc>
        <w:tc>
          <w:tcPr>
            <w:tcW w:w="909" w:type="dxa"/>
            <w:tcBorders>
              <w:bottom w:val="single" w:sz="4" w:space="0" w:color="auto"/>
            </w:tcBorders>
            <w:shd w:val="clear" w:color="auto" w:fill="auto"/>
            <w:noWrap/>
            <w:vAlign w:val="bottom"/>
            <w:hideMark/>
          </w:tcPr>
          <w:p w14:paraId="734375AA" w14:textId="7248C91B"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2</w:t>
            </w:r>
            <w:r w:rsidR="00D339D7" w:rsidRPr="005B30A9">
              <w:rPr>
                <w:sz w:val="18"/>
              </w:rPr>
              <w:t xml:space="preserve"> </w:t>
            </w:r>
            <w:r w:rsidRPr="005B30A9">
              <w:rPr>
                <w:sz w:val="18"/>
              </w:rPr>
              <w:t>068</w:t>
            </w:r>
          </w:p>
        </w:tc>
        <w:tc>
          <w:tcPr>
            <w:tcW w:w="910" w:type="dxa"/>
            <w:tcBorders>
              <w:bottom w:val="single" w:sz="4" w:space="0" w:color="auto"/>
            </w:tcBorders>
            <w:shd w:val="clear" w:color="auto" w:fill="auto"/>
            <w:noWrap/>
            <w:vAlign w:val="bottom"/>
            <w:hideMark/>
          </w:tcPr>
          <w:p w14:paraId="7E05ECB8" w14:textId="64556B7F" w:rsidR="009612CC" w:rsidRPr="005B30A9" w:rsidRDefault="009612CC" w:rsidP="00D339D7">
            <w:pPr>
              <w:pStyle w:val="SingleTxtG"/>
              <w:keepNext/>
              <w:keepLines/>
              <w:tabs>
                <w:tab w:val="clear" w:pos="1701"/>
                <w:tab w:val="clear" w:pos="2268"/>
                <w:tab w:val="clear" w:pos="2835"/>
              </w:tabs>
              <w:spacing w:before="40" w:after="40" w:line="220" w:lineRule="exact"/>
              <w:ind w:left="0" w:right="28"/>
              <w:jc w:val="right"/>
              <w:rPr>
                <w:sz w:val="18"/>
              </w:rPr>
            </w:pPr>
            <w:r w:rsidRPr="005B30A9">
              <w:rPr>
                <w:sz w:val="18"/>
              </w:rPr>
              <w:t>2</w:t>
            </w:r>
            <w:r w:rsidR="00D339D7" w:rsidRPr="005B30A9">
              <w:rPr>
                <w:sz w:val="18"/>
              </w:rPr>
              <w:t xml:space="preserve"> </w:t>
            </w:r>
            <w:r w:rsidRPr="005B30A9">
              <w:rPr>
                <w:sz w:val="18"/>
              </w:rPr>
              <w:t>114</w:t>
            </w:r>
          </w:p>
        </w:tc>
      </w:tr>
      <w:tr w:rsidR="00D339D7" w:rsidRPr="005B30A9" w14:paraId="7645089F" w14:textId="77777777" w:rsidTr="007A4BD8">
        <w:trPr>
          <w:trHeight w:val="240"/>
        </w:trPr>
        <w:tc>
          <w:tcPr>
            <w:tcW w:w="3958" w:type="dxa"/>
            <w:gridSpan w:val="3"/>
            <w:tcBorders>
              <w:top w:val="single" w:sz="4" w:space="0" w:color="auto"/>
              <w:bottom w:val="single" w:sz="12" w:space="0" w:color="auto"/>
            </w:tcBorders>
            <w:shd w:val="clear" w:color="auto" w:fill="auto"/>
            <w:noWrap/>
            <w:hideMark/>
          </w:tcPr>
          <w:p w14:paraId="66187EBD" w14:textId="77777777" w:rsidR="009612CC" w:rsidRPr="005B30A9" w:rsidRDefault="009612CC" w:rsidP="00D339D7">
            <w:pPr>
              <w:pStyle w:val="SingleTxtG"/>
              <w:tabs>
                <w:tab w:val="clear" w:pos="1701"/>
                <w:tab w:val="clear" w:pos="2268"/>
                <w:tab w:val="clear" w:pos="2835"/>
              </w:tabs>
              <w:spacing w:before="80" w:after="80" w:line="220" w:lineRule="exact"/>
              <w:ind w:left="284" w:right="0"/>
              <w:jc w:val="left"/>
              <w:rPr>
                <w:b/>
                <w:bCs/>
                <w:sz w:val="18"/>
              </w:rPr>
            </w:pPr>
            <w:r w:rsidRPr="005B30A9">
              <w:rPr>
                <w:b/>
                <w:bCs/>
                <w:sz w:val="18"/>
              </w:rPr>
              <w:t>Gasto social total examinado</w:t>
            </w:r>
            <w:r w:rsidRPr="005B30A9">
              <w:rPr>
                <w:sz w:val="18"/>
              </w:rPr>
              <w:t>*</w:t>
            </w:r>
          </w:p>
        </w:tc>
        <w:tc>
          <w:tcPr>
            <w:tcW w:w="909" w:type="dxa"/>
            <w:tcBorders>
              <w:top w:val="single" w:sz="4" w:space="0" w:color="auto"/>
              <w:bottom w:val="single" w:sz="12" w:space="0" w:color="auto"/>
            </w:tcBorders>
            <w:shd w:val="clear" w:color="auto" w:fill="auto"/>
            <w:noWrap/>
            <w:vAlign w:val="bottom"/>
            <w:hideMark/>
          </w:tcPr>
          <w:p w14:paraId="54C315A4" w14:textId="66B22691" w:rsidR="009612CC" w:rsidRPr="005B30A9" w:rsidRDefault="009612CC" w:rsidP="00D339D7">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131</w:t>
            </w:r>
            <w:r w:rsidR="00D339D7" w:rsidRPr="005B30A9">
              <w:rPr>
                <w:b/>
                <w:bCs/>
                <w:sz w:val="18"/>
              </w:rPr>
              <w:t xml:space="preserve"> </w:t>
            </w:r>
            <w:r w:rsidRPr="005B30A9">
              <w:rPr>
                <w:b/>
                <w:bCs/>
                <w:sz w:val="18"/>
              </w:rPr>
              <w:t>056</w:t>
            </w:r>
          </w:p>
        </w:tc>
        <w:tc>
          <w:tcPr>
            <w:tcW w:w="909" w:type="dxa"/>
            <w:tcBorders>
              <w:top w:val="single" w:sz="4" w:space="0" w:color="auto"/>
              <w:bottom w:val="single" w:sz="12" w:space="0" w:color="auto"/>
            </w:tcBorders>
            <w:shd w:val="clear" w:color="auto" w:fill="auto"/>
            <w:noWrap/>
            <w:vAlign w:val="bottom"/>
            <w:hideMark/>
          </w:tcPr>
          <w:p w14:paraId="5B220D84" w14:textId="2002952A" w:rsidR="009612CC" w:rsidRPr="005B30A9" w:rsidRDefault="009612CC" w:rsidP="00D339D7">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135</w:t>
            </w:r>
            <w:r w:rsidR="00D339D7" w:rsidRPr="005B30A9">
              <w:rPr>
                <w:b/>
                <w:bCs/>
                <w:sz w:val="18"/>
              </w:rPr>
              <w:t xml:space="preserve"> </w:t>
            </w:r>
            <w:r w:rsidRPr="005B30A9">
              <w:rPr>
                <w:b/>
                <w:bCs/>
                <w:sz w:val="18"/>
              </w:rPr>
              <w:t>396</w:t>
            </w:r>
          </w:p>
        </w:tc>
        <w:tc>
          <w:tcPr>
            <w:tcW w:w="909" w:type="dxa"/>
            <w:tcBorders>
              <w:top w:val="single" w:sz="4" w:space="0" w:color="auto"/>
              <w:bottom w:val="single" w:sz="12" w:space="0" w:color="auto"/>
            </w:tcBorders>
            <w:shd w:val="clear" w:color="auto" w:fill="auto"/>
            <w:noWrap/>
            <w:vAlign w:val="bottom"/>
            <w:hideMark/>
          </w:tcPr>
          <w:p w14:paraId="446D7218" w14:textId="5F59702D" w:rsidR="009612CC" w:rsidRPr="005B30A9" w:rsidRDefault="009612CC" w:rsidP="00D339D7">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144</w:t>
            </w:r>
            <w:r w:rsidR="00D339D7" w:rsidRPr="005B30A9">
              <w:rPr>
                <w:b/>
                <w:bCs/>
                <w:sz w:val="18"/>
              </w:rPr>
              <w:t xml:space="preserve"> </w:t>
            </w:r>
            <w:r w:rsidRPr="005B30A9">
              <w:rPr>
                <w:b/>
                <w:bCs/>
                <w:sz w:val="18"/>
              </w:rPr>
              <w:t>211</w:t>
            </w:r>
          </w:p>
        </w:tc>
        <w:tc>
          <w:tcPr>
            <w:tcW w:w="909" w:type="dxa"/>
            <w:tcBorders>
              <w:top w:val="single" w:sz="4" w:space="0" w:color="auto"/>
              <w:bottom w:val="single" w:sz="12" w:space="0" w:color="auto"/>
            </w:tcBorders>
            <w:shd w:val="clear" w:color="auto" w:fill="auto"/>
            <w:noWrap/>
            <w:vAlign w:val="bottom"/>
            <w:hideMark/>
          </w:tcPr>
          <w:p w14:paraId="35BEE733" w14:textId="533A369A" w:rsidR="009612CC" w:rsidRPr="005B30A9" w:rsidRDefault="009612CC" w:rsidP="00D339D7">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153</w:t>
            </w:r>
            <w:r w:rsidR="00D339D7" w:rsidRPr="005B30A9">
              <w:rPr>
                <w:b/>
                <w:bCs/>
                <w:sz w:val="18"/>
              </w:rPr>
              <w:t xml:space="preserve"> </w:t>
            </w:r>
            <w:r w:rsidRPr="005B30A9">
              <w:rPr>
                <w:b/>
                <w:bCs/>
                <w:sz w:val="18"/>
              </w:rPr>
              <w:t>080</w:t>
            </w:r>
          </w:p>
        </w:tc>
        <w:tc>
          <w:tcPr>
            <w:tcW w:w="910" w:type="dxa"/>
            <w:tcBorders>
              <w:top w:val="single" w:sz="4" w:space="0" w:color="auto"/>
              <w:bottom w:val="single" w:sz="12" w:space="0" w:color="auto"/>
            </w:tcBorders>
            <w:shd w:val="clear" w:color="auto" w:fill="auto"/>
            <w:noWrap/>
            <w:vAlign w:val="bottom"/>
            <w:hideMark/>
          </w:tcPr>
          <w:p w14:paraId="77B85941" w14:textId="6B2056DC" w:rsidR="009612CC" w:rsidRPr="005B30A9" w:rsidRDefault="009612CC" w:rsidP="00D339D7">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158</w:t>
            </w:r>
            <w:r w:rsidR="00D339D7" w:rsidRPr="005B30A9">
              <w:rPr>
                <w:b/>
                <w:bCs/>
                <w:sz w:val="18"/>
              </w:rPr>
              <w:t xml:space="preserve"> </w:t>
            </w:r>
            <w:r w:rsidRPr="005B30A9">
              <w:rPr>
                <w:b/>
                <w:bCs/>
                <w:sz w:val="18"/>
              </w:rPr>
              <w:t>754</w:t>
            </w:r>
          </w:p>
        </w:tc>
      </w:tr>
    </w:tbl>
    <w:p w14:paraId="799DC85B" w14:textId="77777777" w:rsidR="00B316CF" w:rsidRPr="005B30A9" w:rsidRDefault="00B316CF" w:rsidP="00B316CF">
      <w:pPr>
        <w:pStyle w:val="SingleTxtG"/>
        <w:spacing w:before="120" w:after="0"/>
        <w:ind w:firstLine="170"/>
        <w:jc w:val="left"/>
        <w:rPr>
          <w:sz w:val="18"/>
          <w:szCs w:val="18"/>
        </w:rPr>
      </w:pPr>
      <w:r w:rsidRPr="005B30A9">
        <w:rPr>
          <w:i/>
          <w:iCs/>
          <w:sz w:val="18"/>
          <w:szCs w:val="18"/>
        </w:rPr>
        <w:t xml:space="preserve">Fuente: </w:t>
      </w:r>
      <w:r w:rsidRPr="005B30A9">
        <w:rPr>
          <w:sz w:val="18"/>
          <w:szCs w:val="18"/>
        </w:rPr>
        <w:t>Estadísticas del BMF de Austria.</w:t>
      </w:r>
    </w:p>
    <w:p w14:paraId="5168BF43" w14:textId="67664B36" w:rsidR="009612CC" w:rsidRPr="005B30A9" w:rsidRDefault="009612CC" w:rsidP="00B316CF">
      <w:pPr>
        <w:pStyle w:val="SingleTxtG"/>
        <w:ind w:firstLine="170"/>
        <w:jc w:val="left"/>
        <w:rPr>
          <w:sz w:val="18"/>
          <w:szCs w:val="18"/>
        </w:rPr>
      </w:pPr>
      <w:r w:rsidRPr="007A4BD8">
        <w:t>*</w:t>
      </w:r>
      <w:r w:rsidR="00D339D7" w:rsidRPr="005B30A9">
        <w:rPr>
          <w:sz w:val="18"/>
          <w:szCs w:val="18"/>
        </w:rPr>
        <w:t xml:space="preserve"> </w:t>
      </w:r>
      <w:r w:rsidRPr="005B30A9">
        <w:rPr>
          <w:sz w:val="18"/>
          <w:szCs w:val="18"/>
        </w:rPr>
        <w:t xml:space="preserve"> Gasto en educación, alimentación, sanidad, seguridad social, empleo, vivienda, agua, aguas residuales y cultura.</w:t>
      </w:r>
    </w:p>
    <w:p w14:paraId="183B8FDF" w14:textId="77777777" w:rsidR="009612CC" w:rsidRPr="005B30A9" w:rsidRDefault="009612CC" w:rsidP="00D339D7">
      <w:pPr>
        <w:pStyle w:val="Table1G"/>
      </w:pPr>
      <w:r w:rsidRPr="005B30A9">
        <w:t>Cuadro 13</w:t>
      </w:r>
    </w:p>
    <w:p w14:paraId="400B123D" w14:textId="4237F689" w:rsidR="009612CC" w:rsidRPr="005B30A9" w:rsidRDefault="009612CC" w:rsidP="00D339D7">
      <w:pPr>
        <w:pStyle w:val="SingleTxtG"/>
        <w:jc w:val="left"/>
        <w:rPr>
          <w:b/>
          <w:bCs/>
        </w:rPr>
      </w:pPr>
      <w:r w:rsidRPr="005B30A9">
        <w:rPr>
          <w:b/>
          <w:bCs/>
        </w:rPr>
        <w:t xml:space="preserve">Niveles absolutos de gasto social ajustados en función de la inflación: </w:t>
      </w:r>
      <w:r w:rsidR="007A4BD8">
        <w:rPr>
          <w:b/>
          <w:bCs/>
        </w:rPr>
        <w:br/>
      </w:r>
      <w:r w:rsidRPr="005B30A9">
        <w:rPr>
          <w:b/>
          <w:bCs/>
        </w:rPr>
        <w:t>comparación quinquenal (2018</w:t>
      </w:r>
      <w:r w:rsidR="007A4BD8">
        <w:rPr>
          <w:b/>
          <w:bCs/>
        </w:rPr>
        <w:t>-</w:t>
      </w:r>
      <w:r w:rsidRPr="005B30A9">
        <w:rPr>
          <w:b/>
          <w:bCs/>
        </w:rPr>
        <w:t>2022) en millones de euros</w:t>
      </w:r>
    </w:p>
    <w:tbl>
      <w:tblPr>
        <w:tblW w:w="7370" w:type="dxa"/>
        <w:tblInd w:w="1134" w:type="dxa"/>
        <w:tblBorders>
          <w:top w:val="single" w:sz="4" w:space="0" w:color="auto"/>
        </w:tblBorders>
        <w:tblLayout w:type="fixed"/>
        <w:tblCellMar>
          <w:left w:w="0" w:type="dxa"/>
          <w:right w:w="0" w:type="dxa"/>
        </w:tblCellMar>
        <w:tblLook w:val="0420" w:firstRow="1" w:lastRow="0" w:firstColumn="0" w:lastColumn="0" w:noHBand="0" w:noVBand="1"/>
      </w:tblPr>
      <w:tblGrid>
        <w:gridCol w:w="3261"/>
        <w:gridCol w:w="821"/>
        <w:gridCol w:w="822"/>
        <w:gridCol w:w="822"/>
        <w:gridCol w:w="822"/>
        <w:gridCol w:w="822"/>
      </w:tblGrid>
      <w:tr w:rsidR="00D339D7" w:rsidRPr="005B30A9" w14:paraId="375AF0E4" w14:textId="77777777" w:rsidTr="00D339D7">
        <w:trPr>
          <w:trHeight w:val="240"/>
          <w:tblHeader/>
        </w:trPr>
        <w:tc>
          <w:tcPr>
            <w:tcW w:w="3261" w:type="dxa"/>
            <w:tcBorders>
              <w:top w:val="single" w:sz="4" w:space="0" w:color="auto"/>
              <w:bottom w:val="single" w:sz="4" w:space="0" w:color="auto"/>
            </w:tcBorders>
            <w:shd w:val="clear" w:color="auto" w:fill="auto"/>
            <w:noWrap/>
            <w:vAlign w:val="bottom"/>
            <w:hideMark/>
          </w:tcPr>
          <w:p w14:paraId="03C778CB" w14:textId="77777777" w:rsidR="009612CC" w:rsidRPr="005B30A9" w:rsidRDefault="009612CC" w:rsidP="00D339D7">
            <w:pPr>
              <w:pStyle w:val="SingleTxtG"/>
              <w:tabs>
                <w:tab w:val="clear" w:pos="1701"/>
                <w:tab w:val="clear" w:pos="2268"/>
                <w:tab w:val="clear" w:pos="2835"/>
              </w:tabs>
              <w:spacing w:before="80" w:after="80" w:line="200" w:lineRule="exact"/>
              <w:ind w:left="0" w:right="0"/>
              <w:jc w:val="left"/>
              <w:rPr>
                <w:i/>
                <w:sz w:val="16"/>
              </w:rPr>
            </w:pPr>
            <w:r w:rsidRPr="005B30A9">
              <w:rPr>
                <w:i/>
                <w:iCs/>
                <w:sz w:val="16"/>
              </w:rPr>
              <w:t>Descripción</w:t>
            </w:r>
          </w:p>
        </w:tc>
        <w:tc>
          <w:tcPr>
            <w:tcW w:w="821" w:type="dxa"/>
            <w:tcBorders>
              <w:top w:val="single" w:sz="4" w:space="0" w:color="auto"/>
              <w:bottom w:val="single" w:sz="4" w:space="0" w:color="auto"/>
            </w:tcBorders>
            <w:shd w:val="clear" w:color="auto" w:fill="auto"/>
            <w:noWrap/>
            <w:vAlign w:val="bottom"/>
            <w:hideMark/>
          </w:tcPr>
          <w:p w14:paraId="1671B3EE" w14:textId="77777777"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2018</w:t>
            </w:r>
          </w:p>
        </w:tc>
        <w:tc>
          <w:tcPr>
            <w:tcW w:w="822" w:type="dxa"/>
            <w:tcBorders>
              <w:top w:val="single" w:sz="4" w:space="0" w:color="auto"/>
              <w:bottom w:val="single" w:sz="4" w:space="0" w:color="auto"/>
            </w:tcBorders>
            <w:shd w:val="clear" w:color="auto" w:fill="auto"/>
            <w:noWrap/>
            <w:vAlign w:val="bottom"/>
            <w:hideMark/>
          </w:tcPr>
          <w:p w14:paraId="23105D12" w14:textId="77777777"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2019</w:t>
            </w:r>
          </w:p>
        </w:tc>
        <w:tc>
          <w:tcPr>
            <w:tcW w:w="822" w:type="dxa"/>
            <w:tcBorders>
              <w:top w:val="single" w:sz="4" w:space="0" w:color="auto"/>
              <w:bottom w:val="single" w:sz="4" w:space="0" w:color="auto"/>
            </w:tcBorders>
            <w:shd w:val="clear" w:color="auto" w:fill="auto"/>
            <w:noWrap/>
            <w:vAlign w:val="bottom"/>
            <w:hideMark/>
          </w:tcPr>
          <w:p w14:paraId="45CF4A70" w14:textId="77777777"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2020</w:t>
            </w:r>
          </w:p>
        </w:tc>
        <w:tc>
          <w:tcPr>
            <w:tcW w:w="822" w:type="dxa"/>
            <w:tcBorders>
              <w:top w:val="single" w:sz="4" w:space="0" w:color="auto"/>
              <w:bottom w:val="single" w:sz="4" w:space="0" w:color="auto"/>
            </w:tcBorders>
            <w:shd w:val="clear" w:color="auto" w:fill="auto"/>
            <w:noWrap/>
            <w:vAlign w:val="bottom"/>
            <w:hideMark/>
          </w:tcPr>
          <w:p w14:paraId="3C678ECB" w14:textId="77777777"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2021</w:t>
            </w:r>
          </w:p>
        </w:tc>
        <w:tc>
          <w:tcPr>
            <w:tcW w:w="822" w:type="dxa"/>
            <w:tcBorders>
              <w:top w:val="single" w:sz="4" w:space="0" w:color="auto"/>
              <w:bottom w:val="single" w:sz="4" w:space="0" w:color="auto"/>
            </w:tcBorders>
            <w:shd w:val="clear" w:color="auto" w:fill="auto"/>
            <w:noWrap/>
            <w:vAlign w:val="bottom"/>
            <w:hideMark/>
          </w:tcPr>
          <w:p w14:paraId="6BDDCEFF" w14:textId="77777777"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2022</w:t>
            </w:r>
          </w:p>
        </w:tc>
      </w:tr>
      <w:tr w:rsidR="00D339D7" w:rsidRPr="005B30A9" w14:paraId="70312B7F" w14:textId="77777777" w:rsidTr="00D339D7">
        <w:trPr>
          <w:trHeight w:val="240"/>
        </w:trPr>
        <w:tc>
          <w:tcPr>
            <w:tcW w:w="3261" w:type="dxa"/>
            <w:tcBorders>
              <w:top w:val="single" w:sz="4" w:space="0" w:color="auto"/>
              <w:bottom w:val="single" w:sz="4" w:space="0" w:color="auto"/>
            </w:tcBorders>
            <w:shd w:val="clear" w:color="auto" w:fill="auto"/>
            <w:hideMark/>
          </w:tcPr>
          <w:p w14:paraId="36D8362B" w14:textId="77777777" w:rsidR="009612CC" w:rsidRPr="005B30A9" w:rsidRDefault="009612CC" w:rsidP="00D339D7">
            <w:pPr>
              <w:pStyle w:val="SingleTxtG"/>
              <w:tabs>
                <w:tab w:val="clear" w:pos="1701"/>
                <w:tab w:val="clear" w:pos="2268"/>
                <w:tab w:val="clear" w:pos="2835"/>
              </w:tabs>
              <w:spacing w:before="80" w:after="80" w:line="220" w:lineRule="exact"/>
              <w:ind w:left="283" w:right="0"/>
              <w:jc w:val="left"/>
              <w:rPr>
                <w:b/>
                <w:sz w:val="18"/>
              </w:rPr>
            </w:pPr>
            <w:r w:rsidRPr="005B30A9">
              <w:rPr>
                <w:b/>
                <w:bCs/>
                <w:sz w:val="18"/>
              </w:rPr>
              <w:t>Gasto social total examinado</w:t>
            </w:r>
            <w:r w:rsidRPr="007A4BD8">
              <w:rPr>
                <w:szCs w:val="22"/>
              </w:rPr>
              <w:t>*</w:t>
            </w:r>
          </w:p>
        </w:tc>
        <w:tc>
          <w:tcPr>
            <w:tcW w:w="821" w:type="dxa"/>
            <w:tcBorders>
              <w:top w:val="single" w:sz="4" w:space="0" w:color="auto"/>
              <w:bottom w:val="single" w:sz="4" w:space="0" w:color="auto"/>
            </w:tcBorders>
            <w:shd w:val="clear" w:color="auto" w:fill="auto"/>
            <w:noWrap/>
            <w:vAlign w:val="bottom"/>
            <w:hideMark/>
          </w:tcPr>
          <w:p w14:paraId="1FA2D335" w14:textId="6E043285" w:rsidR="009612CC" w:rsidRPr="005B30A9" w:rsidRDefault="009612CC" w:rsidP="00D339D7">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131</w:t>
            </w:r>
            <w:r w:rsidR="00D339D7" w:rsidRPr="005B30A9">
              <w:rPr>
                <w:b/>
                <w:bCs/>
                <w:sz w:val="18"/>
              </w:rPr>
              <w:t xml:space="preserve"> </w:t>
            </w:r>
            <w:r w:rsidRPr="005B30A9">
              <w:rPr>
                <w:b/>
                <w:bCs/>
                <w:sz w:val="18"/>
              </w:rPr>
              <w:t>056</w:t>
            </w:r>
          </w:p>
        </w:tc>
        <w:tc>
          <w:tcPr>
            <w:tcW w:w="822" w:type="dxa"/>
            <w:tcBorders>
              <w:top w:val="single" w:sz="4" w:space="0" w:color="auto"/>
              <w:bottom w:val="single" w:sz="4" w:space="0" w:color="auto"/>
            </w:tcBorders>
            <w:shd w:val="clear" w:color="auto" w:fill="auto"/>
            <w:noWrap/>
            <w:vAlign w:val="bottom"/>
            <w:hideMark/>
          </w:tcPr>
          <w:p w14:paraId="448D6BF3" w14:textId="1CB570B6" w:rsidR="009612CC" w:rsidRPr="005B30A9" w:rsidRDefault="009612CC" w:rsidP="00D339D7">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135</w:t>
            </w:r>
            <w:r w:rsidR="00D339D7" w:rsidRPr="005B30A9">
              <w:rPr>
                <w:b/>
                <w:bCs/>
                <w:sz w:val="18"/>
              </w:rPr>
              <w:t xml:space="preserve"> </w:t>
            </w:r>
            <w:r w:rsidRPr="005B30A9">
              <w:rPr>
                <w:b/>
                <w:bCs/>
                <w:sz w:val="18"/>
              </w:rPr>
              <w:t>396</w:t>
            </w:r>
          </w:p>
        </w:tc>
        <w:tc>
          <w:tcPr>
            <w:tcW w:w="822" w:type="dxa"/>
            <w:tcBorders>
              <w:top w:val="single" w:sz="4" w:space="0" w:color="auto"/>
              <w:bottom w:val="single" w:sz="4" w:space="0" w:color="auto"/>
            </w:tcBorders>
            <w:shd w:val="clear" w:color="auto" w:fill="auto"/>
            <w:noWrap/>
            <w:vAlign w:val="bottom"/>
            <w:hideMark/>
          </w:tcPr>
          <w:p w14:paraId="00731F00" w14:textId="7708CF46" w:rsidR="009612CC" w:rsidRPr="005B30A9" w:rsidRDefault="009612CC" w:rsidP="00D339D7">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144</w:t>
            </w:r>
            <w:r w:rsidR="00D339D7" w:rsidRPr="005B30A9">
              <w:rPr>
                <w:b/>
                <w:bCs/>
                <w:sz w:val="18"/>
              </w:rPr>
              <w:t xml:space="preserve"> </w:t>
            </w:r>
            <w:r w:rsidRPr="005B30A9">
              <w:rPr>
                <w:b/>
                <w:bCs/>
                <w:sz w:val="18"/>
              </w:rPr>
              <w:t>211</w:t>
            </w:r>
          </w:p>
        </w:tc>
        <w:tc>
          <w:tcPr>
            <w:tcW w:w="822" w:type="dxa"/>
            <w:tcBorders>
              <w:top w:val="single" w:sz="4" w:space="0" w:color="auto"/>
              <w:bottom w:val="single" w:sz="4" w:space="0" w:color="auto"/>
            </w:tcBorders>
            <w:shd w:val="clear" w:color="auto" w:fill="auto"/>
            <w:noWrap/>
            <w:vAlign w:val="bottom"/>
            <w:hideMark/>
          </w:tcPr>
          <w:p w14:paraId="5B78EEAF" w14:textId="561E926D" w:rsidR="009612CC" w:rsidRPr="005B30A9" w:rsidRDefault="009612CC" w:rsidP="00D339D7">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153</w:t>
            </w:r>
            <w:r w:rsidR="00D339D7" w:rsidRPr="005B30A9">
              <w:rPr>
                <w:b/>
                <w:bCs/>
                <w:sz w:val="18"/>
              </w:rPr>
              <w:t xml:space="preserve"> </w:t>
            </w:r>
            <w:r w:rsidRPr="005B30A9">
              <w:rPr>
                <w:b/>
                <w:bCs/>
                <w:sz w:val="18"/>
              </w:rPr>
              <w:t>080</w:t>
            </w:r>
          </w:p>
        </w:tc>
        <w:tc>
          <w:tcPr>
            <w:tcW w:w="822" w:type="dxa"/>
            <w:tcBorders>
              <w:top w:val="single" w:sz="4" w:space="0" w:color="auto"/>
              <w:bottom w:val="single" w:sz="4" w:space="0" w:color="auto"/>
            </w:tcBorders>
            <w:shd w:val="clear" w:color="auto" w:fill="auto"/>
            <w:noWrap/>
            <w:vAlign w:val="bottom"/>
            <w:hideMark/>
          </w:tcPr>
          <w:p w14:paraId="49698571" w14:textId="6967D93E" w:rsidR="009612CC" w:rsidRPr="005B30A9" w:rsidRDefault="009612CC" w:rsidP="00D339D7">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158</w:t>
            </w:r>
            <w:r w:rsidR="00D339D7" w:rsidRPr="005B30A9">
              <w:rPr>
                <w:b/>
                <w:bCs/>
                <w:sz w:val="18"/>
              </w:rPr>
              <w:t xml:space="preserve"> </w:t>
            </w:r>
            <w:r w:rsidRPr="005B30A9">
              <w:rPr>
                <w:b/>
                <w:bCs/>
                <w:sz w:val="18"/>
              </w:rPr>
              <w:t>754</w:t>
            </w:r>
          </w:p>
        </w:tc>
      </w:tr>
      <w:tr w:rsidR="00D339D7" w:rsidRPr="005B30A9" w14:paraId="490512D6" w14:textId="77777777" w:rsidTr="00D339D7">
        <w:trPr>
          <w:trHeight w:val="240"/>
        </w:trPr>
        <w:tc>
          <w:tcPr>
            <w:tcW w:w="3261" w:type="dxa"/>
            <w:tcBorders>
              <w:top w:val="single" w:sz="4" w:space="0" w:color="auto"/>
            </w:tcBorders>
            <w:shd w:val="clear" w:color="auto" w:fill="auto"/>
            <w:noWrap/>
            <w:hideMark/>
          </w:tcPr>
          <w:p w14:paraId="295E931C"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sz w:val="18"/>
              </w:rPr>
              <w:t>Deflactor del IPC 2015</w:t>
            </w:r>
          </w:p>
        </w:tc>
        <w:tc>
          <w:tcPr>
            <w:tcW w:w="821" w:type="dxa"/>
            <w:tcBorders>
              <w:top w:val="single" w:sz="4" w:space="0" w:color="auto"/>
            </w:tcBorders>
            <w:shd w:val="clear" w:color="auto" w:fill="auto"/>
            <w:noWrap/>
            <w:vAlign w:val="bottom"/>
            <w:hideMark/>
          </w:tcPr>
          <w:p w14:paraId="2C3E6946"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105,1</w:t>
            </w:r>
          </w:p>
        </w:tc>
        <w:tc>
          <w:tcPr>
            <w:tcW w:w="822" w:type="dxa"/>
            <w:tcBorders>
              <w:top w:val="single" w:sz="4" w:space="0" w:color="auto"/>
            </w:tcBorders>
            <w:shd w:val="clear" w:color="auto" w:fill="auto"/>
            <w:noWrap/>
            <w:vAlign w:val="bottom"/>
            <w:hideMark/>
          </w:tcPr>
          <w:p w14:paraId="71595C92"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106,7</w:t>
            </w:r>
          </w:p>
        </w:tc>
        <w:tc>
          <w:tcPr>
            <w:tcW w:w="822" w:type="dxa"/>
            <w:tcBorders>
              <w:top w:val="single" w:sz="4" w:space="0" w:color="auto"/>
            </w:tcBorders>
            <w:shd w:val="clear" w:color="auto" w:fill="auto"/>
            <w:noWrap/>
            <w:vAlign w:val="bottom"/>
            <w:hideMark/>
          </w:tcPr>
          <w:p w14:paraId="0C414B72"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108,2</w:t>
            </w:r>
          </w:p>
        </w:tc>
        <w:tc>
          <w:tcPr>
            <w:tcW w:w="822" w:type="dxa"/>
            <w:tcBorders>
              <w:top w:val="single" w:sz="4" w:space="0" w:color="auto"/>
            </w:tcBorders>
            <w:shd w:val="clear" w:color="auto" w:fill="auto"/>
            <w:noWrap/>
            <w:vAlign w:val="bottom"/>
            <w:hideMark/>
          </w:tcPr>
          <w:p w14:paraId="3FF81860"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111,2</w:t>
            </w:r>
          </w:p>
        </w:tc>
        <w:tc>
          <w:tcPr>
            <w:tcW w:w="822" w:type="dxa"/>
            <w:tcBorders>
              <w:top w:val="single" w:sz="4" w:space="0" w:color="auto"/>
            </w:tcBorders>
            <w:shd w:val="clear" w:color="auto" w:fill="auto"/>
            <w:noWrap/>
            <w:vAlign w:val="bottom"/>
            <w:hideMark/>
          </w:tcPr>
          <w:p w14:paraId="2BCBEB0D"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120,7</w:t>
            </w:r>
          </w:p>
        </w:tc>
      </w:tr>
      <w:tr w:rsidR="00D339D7" w:rsidRPr="005B30A9" w14:paraId="0599531A" w14:textId="77777777" w:rsidTr="00D339D7">
        <w:trPr>
          <w:trHeight w:val="240"/>
        </w:trPr>
        <w:tc>
          <w:tcPr>
            <w:tcW w:w="3261" w:type="dxa"/>
            <w:tcBorders>
              <w:bottom w:val="single" w:sz="12" w:space="0" w:color="auto"/>
            </w:tcBorders>
            <w:shd w:val="clear" w:color="auto" w:fill="auto"/>
            <w:noWrap/>
            <w:hideMark/>
          </w:tcPr>
          <w:p w14:paraId="62B06FA9"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sz w:val="18"/>
              </w:rPr>
              <w:t>Gasto social en cifras absolutas examinado</w:t>
            </w:r>
            <w:r w:rsidRPr="007A4BD8">
              <w:rPr>
                <w:szCs w:val="22"/>
              </w:rPr>
              <w:t>*</w:t>
            </w:r>
            <w:r w:rsidRPr="005B30A9">
              <w:rPr>
                <w:sz w:val="18"/>
              </w:rPr>
              <w:t xml:space="preserve"> (desde 2018)</w:t>
            </w:r>
          </w:p>
        </w:tc>
        <w:tc>
          <w:tcPr>
            <w:tcW w:w="821" w:type="dxa"/>
            <w:tcBorders>
              <w:bottom w:val="single" w:sz="12" w:space="0" w:color="auto"/>
            </w:tcBorders>
            <w:shd w:val="clear" w:color="auto" w:fill="auto"/>
            <w:noWrap/>
            <w:vAlign w:val="bottom"/>
            <w:hideMark/>
          </w:tcPr>
          <w:p w14:paraId="25B89105" w14:textId="13CE4D56"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131</w:t>
            </w:r>
            <w:r w:rsidR="00D339D7" w:rsidRPr="005B30A9">
              <w:rPr>
                <w:sz w:val="18"/>
              </w:rPr>
              <w:t xml:space="preserve"> </w:t>
            </w:r>
            <w:r w:rsidRPr="005B30A9">
              <w:rPr>
                <w:sz w:val="18"/>
              </w:rPr>
              <w:t>056</w:t>
            </w:r>
          </w:p>
        </w:tc>
        <w:tc>
          <w:tcPr>
            <w:tcW w:w="822" w:type="dxa"/>
            <w:tcBorders>
              <w:bottom w:val="single" w:sz="12" w:space="0" w:color="auto"/>
            </w:tcBorders>
            <w:shd w:val="clear" w:color="auto" w:fill="auto"/>
            <w:noWrap/>
            <w:vAlign w:val="bottom"/>
            <w:hideMark/>
          </w:tcPr>
          <w:p w14:paraId="34A03280" w14:textId="0D8E62E6"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133</w:t>
            </w:r>
            <w:r w:rsidR="00D339D7" w:rsidRPr="005B30A9">
              <w:rPr>
                <w:sz w:val="18"/>
              </w:rPr>
              <w:t xml:space="preserve"> </w:t>
            </w:r>
            <w:r w:rsidRPr="005B30A9">
              <w:rPr>
                <w:sz w:val="18"/>
              </w:rPr>
              <w:t>366</w:t>
            </w:r>
          </w:p>
        </w:tc>
        <w:tc>
          <w:tcPr>
            <w:tcW w:w="822" w:type="dxa"/>
            <w:tcBorders>
              <w:bottom w:val="single" w:sz="12" w:space="0" w:color="auto"/>
            </w:tcBorders>
            <w:shd w:val="clear" w:color="auto" w:fill="auto"/>
            <w:noWrap/>
            <w:vAlign w:val="bottom"/>
            <w:hideMark/>
          </w:tcPr>
          <w:p w14:paraId="00BE2F7F" w14:textId="5F46F81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142</w:t>
            </w:r>
            <w:r w:rsidR="00D339D7" w:rsidRPr="005B30A9">
              <w:rPr>
                <w:sz w:val="18"/>
              </w:rPr>
              <w:t xml:space="preserve"> </w:t>
            </w:r>
            <w:r w:rsidRPr="005B30A9">
              <w:rPr>
                <w:sz w:val="18"/>
              </w:rPr>
              <w:t>212</w:t>
            </w:r>
          </w:p>
        </w:tc>
        <w:tc>
          <w:tcPr>
            <w:tcW w:w="822" w:type="dxa"/>
            <w:tcBorders>
              <w:bottom w:val="single" w:sz="12" w:space="0" w:color="auto"/>
            </w:tcBorders>
            <w:shd w:val="clear" w:color="auto" w:fill="auto"/>
            <w:noWrap/>
            <w:vAlign w:val="bottom"/>
            <w:hideMark/>
          </w:tcPr>
          <w:p w14:paraId="1B30CA32" w14:textId="19F2C2FD"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148</w:t>
            </w:r>
            <w:r w:rsidR="00D339D7" w:rsidRPr="005B30A9">
              <w:rPr>
                <w:sz w:val="18"/>
              </w:rPr>
              <w:t xml:space="preserve"> </w:t>
            </w:r>
            <w:r w:rsidRPr="005B30A9">
              <w:rPr>
                <w:sz w:val="18"/>
              </w:rPr>
              <w:t>950</w:t>
            </w:r>
          </w:p>
        </w:tc>
        <w:tc>
          <w:tcPr>
            <w:tcW w:w="822" w:type="dxa"/>
            <w:tcBorders>
              <w:bottom w:val="single" w:sz="12" w:space="0" w:color="auto"/>
            </w:tcBorders>
            <w:shd w:val="clear" w:color="auto" w:fill="auto"/>
            <w:noWrap/>
            <w:vAlign w:val="bottom"/>
            <w:hideMark/>
          </w:tcPr>
          <w:p w14:paraId="39C99657" w14:textId="5AABD414"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146</w:t>
            </w:r>
            <w:r w:rsidR="00D339D7" w:rsidRPr="005B30A9">
              <w:rPr>
                <w:sz w:val="18"/>
              </w:rPr>
              <w:t xml:space="preserve"> </w:t>
            </w:r>
            <w:r w:rsidRPr="005B30A9">
              <w:rPr>
                <w:sz w:val="18"/>
              </w:rPr>
              <w:t>259</w:t>
            </w:r>
          </w:p>
        </w:tc>
      </w:tr>
    </w:tbl>
    <w:p w14:paraId="2185C39B" w14:textId="77777777" w:rsidR="00B316CF" w:rsidRPr="005B30A9" w:rsidRDefault="00B316CF" w:rsidP="00B316CF">
      <w:pPr>
        <w:pStyle w:val="SingleTxtG"/>
        <w:spacing w:before="120" w:after="0"/>
        <w:ind w:firstLine="170"/>
        <w:jc w:val="left"/>
        <w:rPr>
          <w:sz w:val="18"/>
          <w:szCs w:val="18"/>
        </w:rPr>
      </w:pPr>
      <w:r w:rsidRPr="005B30A9">
        <w:rPr>
          <w:i/>
          <w:iCs/>
          <w:sz w:val="18"/>
          <w:szCs w:val="18"/>
        </w:rPr>
        <w:t>Fuente</w:t>
      </w:r>
      <w:r w:rsidRPr="007A4BD8">
        <w:rPr>
          <w:i/>
          <w:iCs/>
          <w:sz w:val="18"/>
          <w:szCs w:val="18"/>
        </w:rPr>
        <w:t>:</w:t>
      </w:r>
      <w:r w:rsidRPr="005B30A9">
        <w:rPr>
          <w:sz w:val="18"/>
          <w:szCs w:val="18"/>
        </w:rPr>
        <w:t xml:space="preserve"> Estadísticas del BMF de Austria.</w:t>
      </w:r>
    </w:p>
    <w:p w14:paraId="6615ACD0" w14:textId="16C57590" w:rsidR="009612CC" w:rsidRPr="005B30A9" w:rsidRDefault="009612CC" w:rsidP="00B316CF">
      <w:pPr>
        <w:pStyle w:val="SingleTxtG"/>
        <w:ind w:firstLine="170"/>
        <w:jc w:val="left"/>
        <w:rPr>
          <w:sz w:val="18"/>
          <w:szCs w:val="18"/>
        </w:rPr>
      </w:pPr>
      <w:r w:rsidRPr="007A4BD8">
        <w:t>*</w:t>
      </w:r>
      <w:r w:rsidRPr="005B30A9">
        <w:rPr>
          <w:sz w:val="18"/>
          <w:szCs w:val="18"/>
        </w:rPr>
        <w:t xml:space="preserve"> </w:t>
      </w:r>
      <w:r w:rsidR="00D339D7" w:rsidRPr="005B30A9">
        <w:rPr>
          <w:sz w:val="18"/>
          <w:szCs w:val="18"/>
        </w:rPr>
        <w:t xml:space="preserve"> </w:t>
      </w:r>
      <w:r w:rsidRPr="005B30A9">
        <w:rPr>
          <w:sz w:val="18"/>
          <w:szCs w:val="18"/>
        </w:rPr>
        <w:t>Gasto en empleo, educación, alimentación, sanidad, seguridad social, agua y aguas residuales, vivienda y cultura.</w:t>
      </w:r>
    </w:p>
    <w:p w14:paraId="0089FF0E" w14:textId="77777777" w:rsidR="009612CC" w:rsidRPr="005B30A9" w:rsidRDefault="009612CC" w:rsidP="00D339D7">
      <w:pPr>
        <w:pStyle w:val="Table1G"/>
      </w:pPr>
      <w:r w:rsidRPr="005B30A9">
        <w:t>Cuadro 14</w:t>
      </w:r>
    </w:p>
    <w:p w14:paraId="490A7781" w14:textId="52DC08AB" w:rsidR="009612CC" w:rsidRPr="005B30A9" w:rsidRDefault="009612CC" w:rsidP="00D339D7">
      <w:pPr>
        <w:pStyle w:val="SingleTxtG"/>
        <w:jc w:val="left"/>
        <w:rPr>
          <w:b/>
          <w:bCs/>
          <w:spacing w:val="-1"/>
        </w:rPr>
      </w:pPr>
      <w:r w:rsidRPr="005B30A9">
        <w:rPr>
          <w:b/>
          <w:bCs/>
          <w:spacing w:val="-1"/>
        </w:rPr>
        <w:t>Casos de discriminación en materia de derechos económicos, sociales y culturales recibidos por el GAW entre 2016/17 y 2020/21, por motivo de discriminación</w:t>
      </w:r>
    </w:p>
    <w:tbl>
      <w:tblPr>
        <w:tblW w:w="7370" w:type="dxa"/>
        <w:tblInd w:w="1134" w:type="dxa"/>
        <w:tblBorders>
          <w:top w:val="single" w:sz="4" w:space="0" w:color="auto"/>
        </w:tblBorders>
        <w:tblLayout w:type="fixed"/>
        <w:tblCellMar>
          <w:left w:w="0" w:type="dxa"/>
          <w:right w:w="0" w:type="dxa"/>
        </w:tblCellMar>
        <w:tblLook w:val="0420" w:firstRow="1" w:lastRow="0" w:firstColumn="0" w:lastColumn="0" w:noHBand="0" w:noVBand="1"/>
      </w:tblPr>
      <w:tblGrid>
        <w:gridCol w:w="1429"/>
        <w:gridCol w:w="839"/>
        <w:gridCol w:w="1143"/>
        <w:gridCol w:w="842"/>
        <w:gridCol w:w="1134"/>
        <w:gridCol w:w="850"/>
        <w:gridCol w:w="1133"/>
      </w:tblGrid>
      <w:tr w:rsidR="001416AC" w:rsidRPr="005B30A9" w14:paraId="1148CC6A" w14:textId="77777777" w:rsidTr="001416AC">
        <w:trPr>
          <w:trHeight w:val="240"/>
          <w:tblHeader/>
        </w:trPr>
        <w:tc>
          <w:tcPr>
            <w:tcW w:w="1429" w:type="dxa"/>
            <w:tcBorders>
              <w:top w:val="single" w:sz="4" w:space="0" w:color="auto"/>
              <w:bottom w:val="single" w:sz="12" w:space="0" w:color="auto"/>
            </w:tcBorders>
            <w:shd w:val="clear" w:color="auto" w:fill="auto"/>
            <w:vAlign w:val="bottom"/>
          </w:tcPr>
          <w:p w14:paraId="31976B47" w14:textId="77777777" w:rsidR="009612CC" w:rsidRPr="005B30A9" w:rsidRDefault="009612CC" w:rsidP="00D339D7">
            <w:pPr>
              <w:pStyle w:val="SingleTxtG"/>
              <w:tabs>
                <w:tab w:val="clear" w:pos="1701"/>
                <w:tab w:val="clear" w:pos="2268"/>
                <w:tab w:val="clear" w:pos="2835"/>
              </w:tabs>
              <w:spacing w:before="80" w:after="80" w:line="200" w:lineRule="exact"/>
              <w:ind w:left="0" w:right="0"/>
              <w:jc w:val="left"/>
              <w:rPr>
                <w:i/>
                <w:sz w:val="16"/>
              </w:rPr>
            </w:pPr>
            <w:r w:rsidRPr="005B30A9">
              <w:rPr>
                <w:i/>
                <w:iCs/>
                <w:sz w:val="16"/>
              </w:rPr>
              <w:t>Motivo de discriminación</w:t>
            </w:r>
          </w:p>
        </w:tc>
        <w:tc>
          <w:tcPr>
            <w:tcW w:w="839" w:type="dxa"/>
            <w:tcBorders>
              <w:top w:val="single" w:sz="4" w:space="0" w:color="auto"/>
              <w:bottom w:val="single" w:sz="12" w:space="0" w:color="auto"/>
            </w:tcBorders>
            <w:shd w:val="clear" w:color="auto" w:fill="auto"/>
            <w:vAlign w:val="bottom"/>
          </w:tcPr>
          <w:p w14:paraId="18FB58D0" w14:textId="77777777"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2016/17</w:t>
            </w:r>
          </w:p>
        </w:tc>
        <w:tc>
          <w:tcPr>
            <w:tcW w:w="1143" w:type="dxa"/>
            <w:tcBorders>
              <w:top w:val="single" w:sz="4" w:space="0" w:color="auto"/>
              <w:bottom w:val="single" w:sz="12" w:space="0" w:color="auto"/>
            </w:tcBorders>
            <w:shd w:val="clear" w:color="auto" w:fill="auto"/>
            <w:vAlign w:val="bottom"/>
          </w:tcPr>
          <w:p w14:paraId="7D8AEB1E" w14:textId="3A71DCD1"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 xml:space="preserve">2016/17 </w:t>
            </w:r>
            <w:r w:rsidR="00D339D7" w:rsidRPr="005B30A9">
              <w:rPr>
                <w:i/>
                <w:iCs/>
                <w:sz w:val="16"/>
              </w:rPr>
              <w:br/>
              <w:t>(</w:t>
            </w:r>
            <w:r w:rsidRPr="005B30A9">
              <w:rPr>
                <w:i/>
                <w:iCs/>
                <w:sz w:val="16"/>
              </w:rPr>
              <w:t>en porcentaje</w:t>
            </w:r>
            <w:r w:rsidR="00D339D7" w:rsidRPr="005B30A9">
              <w:rPr>
                <w:i/>
                <w:iCs/>
                <w:sz w:val="16"/>
              </w:rPr>
              <w:t>)</w:t>
            </w:r>
          </w:p>
        </w:tc>
        <w:tc>
          <w:tcPr>
            <w:tcW w:w="842" w:type="dxa"/>
            <w:tcBorders>
              <w:top w:val="single" w:sz="4" w:space="0" w:color="auto"/>
              <w:bottom w:val="single" w:sz="12" w:space="0" w:color="auto"/>
            </w:tcBorders>
            <w:shd w:val="clear" w:color="auto" w:fill="auto"/>
            <w:vAlign w:val="bottom"/>
          </w:tcPr>
          <w:p w14:paraId="556AC9A5" w14:textId="77777777"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2018/19</w:t>
            </w:r>
          </w:p>
        </w:tc>
        <w:tc>
          <w:tcPr>
            <w:tcW w:w="1134" w:type="dxa"/>
            <w:tcBorders>
              <w:top w:val="single" w:sz="4" w:space="0" w:color="auto"/>
              <w:bottom w:val="single" w:sz="12" w:space="0" w:color="auto"/>
            </w:tcBorders>
            <w:shd w:val="clear" w:color="auto" w:fill="auto"/>
            <w:vAlign w:val="bottom"/>
          </w:tcPr>
          <w:p w14:paraId="7CC6A092" w14:textId="5AF34C99"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 xml:space="preserve">2018/19 </w:t>
            </w:r>
            <w:r w:rsidR="001416AC" w:rsidRPr="005B30A9">
              <w:rPr>
                <w:i/>
                <w:iCs/>
                <w:sz w:val="16"/>
              </w:rPr>
              <w:br/>
              <w:t>(</w:t>
            </w:r>
            <w:r w:rsidRPr="005B30A9">
              <w:rPr>
                <w:i/>
                <w:iCs/>
                <w:sz w:val="16"/>
              </w:rPr>
              <w:t>en porcentaje</w:t>
            </w:r>
            <w:r w:rsidR="001416AC" w:rsidRPr="005B30A9">
              <w:rPr>
                <w:i/>
                <w:iCs/>
                <w:sz w:val="16"/>
              </w:rPr>
              <w:t>)</w:t>
            </w:r>
          </w:p>
        </w:tc>
        <w:tc>
          <w:tcPr>
            <w:tcW w:w="850" w:type="dxa"/>
            <w:tcBorders>
              <w:top w:val="single" w:sz="4" w:space="0" w:color="auto"/>
              <w:bottom w:val="single" w:sz="12" w:space="0" w:color="auto"/>
            </w:tcBorders>
            <w:shd w:val="clear" w:color="auto" w:fill="auto"/>
            <w:vAlign w:val="bottom"/>
          </w:tcPr>
          <w:p w14:paraId="6B0AF4E0" w14:textId="77777777"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2020/21</w:t>
            </w:r>
          </w:p>
        </w:tc>
        <w:tc>
          <w:tcPr>
            <w:tcW w:w="1133" w:type="dxa"/>
            <w:tcBorders>
              <w:top w:val="single" w:sz="4" w:space="0" w:color="auto"/>
              <w:bottom w:val="single" w:sz="12" w:space="0" w:color="auto"/>
            </w:tcBorders>
            <w:shd w:val="clear" w:color="auto" w:fill="auto"/>
            <w:vAlign w:val="bottom"/>
          </w:tcPr>
          <w:p w14:paraId="1E612EB0" w14:textId="1695B9EE" w:rsidR="009612CC" w:rsidRPr="005B30A9" w:rsidRDefault="009612CC" w:rsidP="00D339D7">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 xml:space="preserve">2020/21 </w:t>
            </w:r>
            <w:r w:rsidR="001416AC" w:rsidRPr="005B30A9">
              <w:rPr>
                <w:i/>
                <w:iCs/>
                <w:sz w:val="16"/>
              </w:rPr>
              <w:br/>
              <w:t>(</w:t>
            </w:r>
            <w:r w:rsidRPr="005B30A9">
              <w:rPr>
                <w:i/>
                <w:iCs/>
                <w:sz w:val="16"/>
              </w:rPr>
              <w:t>en porcentaje</w:t>
            </w:r>
            <w:r w:rsidR="001416AC" w:rsidRPr="005B30A9">
              <w:rPr>
                <w:i/>
                <w:iCs/>
                <w:sz w:val="16"/>
              </w:rPr>
              <w:t>)</w:t>
            </w:r>
          </w:p>
        </w:tc>
      </w:tr>
      <w:tr w:rsidR="00D339D7" w:rsidRPr="005B30A9" w14:paraId="6123A7DF" w14:textId="77777777" w:rsidTr="001416AC">
        <w:trPr>
          <w:trHeight w:val="240"/>
        </w:trPr>
        <w:tc>
          <w:tcPr>
            <w:tcW w:w="1429" w:type="dxa"/>
            <w:tcBorders>
              <w:top w:val="single" w:sz="12" w:space="0" w:color="auto"/>
            </w:tcBorders>
            <w:shd w:val="clear" w:color="auto" w:fill="auto"/>
          </w:tcPr>
          <w:p w14:paraId="30D6B402"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sz w:val="18"/>
              </w:rPr>
              <w:t>Género</w:t>
            </w:r>
          </w:p>
        </w:tc>
        <w:tc>
          <w:tcPr>
            <w:tcW w:w="839" w:type="dxa"/>
            <w:tcBorders>
              <w:top w:val="single" w:sz="12" w:space="0" w:color="auto"/>
            </w:tcBorders>
            <w:shd w:val="clear" w:color="auto" w:fill="auto"/>
            <w:vAlign w:val="bottom"/>
          </w:tcPr>
          <w:p w14:paraId="37C47EBA"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675</w:t>
            </w:r>
          </w:p>
        </w:tc>
        <w:tc>
          <w:tcPr>
            <w:tcW w:w="1143" w:type="dxa"/>
            <w:tcBorders>
              <w:top w:val="single" w:sz="12" w:space="0" w:color="auto"/>
            </w:tcBorders>
            <w:shd w:val="clear" w:color="auto" w:fill="auto"/>
            <w:vAlign w:val="bottom"/>
          </w:tcPr>
          <w:p w14:paraId="083E82C9" w14:textId="38E342DD"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53</w:t>
            </w:r>
          </w:p>
        </w:tc>
        <w:tc>
          <w:tcPr>
            <w:tcW w:w="842" w:type="dxa"/>
            <w:tcBorders>
              <w:top w:val="single" w:sz="12" w:space="0" w:color="auto"/>
            </w:tcBorders>
            <w:shd w:val="clear" w:color="auto" w:fill="auto"/>
            <w:vAlign w:val="bottom"/>
          </w:tcPr>
          <w:p w14:paraId="612C0AFF"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658</w:t>
            </w:r>
          </w:p>
        </w:tc>
        <w:tc>
          <w:tcPr>
            <w:tcW w:w="1134" w:type="dxa"/>
            <w:tcBorders>
              <w:top w:val="single" w:sz="12" w:space="0" w:color="auto"/>
            </w:tcBorders>
            <w:shd w:val="clear" w:color="auto" w:fill="auto"/>
            <w:vAlign w:val="bottom"/>
          </w:tcPr>
          <w:p w14:paraId="71AEB864" w14:textId="0188E0C8"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49</w:t>
            </w:r>
          </w:p>
        </w:tc>
        <w:tc>
          <w:tcPr>
            <w:tcW w:w="850" w:type="dxa"/>
            <w:tcBorders>
              <w:top w:val="single" w:sz="12" w:space="0" w:color="auto"/>
            </w:tcBorders>
            <w:shd w:val="clear" w:color="auto" w:fill="auto"/>
            <w:vAlign w:val="bottom"/>
          </w:tcPr>
          <w:p w14:paraId="56E4D9C6"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662</w:t>
            </w:r>
          </w:p>
        </w:tc>
        <w:tc>
          <w:tcPr>
            <w:tcW w:w="1133" w:type="dxa"/>
            <w:tcBorders>
              <w:top w:val="single" w:sz="12" w:space="0" w:color="auto"/>
            </w:tcBorders>
            <w:shd w:val="clear" w:color="auto" w:fill="auto"/>
            <w:vAlign w:val="bottom"/>
          </w:tcPr>
          <w:p w14:paraId="24836E1A" w14:textId="7B241532"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51</w:t>
            </w:r>
          </w:p>
        </w:tc>
      </w:tr>
      <w:tr w:rsidR="00D339D7" w:rsidRPr="005B30A9" w14:paraId="7AE1B198" w14:textId="77777777" w:rsidTr="001416AC">
        <w:trPr>
          <w:trHeight w:val="240"/>
        </w:trPr>
        <w:tc>
          <w:tcPr>
            <w:tcW w:w="1429" w:type="dxa"/>
            <w:shd w:val="clear" w:color="auto" w:fill="auto"/>
          </w:tcPr>
          <w:p w14:paraId="2FEBFA58"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sz w:val="18"/>
              </w:rPr>
              <w:t>Origen étnico</w:t>
            </w:r>
          </w:p>
        </w:tc>
        <w:tc>
          <w:tcPr>
            <w:tcW w:w="839" w:type="dxa"/>
            <w:shd w:val="clear" w:color="auto" w:fill="auto"/>
            <w:vAlign w:val="bottom"/>
          </w:tcPr>
          <w:p w14:paraId="0AEFBDC4"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309</w:t>
            </w:r>
          </w:p>
        </w:tc>
        <w:tc>
          <w:tcPr>
            <w:tcW w:w="1143" w:type="dxa"/>
            <w:shd w:val="clear" w:color="auto" w:fill="auto"/>
            <w:vAlign w:val="bottom"/>
          </w:tcPr>
          <w:p w14:paraId="2A4FB9BB" w14:textId="324E1661"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24</w:t>
            </w:r>
          </w:p>
        </w:tc>
        <w:tc>
          <w:tcPr>
            <w:tcW w:w="842" w:type="dxa"/>
            <w:shd w:val="clear" w:color="auto" w:fill="auto"/>
            <w:vAlign w:val="bottom"/>
          </w:tcPr>
          <w:p w14:paraId="4F95173F"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374</w:t>
            </w:r>
          </w:p>
        </w:tc>
        <w:tc>
          <w:tcPr>
            <w:tcW w:w="1134" w:type="dxa"/>
            <w:shd w:val="clear" w:color="auto" w:fill="auto"/>
            <w:vAlign w:val="bottom"/>
          </w:tcPr>
          <w:p w14:paraId="25A99D56" w14:textId="78BD45F3"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28</w:t>
            </w:r>
          </w:p>
        </w:tc>
        <w:tc>
          <w:tcPr>
            <w:tcW w:w="850" w:type="dxa"/>
            <w:shd w:val="clear" w:color="auto" w:fill="auto"/>
            <w:vAlign w:val="bottom"/>
          </w:tcPr>
          <w:p w14:paraId="7705B0B9"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357</w:t>
            </w:r>
          </w:p>
        </w:tc>
        <w:tc>
          <w:tcPr>
            <w:tcW w:w="1133" w:type="dxa"/>
            <w:shd w:val="clear" w:color="auto" w:fill="auto"/>
            <w:vAlign w:val="bottom"/>
          </w:tcPr>
          <w:p w14:paraId="3059AA29" w14:textId="10317CC2"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27</w:t>
            </w:r>
          </w:p>
        </w:tc>
      </w:tr>
      <w:tr w:rsidR="00D339D7" w:rsidRPr="005B30A9" w14:paraId="49F3F63C" w14:textId="77777777" w:rsidTr="001416AC">
        <w:trPr>
          <w:trHeight w:val="240"/>
        </w:trPr>
        <w:tc>
          <w:tcPr>
            <w:tcW w:w="1429" w:type="dxa"/>
            <w:shd w:val="clear" w:color="auto" w:fill="auto"/>
          </w:tcPr>
          <w:p w14:paraId="3F671818"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sz w:val="18"/>
              </w:rPr>
              <w:t>Religión</w:t>
            </w:r>
          </w:p>
        </w:tc>
        <w:tc>
          <w:tcPr>
            <w:tcW w:w="839" w:type="dxa"/>
            <w:shd w:val="clear" w:color="auto" w:fill="auto"/>
            <w:vAlign w:val="bottom"/>
          </w:tcPr>
          <w:p w14:paraId="71141E91"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74</w:t>
            </w:r>
          </w:p>
        </w:tc>
        <w:tc>
          <w:tcPr>
            <w:tcW w:w="1143" w:type="dxa"/>
            <w:shd w:val="clear" w:color="auto" w:fill="auto"/>
            <w:vAlign w:val="bottom"/>
          </w:tcPr>
          <w:p w14:paraId="2BE59651" w14:textId="558BCD28"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6</w:t>
            </w:r>
          </w:p>
        </w:tc>
        <w:tc>
          <w:tcPr>
            <w:tcW w:w="842" w:type="dxa"/>
            <w:shd w:val="clear" w:color="auto" w:fill="auto"/>
            <w:vAlign w:val="bottom"/>
          </w:tcPr>
          <w:p w14:paraId="21C45BCC"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88</w:t>
            </w:r>
          </w:p>
        </w:tc>
        <w:tc>
          <w:tcPr>
            <w:tcW w:w="1134" w:type="dxa"/>
            <w:shd w:val="clear" w:color="auto" w:fill="auto"/>
            <w:vAlign w:val="bottom"/>
          </w:tcPr>
          <w:p w14:paraId="050267B2" w14:textId="6F4A5796"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7</w:t>
            </w:r>
          </w:p>
        </w:tc>
        <w:tc>
          <w:tcPr>
            <w:tcW w:w="850" w:type="dxa"/>
            <w:shd w:val="clear" w:color="auto" w:fill="auto"/>
            <w:vAlign w:val="bottom"/>
          </w:tcPr>
          <w:p w14:paraId="4850CF30"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78</w:t>
            </w:r>
          </w:p>
        </w:tc>
        <w:tc>
          <w:tcPr>
            <w:tcW w:w="1133" w:type="dxa"/>
            <w:shd w:val="clear" w:color="auto" w:fill="auto"/>
            <w:vAlign w:val="bottom"/>
          </w:tcPr>
          <w:p w14:paraId="5F292EC4" w14:textId="120F1074"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6</w:t>
            </w:r>
          </w:p>
        </w:tc>
      </w:tr>
      <w:tr w:rsidR="00D339D7" w:rsidRPr="005B30A9" w14:paraId="54CE8EEF" w14:textId="77777777" w:rsidTr="001416AC">
        <w:trPr>
          <w:trHeight w:val="240"/>
        </w:trPr>
        <w:tc>
          <w:tcPr>
            <w:tcW w:w="1429" w:type="dxa"/>
            <w:shd w:val="clear" w:color="auto" w:fill="auto"/>
          </w:tcPr>
          <w:p w14:paraId="2F3A3E41"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sz w:val="18"/>
              </w:rPr>
              <w:t>Creencias</w:t>
            </w:r>
          </w:p>
        </w:tc>
        <w:tc>
          <w:tcPr>
            <w:tcW w:w="839" w:type="dxa"/>
            <w:shd w:val="clear" w:color="auto" w:fill="auto"/>
            <w:vAlign w:val="bottom"/>
          </w:tcPr>
          <w:p w14:paraId="68731103"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28</w:t>
            </w:r>
          </w:p>
        </w:tc>
        <w:tc>
          <w:tcPr>
            <w:tcW w:w="1143" w:type="dxa"/>
            <w:shd w:val="clear" w:color="auto" w:fill="auto"/>
            <w:vAlign w:val="bottom"/>
          </w:tcPr>
          <w:p w14:paraId="21609248" w14:textId="66F6E876"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w:t>
            </w:r>
          </w:p>
        </w:tc>
        <w:tc>
          <w:tcPr>
            <w:tcW w:w="842" w:type="dxa"/>
            <w:shd w:val="clear" w:color="auto" w:fill="auto"/>
            <w:vAlign w:val="bottom"/>
          </w:tcPr>
          <w:p w14:paraId="10D8A71B"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28</w:t>
            </w:r>
          </w:p>
        </w:tc>
        <w:tc>
          <w:tcPr>
            <w:tcW w:w="1134" w:type="dxa"/>
            <w:shd w:val="clear" w:color="auto" w:fill="auto"/>
            <w:vAlign w:val="bottom"/>
          </w:tcPr>
          <w:p w14:paraId="628F6D34" w14:textId="2940EB28"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w:t>
            </w:r>
          </w:p>
        </w:tc>
        <w:tc>
          <w:tcPr>
            <w:tcW w:w="850" w:type="dxa"/>
            <w:shd w:val="clear" w:color="auto" w:fill="auto"/>
            <w:vAlign w:val="bottom"/>
          </w:tcPr>
          <w:p w14:paraId="335D5F26"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34</w:t>
            </w:r>
          </w:p>
        </w:tc>
        <w:tc>
          <w:tcPr>
            <w:tcW w:w="1133" w:type="dxa"/>
            <w:shd w:val="clear" w:color="auto" w:fill="auto"/>
            <w:vAlign w:val="bottom"/>
          </w:tcPr>
          <w:p w14:paraId="201806EE" w14:textId="3A8A33C6"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3</w:t>
            </w:r>
          </w:p>
        </w:tc>
      </w:tr>
      <w:tr w:rsidR="00D339D7" w:rsidRPr="005B30A9" w14:paraId="008CC851" w14:textId="77777777" w:rsidTr="001416AC">
        <w:trPr>
          <w:trHeight w:val="240"/>
        </w:trPr>
        <w:tc>
          <w:tcPr>
            <w:tcW w:w="1429" w:type="dxa"/>
            <w:shd w:val="clear" w:color="auto" w:fill="auto"/>
          </w:tcPr>
          <w:p w14:paraId="134E42B0"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iCs/>
                <w:sz w:val="18"/>
              </w:rPr>
              <w:t>Edad</w:t>
            </w:r>
            <w:r w:rsidRPr="005B30A9">
              <w:rPr>
                <w:sz w:val="18"/>
              </w:rPr>
              <w:t xml:space="preserve"> </w:t>
            </w:r>
          </w:p>
        </w:tc>
        <w:tc>
          <w:tcPr>
            <w:tcW w:w="839" w:type="dxa"/>
            <w:shd w:val="clear" w:color="auto" w:fill="auto"/>
            <w:vAlign w:val="bottom"/>
          </w:tcPr>
          <w:p w14:paraId="3C6127F0"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167</w:t>
            </w:r>
          </w:p>
        </w:tc>
        <w:tc>
          <w:tcPr>
            <w:tcW w:w="1143" w:type="dxa"/>
            <w:shd w:val="clear" w:color="auto" w:fill="auto"/>
            <w:vAlign w:val="bottom"/>
          </w:tcPr>
          <w:p w14:paraId="7645FF65" w14:textId="62F10F64"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13</w:t>
            </w:r>
          </w:p>
        </w:tc>
        <w:tc>
          <w:tcPr>
            <w:tcW w:w="842" w:type="dxa"/>
            <w:shd w:val="clear" w:color="auto" w:fill="auto"/>
            <w:vAlign w:val="bottom"/>
          </w:tcPr>
          <w:p w14:paraId="7663C464"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166</w:t>
            </w:r>
          </w:p>
        </w:tc>
        <w:tc>
          <w:tcPr>
            <w:tcW w:w="1134" w:type="dxa"/>
            <w:shd w:val="clear" w:color="auto" w:fill="auto"/>
            <w:vAlign w:val="bottom"/>
          </w:tcPr>
          <w:p w14:paraId="6C723686" w14:textId="54E84EB6"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12</w:t>
            </w:r>
          </w:p>
        </w:tc>
        <w:tc>
          <w:tcPr>
            <w:tcW w:w="850" w:type="dxa"/>
            <w:shd w:val="clear" w:color="auto" w:fill="auto"/>
            <w:vAlign w:val="bottom"/>
          </w:tcPr>
          <w:p w14:paraId="74A298CE"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141</w:t>
            </w:r>
          </w:p>
        </w:tc>
        <w:tc>
          <w:tcPr>
            <w:tcW w:w="1133" w:type="dxa"/>
            <w:shd w:val="clear" w:color="auto" w:fill="auto"/>
            <w:vAlign w:val="bottom"/>
          </w:tcPr>
          <w:p w14:paraId="1CCD06DB" w14:textId="6F207EB8"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11</w:t>
            </w:r>
          </w:p>
        </w:tc>
      </w:tr>
      <w:tr w:rsidR="001416AC" w:rsidRPr="005B30A9" w14:paraId="3FC7961F" w14:textId="77777777" w:rsidTr="001416AC">
        <w:trPr>
          <w:trHeight w:val="240"/>
        </w:trPr>
        <w:tc>
          <w:tcPr>
            <w:tcW w:w="1429" w:type="dxa"/>
            <w:tcBorders>
              <w:bottom w:val="single" w:sz="4" w:space="0" w:color="auto"/>
            </w:tcBorders>
            <w:shd w:val="clear" w:color="auto" w:fill="auto"/>
          </w:tcPr>
          <w:p w14:paraId="33ED8D37" w14:textId="77777777" w:rsidR="009612CC" w:rsidRPr="005B30A9" w:rsidRDefault="009612CC" w:rsidP="00D339D7">
            <w:pPr>
              <w:pStyle w:val="SingleTxtG"/>
              <w:tabs>
                <w:tab w:val="clear" w:pos="1701"/>
                <w:tab w:val="clear" w:pos="2268"/>
                <w:tab w:val="clear" w:pos="2835"/>
              </w:tabs>
              <w:spacing w:before="40" w:after="40" w:line="220" w:lineRule="exact"/>
              <w:ind w:left="0" w:right="0"/>
              <w:jc w:val="left"/>
              <w:rPr>
                <w:bCs/>
                <w:sz w:val="18"/>
              </w:rPr>
            </w:pPr>
            <w:r w:rsidRPr="005B30A9">
              <w:rPr>
                <w:sz w:val="18"/>
              </w:rPr>
              <w:t>Orientación sexual</w:t>
            </w:r>
          </w:p>
        </w:tc>
        <w:tc>
          <w:tcPr>
            <w:tcW w:w="839" w:type="dxa"/>
            <w:tcBorders>
              <w:bottom w:val="single" w:sz="4" w:space="0" w:color="auto"/>
            </w:tcBorders>
            <w:shd w:val="clear" w:color="auto" w:fill="auto"/>
            <w:vAlign w:val="bottom"/>
          </w:tcPr>
          <w:p w14:paraId="3B4F3CE4"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28</w:t>
            </w:r>
          </w:p>
        </w:tc>
        <w:tc>
          <w:tcPr>
            <w:tcW w:w="1143" w:type="dxa"/>
            <w:tcBorders>
              <w:bottom w:val="single" w:sz="4" w:space="0" w:color="auto"/>
            </w:tcBorders>
            <w:shd w:val="clear" w:color="auto" w:fill="auto"/>
            <w:vAlign w:val="bottom"/>
          </w:tcPr>
          <w:p w14:paraId="69DFC7DC" w14:textId="4CAA5A8B"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w:t>
            </w:r>
          </w:p>
        </w:tc>
        <w:tc>
          <w:tcPr>
            <w:tcW w:w="842" w:type="dxa"/>
            <w:tcBorders>
              <w:bottom w:val="single" w:sz="4" w:space="0" w:color="auto"/>
            </w:tcBorders>
            <w:shd w:val="clear" w:color="auto" w:fill="auto"/>
            <w:vAlign w:val="bottom"/>
          </w:tcPr>
          <w:p w14:paraId="490340F3"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24</w:t>
            </w:r>
          </w:p>
        </w:tc>
        <w:tc>
          <w:tcPr>
            <w:tcW w:w="1134" w:type="dxa"/>
            <w:tcBorders>
              <w:bottom w:val="single" w:sz="4" w:space="0" w:color="auto"/>
            </w:tcBorders>
            <w:shd w:val="clear" w:color="auto" w:fill="auto"/>
            <w:vAlign w:val="bottom"/>
          </w:tcPr>
          <w:p w14:paraId="1CDF980D" w14:textId="3E607085"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w:t>
            </w:r>
          </w:p>
        </w:tc>
        <w:tc>
          <w:tcPr>
            <w:tcW w:w="850" w:type="dxa"/>
            <w:tcBorders>
              <w:bottom w:val="single" w:sz="4" w:space="0" w:color="auto"/>
            </w:tcBorders>
            <w:shd w:val="clear" w:color="auto" w:fill="auto"/>
            <w:vAlign w:val="bottom"/>
          </w:tcPr>
          <w:p w14:paraId="48D8E22B" w14:textId="77777777"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27</w:t>
            </w:r>
          </w:p>
        </w:tc>
        <w:tc>
          <w:tcPr>
            <w:tcW w:w="1133" w:type="dxa"/>
            <w:tcBorders>
              <w:bottom w:val="single" w:sz="4" w:space="0" w:color="auto"/>
            </w:tcBorders>
            <w:shd w:val="clear" w:color="auto" w:fill="auto"/>
            <w:vAlign w:val="bottom"/>
          </w:tcPr>
          <w:p w14:paraId="43697558" w14:textId="14C978FC" w:rsidR="009612CC" w:rsidRPr="005B30A9" w:rsidRDefault="009612CC" w:rsidP="00D339D7">
            <w:pPr>
              <w:pStyle w:val="SingleTxtG"/>
              <w:tabs>
                <w:tab w:val="clear" w:pos="1701"/>
                <w:tab w:val="clear" w:pos="2268"/>
                <w:tab w:val="clear" w:pos="2835"/>
              </w:tabs>
              <w:spacing w:before="40" w:after="40" w:line="220" w:lineRule="exact"/>
              <w:ind w:left="0" w:right="28"/>
              <w:jc w:val="right"/>
              <w:rPr>
                <w:sz w:val="18"/>
              </w:rPr>
            </w:pPr>
            <w:r w:rsidRPr="005B30A9">
              <w:rPr>
                <w:sz w:val="18"/>
              </w:rPr>
              <w:t>2</w:t>
            </w:r>
          </w:p>
        </w:tc>
      </w:tr>
      <w:tr w:rsidR="001416AC" w:rsidRPr="005B30A9" w14:paraId="196A4415" w14:textId="77777777" w:rsidTr="001416AC">
        <w:trPr>
          <w:trHeight w:val="240"/>
        </w:trPr>
        <w:tc>
          <w:tcPr>
            <w:tcW w:w="1429" w:type="dxa"/>
            <w:tcBorders>
              <w:top w:val="single" w:sz="4" w:space="0" w:color="auto"/>
              <w:bottom w:val="single" w:sz="12" w:space="0" w:color="auto"/>
            </w:tcBorders>
            <w:shd w:val="clear" w:color="auto" w:fill="auto"/>
          </w:tcPr>
          <w:p w14:paraId="66D70557" w14:textId="77777777" w:rsidR="009612CC" w:rsidRPr="005B30A9" w:rsidRDefault="009612CC" w:rsidP="00D339D7">
            <w:pPr>
              <w:pStyle w:val="SingleTxtG"/>
              <w:tabs>
                <w:tab w:val="clear" w:pos="1701"/>
                <w:tab w:val="clear" w:pos="2268"/>
                <w:tab w:val="clear" w:pos="2835"/>
              </w:tabs>
              <w:spacing w:before="80" w:after="80" w:line="220" w:lineRule="exact"/>
              <w:ind w:left="283" w:right="0"/>
              <w:jc w:val="left"/>
              <w:rPr>
                <w:b/>
                <w:bCs/>
                <w:sz w:val="18"/>
              </w:rPr>
            </w:pPr>
            <w:r w:rsidRPr="005B30A9">
              <w:rPr>
                <w:b/>
                <w:sz w:val="18"/>
              </w:rPr>
              <w:t>Total</w:t>
            </w:r>
          </w:p>
        </w:tc>
        <w:tc>
          <w:tcPr>
            <w:tcW w:w="839" w:type="dxa"/>
            <w:tcBorders>
              <w:top w:val="single" w:sz="4" w:space="0" w:color="auto"/>
              <w:bottom w:val="single" w:sz="12" w:space="0" w:color="auto"/>
            </w:tcBorders>
            <w:shd w:val="clear" w:color="auto" w:fill="auto"/>
            <w:vAlign w:val="bottom"/>
          </w:tcPr>
          <w:p w14:paraId="61F4D1E4" w14:textId="5194EDEA" w:rsidR="009612CC" w:rsidRPr="005B30A9" w:rsidRDefault="009612CC" w:rsidP="00D339D7">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w:t>
            </w:r>
            <w:r w:rsidR="001416AC" w:rsidRPr="005B30A9">
              <w:rPr>
                <w:b/>
                <w:bCs/>
                <w:sz w:val="18"/>
              </w:rPr>
              <w:t xml:space="preserve"> </w:t>
            </w:r>
            <w:r w:rsidRPr="005B30A9">
              <w:rPr>
                <w:b/>
                <w:bCs/>
                <w:sz w:val="18"/>
              </w:rPr>
              <w:t>281</w:t>
            </w:r>
          </w:p>
        </w:tc>
        <w:tc>
          <w:tcPr>
            <w:tcW w:w="1143" w:type="dxa"/>
            <w:tcBorders>
              <w:top w:val="single" w:sz="4" w:space="0" w:color="auto"/>
              <w:bottom w:val="single" w:sz="12" w:space="0" w:color="auto"/>
            </w:tcBorders>
            <w:shd w:val="clear" w:color="auto" w:fill="auto"/>
            <w:vAlign w:val="bottom"/>
          </w:tcPr>
          <w:p w14:paraId="0824F844" w14:textId="103306C9" w:rsidR="009612CC" w:rsidRPr="005B30A9" w:rsidRDefault="009612CC" w:rsidP="00D339D7">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100</w:t>
            </w:r>
          </w:p>
        </w:tc>
        <w:tc>
          <w:tcPr>
            <w:tcW w:w="842" w:type="dxa"/>
            <w:tcBorders>
              <w:top w:val="single" w:sz="4" w:space="0" w:color="auto"/>
              <w:bottom w:val="single" w:sz="12" w:space="0" w:color="auto"/>
            </w:tcBorders>
            <w:shd w:val="clear" w:color="auto" w:fill="auto"/>
            <w:vAlign w:val="bottom"/>
          </w:tcPr>
          <w:p w14:paraId="0D54F36A" w14:textId="6C7A8A87" w:rsidR="009612CC" w:rsidRPr="005B30A9" w:rsidRDefault="009612CC" w:rsidP="00D339D7">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w:t>
            </w:r>
            <w:r w:rsidR="001416AC" w:rsidRPr="005B30A9">
              <w:rPr>
                <w:b/>
                <w:bCs/>
                <w:sz w:val="18"/>
              </w:rPr>
              <w:t xml:space="preserve"> </w:t>
            </w:r>
            <w:r w:rsidRPr="005B30A9">
              <w:rPr>
                <w:b/>
                <w:bCs/>
                <w:sz w:val="18"/>
              </w:rPr>
              <w:t>338</w:t>
            </w:r>
          </w:p>
        </w:tc>
        <w:tc>
          <w:tcPr>
            <w:tcW w:w="1134" w:type="dxa"/>
            <w:tcBorders>
              <w:top w:val="single" w:sz="4" w:space="0" w:color="auto"/>
              <w:bottom w:val="single" w:sz="12" w:space="0" w:color="auto"/>
            </w:tcBorders>
            <w:shd w:val="clear" w:color="auto" w:fill="auto"/>
            <w:vAlign w:val="bottom"/>
          </w:tcPr>
          <w:p w14:paraId="0F0AF184" w14:textId="1097F915" w:rsidR="009612CC" w:rsidRPr="005B30A9" w:rsidRDefault="009612CC" w:rsidP="00D339D7">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100</w:t>
            </w:r>
          </w:p>
        </w:tc>
        <w:tc>
          <w:tcPr>
            <w:tcW w:w="850" w:type="dxa"/>
            <w:tcBorders>
              <w:top w:val="single" w:sz="4" w:space="0" w:color="auto"/>
              <w:bottom w:val="single" w:sz="12" w:space="0" w:color="auto"/>
            </w:tcBorders>
            <w:shd w:val="clear" w:color="auto" w:fill="auto"/>
            <w:vAlign w:val="bottom"/>
          </w:tcPr>
          <w:p w14:paraId="31E01DC9" w14:textId="7C3D0B80" w:rsidR="009612CC" w:rsidRPr="005B30A9" w:rsidRDefault="009612CC" w:rsidP="00D339D7">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w:t>
            </w:r>
            <w:r w:rsidR="001416AC" w:rsidRPr="005B30A9">
              <w:rPr>
                <w:b/>
                <w:bCs/>
                <w:sz w:val="18"/>
              </w:rPr>
              <w:t xml:space="preserve"> </w:t>
            </w:r>
            <w:r w:rsidRPr="005B30A9">
              <w:rPr>
                <w:b/>
                <w:bCs/>
                <w:sz w:val="18"/>
              </w:rPr>
              <w:t>299</w:t>
            </w:r>
          </w:p>
        </w:tc>
        <w:tc>
          <w:tcPr>
            <w:tcW w:w="1133" w:type="dxa"/>
            <w:tcBorders>
              <w:top w:val="single" w:sz="4" w:space="0" w:color="auto"/>
              <w:bottom w:val="single" w:sz="12" w:space="0" w:color="auto"/>
            </w:tcBorders>
            <w:shd w:val="clear" w:color="auto" w:fill="auto"/>
            <w:vAlign w:val="bottom"/>
          </w:tcPr>
          <w:p w14:paraId="7DE370C5" w14:textId="313B469D" w:rsidR="009612CC" w:rsidRPr="005B30A9" w:rsidRDefault="009612CC" w:rsidP="00D339D7">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100</w:t>
            </w:r>
          </w:p>
        </w:tc>
      </w:tr>
    </w:tbl>
    <w:p w14:paraId="1CC29FB0" w14:textId="77777777" w:rsidR="009612CC" w:rsidRPr="005B30A9" w:rsidRDefault="009612CC" w:rsidP="001416AC">
      <w:pPr>
        <w:pStyle w:val="Table1G"/>
        <w:spacing w:before="240"/>
      </w:pPr>
      <w:r w:rsidRPr="005B30A9">
        <w:lastRenderedPageBreak/>
        <w:t>Cuadro 14-2</w:t>
      </w:r>
    </w:p>
    <w:p w14:paraId="7174F668" w14:textId="7A6AC7C3" w:rsidR="009612CC" w:rsidRPr="005B30A9" w:rsidRDefault="009612CC" w:rsidP="001416AC">
      <w:pPr>
        <w:pStyle w:val="SingleTxtG"/>
        <w:keepNext/>
        <w:keepLines/>
        <w:jc w:val="left"/>
        <w:rPr>
          <w:b/>
          <w:bCs/>
        </w:rPr>
      </w:pPr>
      <w:r w:rsidRPr="005B30A9">
        <w:rPr>
          <w:b/>
          <w:bCs/>
        </w:rPr>
        <w:t xml:space="preserve">Casos de discriminación en anuncios recibidos por el GAW entre 2016/17 </w:t>
      </w:r>
      <w:r w:rsidR="001416AC" w:rsidRPr="005B30A9">
        <w:rPr>
          <w:b/>
          <w:bCs/>
        </w:rPr>
        <w:br/>
      </w:r>
      <w:r w:rsidRPr="005B30A9">
        <w:rPr>
          <w:b/>
          <w:bCs/>
        </w:rPr>
        <w:t>y 2020/21, divididos por puesto de trabajo y zona de vivienda</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982"/>
        <w:gridCol w:w="707"/>
        <w:gridCol w:w="1551"/>
        <w:gridCol w:w="707"/>
        <w:gridCol w:w="1414"/>
        <w:gridCol w:w="708"/>
        <w:gridCol w:w="1301"/>
      </w:tblGrid>
      <w:tr w:rsidR="001416AC" w:rsidRPr="005B30A9" w14:paraId="5C5118EA" w14:textId="77777777" w:rsidTr="001416AC">
        <w:trPr>
          <w:trHeight w:val="240"/>
          <w:tblHeader/>
        </w:trPr>
        <w:tc>
          <w:tcPr>
            <w:tcW w:w="993" w:type="dxa"/>
            <w:tcBorders>
              <w:top w:val="single" w:sz="4" w:space="0" w:color="auto"/>
              <w:bottom w:val="single" w:sz="12" w:space="0" w:color="auto"/>
            </w:tcBorders>
            <w:shd w:val="clear" w:color="auto" w:fill="auto"/>
            <w:vAlign w:val="bottom"/>
          </w:tcPr>
          <w:p w14:paraId="2F1DDAF5" w14:textId="77777777" w:rsidR="009612CC" w:rsidRPr="005B30A9" w:rsidRDefault="009612CC" w:rsidP="001416AC">
            <w:pPr>
              <w:pStyle w:val="SingleTxtG"/>
              <w:tabs>
                <w:tab w:val="clear" w:pos="1701"/>
                <w:tab w:val="clear" w:pos="2268"/>
                <w:tab w:val="clear" w:pos="2835"/>
              </w:tabs>
              <w:spacing w:before="80" w:after="80" w:line="200" w:lineRule="exact"/>
              <w:ind w:left="0" w:right="0"/>
              <w:jc w:val="left"/>
              <w:rPr>
                <w:i/>
                <w:sz w:val="16"/>
              </w:rPr>
            </w:pPr>
            <w:r w:rsidRPr="005B30A9">
              <w:rPr>
                <w:i/>
                <w:iCs/>
                <w:sz w:val="16"/>
              </w:rPr>
              <w:t>Anuncios</w:t>
            </w:r>
          </w:p>
        </w:tc>
        <w:tc>
          <w:tcPr>
            <w:tcW w:w="708" w:type="dxa"/>
            <w:tcBorders>
              <w:top w:val="single" w:sz="4" w:space="0" w:color="auto"/>
              <w:bottom w:val="single" w:sz="12" w:space="0" w:color="auto"/>
            </w:tcBorders>
            <w:shd w:val="clear" w:color="auto" w:fill="auto"/>
            <w:vAlign w:val="bottom"/>
          </w:tcPr>
          <w:p w14:paraId="2765C77E" w14:textId="77777777" w:rsidR="009612CC" w:rsidRPr="005B30A9" w:rsidRDefault="009612CC" w:rsidP="007A4BD8">
            <w:pPr>
              <w:pStyle w:val="SingleTxtG"/>
              <w:tabs>
                <w:tab w:val="clear" w:pos="1701"/>
                <w:tab w:val="clear" w:pos="2268"/>
                <w:tab w:val="clear" w:pos="2835"/>
              </w:tabs>
              <w:spacing w:before="80" w:after="80" w:line="200" w:lineRule="exact"/>
              <w:ind w:left="113" w:right="28"/>
              <w:jc w:val="right"/>
              <w:rPr>
                <w:i/>
                <w:sz w:val="16"/>
              </w:rPr>
            </w:pPr>
            <w:r w:rsidRPr="005B30A9">
              <w:rPr>
                <w:i/>
                <w:iCs/>
                <w:sz w:val="16"/>
              </w:rPr>
              <w:t>2016/17</w:t>
            </w:r>
          </w:p>
        </w:tc>
        <w:tc>
          <w:tcPr>
            <w:tcW w:w="1560" w:type="dxa"/>
            <w:tcBorders>
              <w:top w:val="single" w:sz="4" w:space="0" w:color="auto"/>
              <w:bottom w:val="single" w:sz="12" w:space="0" w:color="auto"/>
            </w:tcBorders>
            <w:shd w:val="clear" w:color="auto" w:fill="auto"/>
            <w:vAlign w:val="bottom"/>
          </w:tcPr>
          <w:p w14:paraId="06A2E220" w14:textId="77777777" w:rsidR="009612CC" w:rsidRPr="005B30A9" w:rsidRDefault="009612CC" w:rsidP="007A4BD8">
            <w:pPr>
              <w:pStyle w:val="SingleTxtG"/>
              <w:tabs>
                <w:tab w:val="clear" w:pos="1701"/>
                <w:tab w:val="clear" w:pos="2268"/>
                <w:tab w:val="clear" w:pos="2835"/>
              </w:tabs>
              <w:spacing w:before="80" w:after="80" w:line="200" w:lineRule="exact"/>
              <w:ind w:left="113" w:right="28"/>
              <w:jc w:val="right"/>
              <w:rPr>
                <w:i/>
                <w:sz w:val="16"/>
              </w:rPr>
            </w:pPr>
            <w:r w:rsidRPr="005B30A9">
              <w:rPr>
                <w:i/>
                <w:iCs/>
                <w:sz w:val="16"/>
              </w:rPr>
              <w:t>Anuncios 2016/17</w:t>
            </w:r>
          </w:p>
        </w:tc>
        <w:tc>
          <w:tcPr>
            <w:tcW w:w="708" w:type="dxa"/>
            <w:tcBorders>
              <w:top w:val="single" w:sz="4" w:space="0" w:color="auto"/>
              <w:bottom w:val="single" w:sz="12" w:space="0" w:color="auto"/>
            </w:tcBorders>
            <w:shd w:val="clear" w:color="auto" w:fill="auto"/>
            <w:vAlign w:val="bottom"/>
          </w:tcPr>
          <w:p w14:paraId="31C9A5B1" w14:textId="77777777" w:rsidR="009612CC" w:rsidRPr="005B30A9" w:rsidRDefault="009612CC" w:rsidP="007A4BD8">
            <w:pPr>
              <w:pStyle w:val="SingleTxtG"/>
              <w:tabs>
                <w:tab w:val="clear" w:pos="1701"/>
                <w:tab w:val="clear" w:pos="2268"/>
                <w:tab w:val="clear" w:pos="2835"/>
              </w:tabs>
              <w:spacing w:before="80" w:after="80" w:line="200" w:lineRule="exact"/>
              <w:ind w:left="113" w:right="28"/>
              <w:jc w:val="right"/>
              <w:rPr>
                <w:i/>
                <w:sz w:val="16"/>
              </w:rPr>
            </w:pPr>
            <w:r w:rsidRPr="005B30A9">
              <w:rPr>
                <w:i/>
                <w:iCs/>
                <w:sz w:val="16"/>
              </w:rPr>
              <w:t>2018/19</w:t>
            </w:r>
          </w:p>
        </w:tc>
        <w:tc>
          <w:tcPr>
            <w:tcW w:w="1418" w:type="dxa"/>
            <w:tcBorders>
              <w:top w:val="single" w:sz="4" w:space="0" w:color="auto"/>
              <w:bottom w:val="single" w:sz="12" w:space="0" w:color="auto"/>
            </w:tcBorders>
            <w:shd w:val="clear" w:color="auto" w:fill="auto"/>
            <w:vAlign w:val="bottom"/>
          </w:tcPr>
          <w:p w14:paraId="1FE63665" w14:textId="77777777" w:rsidR="009612CC" w:rsidRPr="005B30A9" w:rsidRDefault="009612CC" w:rsidP="007A4BD8">
            <w:pPr>
              <w:pStyle w:val="SingleTxtG"/>
              <w:tabs>
                <w:tab w:val="clear" w:pos="1701"/>
                <w:tab w:val="clear" w:pos="2268"/>
                <w:tab w:val="clear" w:pos="2835"/>
              </w:tabs>
              <w:spacing w:before="80" w:after="80" w:line="200" w:lineRule="exact"/>
              <w:ind w:left="113" w:right="28"/>
              <w:jc w:val="right"/>
              <w:rPr>
                <w:i/>
                <w:sz w:val="16"/>
              </w:rPr>
            </w:pPr>
            <w:r w:rsidRPr="005B30A9">
              <w:rPr>
                <w:i/>
                <w:iCs/>
                <w:sz w:val="16"/>
              </w:rPr>
              <w:t>Anuncios 2018/19</w:t>
            </w:r>
          </w:p>
        </w:tc>
        <w:tc>
          <w:tcPr>
            <w:tcW w:w="709" w:type="dxa"/>
            <w:tcBorders>
              <w:top w:val="single" w:sz="4" w:space="0" w:color="auto"/>
              <w:bottom w:val="single" w:sz="12" w:space="0" w:color="auto"/>
            </w:tcBorders>
            <w:shd w:val="clear" w:color="auto" w:fill="auto"/>
            <w:vAlign w:val="bottom"/>
          </w:tcPr>
          <w:p w14:paraId="5DC171EB" w14:textId="77777777" w:rsidR="009612CC" w:rsidRPr="005B30A9" w:rsidRDefault="009612CC" w:rsidP="007A4BD8">
            <w:pPr>
              <w:pStyle w:val="SingleTxtG"/>
              <w:tabs>
                <w:tab w:val="clear" w:pos="1701"/>
                <w:tab w:val="clear" w:pos="2268"/>
                <w:tab w:val="clear" w:pos="2835"/>
              </w:tabs>
              <w:spacing w:before="80" w:after="80" w:line="200" w:lineRule="exact"/>
              <w:ind w:left="113" w:right="28"/>
              <w:jc w:val="right"/>
              <w:rPr>
                <w:i/>
                <w:sz w:val="16"/>
              </w:rPr>
            </w:pPr>
            <w:r w:rsidRPr="005B30A9">
              <w:rPr>
                <w:i/>
                <w:iCs/>
                <w:sz w:val="16"/>
              </w:rPr>
              <w:t>2020/21</w:t>
            </w:r>
          </w:p>
        </w:tc>
        <w:tc>
          <w:tcPr>
            <w:tcW w:w="1274" w:type="dxa"/>
            <w:tcBorders>
              <w:top w:val="single" w:sz="4" w:space="0" w:color="auto"/>
              <w:bottom w:val="single" w:sz="12" w:space="0" w:color="auto"/>
            </w:tcBorders>
            <w:shd w:val="clear" w:color="auto" w:fill="auto"/>
            <w:vAlign w:val="bottom"/>
          </w:tcPr>
          <w:p w14:paraId="613C2B2C" w14:textId="77777777" w:rsidR="009612CC" w:rsidRPr="005B30A9" w:rsidRDefault="009612CC" w:rsidP="007A4BD8">
            <w:pPr>
              <w:pStyle w:val="SingleTxtG"/>
              <w:tabs>
                <w:tab w:val="clear" w:pos="1701"/>
                <w:tab w:val="clear" w:pos="2268"/>
                <w:tab w:val="clear" w:pos="2835"/>
              </w:tabs>
              <w:spacing w:before="80" w:after="80" w:line="200" w:lineRule="exact"/>
              <w:ind w:left="113" w:right="28"/>
              <w:jc w:val="right"/>
              <w:rPr>
                <w:i/>
                <w:sz w:val="16"/>
              </w:rPr>
            </w:pPr>
            <w:r w:rsidRPr="005B30A9">
              <w:rPr>
                <w:i/>
                <w:iCs/>
                <w:sz w:val="16"/>
              </w:rPr>
              <w:t>Anuncios 2020/21</w:t>
            </w:r>
          </w:p>
        </w:tc>
      </w:tr>
      <w:tr w:rsidR="001416AC" w:rsidRPr="005B30A9" w14:paraId="10C4534B" w14:textId="77777777" w:rsidTr="001416AC">
        <w:trPr>
          <w:trHeight w:val="240"/>
        </w:trPr>
        <w:tc>
          <w:tcPr>
            <w:tcW w:w="993" w:type="dxa"/>
            <w:tcBorders>
              <w:top w:val="single" w:sz="12" w:space="0" w:color="auto"/>
            </w:tcBorders>
            <w:shd w:val="clear" w:color="auto" w:fill="auto"/>
          </w:tcPr>
          <w:p w14:paraId="2E35B25C"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bCs/>
                <w:sz w:val="18"/>
              </w:rPr>
            </w:pPr>
            <w:r w:rsidRPr="005B30A9">
              <w:rPr>
                <w:sz w:val="18"/>
              </w:rPr>
              <w:t xml:space="preserve">Puesto de trabajo </w:t>
            </w:r>
          </w:p>
        </w:tc>
        <w:tc>
          <w:tcPr>
            <w:tcW w:w="708" w:type="dxa"/>
            <w:tcBorders>
              <w:top w:val="single" w:sz="12" w:space="0" w:color="auto"/>
            </w:tcBorders>
            <w:shd w:val="clear" w:color="auto" w:fill="auto"/>
            <w:vAlign w:val="bottom"/>
          </w:tcPr>
          <w:p w14:paraId="5D0835BB" w14:textId="77777777" w:rsidR="009612CC" w:rsidRPr="005B30A9" w:rsidRDefault="009612CC" w:rsidP="007A4BD8">
            <w:pPr>
              <w:pStyle w:val="SingleTxtG"/>
              <w:tabs>
                <w:tab w:val="clear" w:pos="1701"/>
                <w:tab w:val="clear" w:pos="2268"/>
                <w:tab w:val="clear" w:pos="2835"/>
              </w:tabs>
              <w:spacing w:before="40" w:after="40" w:line="220" w:lineRule="exact"/>
              <w:ind w:left="113" w:right="28"/>
              <w:jc w:val="right"/>
              <w:rPr>
                <w:bCs/>
                <w:sz w:val="18"/>
              </w:rPr>
            </w:pPr>
            <w:r w:rsidRPr="005B30A9">
              <w:rPr>
                <w:sz w:val="18"/>
              </w:rPr>
              <w:t>669</w:t>
            </w:r>
          </w:p>
        </w:tc>
        <w:tc>
          <w:tcPr>
            <w:tcW w:w="1560" w:type="dxa"/>
            <w:tcBorders>
              <w:top w:val="single" w:sz="12" w:space="0" w:color="auto"/>
            </w:tcBorders>
            <w:shd w:val="clear" w:color="auto" w:fill="auto"/>
            <w:vAlign w:val="bottom"/>
          </w:tcPr>
          <w:p w14:paraId="1F023D9F" w14:textId="77777777" w:rsidR="009612CC" w:rsidRPr="005B30A9" w:rsidRDefault="009612CC" w:rsidP="007A4BD8">
            <w:pPr>
              <w:pStyle w:val="SingleTxtG"/>
              <w:tabs>
                <w:tab w:val="clear" w:pos="1701"/>
                <w:tab w:val="clear" w:pos="2268"/>
                <w:tab w:val="clear" w:pos="2835"/>
              </w:tabs>
              <w:spacing w:before="40" w:after="40" w:line="220" w:lineRule="exact"/>
              <w:ind w:left="113" w:right="28"/>
              <w:jc w:val="right"/>
              <w:rPr>
                <w:bCs/>
                <w:sz w:val="18"/>
              </w:rPr>
            </w:pPr>
            <w:r w:rsidRPr="005B30A9">
              <w:rPr>
                <w:sz w:val="18"/>
              </w:rPr>
              <w:t>134 (13 multas administrativas)</w:t>
            </w:r>
          </w:p>
        </w:tc>
        <w:tc>
          <w:tcPr>
            <w:tcW w:w="708" w:type="dxa"/>
            <w:tcBorders>
              <w:top w:val="single" w:sz="12" w:space="0" w:color="auto"/>
            </w:tcBorders>
            <w:shd w:val="clear" w:color="auto" w:fill="auto"/>
            <w:vAlign w:val="bottom"/>
          </w:tcPr>
          <w:p w14:paraId="3402CBD0" w14:textId="77777777" w:rsidR="009612CC" w:rsidRPr="005B30A9" w:rsidRDefault="009612CC" w:rsidP="007A4BD8">
            <w:pPr>
              <w:pStyle w:val="SingleTxtG"/>
              <w:tabs>
                <w:tab w:val="clear" w:pos="1701"/>
                <w:tab w:val="clear" w:pos="2268"/>
                <w:tab w:val="clear" w:pos="2835"/>
              </w:tabs>
              <w:spacing w:before="40" w:after="40" w:line="220" w:lineRule="exact"/>
              <w:ind w:left="113" w:right="28"/>
              <w:jc w:val="right"/>
              <w:rPr>
                <w:bCs/>
                <w:sz w:val="18"/>
              </w:rPr>
            </w:pPr>
            <w:r w:rsidRPr="005B30A9">
              <w:rPr>
                <w:sz w:val="18"/>
              </w:rPr>
              <w:t>433</w:t>
            </w:r>
          </w:p>
        </w:tc>
        <w:tc>
          <w:tcPr>
            <w:tcW w:w="1418" w:type="dxa"/>
            <w:tcBorders>
              <w:top w:val="single" w:sz="12" w:space="0" w:color="auto"/>
            </w:tcBorders>
            <w:shd w:val="clear" w:color="auto" w:fill="auto"/>
            <w:vAlign w:val="bottom"/>
          </w:tcPr>
          <w:p w14:paraId="6A51B63D" w14:textId="77777777" w:rsidR="009612CC" w:rsidRPr="005B30A9" w:rsidRDefault="009612CC" w:rsidP="007A4BD8">
            <w:pPr>
              <w:pStyle w:val="SingleTxtG"/>
              <w:tabs>
                <w:tab w:val="clear" w:pos="1701"/>
                <w:tab w:val="clear" w:pos="2268"/>
                <w:tab w:val="clear" w:pos="2835"/>
              </w:tabs>
              <w:spacing w:before="40" w:after="40" w:line="220" w:lineRule="exact"/>
              <w:ind w:left="113" w:right="28"/>
              <w:jc w:val="right"/>
              <w:rPr>
                <w:sz w:val="18"/>
              </w:rPr>
            </w:pPr>
            <w:r w:rsidRPr="005B30A9">
              <w:rPr>
                <w:sz w:val="18"/>
              </w:rPr>
              <w:t>51 (6 multas administrativas)</w:t>
            </w:r>
          </w:p>
        </w:tc>
        <w:tc>
          <w:tcPr>
            <w:tcW w:w="709" w:type="dxa"/>
            <w:tcBorders>
              <w:top w:val="single" w:sz="12" w:space="0" w:color="auto"/>
            </w:tcBorders>
            <w:shd w:val="clear" w:color="auto" w:fill="auto"/>
            <w:vAlign w:val="bottom"/>
          </w:tcPr>
          <w:p w14:paraId="5BC92D88" w14:textId="77777777" w:rsidR="009612CC" w:rsidRPr="005B30A9" w:rsidRDefault="009612CC" w:rsidP="007A4BD8">
            <w:pPr>
              <w:pStyle w:val="SingleTxtG"/>
              <w:tabs>
                <w:tab w:val="clear" w:pos="1701"/>
                <w:tab w:val="clear" w:pos="2268"/>
                <w:tab w:val="clear" w:pos="2835"/>
              </w:tabs>
              <w:spacing w:before="40" w:after="40" w:line="220" w:lineRule="exact"/>
              <w:ind w:left="113" w:right="28"/>
              <w:jc w:val="right"/>
              <w:rPr>
                <w:sz w:val="18"/>
              </w:rPr>
            </w:pPr>
            <w:r w:rsidRPr="005B30A9">
              <w:rPr>
                <w:sz w:val="18"/>
              </w:rPr>
              <w:t>303</w:t>
            </w:r>
          </w:p>
        </w:tc>
        <w:tc>
          <w:tcPr>
            <w:tcW w:w="1274" w:type="dxa"/>
            <w:tcBorders>
              <w:top w:val="single" w:sz="12" w:space="0" w:color="auto"/>
            </w:tcBorders>
            <w:shd w:val="clear" w:color="auto" w:fill="auto"/>
            <w:vAlign w:val="bottom"/>
          </w:tcPr>
          <w:p w14:paraId="4FE49F69" w14:textId="77777777" w:rsidR="009612CC" w:rsidRPr="005B30A9" w:rsidRDefault="009612CC" w:rsidP="007A4BD8">
            <w:pPr>
              <w:pStyle w:val="SingleTxtG"/>
              <w:tabs>
                <w:tab w:val="clear" w:pos="1701"/>
                <w:tab w:val="clear" w:pos="2268"/>
                <w:tab w:val="clear" w:pos="2835"/>
              </w:tabs>
              <w:spacing w:before="40" w:after="40" w:line="220" w:lineRule="exact"/>
              <w:ind w:left="113" w:right="28"/>
              <w:jc w:val="right"/>
              <w:rPr>
                <w:sz w:val="18"/>
              </w:rPr>
            </w:pPr>
            <w:r w:rsidRPr="005B30A9">
              <w:rPr>
                <w:sz w:val="18"/>
              </w:rPr>
              <w:t>182 (5 multas administrativas)</w:t>
            </w:r>
          </w:p>
        </w:tc>
      </w:tr>
      <w:tr w:rsidR="001416AC" w:rsidRPr="005B30A9" w14:paraId="5CA32246" w14:textId="77777777" w:rsidTr="001416AC">
        <w:trPr>
          <w:trHeight w:val="240"/>
        </w:trPr>
        <w:tc>
          <w:tcPr>
            <w:tcW w:w="993" w:type="dxa"/>
            <w:tcBorders>
              <w:bottom w:val="single" w:sz="4" w:space="0" w:color="auto"/>
            </w:tcBorders>
            <w:shd w:val="clear" w:color="auto" w:fill="auto"/>
          </w:tcPr>
          <w:p w14:paraId="56BC170C"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bCs/>
                <w:sz w:val="18"/>
              </w:rPr>
            </w:pPr>
            <w:r w:rsidRPr="005B30A9">
              <w:rPr>
                <w:sz w:val="18"/>
              </w:rPr>
              <w:t xml:space="preserve">Vivienda </w:t>
            </w:r>
          </w:p>
        </w:tc>
        <w:tc>
          <w:tcPr>
            <w:tcW w:w="708" w:type="dxa"/>
            <w:tcBorders>
              <w:bottom w:val="single" w:sz="4" w:space="0" w:color="auto"/>
            </w:tcBorders>
            <w:shd w:val="clear" w:color="auto" w:fill="auto"/>
            <w:vAlign w:val="bottom"/>
          </w:tcPr>
          <w:p w14:paraId="08CD070C" w14:textId="77777777" w:rsidR="009612CC" w:rsidRPr="005B30A9" w:rsidRDefault="009612CC" w:rsidP="007A4BD8">
            <w:pPr>
              <w:pStyle w:val="SingleTxtG"/>
              <w:tabs>
                <w:tab w:val="clear" w:pos="1701"/>
                <w:tab w:val="clear" w:pos="2268"/>
                <w:tab w:val="clear" w:pos="2835"/>
              </w:tabs>
              <w:spacing w:before="40" w:after="40" w:line="220" w:lineRule="exact"/>
              <w:ind w:left="113" w:right="28"/>
              <w:jc w:val="right"/>
              <w:rPr>
                <w:bCs/>
                <w:sz w:val="18"/>
              </w:rPr>
            </w:pPr>
            <w:r w:rsidRPr="005B30A9">
              <w:rPr>
                <w:sz w:val="18"/>
              </w:rPr>
              <w:t>20</w:t>
            </w:r>
          </w:p>
        </w:tc>
        <w:tc>
          <w:tcPr>
            <w:tcW w:w="1560" w:type="dxa"/>
            <w:tcBorders>
              <w:bottom w:val="single" w:sz="4" w:space="0" w:color="auto"/>
            </w:tcBorders>
            <w:shd w:val="clear" w:color="auto" w:fill="auto"/>
            <w:vAlign w:val="bottom"/>
          </w:tcPr>
          <w:p w14:paraId="3C94091D" w14:textId="77777777" w:rsidR="009612CC" w:rsidRPr="005B30A9" w:rsidRDefault="009612CC" w:rsidP="007A4BD8">
            <w:pPr>
              <w:pStyle w:val="SingleTxtG"/>
              <w:tabs>
                <w:tab w:val="clear" w:pos="1701"/>
                <w:tab w:val="clear" w:pos="2268"/>
                <w:tab w:val="clear" w:pos="2835"/>
              </w:tabs>
              <w:spacing w:before="40" w:after="40" w:line="220" w:lineRule="exact"/>
              <w:ind w:left="113" w:right="28"/>
              <w:jc w:val="right"/>
              <w:rPr>
                <w:bCs/>
                <w:sz w:val="18"/>
              </w:rPr>
            </w:pPr>
            <w:r w:rsidRPr="005B30A9">
              <w:rPr>
                <w:sz w:val="18"/>
              </w:rPr>
              <w:t>15 (0)</w:t>
            </w:r>
          </w:p>
        </w:tc>
        <w:tc>
          <w:tcPr>
            <w:tcW w:w="708" w:type="dxa"/>
            <w:tcBorders>
              <w:bottom w:val="single" w:sz="4" w:space="0" w:color="auto"/>
            </w:tcBorders>
            <w:shd w:val="clear" w:color="auto" w:fill="auto"/>
            <w:vAlign w:val="bottom"/>
          </w:tcPr>
          <w:p w14:paraId="162E6864" w14:textId="77777777" w:rsidR="009612CC" w:rsidRPr="005B30A9" w:rsidRDefault="009612CC" w:rsidP="007A4BD8">
            <w:pPr>
              <w:pStyle w:val="SingleTxtG"/>
              <w:tabs>
                <w:tab w:val="clear" w:pos="1701"/>
                <w:tab w:val="clear" w:pos="2268"/>
                <w:tab w:val="clear" w:pos="2835"/>
              </w:tabs>
              <w:spacing w:before="40" w:after="40" w:line="220" w:lineRule="exact"/>
              <w:ind w:left="113" w:right="28"/>
              <w:jc w:val="right"/>
              <w:rPr>
                <w:bCs/>
                <w:sz w:val="18"/>
              </w:rPr>
            </w:pPr>
            <w:r w:rsidRPr="005B30A9">
              <w:rPr>
                <w:sz w:val="18"/>
              </w:rPr>
              <w:t>12</w:t>
            </w:r>
          </w:p>
        </w:tc>
        <w:tc>
          <w:tcPr>
            <w:tcW w:w="1418" w:type="dxa"/>
            <w:tcBorders>
              <w:bottom w:val="single" w:sz="4" w:space="0" w:color="auto"/>
            </w:tcBorders>
            <w:shd w:val="clear" w:color="auto" w:fill="auto"/>
            <w:vAlign w:val="bottom"/>
          </w:tcPr>
          <w:p w14:paraId="0D67896A" w14:textId="77777777" w:rsidR="009612CC" w:rsidRPr="005B30A9" w:rsidRDefault="009612CC" w:rsidP="007A4BD8">
            <w:pPr>
              <w:pStyle w:val="SingleTxtG"/>
              <w:tabs>
                <w:tab w:val="clear" w:pos="1701"/>
                <w:tab w:val="clear" w:pos="2268"/>
                <w:tab w:val="clear" w:pos="2835"/>
              </w:tabs>
              <w:spacing w:before="40" w:after="40" w:line="220" w:lineRule="exact"/>
              <w:ind w:left="113" w:right="28"/>
              <w:jc w:val="right"/>
              <w:rPr>
                <w:sz w:val="18"/>
              </w:rPr>
            </w:pPr>
            <w:r w:rsidRPr="005B30A9">
              <w:rPr>
                <w:sz w:val="18"/>
              </w:rPr>
              <w:t>9 (0)</w:t>
            </w:r>
          </w:p>
        </w:tc>
        <w:tc>
          <w:tcPr>
            <w:tcW w:w="709" w:type="dxa"/>
            <w:tcBorders>
              <w:bottom w:val="single" w:sz="4" w:space="0" w:color="auto"/>
            </w:tcBorders>
            <w:shd w:val="clear" w:color="auto" w:fill="auto"/>
            <w:vAlign w:val="bottom"/>
          </w:tcPr>
          <w:p w14:paraId="580F6D1D" w14:textId="77777777" w:rsidR="009612CC" w:rsidRPr="005B30A9" w:rsidRDefault="009612CC" w:rsidP="007A4BD8">
            <w:pPr>
              <w:pStyle w:val="SingleTxtG"/>
              <w:tabs>
                <w:tab w:val="clear" w:pos="1701"/>
                <w:tab w:val="clear" w:pos="2268"/>
                <w:tab w:val="clear" w:pos="2835"/>
              </w:tabs>
              <w:spacing w:before="40" w:after="40" w:line="220" w:lineRule="exact"/>
              <w:ind w:left="113" w:right="28"/>
              <w:jc w:val="right"/>
              <w:rPr>
                <w:sz w:val="18"/>
              </w:rPr>
            </w:pPr>
            <w:r w:rsidRPr="005B30A9">
              <w:rPr>
                <w:sz w:val="18"/>
              </w:rPr>
              <w:t>12</w:t>
            </w:r>
          </w:p>
        </w:tc>
        <w:tc>
          <w:tcPr>
            <w:tcW w:w="1274" w:type="dxa"/>
            <w:tcBorders>
              <w:bottom w:val="single" w:sz="4" w:space="0" w:color="auto"/>
            </w:tcBorders>
            <w:shd w:val="clear" w:color="auto" w:fill="auto"/>
            <w:vAlign w:val="bottom"/>
          </w:tcPr>
          <w:p w14:paraId="62D9E7EC" w14:textId="77777777" w:rsidR="009612CC" w:rsidRPr="005B30A9" w:rsidRDefault="009612CC" w:rsidP="007A4BD8">
            <w:pPr>
              <w:pStyle w:val="SingleTxtG"/>
              <w:tabs>
                <w:tab w:val="clear" w:pos="1701"/>
                <w:tab w:val="clear" w:pos="2268"/>
                <w:tab w:val="clear" w:pos="2835"/>
              </w:tabs>
              <w:spacing w:before="40" w:after="40" w:line="220" w:lineRule="exact"/>
              <w:ind w:left="113" w:right="28"/>
              <w:jc w:val="right"/>
              <w:rPr>
                <w:sz w:val="18"/>
              </w:rPr>
            </w:pPr>
            <w:r w:rsidRPr="005B30A9">
              <w:rPr>
                <w:sz w:val="18"/>
              </w:rPr>
              <w:t>7 (0)</w:t>
            </w:r>
          </w:p>
        </w:tc>
      </w:tr>
      <w:tr w:rsidR="001416AC" w:rsidRPr="005B30A9" w14:paraId="18CA5E2A" w14:textId="77777777" w:rsidTr="001416AC">
        <w:trPr>
          <w:trHeight w:val="240"/>
        </w:trPr>
        <w:tc>
          <w:tcPr>
            <w:tcW w:w="993" w:type="dxa"/>
            <w:tcBorders>
              <w:top w:val="single" w:sz="4" w:space="0" w:color="auto"/>
              <w:bottom w:val="single" w:sz="12" w:space="0" w:color="auto"/>
            </w:tcBorders>
            <w:shd w:val="clear" w:color="auto" w:fill="auto"/>
          </w:tcPr>
          <w:p w14:paraId="7966B397" w14:textId="77777777" w:rsidR="009612CC" w:rsidRPr="005B30A9" w:rsidRDefault="009612CC" w:rsidP="001416AC">
            <w:pPr>
              <w:pStyle w:val="SingleTxtG"/>
              <w:tabs>
                <w:tab w:val="clear" w:pos="1701"/>
                <w:tab w:val="clear" w:pos="2268"/>
                <w:tab w:val="clear" w:pos="2835"/>
              </w:tabs>
              <w:spacing w:before="80" w:after="80" w:line="220" w:lineRule="exact"/>
              <w:ind w:left="283" w:right="0"/>
              <w:jc w:val="left"/>
              <w:rPr>
                <w:b/>
                <w:bCs/>
                <w:sz w:val="18"/>
              </w:rPr>
            </w:pPr>
            <w:r w:rsidRPr="005B30A9">
              <w:rPr>
                <w:b/>
                <w:sz w:val="18"/>
              </w:rPr>
              <w:t>Total</w:t>
            </w:r>
          </w:p>
        </w:tc>
        <w:tc>
          <w:tcPr>
            <w:tcW w:w="708" w:type="dxa"/>
            <w:tcBorders>
              <w:top w:val="single" w:sz="4" w:space="0" w:color="auto"/>
              <w:bottom w:val="single" w:sz="12" w:space="0" w:color="auto"/>
            </w:tcBorders>
            <w:shd w:val="clear" w:color="auto" w:fill="auto"/>
            <w:vAlign w:val="bottom"/>
          </w:tcPr>
          <w:p w14:paraId="740491BA" w14:textId="77777777" w:rsidR="009612CC" w:rsidRPr="005B30A9" w:rsidRDefault="009612CC" w:rsidP="007A4BD8">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689</w:t>
            </w:r>
          </w:p>
        </w:tc>
        <w:tc>
          <w:tcPr>
            <w:tcW w:w="1560" w:type="dxa"/>
            <w:tcBorders>
              <w:top w:val="single" w:sz="4" w:space="0" w:color="auto"/>
              <w:bottom w:val="single" w:sz="12" w:space="0" w:color="auto"/>
            </w:tcBorders>
            <w:shd w:val="clear" w:color="auto" w:fill="auto"/>
            <w:vAlign w:val="bottom"/>
          </w:tcPr>
          <w:p w14:paraId="6E577FBC" w14:textId="77777777" w:rsidR="009612CC" w:rsidRPr="005B30A9" w:rsidRDefault="009612CC" w:rsidP="007A4BD8">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184</w:t>
            </w:r>
          </w:p>
        </w:tc>
        <w:tc>
          <w:tcPr>
            <w:tcW w:w="708" w:type="dxa"/>
            <w:tcBorders>
              <w:top w:val="single" w:sz="4" w:space="0" w:color="auto"/>
              <w:bottom w:val="single" w:sz="12" w:space="0" w:color="auto"/>
            </w:tcBorders>
            <w:shd w:val="clear" w:color="auto" w:fill="auto"/>
            <w:vAlign w:val="bottom"/>
          </w:tcPr>
          <w:p w14:paraId="2DCC302E" w14:textId="77777777" w:rsidR="009612CC" w:rsidRPr="005B30A9" w:rsidRDefault="009612CC" w:rsidP="007A4BD8">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445</w:t>
            </w:r>
          </w:p>
        </w:tc>
        <w:tc>
          <w:tcPr>
            <w:tcW w:w="1418" w:type="dxa"/>
            <w:tcBorders>
              <w:top w:val="single" w:sz="4" w:space="0" w:color="auto"/>
              <w:bottom w:val="single" w:sz="12" w:space="0" w:color="auto"/>
            </w:tcBorders>
            <w:shd w:val="clear" w:color="auto" w:fill="auto"/>
            <w:vAlign w:val="bottom"/>
          </w:tcPr>
          <w:p w14:paraId="0D61294F" w14:textId="77777777" w:rsidR="009612CC" w:rsidRPr="005B30A9" w:rsidRDefault="009612CC" w:rsidP="007A4BD8">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60</w:t>
            </w:r>
          </w:p>
        </w:tc>
        <w:tc>
          <w:tcPr>
            <w:tcW w:w="709" w:type="dxa"/>
            <w:tcBorders>
              <w:top w:val="single" w:sz="4" w:space="0" w:color="auto"/>
              <w:bottom w:val="single" w:sz="12" w:space="0" w:color="auto"/>
            </w:tcBorders>
            <w:shd w:val="clear" w:color="auto" w:fill="auto"/>
            <w:vAlign w:val="bottom"/>
          </w:tcPr>
          <w:p w14:paraId="637A71F2" w14:textId="77777777" w:rsidR="009612CC" w:rsidRPr="005B30A9" w:rsidRDefault="009612CC" w:rsidP="007A4BD8">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315</w:t>
            </w:r>
          </w:p>
        </w:tc>
        <w:tc>
          <w:tcPr>
            <w:tcW w:w="1274" w:type="dxa"/>
            <w:tcBorders>
              <w:top w:val="single" w:sz="4" w:space="0" w:color="auto"/>
              <w:bottom w:val="single" w:sz="12" w:space="0" w:color="auto"/>
            </w:tcBorders>
            <w:shd w:val="clear" w:color="auto" w:fill="auto"/>
            <w:vAlign w:val="bottom"/>
          </w:tcPr>
          <w:p w14:paraId="6B723E3B" w14:textId="77777777" w:rsidR="009612CC" w:rsidRPr="005B30A9" w:rsidRDefault="009612CC" w:rsidP="007A4BD8">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189</w:t>
            </w:r>
          </w:p>
        </w:tc>
      </w:tr>
    </w:tbl>
    <w:p w14:paraId="268B2722" w14:textId="77777777" w:rsidR="009612CC" w:rsidRPr="005B30A9" w:rsidRDefault="009612CC" w:rsidP="001416AC">
      <w:pPr>
        <w:pStyle w:val="SingleTxtG"/>
        <w:spacing w:before="120"/>
        <w:ind w:firstLine="170"/>
        <w:jc w:val="left"/>
        <w:rPr>
          <w:bCs/>
          <w:sz w:val="18"/>
          <w:szCs w:val="18"/>
        </w:rPr>
      </w:pPr>
      <w:r w:rsidRPr="005B30A9">
        <w:rPr>
          <w:i/>
          <w:iCs/>
          <w:sz w:val="18"/>
          <w:szCs w:val="18"/>
        </w:rPr>
        <w:t>Fuente</w:t>
      </w:r>
      <w:r w:rsidRPr="005B30A9">
        <w:rPr>
          <w:sz w:val="18"/>
          <w:szCs w:val="18"/>
        </w:rPr>
        <w:t>: GAW.</w:t>
      </w:r>
    </w:p>
    <w:p w14:paraId="43690DD5" w14:textId="77777777" w:rsidR="009612CC" w:rsidRPr="005B30A9" w:rsidRDefault="009612CC" w:rsidP="001416AC">
      <w:pPr>
        <w:pStyle w:val="Table1G"/>
      </w:pPr>
      <w:r w:rsidRPr="005B30A9">
        <w:t>Cuadro 15</w:t>
      </w:r>
    </w:p>
    <w:p w14:paraId="30446CFC" w14:textId="1E3BE271" w:rsidR="009612CC" w:rsidRPr="005B30A9" w:rsidRDefault="009612CC" w:rsidP="00772A82">
      <w:pPr>
        <w:pStyle w:val="SingleTxtG"/>
        <w:keepNext/>
        <w:keepLines/>
        <w:jc w:val="left"/>
        <w:rPr>
          <w:b/>
          <w:bCs/>
        </w:rPr>
      </w:pPr>
      <w:r w:rsidRPr="005B30A9">
        <w:rPr>
          <w:b/>
          <w:bCs/>
        </w:rPr>
        <w:t xml:space="preserve">Elementos de discriminación en las 116 denuncias presentadas ante el Senado I </w:t>
      </w:r>
      <w:r w:rsidR="001416AC" w:rsidRPr="005B30A9">
        <w:rPr>
          <w:b/>
          <w:bCs/>
        </w:rPr>
        <w:br/>
      </w:r>
      <w:r w:rsidRPr="005B30A9">
        <w:rPr>
          <w:b/>
          <w:bCs/>
        </w:rPr>
        <w:t>de la GBK en 2020/21 (a menudo con respuestas múltiples)</w:t>
      </w:r>
      <w:r w:rsidRPr="005B30A9">
        <w:t xml:space="preserve"> </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1701"/>
        <w:gridCol w:w="4961"/>
        <w:gridCol w:w="708"/>
      </w:tblGrid>
      <w:tr w:rsidR="001416AC" w:rsidRPr="005B30A9" w14:paraId="458663B3" w14:textId="77777777" w:rsidTr="007A4BD8">
        <w:trPr>
          <w:trHeight w:val="240"/>
          <w:tblHeader/>
        </w:trPr>
        <w:tc>
          <w:tcPr>
            <w:tcW w:w="1154" w:type="pct"/>
            <w:tcBorders>
              <w:top w:val="single" w:sz="4" w:space="0" w:color="auto"/>
              <w:bottom w:val="single" w:sz="12" w:space="0" w:color="auto"/>
            </w:tcBorders>
            <w:shd w:val="clear" w:color="auto" w:fill="auto"/>
            <w:vAlign w:val="bottom"/>
          </w:tcPr>
          <w:p w14:paraId="4C15D9C3" w14:textId="77777777" w:rsidR="009612CC" w:rsidRPr="005B30A9" w:rsidRDefault="009612CC" w:rsidP="001416AC">
            <w:pPr>
              <w:pStyle w:val="SingleTxtG"/>
              <w:tabs>
                <w:tab w:val="clear" w:pos="1701"/>
                <w:tab w:val="clear" w:pos="2268"/>
                <w:tab w:val="clear" w:pos="2835"/>
              </w:tabs>
              <w:spacing w:before="80" w:after="80" w:line="200" w:lineRule="exact"/>
              <w:ind w:left="0" w:right="0"/>
              <w:jc w:val="left"/>
              <w:rPr>
                <w:i/>
                <w:sz w:val="16"/>
              </w:rPr>
            </w:pPr>
            <w:r w:rsidRPr="005B30A9">
              <w:rPr>
                <w:i/>
                <w:iCs/>
                <w:sz w:val="16"/>
              </w:rPr>
              <w:t>Motivo de discriminación</w:t>
            </w:r>
          </w:p>
        </w:tc>
        <w:tc>
          <w:tcPr>
            <w:tcW w:w="3366" w:type="pct"/>
            <w:tcBorders>
              <w:top w:val="single" w:sz="4" w:space="0" w:color="auto"/>
              <w:bottom w:val="single" w:sz="12" w:space="0" w:color="auto"/>
            </w:tcBorders>
            <w:shd w:val="clear" w:color="auto" w:fill="auto"/>
            <w:vAlign w:val="bottom"/>
          </w:tcPr>
          <w:p w14:paraId="7D4FDBFD" w14:textId="77777777" w:rsidR="009612CC" w:rsidRPr="005B30A9" w:rsidRDefault="009612CC" w:rsidP="007A4BD8">
            <w:pPr>
              <w:pStyle w:val="SingleTxtG"/>
              <w:tabs>
                <w:tab w:val="clear" w:pos="1701"/>
                <w:tab w:val="clear" w:pos="2268"/>
                <w:tab w:val="clear" w:pos="2835"/>
              </w:tabs>
              <w:spacing w:before="80" w:after="80" w:line="200" w:lineRule="exact"/>
              <w:ind w:left="57" w:right="0"/>
              <w:jc w:val="left"/>
              <w:rPr>
                <w:i/>
                <w:sz w:val="16"/>
              </w:rPr>
            </w:pPr>
            <w:r w:rsidRPr="005B30A9">
              <w:rPr>
                <w:i/>
                <w:iCs/>
                <w:sz w:val="16"/>
              </w:rPr>
              <w:t>Elementos</w:t>
            </w:r>
          </w:p>
        </w:tc>
        <w:tc>
          <w:tcPr>
            <w:tcW w:w="480" w:type="pct"/>
            <w:tcBorders>
              <w:top w:val="single" w:sz="4" w:space="0" w:color="auto"/>
              <w:bottom w:val="single" w:sz="12" w:space="0" w:color="auto"/>
            </w:tcBorders>
            <w:shd w:val="clear" w:color="auto" w:fill="auto"/>
            <w:vAlign w:val="bottom"/>
          </w:tcPr>
          <w:p w14:paraId="7BB7640E" w14:textId="77777777" w:rsidR="009612CC" w:rsidRPr="005B30A9" w:rsidRDefault="009612CC" w:rsidP="001416AC">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Número</w:t>
            </w:r>
          </w:p>
        </w:tc>
      </w:tr>
      <w:tr w:rsidR="001416AC" w:rsidRPr="005B30A9" w14:paraId="2522B6C4" w14:textId="77777777" w:rsidTr="007A4BD8">
        <w:trPr>
          <w:trHeight w:val="240"/>
        </w:trPr>
        <w:tc>
          <w:tcPr>
            <w:tcW w:w="1154" w:type="pct"/>
            <w:vMerge w:val="restart"/>
            <w:shd w:val="clear" w:color="auto" w:fill="auto"/>
          </w:tcPr>
          <w:p w14:paraId="58DCDDDB"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r w:rsidRPr="005B30A9">
              <w:rPr>
                <w:sz w:val="18"/>
              </w:rPr>
              <w:t>Género</w:t>
            </w:r>
          </w:p>
        </w:tc>
        <w:tc>
          <w:tcPr>
            <w:tcW w:w="3366" w:type="pct"/>
            <w:shd w:val="clear" w:color="auto" w:fill="auto"/>
            <w:vAlign w:val="bottom"/>
          </w:tcPr>
          <w:p w14:paraId="2C38039C"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Orientación profesional, formación profesional, desarrollo profesional permanente y readiestramiento fuera del empleo</w:t>
            </w:r>
          </w:p>
        </w:tc>
        <w:tc>
          <w:tcPr>
            <w:tcW w:w="480" w:type="pct"/>
            <w:shd w:val="clear" w:color="auto" w:fill="auto"/>
            <w:vAlign w:val="bottom"/>
          </w:tcPr>
          <w:p w14:paraId="7BEF4478"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4E4F2590" w14:textId="77777777" w:rsidTr="007A4BD8">
        <w:trPr>
          <w:trHeight w:val="240"/>
        </w:trPr>
        <w:tc>
          <w:tcPr>
            <w:tcW w:w="1154" w:type="pct"/>
            <w:vMerge/>
            <w:shd w:val="clear" w:color="auto" w:fill="auto"/>
          </w:tcPr>
          <w:p w14:paraId="3FCA4AC1"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4EA2A7E0"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Empleo por cuenta propia</w:t>
            </w:r>
          </w:p>
        </w:tc>
        <w:tc>
          <w:tcPr>
            <w:tcW w:w="480" w:type="pct"/>
            <w:shd w:val="clear" w:color="auto" w:fill="auto"/>
            <w:vAlign w:val="bottom"/>
          </w:tcPr>
          <w:p w14:paraId="510F2D71"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38DAEEEC" w14:textId="77777777" w:rsidTr="007A4BD8">
        <w:trPr>
          <w:trHeight w:val="240"/>
        </w:trPr>
        <w:tc>
          <w:tcPr>
            <w:tcW w:w="1154" w:type="pct"/>
            <w:vMerge/>
            <w:shd w:val="clear" w:color="auto" w:fill="auto"/>
          </w:tcPr>
          <w:p w14:paraId="4D60D32A"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1691C189"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Establecimiento de empleo</w:t>
            </w:r>
          </w:p>
        </w:tc>
        <w:tc>
          <w:tcPr>
            <w:tcW w:w="480" w:type="pct"/>
            <w:shd w:val="clear" w:color="auto" w:fill="auto"/>
            <w:vAlign w:val="bottom"/>
          </w:tcPr>
          <w:p w14:paraId="70BA5EFC"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15</w:t>
            </w:r>
          </w:p>
        </w:tc>
      </w:tr>
      <w:tr w:rsidR="001416AC" w:rsidRPr="005B30A9" w14:paraId="007370FD" w14:textId="77777777" w:rsidTr="007A4BD8">
        <w:trPr>
          <w:trHeight w:val="240"/>
        </w:trPr>
        <w:tc>
          <w:tcPr>
            <w:tcW w:w="1154" w:type="pct"/>
            <w:vMerge/>
            <w:shd w:val="clear" w:color="auto" w:fill="auto"/>
          </w:tcPr>
          <w:p w14:paraId="420C9380"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77835F14"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Paga</w:t>
            </w:r>
          </w:p>
        </w:tc>
        <w:tc>
          <w:tcPr>
            <w:tcW w:w="480" w:type="pct"/>
            <w:shd w:val="clear" w:color="auto" w:fill="auto"/>
            <w:vAlign w:val="bottom"/>
          </w:tcPr>
          <w:p w14:paraId="05E36A58"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18</w:t>
            </w:r>
          </w:p>
        </w:tc>
      </w:tr>
      <w:tr w:rsidR="001416AC" w:rsidRPr="005B30A9" w14:paraId="021459D0" w14:textId="77777777" w:rsidTr="007A4BD8">
        <w:trPr>
          <w:trHeight w:val="240"/>
        </w:trPr>
        <w:tc>
          <w:tcPr>
            <w:tcW w:w="1154" w:type="pct"/>
            <w:vMerge/>
            <w:shd w:val="clear" w:color="auto" w:fill="auto"/>
          </w:tcPr>
          <w:p w14:paraId="67C2442B"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22BE108C"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Las prestaciones sociales voluntarias no forman parte de la remuneración</w:t>
            </w:r>
          </w:p>
        </w:tc>
        <w:tc>
          <w:tcPr>
            <w:tcW w:w="480" w:type="pct"/>
            <w:shd w:val="clear" w:color="auto" w:fill="auto"/>
            <w:vAlign w:val="bottom"/>
          </w:tcPr>
          <w:p w14:paraId="708D9184"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4</w:t>
            </w:r>
          </w:p>
        </w:tc>
      </w:tr>
      <w:tr w:rsidR="001416AC" w:rsidRPr="005B30A9" w14:paraId="1DE31360" w14:textId="77777777" w:rsidTr="007A4BD8">
        <w:trPr>
          <w:trHeight w:val="240"/>
        </w:trPr>
        <w:tc>
          <w:tcPr>
            <w:tcW w:w="1154" w:type="pct"/>
            <w:vMerge/>
            <w:shd w:val="clear" w:color="auto" w:fill="auto"/>
          </w:tcPr>
          <w:p w14:paraId="61C6208E"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08DBD6EF"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Formación inicial y permanente y readiestramiento</w:t>
            </w:r>
          </w:p>
        </w:tc>
        <w:tc>
          <w:tcPr>
            <w:tcW w:w="480" w:type="pct"/>
            <w:shd w:val="clear" w:color="auto" w:fill="auto"/>
            <w:vAlign w:val="bottom"/>
          </w:tcPr>
          <w:p w14:paraId="74D15627"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4</w:t>
            </w:r>
          </w:p>
        </w:tc>
      </w:tr>
      <w:tr w:rsidR="001416AC" w:rsidRPr="005B30A9" w14:paraId="424474B3" w14:textId="77777777" w:rsidTr="007A4BD8">
        <w:trPr>
          <w:trHeight w:val="240"/>
        </w:trPr>
        <w:tc>
          <w:tcPr>
            <w:tcW w:w="1154" w:type="pct"/>
            <w:vMerge/>
            <w:shd w:val="clear" w:color="auto" w:fill="auto"/>
          </w:tcPr>
          <w:p w14:paraId="2B6B116F"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458894B5"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Promoción profesional</w:t>
            </w:r>
          </w:p>
        </w:tc>
        <w:tc>
          <w:tcPr>
            <w:tcW w:w="480" w:type="pct"/>
            <w:shd w:val="clear" w:color="auto" w:fill="auto"/>
            <w:vAlign w:val="bottom"/>
          </w:tcPr>
          <w:p w14:paraId="23BDC53D"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18</w:t>
            </w:r>
          </w:p>
        </w:tc>
      </w:tr>
      <w:tr w:rsidR="001416AC" w:rsidRPr="005B30A9" w14:paraId="194EC342" w14:textId="77777777" w:rsidTr="007A4BD8">
        <w:trPr>
          <w:trHeight w:val="240"/>
        </w:trPr>
        <w:tc>
          <w:tcPr>
            <w:tcW w:w="1154" w:type="pct"/>
            <w:vMerge/>
            <w:shd w:val="clear" w:color="auto" w:fill="auto"/>
          </w:tcPr>
          <w:p w14:paraId="573DD210"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79B0A43F"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Otras condiciones de trabajo</w:t>
            </w:r>
          </w:p>
        </w:tc>
        <w:tc>
          <w:tcPr>
            <w:tcW w:w="480" w:type="pct"/>
            <w:shd w:val="clear" w:color="auto" w:fill="auto"/>
            <w:vAlign w:val="bottom"/>
          </w:tcPr>
          <w:p w14:paraId="089A0F6F"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32</w:t>
            </w:r>
          </w:p>
        </w:tc>
      </w:tr>
      <w:tr w:rsidR="001416AC" w:rsidRPr="005B30A9" w14:paraId="4A1557A0" w14:textId="77777777" w:rsidTr="007A4BD8">
        <w:trPr>
          <w:trHeight w:val="240"/>
        </w:trPr>
        <w:tc>
          <w:tcPr>
            <w:tcW w:w="1154" w:type="pct"/>
            <w:vMerge/>
            <w:shd w:val="clear" w:color="auto" w:fill="auto"/>
          </w:tcPr>
          <w:p w14:paraId="7DA57BB6"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5087F2EC"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Terminación de la relación de trabajo</w:t>
            </w:r>
          </w:p>
        </w:tc>
        <w:tc>
          <w:tcPr>
            <w:tcW w:w="480" w:type="pct"/>
            <w:shd w:val="clear" w:color="auto" w:fill="auto"/>
            <w:vAlign w:val="bottom"/>
          </w:tcPr>
          <w:p w14:paraId="0A7F20AE"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45</w:t>
            </w:r>
          </w:p>
        </w:tc>
      </w:tr>
      <w:tr w:rsidR="001416AC" w:rsidRPr="005B30A9" w14:paraId="31D4DB38" w14:textId="77777777" w:rsidTr="007A4BD8">
        <w:trPr>
          <w:trHeight w:val="240"/>
        </w:trPr>
        <w:tc>
          <w:tcPr>
            <w:tcW w:w="1154" w:type="pct"/>
            <w:vMerge/>
            <w:shd w:val="clear" w:color="auto" w:fill="auto"/>
          </w:tcPr>
          <w:p w14:paraId="2FCF799B"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4578F90A"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Acoso sexual</w:t>
            </w:r>
          </w:p>
        </w:tc>
        <w:tc>
          <w:tcPr>
            <w:tcW w:w="480" w:type="pct"/>
            <w:shd w:val="clear" w:color="auto" w:fill="auto"/>
            <w:vAlign w:val="bottom"/>
          </w:tcPr>
          <w:p w14:paraId="4CF6C448"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38</w:t>
            </w:r>
          </w:p>
        </w:tc>
      </w:tr>
      <w:tr w:rsidR="001416AC" w:rsidRPr="005B30A9" w14:paraId="76646BBF" w14:textId="77777777" w:rsidTr="007A4BD8">
        <w:trPr>
          <w:trHeight w:val="240"/>
        </w:trPr>
        <w:tc>
          <w:tcPr>
            <w:tcW w:w="1154" w:type="pct"/>
            <w:vMerge/>
            <w:shd w:val="clear" w:color="auto" w:fill="auto"/>
          </w:tcPr>
          <w:p w14:paraId="4DEABDBF"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417E3063"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Reparación insuficiente en casos de acoso sexual</w:t>
            </w:r>
          </w:p>
        </w:tc>
        <w:tc>
          <w:tcPr>
            <w:tcW w:w="480" w:type="pct"/>
            <w:shd w:val="clear" w:color="auto" w:fill="auto"/>
            <w:vAlign w:val="bottom"/>
          </w:tcPr>
          <w:p w14:paraId="2113244D"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18</w:t>
            </w:r>
          </w:p>
        </w:tc>
      </w:tr>
      <w:tr w:rsidR="001416AC" w:rsidRPr="005B30A9" w14:paraId="59ADC6FE" w14:textId="77777777" w:rsidTr="007A4BD8">
        <w:trPr>
          <w:trHeight w:val="240"/>
        </w:trPr>
        <w:tc>
          <w:tcPr>
            <w:tcW w:w="1154" w:type="pct"/>
            <w:vMerge/>
            <w:shd w:val="clear" w:color="auto" w:fill="auto"/>
          </w:tcPr>
          <w:p w14:paraId="05866D0F"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111296DE"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Hostigamiento</w:t>
            </w:r>
          </w:p>
        </w:tc>
        <w:tc>
          <w:tcPr>
            <w:tcW w:w="480" w:type="pct"/>
            <w:shd w:val="clear" w:color="auto" w:fill="auto"/>
            <w:vAlign w:val="bottom"/>
          </w:tcPr>
          <w:p w14:paraId="113281E4"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23</w:t>
            </w:r>
          </w:p>
        </w:tc>
      </w:tr>
      <w:tr w:rsidR="001416AC" w:rsidRPr="005B30A9" w14:paraId="284CB8E3" w14:textId="77777777" w:rsidTr="007A4BD8">
        <w:trPr>
          <w:trHeight w:val="240"/>
        </w:trPr>
        <w:tc>
          <w:tcPr>
            <w:tcW w:w="1154" w:type="pct"/>
            <w:vMerge/>
            <w:shd w:val="clear" w:color="auto" w:fill="auto"/>
          </w:tcPr>
          <w:p w14:paraId="7AB7DCD4"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7A9FBA0E"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Reparación insuficiente en casos de hostigamiento</w:t>
            </w:r>
          </w:p>
        </w:tc>
        <w:tc>
          <w:tcPr>
            <w:tcW w:w="480" w:type="pct"/>
            <w:shd w:val="clear" w:color="auto" w:fill="auto"/>
            <w:vAlign w:val="bottom"/>
          </w:tcPr>
          <w:p w14:paraId="5CB1B3D4"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11</w:t>
            </w:r>
          </w:p>
        </w:tc>
      </w:tr>
      <w:tr w:rsidR="001416AC" w:rsidRPr="005B30A9" w14:paraId="2218835E" w14:textId="77777777" w:rsidTr="007A4BD8">
        <w:trPr>
          <w:trHeight w:val="240"/>
        </w:trPr>
        <w:tc>
          <w:tcPr>
            <w:tcW w:w="1154" w:type="pct"/>
            <w:vMerge/>
            <w:shd w:val="clear" w:color="auto" w:fill="auto"/>
          </w:tcPr>
          <w:p w14:paraId="225DB362"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7FB7850C"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Prohibición de la discriminación</w:t>
            </w:r>
          </w:p>
        </w:tc>
        <w:tc>
          <w:tcPr>
            <w:tcW w:w="480" w:type="pct"/>
            <w:shd w:val="clear" w:color="auto" w:fill="auto"/>
            <w:vAlign w:val="bottom"/>
          </w:tcPr>
          <w:p w14:paraId="3E782461"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14</w:t>
            </w:r>
          </w:p>
        </w:tc>
      </w:tr>
      <w:tr w:rsidR="001416AC" w:rsidRPr="005B30A9" w14:paraId="59C08A8A" w14:textId="77777777" w:rsidTr="007A4BD8">
        <w:trPr>
          <w:trHeight w:val="240"/>
        </w:trPr>
        <w:tc>
          <w:tcPr>
            <w:tcW w:w="1154" w:type="pct"/>
            <w:vMerge w:val="restart"/>
            <w:shd w:val="clear" w:color="auto" w:fill="auto"/>
          </w:tcPr>
          <w:p w14:paraId="217476BB"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r w:rsidRPr="005B30A9">
              <w:rPr>
                <w:sz w:val="18"/>
              </w:rPr>
              <w:t>Origen étnico</w:t>
            </w:r>
          </w:p>
        </w:tc>
        <w:tc>
          <w:tcPr>
            <w:tcW w:w="3366" w:type="pct"/>
            <w:shd w:val="clear" w:color="auto" w:fill="auto"/>
            <w:vAlign w:val="bottom"/>
          </w:tcPr>
          <w:p w14:paraId="0BFBA5A6"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Paga</w:t>
            </w:r>
          </w:p>
        </w:tc>
        <w:tc>
          <w:tcPr>
            <w:tcW w:w="480" w:type="pct"/>
            <w:shd w:val="clear" w:color="auto" w:fill="auto"/>
            <w:vAlign w:val="bottom"/>
          </w:tcPr>
          <w:p w14:paraId="500E903E"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3</w:t>
            </w:r>
          </w:p>
        </w:tc>
      </w:tr>
      <w:tr w:rsidR="001416AC" w:rsidRPr="005B30A9" w14:paraId="715DBED8" w14:textId="77777777" w:rsidTr="007A4BD8">
        <w:trPr>
          <w:trHeight w:val="240"/>
        </w:trPr>
        <w:tc>
          <w:tcPr>
            <w:tcW w:w="1154" w:type="pct"/>
            <w:vMerge/>
            <w:shd w:val="clear" w:color="auto" w:fill="auto"/>
          </w:tcPr>
          <w:p w14:paraId="4A8FBF2D"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07A60289"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Formación inicial y permanente y readiestramiento</w:t>
            </w:r>
          </w:p>
        </w:tc>
        <w:tc>
          <w:tcPr>
            <w:tcW w:w="480" w:type="pct"/>
            <w:shd w:val="clear" w:color="auto" w:fill="auto"/>
            <w:vAlign w:val="bottom"/>
          </w:tcPr>
          <w:p w14:paraId="06BBE570"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018DF2DB" w14:textId="77777777" w:rsidTr="007A4BD8">
        <w:trPr>
          <w:trHeight w:val="240"/>
        </w:trPr>
        <w:tc>
          <w:tcPr>
            <w:tcW w:w="1154" w:type="pct"/>
            <w:vMerge/>
            <w:shd w:val="clear" w:color="auto" w:fill="auto"/>
          </w:tcPr>
          <w:p w14:paraId="346F5769"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2E792333"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Promoción profesional</w:t>
            </w:r>
          </w:p>
        </w:tc>
        <w:tc>
          <w:tcPr>
            <w:tcW w:w="480" w:type="pct"/>
            <w:shd w:val="clear" w:color="auto" w:fill="auto"/>
            <w:vAlign w:val="bottom"/>
          </w:tcPr>
          <w:p w14:paraId="78481D03"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3</w:t>
            </w:r>
          </w:p>
        </w:tc>
      </w:tr>
      <w:tr w:rsidR="001416AC" w:rsidRPr="005B30A9" w14:paraId="7E7B90D9" w14:textId="77777777" w:rsidTr="007A4BD8">
        <w:trPr>
          <w:trHeight w:val="240"/>
        </w:trPr>
        <w:tc>
          <w:tcPr>
            <w:tcW w:w="1154" w:type="pct"/>
            <w:vMerge/>
            <w:shd w:val="clear" w:color="auto" w:fill="auto"/>
          </w:tcPr>
          <w:p w14:paraId="3DAA6B4A"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4DE2C469"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Otras condiciones de trabajo</w:t>
            </w:r>
          </w:p>
        </w:tc>
        <w:tc>
          <w:tcPr>
            <w:tcW w:w="480" w:type="pct"/>
            <w:shd w:val="clear" w:color="auto" w:fill="auto"/>
            <w:vAlign w:val="bottom"/>
          </w:tcPr>
          <w:p w14:paraId="0F95BCE0"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4</w:t>
            </w:r>
          </w:p>
        </w:tc>
      </w:tr>
      <w:tr w:rsidR="001416AC" w:rsidRPr="005B30A9" w14:paraId="6F4A1A74" w14:textId="77777777" w:rsidTr="007A4BD8">
        <w:trPr>
          <w:trHeight w:val="240"/>
        </w:trPr>
        <w:tc>
          <w:tcPr>
            <w:tcW w:w="1154" w:type="pct"/>
            <w:vMerge/>
            <w:shd w:val="clear" w:color="auto" w:fill="auto"/>
          </w:tcPr>
          <w:p w14:paraId="6570CCDD"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33703A30"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Terminación de la relación de trabajo</w:t>
            </w:r>
          </w:p>
        </w:tc>
        <w:tc>
          <w:tcPr>
            <w:tcW w:w="480" w:type="pct"/>
            <w:shd w:val="clear" w:color="auto" w:fill="auto"/>
            <w:vAlign w:val="bottom"/>
          </w:tcPr>
          <w:p w14:paraId="73751F99"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3</w:t>
            </w:r>
          </w:p>
        </w:tc>
      </w:tr>
      <w:tr w:rsidR="001416AC" w:rsidRPr="005B30A9" w14:paraId="657F07ED" w14:textId="77777777" w:rsidTr="007A4BD8">
        <w:trPr>
          <w:trHeight w:val="240"/>
        </w:trPr>
        <w:tc>
          <w:tcPr>
            <w:tcW w:w="1154" w:type="pct"/>
            <w:vMerge/>
            <w:shd w:val="clear" w:color="auto" w:fill="auto"/>
          </w:tcPr>
          <w:p w14:paraId="08E5C74F"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721BDC37"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Hostigamiento</w:t>
            </w:r>
          </w:p>
        </w:tc>
        <w:tc>
          <w:tcPr>
            <w:tcW w:w="480" w:type="pct"/>
            <w:shd w:val="clear" w:color="auto" w:fill="auto"/>
            <w:vAlign w:val="bottom"/>
          </w:tcPr>
          <w:p w14:paraId="31DC24DD"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9</w:t>
            </w:r>
          </w:p>
        </w:tc>
      </w:tr>
      <w:tr w:rsidR="001416AC" w:rsidRPr="005B30A9" w14:paraId="3BBEF829" w14:textId="77777777" w:rsidTr="007A4BD8">
        <w:trPr>
          <w:trHeight w:val="240"/>
        </w:trPr>
        <w:tc>
          <w:tcPr>
            <w:tcW w:w="1154" w:type="pct"/>
            <w:vMerge/>
            <w:shd w:val="clear" w:color="auto" w:fill="auto"/>
          </w:tcPr>
          <w:p w14:paraId="5560008A"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5F01881F"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Reparación insuficiente en casos de hostigamiento</w:t>
            </w:r>
          </w:p>
        </w:tc>
        <w:tc>
          <w:tcPr>
            <w:tcW w:w="480" w:type="pct"/>
            <w:shd w:val="clear" w:color="auto" w:fill="auto"/>
            <w:vAlign w:val="bottom"/>
          </w:tcPr>
          <w:p w14:paraId="58CFECDE"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6</w:t>
            </w:r>
          </w:p>
        </w:tc>
      </w:tr>
      <w:tr w:rsidR="001416AC" w:rsidRPr="005B30A9" w14:paraId="37FA1FDF" w14:textId="77777777" w:rsidTr="007A4BD8">
        <w:trPr>
          <w:trHeight w:val="240"/>
        </w:trPr>
        <w:tc>
          <w:tcPr>
            <w:tcW w:w="1154" w:type="pct"/>
            <w:vMerge/>
            <w:shd w:val="clear" w:color="auto" w:fill="auto"/>
          </w:tcPr>
          <w:p w14:paraId="28430BDF"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2F2B2EB9"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Prohibición de la discriminación</w:t>
            </w:r>
          </w:p>
        </w:tc>
        <w:tc>
          <w:tcPr>
            <w:tcW w:w="480" w:type="pct"/>
            <w:shd w:val="clear" w:color="auto" w:fill="auto"/>
            <w:vAlign w:val="bottom"/>
          </w:tcPr>
          <w:p w14:paraId="26AC3857"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2</w:t>
            </w:r>
          </w:p>
        </w:tc>
      </w:tr>
      <w:tr w:rsidR="001416AC" w:rsidRPr="005B30A9" w14:paraId="51941CFA" w14:textId="77777777" w:rsidTr="007A4BD8">
        <w:trPr>
          <w:trHeight w:val="240"/>
        </w:trPr>
        <w:tc>
          <w:tcPr>
            <w:tcW w:w="1154" w:type="pct"/>
            <w:vMerge w:val="restart"/>
            <w:shd w:val="clear" w:color="auto" w:fill="auto"/>
          </w:tcPr>
          <w:p w14:paraId="11A585AE"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r w:rsidRPr="005B30A9">
              <w:rPr>
                <w:iCs/>
                <w:sz w:val="18"/>
              </w:rPr>
              <w:t>Edad</w:t>
            </w:r>
          </w:p>
        </w:tc>
        <w:tc>
          <w:tcPr>
            <w:tcW w:w="3366" w:type="pct"/>
            <w:shd w:val="clear" w:color="auto" w:fill="auto"/>
            <w:vAlign w:val="bottom"/>
          </w:tcPr>
          <w:p w14:paraId="16062B9F"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Establecimiento de empleo</w:t>
            </w:r>
          </w:p>
        </w:tc>
        <w:tc>
          <w:tcPr>
            <w:tcW w:w="480" w:type="pct"/>
            <w:shd w:val="clear" w:color="auto" w:fill="auto"/>
            <w:vAlign w:val="bottom"/>
          </w:tcPr>
          <w:p w14:paraId="05C42A36"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3</w:t>
            </w:r>
          </w:p>
        </w:tc>
      </w:tr>
      <w:tr w:rsidR="001416AC" w:rsidRPr="005B30A9" w14:paraId="37AA0185" w14:textId="77777777" w:rsidTr="007A4BD8">
        <w:trPr>
          <w:trHeight w:val="240"/>
        </w:trPr>
        <w:tc>
          <w:tcPr>
            <w:tcW w:w="1154" w:type="pct"/>
            <w:vMerge/>
            <w:shd w:val="clear" w:color="auto" w:fill="auto"/>
          </w:tcPr>
          <w:p w14:paraId="3A2887F9"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3FF53D8A"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Paga</w:t>
            </w:r>
          </w:p>
        </w:tc>
        <w:tc>
          <w:tcPr>
            <w:tcW w:w="480" w:type="pct"/>
            <w:shd w:val="clear" w:color="auto" w:fill="auto"/>
            <w:vAlign w:val="bottom"/>
          </w:tcPr>
          <w:p w14:paraId="3E46A80E"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49798DA8" w14:textId="77777777" w:rsidTr="007A4BD8">
        <w:trPr>
          <w:trHeight w:val="240"/>
        </w:trPr>
        <w:tc>
          <w:tcPr>
            <w:tcW w:w="1154" w:type="pct"/>
            <w:vMerge/>
            <w:shd w:val="clear" w:color="auto" w:fill="auto"/>
          </w:tcPr>
          <w:p w14:paraId="10091C64"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4892F056"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Promoción profesional</w:t>
            </w:r>
          </w:p>
        </w:tc>
        <w:tc>
          <w:tcPr>
            <w:tcW w:w="480" w:type="pct"/>
            <w:shd w:val="clear" w:color="auto" w:fill="auto"/>
            <w:vAlign w:val="bottom"/>
          </w:tcPr>
          <w:p w14:paraId="481ADC13"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5</w:t>
            </w:r>
          </w:p>
        </w:tc>
      </w:tr>
      <w:tr w:rsidR="001416AC" w:rsidRPr="005B30A9" w14:paraId="2AFD89B0" w14:textId="77777777" w:rsidTr="007A4BD8">
        <w:trPr>
          <w:trHeight w:val="240"/>
        </w:trPr>
        <w:tc>
          <w:tcPr>
            <w:tcW w:w="1154" w:type="pct"/>
            <w:vMerge/>
            <w:shd w:val="clear" w:color="auto" w:fill="auto"/>
          </w:tcPr>
          <w:p w14:paraId="573C4E2E"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3F9026FC"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Otras condiciones de trabajo</w:t>
            </w:r>
          </w:p>
        </w:tc>
        <w:tc>
          <w:tcPr>
            <w:tcW w:w="480" w:type="pct"/>
            <w:shd w:val="clear" w:color="auto" w:fill="auto"/>
            <w:vAlign w:val="bottom"/>
          </w:tcPr>
          <w:p w14:paraId="18345715"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3</w:t>
            </w:r>
          </w:p>
        </w:tc>
      </w:tr>
      <w:tr w:rsidR="001416AC" w:rsidRPr="005B30A9" w14:paraId="40C94003" w14:textId="77777777" w:rsidTr="007A4BD8">
        <w:trPr>
          <w:trHeight w:val="240"/>
        </w:trPr>
        <w:tc>
          <w:tcPr>
            <w:tcW w:w="1154" w:type="pct"/>
            <w:vMerge/>
            <w:shd w:val="clear" w:color="auto" w:fill="auto"/>
          </w:tcPr>
          <w:p w14:paraId="5B97DC3C"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6BE8C595"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Terminación de la relación de trabajo</w:t>
            </w:r>
          </w:p>
        </w:tc>
        <w:tc>
          <w:tcPr>
            <w:tcW w:w="480" w:type="pct"/>
            <w:shd w:val="clear" w:color="auto" w:fill="auto"/>
            <w:vAlign w:val="bottom"/>
          </w:tcPr>
          <w:p w14:paraId="5BF0D286"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6</w:t>
            </w:r>
          </w:p>
        </w:tc>
      </w:tr>
      <w:tr w:rsidR="001416AC" w:rsidRPr="005B30A9" w14:paraId="5C4D172E" w14:textId="77777777" w:rsidTr="007A4BD8">
        <w:trPr>
          <w:trHeight w:val="240"/>
        </w:trPr>
        <w:tc>
          <w:tcPr>
            <w:tcW w:w="1154" w:type="pct"/>
            <w:vMerge/>
            <w:shd w:val="clear" w:color="auto" w:fill="auto"/>
          </w:tcPr>
          <w:p w14:paraId="03A98B0F"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1A487B5E"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Hostigamiento</w:t>
            </w:r>
          </w:p>
        </w:tc>
        <w:tc>
          <w:tcPr>
            <w:tcW w:w="480" w:type="pct"/>
            <w:shd w:val="clear" w:color="auto" w:fill="auto"/>
            <w:vAlign w:val="bottom"/>
          </w:tcPr>
          <w:p w14:paraId="69B19279"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4</w:t>
            </w:r>
          </w:p>
        </w:tc>
      </w:tr>
      <w:tr w:rsidR="001416AC" w:rsidRPr="005B30A9" w14:paraId="39CE4BDA" w14:textId="77777777" w:rsidTr="007A4BD8">
        <w:trPr>
          <w:trHeight w:val="240"/>
        </w:trPr>
        <w:tc>
          <w:tcPr>
            <w:tcW w:w="1154" w:type="pct"/>
            <w:vMerge/>
            <w:shd w:val="clear" w:color="auto" w:fill="auto"/>
          </w:tcPr>
          <w:p w14:paraId="147F16C8"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6A99ACAD"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Reparación insuficiente en casos de hostigamiento</w:t>
            </w:r>
          </w:p>
        </w:tc>
        <w:tc>
          <w:tcPr>
            <w:tcW w:w="480" w:type="pct"/>
            <w:shd w:val="clear" w:color="auto" w:fill="auto"/>
            <w:vAlign w:val="bottom"/>
          </w:tcPr>
          <w:p w14:paraId="248267A1"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437BCAD1" w14:textId="77777777" w:rsidTr="007A4BD8">
        <w:trPr>
          <w:trHeight w:val="240"/>
        </w:trPr>
        <w:tc>
          <w:tcPr>
            <w:tcW w:w="1154" w:type="pct"/>
            <w:vMerge w:val="restart"/>
            <w:shd w:val="clear" w:color="auto" w:fill="auto"/>
          </w:tcPr>
          <w:p w14:paraId="3A40C529"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r w:rsidRPr="005B30A9">
              <w:rPr>
                <w:sz w:val="18"/>
              </w:rPr>
              <w:t>Religión</w:t>
            </w:r>
          </w:p>
        </w:tc>
        <w:tc>
          <w:tcPr>
            <w:tcW w:w="3366" w:type="pct"/>
            <w:shd w:val="clear" w:color="auto" w:fill="auto"/>
            <w:vAlign w:val="bottom"/>
          </w:tcPr>
          <w:p w14:paraId="61D87D00"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Establecimiento de empleo</w:t>
            </w:r>
          </w:p>
        </w:tc>
        <w:tc>
          <w:tcPr>
            <w:tcW w:w="480" w:type="pct"/>
            <w:shd w:val="clear" w:color="auto" w:fill="auto"/>
            <w:vAlign w:val="bottom"/>
          </w:tcPr>
          <w:p w14:paraId="4940514D"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792D0ADC" w14:textId="77777777" w:rsidTr="007A4BD8">
        <w:trPr>
          <w:trHeight w:val="240"/>
        </w:trPr>
        <w:tc>
          <w:tcPr>
            <w:tcW w:w="1154" w:type="pct"/>
            <w:vMerge/>
            <w:shd w:val="clear" w:color="auto" w:fill="auto"/>
          </w:tcPr>
          <w:p w14:paraId="7F209794"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2063F8EF"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Promoción profesional</w:t>
            </w:r>
          </w:p>
        </w:tc>
        <w:tc>
          <w:tcPr>
            <w:tcW w:w="480" w:type="pct"/>
            <w:shd w:val="clear" w:color="auto" w:fill="auto"/>
            <w:vAlign w:val="bottom"/>
          </w:tcPr>
          <w:p w14:paraId="3651BF84"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390D7435" w14:textId="77777777" w:rsidTr="007A4BD8">
        <w:trPr>
          <w:trHeight w:val="240"/>
        </w:trPr>
        <w:tc>
          <w:tcPr>
            <w:tcW w:w="1154" w:type="pct"/>
            <w:vMerge/>
            <w:shd w:val="clear" w:color="auto" w:fill="auto"/>
          </w:tcPr>
          <w:p w14:paraId="500686F1"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2573B07B"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Terminación de la relación de trabajo</w:t>
            </w:r>
          </w:p>
        </w:tc>
        <w:tc>
          <w:tcPr>
            <w:tcW w:w="480" w:type="pct"/>
            <w:shd w:val="clear" w:color="auto" w:fill="auto"/>
            <w:vAlign w:val="bottom"/>
          </w:tcPr>
          <w:p w14:paraId="62462BDC"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0F7285E0" w14:textId="77777777" w:rsidTr="007A4BD8">
        <w:trPr>
          <w:trHeight w:val="240"/>
        </w:trPr>
        <w:tc>
          <w:tcPr>
            <w:tcW w:w="1154" w:type="pct"/>
            <w:vMerge/>
            <w:shd w:val="clear" w:color="auto" w:fill="auto"/>
          </w:tcPr>
          <w:p w14:paraId="542FF490"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4EC613F3"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Hostigamiento</w:t>
            </w:r>
          </w:p>
        </w:tc>
        <w:tc>
          <w:tcPr>
            <w:tcW w:w="480" w:type="pct"/>
            <w:shd w:val="clear" w:color="auto" w:fill="auto"/>
            <w:vAlign w:val="bottom"/>
          </w:tcPr>
          <w:p w14:paraId="1FF830BD"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4</w:t>
            </w:r>
          </w:p>
        </w:tc>
      </w:tr>
      <w:tr w:rsidR="001416AC" w:rsidRPr="005B30A9" w14:paraId="581F81C3" w14:textId="77777777" w:rsidTr="007A4BD8">
        <w:trPr>
          <w:trHeight w:val="240"/>
        </w:trPr>
        <w:tc>
          <w:tcPr>
            <w:tcW w:w="1154" w:type="pct"/>
            <w:vMerge/>
            <w:shd w:val="clear" w:color="auto" w:fill="auto"/>
          </w:tcPr>
          <w:p w14:paraId="3786933B"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40CB0265"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Reparación insuficiente en casos de hostigamiento</w:t>
            </w:r>
          </w:p>
        </w:tc>
        <w:tc>
          <w:tcPr>
            <w:tcW w:w="480" w:type="pct"/>
            <w:shd w:val="clear" w:color="auto" w:fill="auto"/>
            <w:vAlign w:val="bottom"/>
          </w:tcPr>
          <w:p w14:paraId="4727ACDD"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4</w:t>
            </w:r>
          </w:p>
        </w:tc>
      </w:tr>
      <w:tr w:rsidR="001416AC" w:rsidRPr="005B30A9" w14:paraId="041419FC" w14:textId="77777777" w:rsidTr="007A4BD8">
        <w:trPr>
          <w:trHeight w:val="240"/>
        </w:trPr>
        <w:tc>
          <w:tcPr>
            <w:tcW w:w="1154" w:type="pct"/>
            <w:vMerge/>
            <w:shd w:val="clear" w:color="auto" w:fill="auto"/>
          </w:tcPr>
          <w:p w14:paraId="4BC1E9C2"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6931A219"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Prohibición de la discriminación</w:t>
            </w:r>
          </w:p>
        </w:tc>
        <w:tc>
          <w:tcPr>
            <w:tcW w:w="480" w:type="pct"/>
            <w:shd w:val="clear" w:color="auto" w:fill="auto"/>
            <w:vAlign w:val="bottom"/>
          </w:tcPr>
          <w:p w14:paraId="30248521"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74F92BC0" w14:textId="77777777" w:rsidTr="007A4BD8">
        <w:trPr>
          <w:trHeight w:val="240"/>
        </w:trPr>
        <w:tc>
          <w:tcPr>
            <w:tcW w:w="1154" w:type="pct"/>
            <w:tcBorders>
              <w:bottom w:val="single" w:sz="12" w:space="0" w:color="auto"/>
            </w:tcBorders>
            <w:shd w:val="clear" w:color="auto" w:fill="auto"/>
          </w:tcPr>
          <w:p w14:paraId="1235879B"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r w:rsidRPr="005B30A9">
              <w:rPr>
                <w:sz w:val="18"/>
              </w:rPr>
              <w:t>Creencias</w:t>
            </w:r>
          </w:p>
        </w:tc>
        <w:tc>
          <w:tcPr>
            <w:tcW w:w="3366" w:type="pct"/>
            <w:tcBorders>
              <w:bottom w:val="single" w:sz="12" w:space="0" w:color="auto"/>
            </w:tcBorders>
            <w:shd w:val="clear" w:color="auto" w:fill="auto"/>
            <w:vAlign w:val="bottom"/>
          </w:tcPr>
          <w:p w14:paraId="2A9FFB7C" w14:textId="77777777" w:rsidR="009612CC" w:rsidRPr="005B30A9" w:rsidRDefault="009612CC" w:rsidP="007A4BD8">
            <w:pPr>
              <w:pStyle w:val="SingleTxtG"/>
              <w:tabs>
                <w:tab w:val="clear" w:pos="1701"/>
                <w:tab w:val="clear" w:pos="2268"/>
                <w:tab w:val="clear" w:pos="2835"/>
              </w:tabs>
              <w:spacing w:before="40" w:after="40" w:line="220" w:lineRule="exact"/>
              <w:ind w:left="57" w:right="0"/>
              <w:jc w:val="left"/>
              <w:rPr>
                <w:sz w:val="18"/>
              </w:rPr>
            </w:pPr>
            <w:r w:rsidRPr="005B30A9">
              <w:rPr>
                <w:sz w:val="18"/>
              </w:rPr>
              <w:t>Terminación de la relación de trabajo</w:t>
            </w:r>
          </w:p>
        </w:tc>
        <w:tc>
          <w:tcPr>
            <w:tcW w:w="480" w:type="pct"/>
            <w:tcBorders>
              <w:bottom w:val="single" w:sz="12" w:space="0" w:color="auto"/>
            </w:tcBorders>
            <w:shd w:val="clear" w:color="auto" w:fill="auto"/>
            <w:vAlign w:val="bottom"/>
          </w:tcPr>
          <w:p w14:paraId="567F8409"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bl>
    <w:p w14:paraId="161066D4" w14:textId="77777777" w:rsidR="009612CC" w:rsidRPr="005B30A9" w:rsidRDefault="009612CC" w:rsidP="001416AC">
      <w:pPr>
        <w:pStyle w:val="SingleTxtG"/>
        <w:spacing w:before="120"/>
        <w:ind w:firstLine="170"/>
        <w:jc w:val="left"/>
        <w:rPr>
          <w:sz w:val="18"/>
          <w:szCs w:val="18"/>
        </w:rPr>
      </w:pPr>
      <w:r w:rsidRPr="005B30A9">
        <w:rPr>
          <w:i/>
          <w:iCs/>
          <w:sz w:val="18"/>
          <w:szCs w:val="18"/>
        </w:rPr>
        <w:t>Fuente:</w:t>
      </w:r>
      <w:r w:rsidRPr="005B30A9">
        <w:rPr>
          <w:sz w:val="18"/>
          <w:szCs w:val="18"/>
        </w:rPr>
        <w:t xml:space="preserve"> GBK. </w:t>
      </w:r>
    </w:p>
    <w:p w14:paraId="0E459315" w14:textId="77777777" w:rsidR="009612CC" w:rsidRPr="005B30A9" w:rsidRDefault="009612CC" w:rsidP="001416AC">
      <w:pPr>
        <w:pStyle w:val="Table1G"/>
      </w:pPr>
      <w:r w:rsidRPr="005B30A9">
        <w:t>Cuadro 16</w:t>
      </w:r>
    </w:p>
    <w:p w14:paraId="1E284BB9" w14:textId="4A1291E6" w:rsidR="009612CC" w:rsidRPr="005B30A9" w:rsidRDefault="009612CC" w:rsidP="00772A82">
      <w:pPr>
        <w:pStyle w:val="SingleTxtG"/>
        <w:keepNext/>
        <w:keepLines/>
        <w:jc w:val="left"/>
        <w:rPr>
          <w:b/>
          <w:bCs/>
        </w:rPr>
      </w:pPr>
      <w:r w:rsidRPr="005B30A9">
        <w:rPr>
          <w:b/>
          <w:bCs/>
        </w:rPr>
        <w:t xml:space="preserve">Elementos de discriminación en las 52 denuncias presentadas ante el Senado II </w:t>
      </w:r>
      <w:r w:rsidR="001416AC" w:rsidRPr="005B30A9">
        <w:rPr>
          <w:b/>
          <w:bCs/>
        </w:rPr>
        <w:br/>
      </w:r>
      <w:r w:rsidRPr="005B30A9">
        <w:rPr>
          <w:b/>
          <w:bCs/>
        </w:rPr>
        <w:t>de la GBK en 2020/21 (a menudo con respuestas múltiples)</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1701"/>
        <w:gridCol w:w="4961"/>
        <w:gridCol w:w="708"/>
      </w:tblGrid>
      <w:tr w:rsidR="001416AC" w:rsidRPr="005B30A9" w14:paraId="0D3DE7F0" w14:textId="77777777" w:rsidTr="007A4BD8">
        <w:trPr>
          <w:trHeight w:val="240"/>
          <w:tblHeader/>
        </w:trPr>
        <w:tc>
          <w:tcPr>
            <w:tcW w:w="1154" w:type="pct"/>
            <w:tcBorders>
              <w:top w:val="single" w:sz="4" w:space="0" w:color="auto"/>
              <w:bottom w:val="single" w:sz="12" w:space="0" w:color="auto"/>
            </w:tcBorders>
            <w:shd w:val="clear" w:color="auto" w:fill="auto"/>
            <w:vAlign w:val="bottom"/>
          </w:tcPr>
          <w:p w14:paraId="0AEDA970" w14:textId="77777777" w:rsidR="009612CC" w:rsidRPr="005B30A9" w:rsidRDefault="009612CC" w:rsidP="001416AC">
            <w:pPr>
              <w:pStyle w:val="SingleTxtG"/>
              <w:tabs>
                <w:tab w:val="clear" w:pos="1701"/>
                <w:tab w:val="clear" w:pos="2268"/>
                <w:tab w:val="clear" w:pos="2835"/>
              </w:tabs>
              <w:spacing w:before="80" w:after="80" w:line="200" w:lineRule="exact"/>
              <w:ind w:left="0" w:right="0"/>
              <w:jc w:val="left"/>
              <w:rPr>
                <w:i/>
                <w:sz w:val="16"/>
              </w:rPr>
            </w:pPr>
            <w:r w:rsidRPr="005B30A9">
              <w:rPr>
                <w:i/>
                <w:iCs/>
                <w:sz w:val="16"/>
              </w:rPr>
              <w:t>Motivo de discriminación</w:t>
            </w:r>
          </w:p>
        </w:tc>
        <w:tc>
          <w:tcPr>
            <w:tcW w:w="3366" w:type="pct"/>
            <w:tcBorders>
              <w:top w:val="single" w:sz="4" w:space="0" w:color="auto"/>
              <w:bottom w:val="single" w:sz="12" w:space="0" w:color="auto"/>
            </w:tcBorders>
            <w:shd w:val="clear" w:color="auto" w:fill="auto"/>
            <w:vAlign w:val="bottom"/>
          </w:tcPr>
          <w:p w14:paraId="5A89EE20" w14:textId="77777777" w:rsidR="009612CC" w:rsidRPr="005B30A9" w:rsidRDefault="009612CC" w:rsidP="0016522F">
            <w:pPr>
              <w:pStyle w:val="SingleTxtG"/>
              <w:tabs>
                <w:tab w:val="clear" w:pos="1701"/>
                <w:tab w:val="clear" w:pos="2268"/>
                <w:tab w:val="clear" w:pos="2835"/>
              </w:tabs>
              <w:spacing w:before="80" w:after="80" w:line="200" w:lineRule="exact"/>
              <w:ind w:left="57" w:right="0"/>
              <w:jc w:val="left"/>
              <w:rPr>
                <w:i/>
                <w:sz w:val="16"/>
              </w:rPr>
            </w:pPr>
            <w:r w:rsidRPr="005B30A9">
              <w:rPr>
                <w:i/>
                <w:iCs/>
                <w:sz w:val="16"/>
              </w:rPr>
              <w:t>Elementos</w:t>
            </w:r>
          </w:p>
        </w:tc>
        <w:tc>
          <w:tcPr>
            <w:tcW w:w="480" w:type="pct"/>
            <w:tcBorders>
              <w:top w:val="single" w:sz="4" w:space="0" w:color="auto"/>
              <w:bottom w:val="single" w:sz="12" w:space="0" w:color="auto"/>
            </w:tcBorders>
            <w:shd w:val="clear" w:color="auto" w:fill="auto"/>
            <w:vAlign w:val="bottom"/>
          </w:tcPr>
          <w:p w14:paraId="7881238E" w14:textId="77777777" w:rsidR="009612CC" w:rsidRPr="005B30A9" w:rsidRDefault="009612CC" w:rsidP="001416AC">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Número</w:t>
            </w:r>
          </w:p>
        </w:tc>
      </w:tr>
      <w:tr w:rsidR="001416AC" w:rsidRPr="005B30A9" w14:paraId="2AAE02F9" w14:textId="77777777" w:rsidTr="007A4BD8">
        <w:trPr>
          <w:trHeight w:val="240"/>
        </w:trPr>
        <w:tc>
          <w:tcPr>
            <w:tcW w:w="1154" w:type="pct"/>
            <w:vMerge w:val="restart"/>
            <w:shd w:val="clear" w:color="auto" w:fill="auto"/>
          </w:tcPr>
          <w:p w14:paraId="69952649"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r w:rsidRPr="005B30A9">
              <w:rPr>
                <w:sz w:val="18"/>
              </w:rPr>
              <w:t>Origen étnico</w:t>
            </w:r>
          </w:p>
        </w:tc>
        <w:tc>
          <w:tcPr>
            <w:tcW w:w="3366" w:type="pct"/>
            <w:shd w:val="clear" w:color="auto" w:fill="auto"/>
            <w:vAlign w:val="bottom"/>
          </w:tcPr>
          <w:p w14:paraId="19EAA0AE"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Hostigamiento</w:t>
            </w:r>
          </w:p>
        </w:tc>
        <w:tc>
          <w:tcPr>
            <w:tcW w:w="480" w:type="pct"/>
            <w:shd w:val="clear" w:color="auto" w:fill="auto"/>
            <w:vAlign w:val="bottom"/>
          </w:tcPr>
          <w:p w14:paraId="5922E4BD"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15</w:t>
            </w:r>
          </w:p>
        </w:tc>
      </w:tr>
      <w:tr w:rsidR="001416AC" w:rsidRPr="005B30A9" w14:paraId="2557BA1E" w14:textId="77777777" w:rsidTr="007A4BD8">
        <w:trPr>
          <w:trHeight w:val="240"/>
        </w:trPr>
        <w:tc>
          <w:tcPr>
            <w:tcW w:w="1154" w:type="pct"/>
            <w:vMerge/>
            <w:shd w:val="clear" w:color="auto" w:fill="auto"/>
          </w:tcPr>
          <w:p w14:paraId="70B4DBE7"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656517C4"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Terminación de la relación de trabajo</w:t>
            </w:r>
          </w:p>
        </w:tc>
        <w:tc>
          <w:tcPr>
            <w:tcW w:w="480" w:type="pct"/>
            <w:shd w:val="clear" w:color="auto" w:fill="auto"/>
            <w:vAlign w:val="bottom"/>
          </w:tcPr>
          <w:p w14:paraId="724D94F0"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10</w:t>
            </w:r>
          </w:p>
        </w:tc>
      </w:tr>
      <w:tr w:rsidR="001416AC" w:rsidRPr="005B30A9" w14:paraId="7DC3DA78" w14:textId="77777777" w:rsidTr="007A4BD8">
        <w:trPr>
          <w:trHeight w:val="240"/>
        </w:trPr>
        <w:tc>
          <w:tcPr>
            <w:tcW w:w="1154" w:type="pct"/>
            <w:vMerge/>
            <w:shd w:val="clear" w:color="auto" w:fill="auto"/>
          </w:tcPr>
          <w:p w14:paraId="318BDF59"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5E0439FD"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Establecimiento de empleo</w:t>
            </w:r>
          </w:p>
        </w:tc>
        <w:tc>
          <w:tcPr>
            <w:tcW w:w="480" w:type="pct"/>
            <w:shd w:val="clear" w:color="auto" w:fill="auto"/>
            <w:vAlign w:val="bottom"/>
          </w:tcPr>
          <w:p w14:paraId="633184E3"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3</w:t>
            </w:r>
          </w:p>
        </w:tc>
      </w:tr>
      <w:tr w:rsidR="001416AC" w:rsidRPr="005B30A9" w14:paraId="18527F7E" w14:textId="77777777" w:rsidTr="007A4BD8">
        <w:trPr>
          <w:trHeight w:val="240"/>
        </w:trPr>
        <w:tc>
          <w:tcPr>
            <w:tcW w:w="1154" w:type="pct"/>
            <w:vMerge/>
            <w:shd w:val="clear" w:color="auto" w:fill="auto"/>
          </w:tcPr>
          <w:p w14:paraId="5DA11DE9"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09055847"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Otras condiciones de trabajo</w:t>
            </w:r>
          </w:p>
        </w:tc>
        <w:tc>
          <w:tcPr>
            <w:tcW w:w="480" w:type="pct"/>
            <w:shd w:val="clear" w:color="auto" w:fill="auto"/>
            <w:vAlign w:val="bottom"/>
          </w:tcPr>
          <w:p w14:paraId="2D184D19"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8</w:t>
            </w:r>
          </w:p>
        </w:tc>
      </w:tr>
      <w:tr w:rsidR="001416AC" w:rsidRPr="005B30A9" w14:paraId="29646F99" w14:textId="77777777" w:rsidTr="007A4BD8">
        <w:trPr>
          <w:trHeight w:val="240"/>
        </w:trPr>
        <w:tc>
          <w:tcPr>
            <w:tcW w:w="1154" w:type="pct"/>
            <w:vMerge/>
            <w:shd w:val="clear" w:color="auto" w:fill="auto"/>
          </w:tcPr>
          <w:p w14:paraId="2FF1BC39"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67CE9A11"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Prohibición de la discriminación</w:t>
            </w:r>
          </w:p>
        </w:tc>
        <w:tc>
          <w:tcPr>
            <w:tcW w:w="480" w:type="pct"/>
            <w:shd w:val="clear" w:color="auto" w:fill="auto"/>
            <w:vAlign w:val="bottom"/>
          </w:tcPr>
          <w:p w14:paraId="7BF96353"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5</w:t>
            </w:r>
          </w:p>
        </w:tc>
      </w:tr>
      <w:tr w:rsidR="001416AC" w:rsidRPr="005B30A9" w14:paraId="4E2B27C8" w14:textId="77777777" w:rsidTr="007A4BD8">
        <w:trPr>
          <w:trHeight w:val="240"/>
        </w:trPr>
        <w:tc>
          <w:tcPr>
            <w:tcW w:w="1154" w:type="pct"/>
            <w:vMerge/>
            <w:shd w:val="clear" w:color="auto" w:fill="auto"/>
          </w:tcPr>
          <w:p w14:paraId="0D1A1195"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3C21422B"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Paga</w:t>
            </w:r>
          </w:p>
        </w:tc>
        <w:tc>
          <w:tcPr>
            <w:tcW w:w="480" w:type="pct"/>
            <w:shd w:val="clear" w:color="auto" w:fill="auto"/>
            <w:vAlign w:val="bottom"/>
          </w:tcPr>
          <w:p w14:paraId="62F43892"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6401F756" w14:textId="77777777" w:rsidTr="007A4BD8">
        <w:trPr>
          <w:trHeight w:val="240"/>
        </w:trPr>
        <w:tc>
          <w:tcPr>
            <w:tcW w:w="1154" w:type="pct"/>
            <w:vMerge/>
            <w:shd w:val="clear" w:color="auto" w:fill="auto"/>
          </w:tcPr>
          <w:p w14:paraId="68A20F53"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2C32E408"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Artículo 18</w:t>
            </w:r>
          </w:p>
        </w:tc>
        <w:tc>
          <w:tcPr>
            <w:tcW w:w="480" w:type="pct"/>
            <w:shd w:val="clear" w:color="auto" w:fill="auto"/>
            <w:vAlign w:val="bottom"/>
          </w:tcPr>
          <w:p w14:paraId="3762CA91"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3</w:t>
            </w:r>
          </w:p>
        </w:tc>
      </w:tr>
      <w:tr w:rsidR="001416AC" w:rsidRPr="005B30A9" w14:paraId="4B86ED86" w14:textId="77777777" w:rsidTr="007A4BD8">
        <w:trPr>
          <w:trHeight w:val="240"/>
        </w:trPr>
        <w:tc>
          <w:tcPr>
            <w:tcW w:w="1154" w:type="pct"/>
            <w:vMerge/>
            <w:shd w:val="clear" w:color="auto" w:fill="auto"/>
          </w:tcPr>
          <w:p w14:paraId="3A7A9634"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0BE11B51"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Reparación insuficiente</w:t>
            </w:r>
          </w:p>
        </w:tc>
        <w:tc>
          <w:tcPr>
            <w:tcW w:w="480" w:type="pct"/>
            <w:shd w:val="clear" w:color="auto" w:fill="auto"/>
            <w:vAlign w:val="bottom"/>
          </w:tcPr>
          <w:p w14:paraId="55E19E68"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10</w:t>
            </w:r>
          </w:p>
        </w:tc>
      </w:tr>
      <w:tr w:rsidR="001416AC" w:rsidRPr="005B30A9" w14:paraId="37280D38" w14:textId="77777777" w:rsidTr="007A4BD8">
        <w:trPr>
          <w:trHeight w:val="240"/>
        </w:trPr>
        <w:tc>
          <w:tcPr>
            <w:tcW w:w="1154" w:type="pct"/>
            <w:vMerge w:val="restart"/>
            <w:shd w:val="clear" w:color="auto" w:fill="auto"/>
          </w:tcPr>
          <w:p w14:paraId="1252FD2F"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r w:rsidRPr="005B30A9">
              <w:rPr>
                <w:sz w:val="18"/>
              </w:rPr>
              <w:t>Religión</w:t>
            </w:r>
          </w:p>
        </w:tc>
        <w:tc>
          <w:tcPr>
            <w:tcW w:w="3366" w:type="pct"/>
            <w:shd w:val="clear" w:color="auto" w:fill="auto"/>
            <w:vAlign w:val="bottom"/>
          </w:tcPr>
          <w:p w14:paraId="14C79CD7"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Hostigamiento</w:t>
            </w:r>
          </w:p>
        </w:tc>
        <w:tc>
          <w:tcPr>
            <w:tcW w:w="480" w:type="pct"/>
            <w:shd w:val="clear" w:color="auto" w:fill="auto"/>
            <w:vAlign w:val="bottom"/>
          </w:tcPr>
          <w:p w14:paraId="48D89063"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3</w:t>
            </w:r>
          </w:p>
        </w:tc>
      </w:tr>
      <w:tr w:rsidR="001416AC" w:rsidRPr="005B30A9" w14:paraId="131E9EEE" w14:textId="77777777" w:rsidTr="007A4BD8">
        <w:trPr>
          <w:trHeight w:val="240"/>
        </w:trPr>
        <w:tc>
          <w:tcPr>
            <w:tcW w:w="1154" w:type="pct"/>
            <w:vMerge/>
            <w:shd w:val="clear" w:color="auto" w:fill="auto"/>
          </w:tcPr>
          <w:p w14:paraId="168FDC5C"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2805860C"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Terminación de la relación de trabajo</w:t>
            </w:r>
          </w:p>
        </w:tc>
        <w:tc>
          <w:tcPr>
            <w:tcW w:w="480" w:type="pct"/>
            <w:shd w:val="clear" w:color="auto" w:fill="auto"/>
            <w:vAlign w:val="bottom"/>
          </w:tcPr>
          <w:p w14:paraId="76F43EEA"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4E33C332" w14:textId="77777777" w:rsidTr="007A4BD8">
        <w:trPr>
          <w:trHeight w:val="240"/>
        </w:trPr>
        <w:tc>
          <w:tcPr>
            <w:tcW w:w="1154" w:type="pct"/>
            <w:vMerge/>
            <w:shd w:val="clear" w:color="auto" w:fill="auto"/>
          </w:tcPr>
          <w:p w14:paraId="18C3D71F"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2C207EC1"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Reparación insuficiente</w:t>
            </w:r>
          </w:p>
        </w:tc>
        <w:tc>
          <w:tcPr>
            <w:tcW w:w="480" w:type="pct"/>
            <w:shd w:val="clear" w:color="auto" w:fill="auto"/>
            <w:vAlign w:val="bottom"/>
          </w:tcPr>
          <w:p w14:paraId="75AB7851"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2</w:t>
            </w:r>
          </w:p>
        </w:tc>
      </w:tr>
      <w:tr w:rsidR="001416AC" w:rsidRPr="005B30A9" w14:paraId="43233C68" w14:textId="77777777" w:rsidTr="007A4BD8">
        <w:trPr>
          <w:trHeight w:val="240"/>
        </w:trPr>
        <w:tc>
          <w:tcPr>
            <w:tcW w:w="1154" w:type="pct"/>
            <w:vMerge/>
            <w:shd w:val="clear" w:color="auto" w:fill="auto"/>
          </w:tcPr>
          <w:p w14:paraId="32D43419"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11DF823E"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Otras condiciones de trabajo</w:t>
            </w:r>
          </w:p>
        </w:tc>
        <w:tc>
          <w:tcPr>
            <w:tcW w:w="480" w:type="pct"/>
            <w:shd w:val="clear" w:color="auto" w:fill="auto"/>
            <w:vAlign w:val="bottom"/>
          </w:tcPr>
          <w:p w14:paraId="46945239"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3</w:t>
            </w:r>
          </w:p>
        </w:tc>
      </w:tr>
      <w:tr w:rsidR="001416AC" w:rsidRPr="005B30A9" w14:paraId="19834643" w14:textId="77777777" w:rsidTr="007A4BD8">
        <w:trPr>
          <w:trHeight w:val="240"/>
        </w:trPr>
        <w:tc>
          <w:tcPr>
            <w:tcW w:w="1154" w:type="pct"/>
            <w:vMerge/>
            <w:shd w:val="clear" w:color="auto" w:fill="auto"/>
          </w:tcPr>
          <w:p w14:paraId="39D14A9B"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2D27FA92"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 xml:space="preserve">Artículo 18 </w:t>
            </w:r>
          </w:p>
        </w:tc>
        <w:tc>
          <w:tcPr>
            <w:tcW w:w="480" w:type="pct"/>
            <w:shd w:val="clear" w:color="auto" w:fill="auto"/>
            <w:vAlign w:val="bottom"/>
          </w:tcPr>
          <w:p w14:paraId="71C479D8"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143F3B13" w14:textId="77777777" w:rsidTr="007A4BD8">
        <w:trPr>
          <w:trHeight w:val="240"/>
        </w:trPr>
        <w:tc>
          <w:tcPr>
            <w:tcW w:w="1154" w:type="pct"/>
            <w:vMerge/>
            <w:shd w:val="clear" w:color="auto" w:fill="auto"/>
          </w:tcPr>
          <w:p w14:paraId="5C2B364E"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00CF307F"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Promoción profesional</w:t>
            </w:r>
          </w:p>
        </w:tc>
        <w:tc>
          <w:tcPr>
            <w:tcW w:w="480" w:type="pct"/>
            <w:shd w:val="clear" w:color="auto" w:fill="auto"/>
            <w:vAlign w:val="bottom"/>
          </w:tcPr>
          <w:p w14:paraId="278429AB"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64537CF9" w14:textId="77777777" w:rsidTr="007A4BD8">
        <w:trPr>
          <w:trHeight w:val="240"/>
        </w:trPr>
        <w:tc>
          <w:tcPr>
            <w:tcW w:w="1154" w:type="pct"/>
            <w:vMerge w:val="restart"/>
            <w:shd w:val="clear" w:color="auto" w:fill="auto"/>
          </w:tcPr>
          <w:p w14:paraId="58C9FE7D"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r w:rsidRPr="005B30A9">
              <w:rPr>
                <w:sz w:val="18"/>
              </w:rPr>
              <w:t>Orientación sexual</w:t>
            </w:r>
          </w:p>
        </w:tc>
        <w:tc>
          <w:tcPr>
            <w:tcW w:w="3366" w:type="pct"/>
            <w:shd w:val="clear" w:color="auto" w:fill="auto"/>
            <w:vAlign w:val="bottom"/>
          </w:tcPr>
          <w:p w14:paraId="5834D48B"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Terminación de la relación de trabajo</w:t>
            </w:r>
          </w:p>
        </w:tc>
        <w:tc>
          <w:tcPr>
            <w:tcW w:w="480" w:type="pct"/>
            <w:shd w:val="clear" w:color="auto" w:fill="auto"/>
            <w:vAlign w:val="bottom"/>
          </w:tcPr>
          <w:p w14:paraId="7DCAB375"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2</w:t>
            </w:r>
          </w:p>
        </w:tc>
      </w:tr>
      <w:tr w:rsidR="001416AC" w:rsidRPr="005B30A9" w14:paraId="7AB8726B" w14:textId="77777777" w:rsidTr="007A4BD8">
        <w:trPr>
          <w:trHeight w:val="240"/>
        </w:trPr>
        <w:tc>
          <w:tcPr>
            <w:tcW w:w="1154" w:type="pct"/>
            <w:vMerge/>
            <w:shd w:val="clear" w:color="auto" w:fill="auto"/>
          </w:tcPr>
          <w:p w14:paraId="71EE44D4"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5CD37A31"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Otras condiciones de trabajo</w:t>
            </w:r>
          </w:p>
        </w:tc>
        <w:tc>
          <w:tcPr>
            <w:tcW w:w="480" w:type="pct"/>
            <w:shd w:val="clear" w:color="auto" w:fill="auto"/>
            <w:vAlign w:val="bottom"/>
          </w:tcPr>
          <w:p w14:paraId="38038956"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2</w:t>
            </w:r>
          </w:p>
        </w:tc>
      </w:tr>
      <w:tr w:rsidR="001416AC" w:rsidRPr="005B30A9" w14:paraId="57638A9D" w14:textId="77777777" w:rsidTr="007A4BD8">
        <w:trPr>
          <w:trHeight w:val="240"/>
        </w:trPr>
        <w:tc>
          <w:tcPr>
            <w:tcW w:w="1154" w:type="pct"/>
            <w:vMerge/>
            <w:shd w:val="clear" w:color="auto" w:fill="auto"/>
          </w:tcPr>
          <w:p w14:paraId="110A6C55"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57EABD4A"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Reparación insuficiente</w:t>
            </w:r>
          </w:p>
        </w:tc>
        <w:tc>
          <w:tcPr>
            <w:tcW w:w="480" w:type="pct"/>
            <w:shd w:val="clear" w:color="auto" w:fill="auto"/>
            <w:vAlign w:val="bottom"/>
          </w:tcPr>
          <w:p w14:paraId="636C9380"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2</w:t>
            </w:r>
          </w:p>
        </w:tc>
      </w:tr>
      <w:tr w:rsidR="001416AC" w:rsidRPr="005B30A9" w14:paraId="2560700B" w14:textId="77777777" w:rsidTr="007A4BD8">
        <w:trPr>
          <w:trHeight w:val="240"/>
        </w:trPr>
        <w:tc>
          <w:tcPr>
            <w:tcW w:w="1154" w:type="pct"/>
            <w:vMerge/>
            <w:shd w:val="clear" w:color="auto" w:fill="auto"/>
          </w:tcPr>
          <w:p w14:paraId="20C97F34"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6D21C362"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Hostigamiento</w:t>
            </w:r>
          </w:p>
        </w:tc>
        <w:tc>
          <w:tcPr>
            <w:tcW w:w="480" w:type="pct"/>
            <w:shd w:val="clear" w:color="auto" w:fill="auto"/>
            <w:vAlign w:val="bottom"/>
          </w:tcPr>
          <w:p w14:paraId="43516A1B"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2</w:t>
            </w:r>
          </w:p>
        </w:tc>
      </w:tr>
      <w:tr w:rsidR="001416AC" w:rsidRPr="005B30A9" w14:paraId="2BDDD06C" w14:textId="77777777" w:rsidTr="007A4BD8">
        <w:trPr>
          <w:trHeight w:val="240"/>
        </w:trPr>
        <w:tc>
          <w:tcPr>
            <w:tcW w:w="1154" w:type="pct"/>
            <w:vMerge w:val="restart"/>
            <w:shd w:val="clear" w:color="auto" w:fill="auto"/>
          </w:tcPr>
          <w:p w14:paraId="7FB70E7D"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r w:rsidRPr="005B30A9">
              <w:rPr>
                <w:sz w:val="18"/>
              </w:rPr>
              <w:t>Creencias</w:t>
            </w:r>
          </w:p>
        </w:tc>
        <w:tc>
          <w:tcPr>
            <w:tcW w:w="3366" w:type="pct"/>
            <w:shd w:val="clear" w:color="auto" w:fill="auto"/>
            <w:vAlign w:val="bottom"/>
          </w:tcPr>
          <w:p w14:paraId="2CB3CFF7"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Terminación de la relación de trabajo</w:t>
            </w:r>
          </w:p>
        </w:tc>
        <w:tc>
          <w:tcPr>
            <w:tcW w:w="480" w:type="pct"/>
            <w:shd w:val="clear" w:color="auto" w:fill="auto"/>
            <w:vAlign w:val="bottom"/>
          </w:tcPr>
          <w:p w14:paraId="093E08A1"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2</w:t>
            </w:r>
          </w:p>
        </w:tc>
      </w:tr>
      <w:tr w:rsidR="001416AC" w:rsidRPr="005B30A9" w14:paraId="5AE68FD3" w14:textId="77777777" w:rsidTr="007A4BD8">
        <w:trPr>
          <w:trHeight w:val="240"/>
        </w:trPr>
        <w:tc>
          <w:tcPr>
            <w:tcW w:w="1154" w:type="pct"/>
            <w:vMerge/>
            <w:shd w:val="clear" w:color="auto" w:fill="auto"/>
          </w:tcPr>
          <w:p w14:paraId="77918118"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241268F6"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Establecimiento de empleo</w:t>
            </w:r>
          </w:p>
        </w:tc>
        <w:tc>
          <w:tcPr>
            <w:tcW w:w="480" w:type="pct"/>
            <w:shd w:val="clear" w:color="auto" w:fill="auto"/>
            <w:vAlign w:val="bottom"/>
          </w:tcPr>
          <w:p w14:paraId="715166ED"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4</w:t>
            </w:r>
          </w:p>
        </w:tc>
      </w:tr>
      <w:tr w:rsidR="001416AC" w:rsidRPr="005B30A9" w14:paraId="6F6B97CA" w14:textId="77777777" w:rsidTr="007A4BD8">
        <w:trPr>
          <w:trHeight w:val="240"/>
        </w:trPr>
        <w:tc>
          <w:tcPr>
            <w:tcW w:w="1154" w:type="pct"/>
            <w:vMerge w:val="restart"/>
            <w:shd w:val="clear" w:color="auto" w:fill="auto"/>
          </w:tcPr>
          <w:p w14:paraId="5A288A10"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r w:rsidRPr="005B30A9">
              <w:rPr>
                <w:iCs/>
                <w:sz w:val="18"/>
              </w:rPr>
              <w:t>Edad</w:t>
            </w:r>
          </w:p>
        </w:tc>
        <w:tc>
          <w:tcPr>
            <w:tcW w:w="3366" w:type="pct"/>
            <w:shd w:val="clear" w:color="auto" w:fill="auto"/>
            <w:vAlign w:val="bottom"/>
          </w:tcPr>
          <w:p w14:paraId="60455DAE"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Hostigamiento</w:t>
            </w:r>
          </w:p>
        </w:tc>
        <w:tc>
          <w:tcPr>
            <w:tcW w:w="480" w:type="pct"/>
            <w:shd w:val="clear" w:color="auto" w:fill="auto"/>
            <w:vAlign w:val="bottom"/>
          </w:tcPr>
          <w:p w14:paraId="6027BC31"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5</w:t>
            </w:r>
          </w:p>
        </w:tc>
      </w:tr>
      <w:tr w:rsidR="001416AC" w:rsidRPr="005B30A9" w14:paraId="34AEE369" w14:textId="77777777" w:rsidTr="007A4BD8">
        <w:trPr>
          <w:trHeight w:val="240"/>
        </w:trPr>
        <w:tc>
          <w:tcPr>
            <w:tcW w:w="1154" w:type="pct"/>
            <w:vMerge/>
            <w:shd w:val="clear" w:color="auto" w:fill="auto"/>
          </w:tcPr>
          <w:p w14:paraId="0DAB011E"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7456A28E"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Establecimiento de empleo</w:t>
            </w:r>
          </w:p>
        </w:tc>
        <w:tc>
          <w:tcPr>
            <w:tcW w:w="480" w:type="pct"/>
            <w:shd w:val="clear" w:color="auto" w:fill="auto"/>
            <w:vAlign w:val="bottom"/>
          </w:tcPr>
          <w:p w14:paraId="3AA70671"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10</w:t>
            </w:r>
          </w:p>
        </w:tc>
      </w:tr>
      <w:tr w:rsidR="001416AC" w:rsidRPr="005B30A9" w14:paraId="7BA6DEE5" w14:textId="77777777" w:rsidTr="007A4BD8">
        <w:trPr>
          <w:trHeight w:val="240"/>
        </w:trPr>
        <w:tc>
          <w:tcPr>
            <w:tcW w:w="1154" w:type="pct"/>
            <w:vMerge/>
            <w:shd w:val="clear" w:color="auto" w:fill="auto"/>
          </w:tcPr>
          <w:p w14:paraId="3456FC20"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08132E52"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Terminación de la relación de trabajo</w:t>
            </w:r>
          </w:p>
        </w:tc>
        <w:tc>
          <w:tcPr>
            <w:tcW w:w="480" w:type="pct"/>
            <w:shd w:val="clear" w:color="auto" w:fill="auto"/>
            <w:vAlign w:val="bottom"/>
          </w:tcPr>
          <w:p w14:paraId="62E4B955"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5</w:t>
            </w:r>
          </w:p>
        </w:tc>
      </w:tr>
      <w:tr w:rsidR="001416AC" w:rsidRPr="005B30A9" w14:paraId="3FDBDA50" w14:textId="77777777" w:rsidTr="007A4BD8">
        <w:trPr>
          <w:trHeight w:val="240"/>
        </w:trPr>
        <w:tc>
          <w:tcPr>
            <w:tcW w:w="1154" w:type="pct"/>
            <w:vMerge/>
            <w:shd w:val="clear" w:color="auto" w:fill="auto"/>
          </w:tcPr>
          <w:p w14:paraId="4BC20268"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6CE33C80"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Paga</w:t>
            </w:r>
          </w:p>
        </w:tc>
        <w:tc>
          <w:tcPr>
            <w:tcW w:w="480" w:type="pct"/>
            <w:shd w:val="clear" w:color="auto" w:fill="auto"/>
            <w:vAlign w:val="bottom"/>
          </w:tcPr>
          <w:p w14:paraId="6494E9D7"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2</w:t>
            </w:r>
          </w:p>
        </w:tc>
      </w:tr>
      <w:tr w:rsidR="001416AC" w:rsidRPr="005B30A9" w14:paraId="691FFE4D" w14:textId="77777777" w:rsidTr="007A4BD8">
        <w:trPr>
          <w:trHeight w:val="240"/>
        </w:trPr>
        <w:tc>
          <w:tcPr>
            <w:tcW w:w="1154" w:type="pct"/>
            <w:vMerge/>
            <w:shd w:val="clear" w:color="auto" w:fill="auto"/>
          </w:tcPr>
          <w:p w14:paraId="7052F68B"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39C91746"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Promoción profesional</w:t>
            </w:r>
          </w:p>
        </w:tc>
        <w:tc>
          <w:tcPr>
            <w:tcW w:w="480" w:type="pct"/>
            <w:shd w:val="clear" w:color="auto" w:fill="auto"/>
            <w:vAlign w:val="bottom"/>
          </w:tcPr>
          <w:p w14:paraId="728EBE1B"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1564F61B" w14:textId="77777777" w:rsidTr="007A4BD8">
        <w:trPr>
          <w:trHeight w:val="240"/>
        </w:trPr>
        <w:tc>
          <w:tcPr>
            <w:tcW w:w="1154" w:type="pct"/>
            <w:vMerge/>
            <w:shd w:val="clear" w:color="auto" w:fill="auto"/>
          </w:tcPr>
          <w:p w14:paraId="0B6BD0C7"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42351EFC"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Reparación insuficiente</w:t>
            </w:r>
          </w:p>
        </w:tc>
        <w:tc>
          <w:tcPr>
            <w:tcW w:w="480" w:type="pct"/>
            <w:shd w:val="clear" w:color="auto" w:fill="auto"/>
            <w:vAlign w:val="bottom"/>
          </w:tcPr>
          <w:p w14:paraId="0AF28856"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33038B7C" w14:textId="77777777" w:rsidTr="007A4BD8">
        <w:trPr>
          <w:trHeight w:val="240"/>
        </w:trPr>
        <w:tc>
          <w:tcPr>
            <w:tcW w:w="1154" w:type="pct"/>
            <w:vMerge/>
            <w:shd w:val="clear" w:color="auto" w:fill="auto"/>
          </w:tcPr>
          <w:p w14:paraId="5D421963"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4BD4D1EA"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Otras condiciones de trabajo</w:t>
            </w:r>
          </w:p>
        </w:tc>
        <w:tc>
          <w:tcPr>
            <w:tcW w:w="480" w:type="pct"/>
            <w:shd w:val="clear" w:color="auto" w:fill="auto"/>
            <w:vAlign w:val="bottom"/>
          </w:tcPr>
          <w:p w14:paraId="3E85EDE0"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2</w:t>
            </w:r>
          </w:p>
        </w:tc>
      </w:tr>
      <w:tr w:rsidR="001416AC" w:rsidRPr="005B30A9" w14:paraId="7DB6FB77" w14:textId="77777777" w:rsidTr="007A4BD8">
        <w:trPr>
          <w:trHeight w:val="240"/>
        </w:trPr>
        <w:tc>
          <w:tcPr>
            <w:tcW w:w="1154" w:type="pct"/>
            <w:vMerge/>
            <w:tcBorders>
              <w:bottom w:val="single" w:sz="12" w:space="0" w:color="auto"/>
            </w:tcBorders>
            <w:shd w:val="clear" w:color="auto" w:fill="auto"/>
          </w:tcPr>
          <w:p w14:paraId="2A0AD71C"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tcBorders>
              <w:bottom w:val="single" w:sz="12" w:space="0" w:color="auto"/>
            </w:tcBorders>
            <w:shd w:val="clear" w:color="auto" w:fill="auto"/>
            <w:vAlign w:val="bottom"/>
          </w:tcPr>
          <w:p w14:paraId="7CEB1673"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Artículo 18</w:t>
            </w:r>
          </w:p>
        </w:tc>
        <w:tc>
          <w:tcPr>
            <w:tcW w:w="480" w:type="pct"/>
            <w:tcBorders>
              <w:bottom w:val="single" w:sz="12" w:space="0" w:color="auto"/>
            </w:tcBorders>
            <w:shd w:val="clear" w:color="auto" w:fill="auto"/>
            <w:vAlign w:val="bottom"/>
          </w:tcPr>
          <w:p w14:paraId="61C92C57" w14:textId="77777777" w:rsidR="009612CC" w:rsidRPr="005B30A9" w:rsidRDefault="009612CC" w:rsidP="001416AC">
            <w:pPr>
              <w:pStyle w:val="SingleTxtG"/>
              <w:tabs>
                <w:tab w:val="clear" w:pos="1701"/>
                <w:tab w:val="clear" w:pos="2268"/>
                <w:tab w:val="clear" w:pos="2835"/>
              </w:tabs>
              <w:spacing w:before="40" w:after="40" w:line="220" w:lineRule="exact"/>
              <w:ind w:left="0" w:right="28"/>
              <w:jc w:val="right"/>
              <w:rPr>
                <w:sz w:val="18"/>
              </w:rPr>
            </w:pPr>
            <w:r w:rsidRPr="005B30A9">
              <w:rPr>
                <w:sz w:val="18"/>
              </w:rPr>
              <w:t>3</w:t>
            </w:r>
          </w:p>
        </w:tc>
      </w:tr>
    </w:tbl>
    <w:p w14:paraId="6FD9F9B7" w14:textId="77777777" w:rsidR="009612CC" w:rsidRPr="005B30A9" w:rsidRDefault="009612CC" w:rsidP="001416AC">
      <w:pPr>
        <w:pStyle w:val="SingleTxtG"/>
        <w:spacing w:before="120"/>
        <w:ind w:firstLine="170"/>
        <w:jc w:val="left"/>
        <w:rPr>
          <w:sz w:val="18"/>
          <w:szCs w:val="18"/>
        </w:rPr>
      </w:pPr>
      <w:r w:rsidRPr="005B30A9">
        <w:rPr>
          <w:i/>
          <w:iCs/>
          <w:sz w:val="18"/>
          <w:szCs w:val="18"/>
        </w:rPr>
        <w:t>Fuente:</w:t>
      </w:r>
      <w:r w:rsidRPr="005B30A9">
        <w:rPr>
          <w:sz w:val="18"/>
          <w:szCs w:val="18"/>
        </w:rPr>
        <w:t xml:space="preserve"> GBK.</w:t>
      </w:r>
    </w:p>
    <w:p w14:paraId="184DDA7E" w14:textId="77777777" w:rsidR="009612CC" w:rsidRPr="005B30A9" w:rsidRDefault="009612CC" w:rsidP="001416AC">
      <w:pPr>
        <w:pStyle w:val="Table1G"/>
      </w:pPr>
      <w:r w:rsidRPr="005B30A9">
        <w:t>Cuadro 17</w:t>
      </w:r>
    </w:p>
    <w:p w14:paraId="7DC3D4BC" w14:textId="2D8BBD34" w:rsidR="009612CC" w:rsidRPr="005B30A9" w:rsidRDefault="009612CC" w:rsidP="001416AC">
      <w:pPr>
        <w:pStyle w:val="SingleTxtG"/>
        <w:jc w:val="left"/>
        <w:rPr>
          <w:b/>
          <w:bCs/>
        </w:rPr>
      </w:pPr>
      <w:r w:rsidRPr="005B30A9">
        <w:rPr>
          <w:b/>
          <w:bCs/>
        </w:rPr>
        <w:t xml:space="preserve">Elementos de discriminación en las 33 denuncias presentadas ante el Senado III </w:t>
      </w:r>
      <w:r w:rsidR="001416AC" w:rsidRPr="005B30A9">
        <w:rPr>
          <w:b/>
          <w:bCs/>
        </w:rPr>
        <w:br/>
      </w:r>
      <w:r w:rsidRPr="005B30A9">
        <w:rPr>
          <w:b/>
          <w:bCs/>
        </w:rPr>
        <w:t>de la GBK en 2020/21 (a menudo con respuestas múltiples)</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1701"/>
        <w:gridCol w:w="4961"/>
        <w:gridCol w:w="708"/>
      </w:tblGrid>
      <w:tr w:rsidR="001416AC" w:rsidRPr="005B30A9" w14:paraId="1FF8FC27" w14:textId="77777777" w:rsidTr="0016522F">
        <w:trPr>
          <w:trHeight w:val="240"/>
          <w:tblHeader/>
        </w:trPr>
        <w:tc>
          <w:tcPr>
            <w:tcW w:w="1154" w:type="pct"/>
            <w:tcBorders>
              <w:top w:val="single" w:sz="4" w:space="0" w:color="auto"/>
              <w:bottom w:val="single" w:sz="12" w:space="0" w:color="auto"/>
            </w:tcBorders>
            <w:shd w:val="clear" w:color="auto" w:fill="auto"/>
            <w:vAlign w:val="bottom"/>
          </w:tcPr>
          <w:p w14:paraId="5CC51CA4" w14:textId="77777777" w:rsidR="009612CC" w:rsidRPr="005B30A9" w:rsidRDefault="009612CC" w:rsidP="001416AC">
            <w:pPr>
              <w:pStyle w:val="SingleTxtG"/>
              <w:tabs>
                <w:tab w:val="clear" w:pos="1701"/>
                <w:tab w:val="clear" w:pos="2268"/>
                <w:tab w:val="clear" w:pos="2835"/>
              </w:tabs>
              <w:spacing w:before="80" w:after="80" w:line="200" w:lineRule="exact"/>
              <w:ind w:left="0" w:right="0"/>
              <w:jc w:val="left"/>
              <w:rPr>
                <w:i/>
                <w:sz w:val="16"/>
              </w:rPr>
            </w:pPr>
            <w:r w:rsidRPr="005B30A9">
              <w:rPr>
                <w:i/>
                <w:iCs/>
                <w:sz w:val="16"/>
              </w:rPr>
              <w:t>Motivo de discriminación</w:t>
            </w:r>
          </w:p>
        </w:tc>
        <w:tc>
          <w:tcPr>
            <w:tcW w:w="3366" w:type="pct"/>
            <w:tcBorders>
              <w:top w:val="single" w:sz="4" w:space="0" w:color="auto"/>
              <w:bottom w:val="single" w:sz="12" w:space="0" w:color="auto"/>
            </w:tcBorders>
            <w:shd w:val="clear" w:color="auto" w:fill="auto"/>
            <w:vAlign w:val="bottom"/>
          </w:tcPr>
          <w:p w14:paraId="10E8B299" w14:textId="77777777" w:rsidR="009612CC" w:rsidRPr="005B30A9" w:rsidRDefault="009612CC" w:rsidP="0016522F">
            <w:pPr>
              <w:pStyle w:val="SingleTxtG"/>
              <w:tabs>
                <w:tab w:val="clear" w:pos="1701"/>
                <w:tab w:val="clear" w:pos="2268"/>
                <w:tab w:val="clear" w:pos="2835"/>
              </w:tabs>
              <w:spacing w:before="80" w:after="80" w:line="200" w:lineRule="exact"/>
              <w:ind w:left="57" w:right="0"/>
              <w:jc w:val="left"/>
              <w:rPr>
                <w:i/>
                <w:sz w:val="16"/>
              </w:rPr>
            </w:pPr>
            <w:r w:rsidRPr="005B30A9">
              <w:rPr>
                <w:i/>
                <w:iCs/>
                <w:sz w:val="16"/>
              </w:rPr>
              <w:t>Elementos</w:t>
            </w:r>
          </w:p>
        </w:tc>
        <w:tc>
          <w:tcPr>
            <w:tcW w:w="480" w:type="pct"/>
            <w:tcBorders>
              <w:top w:val="single" w:sz="4" w:space="0" w:color="auto"/>
              <w:bottom w:val="single" w:sz="12" w:space="0" w:color="auto"/>
            </w:tcBorders>
            <w:shd w:val="clear" w:color="auto" w:fill="auto"/>
            <w:vAlign w:val="bottom"/>
          </w:tcPr>
          <w:p w14:paraId="4A184417" w14:textId="77777777" w:rsidR="009612CC" w:rsidRPr="005B30A9" w:rsidRDefault="009612CC" w:rsidP="00757321">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Número</w:t>
            </w:r>
          </w:p>
        </w:tc>
      </w:tr>
      <w:tr w:rsidR="001416AC" w:rsidRPr="005B30A9" w14:paraId="53042797" w14:textId="77777777" w:rsidTr="0016522F">
        <w:trPr>
          <w:trHeight w:val="240"/>
        </w:trPr>
        <w:tc>
          <w:tcPr>
            <w:tcW w:w="1154" w:type="pct"/>
            <w:vMerge w:val="restart"/>
            <w:tcBorders>
              <w:top w:val="single" w:sz="12" w:space="0" w:color="auto"/>
            </w:tcBorders>
            <w:shd w:val="clear" w:color="auto" w:fill="auto"/>
          </w:tcPr>
          <w:p w14:paraId="2DEE16D2"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r w:rsidRPr="005B30A9">
              <w:rPr>
                <w:sz w:val="18"/>
              </w:rPr>
              <w:t>Origen étnico</w:t>
            </w:r>
          </w:p>
        </w:tc>
        <w:tc>
          <w:tcPr>
            <w:tcW w:w="3366" w:type="pct"/>
            <w:tcBorders>
              <w:top w:val="single" w:sz="12" w:space="0" w:color="auto"/>
            </w:tcBorders>
            <w:shd w:val="clear" w:color="auto" w:fill="auto"/>
            <w:vAlign w:val="bottom"/>
          </w:tcPr>
          <w:p w14:paraId="21EE480A"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Educación</w:t>
            </w:r>
          </w:p>
        </w:tc>
        <w:tc>
          <w:tcPr>
            <w:tcW w:w="480" w:type="pct"/>
            <w:tcBorders>
              <w:top w:val="single" w:sz="12" w:space="0" w:color="auto"/>
            </w:tcBorders>
            <w:shd w:val="clear" w:color="auto" w:fill="auto"/>
            <w:vAlign w:val="bottom"/>
          </w:tcPr>
          <w:p w14:paraId="4D4E61A0" w14:textId="77777777" w:rsidR="009612CC" w:rsidRPr="005B30A9" w:rsidRDefault="009612CC" w:rsidP="00757321">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1D979ACA" w14:textId="77777777" w:rsidTr="0016522F">
        <w:trPr>
          <w:trHeight w:val="240"/>
        </w:trPr>
        <w:tc>
          <w:tcPr>
            <w:tcW w:w="1154" w:type="pct"/>
            <w:vMerge/>
            <w:shd w:val="clear" w:color="auto" w:fill="auto"/>
          </w:tcPr>
          <w:p w14:paraId="616FBE58"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16E624CA"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Acceso a bienes y servicios públicos y suministro de estos, incluida la vivienda</w:t>
            </w:r>
          </w:p>
        </w:tc>
        <w:tc>
          <w:tcPr>
            <w:tcW w:w="480" w:type="pct"/>
            <w:shd w:val="clear" w:color="auto" w:fill="auto"/>
            <w:vAlign w:val="bottom"/>
          </w:tcPr>
          <w:p w14:paraId="161E25AA" w14:textId="77777777" w:rsidR="009612CC" w:rsidRPr="005B30A9" w:rsidRDefault="009612CC" w:rsidP="00757321">
            <w:pPr>
              <w:pStyle w:val="SingleTxtG"/>
              <w:tabs>
                <w:tab w:val="clear" w:pos="1701"/>
                <w:tab w:val="clear" w:pos="2268"/>
                <w:tab w:val="clear" w:pos="2835"/>
              </w:tabs>
              <w:spacing w:before="40" w:after="40" w:line="220" w:lineRule="exact"/>
              <w:ind w:left="0" w:right="28"/>
              <w:jc w:val="right"/>
              <w:rPr>
                <w:sz w:val="18"/>
              </w:rPr>
            </w:pPr>
            <w:r w:rsidRPr="005B30A9">
              <w:rPr>
                <w:sz w:val="18"/>
              </w:rPr>
              <w:t>11</w:t>
            </w:r>
          </w:p>
        </w:tc>
      </w:tr>
      <w:tr w:rsidR="001416AC" w:rsidRPr="005B30A9" w14:paraId="1E5FEEDC" w14:textId="77777777" w:rsidTr="0016522F">
        <w:trPr>
          <w:trHeight w:val="240"/>
        </w:trPr>
        <w:tc>
          <w:tcPr>
            <w:tcW w:w="1154" w:type="pct"/>
            <w:vMerge/>
            <w:shd w:val="clear" w:color="auto" w:fill="auto"/>
          </w:tcPr>
          <w:p w14:paraId="5C19FB6B"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6BCF0F03"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Órdenes de discriminar</w:t>
            </w:r>
          </w:p>
        </w:tc>
        <w:tc>
          <w:tcPr>
            <w:tcW w:w="480" w:type="pct"/>
            <w:shd w:val="clear" w:color="auto" w:fill="auto"/>
            <w:vAlign w:val="bottom"/>
          </w:tcPr>
          <w:p w14:paraId="017FC973" w14:textId="77777777" w:rsidR="009612CC" w:rsidRPr="005B30A9" w:rsidRDefault="009612CC" w:rsidP="00757321">
            <w:pPr>
              <w:pStyle w:val="SingleTxtG"/>
              <w:tabs>
                <w:tab w:val="clear" w:pos="1701"/>
                <w:tab w:val="clear" w:pos="2268"/>
                <w:tab w:val="clear" w:pos="2835"/>
              </w:tabs>
              <w:spacing w:before="40" w:after="40" w:line="220" w:lineRule="exact"/>
              <w:ind w:left="0" w:right="28"/>
              <w:jc w:val="right"/>
              <w:rPr>
                <w:sz w:val="18"/>
              </w:rPr>
            </w:pPr>
            <w:r w:rsidRPr="005B30A9">
              <w:rPr>
                <w:sz w:val="18"/>
              </w:rPr>
              <w:t>0</w:t>
            </w:r>
          </w:p>
        </w:tc>
      </w:tr>
      <w:tr w:rsidR="001416AC" w:rsidRPr="005B30A9" w14:paraId="0A8E3A5A" w14:textId="77777777" w:rsidTr="0016522F">
        <w:trPr>
          <w:trHeight w:val="240"/>
        </w:trPr>
        <w:tc>
          <w:tcPr>
            <w:tcW w:w="1154" w:type="pct"/>
            <w:vMerge/>
            <w:shd w:val="clear" w:color="auto" w:fill="auto"/>
          </w:tcPr>
          <w:p w14:paraId="615B3C99"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04309449"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Hostigamiento</w:t>
            </w:r>
          </w:p>
        </w:tc>
        <w:tc>
          <w:tcPr>
            <w:tcW w:w="480" w:type="pct"/>
            <w:shd w:val="clear" w:color="auto" w:fill="auto"/>
            <w:vAlign w:val="bottom"/>
          </w:tcPr>
          <w:p w14:paraId="56B57675" w14:textId="77777777" w:rsidR="009612CC" w:rsidRPr="005B30A9" w:rsidRDefault="009612CC" w:rsidP="00757321">
            <w:pPr>
              <w:pStyle w:val="SingleTxtG"/>
              <w:tabs>
                <w:tab w:val="clear" w:pos="1701"/>
                <w:tab w:val="clear" w:pos="2268"/>
                <w:tab w:val="clear" w:pos="2835"/>
              </w:tabs>
              <w:spacing w:before="40" w:after="40" w:line="220" w:lineRule="exact"/>
              <w:ind w:left="0" w:right="28"/>
              <w:jc w:val="right"/>
              <w:rPr>
                <w:sz w:val="18"/>
              </w:rPr>
            </w:pPr>
            <w:r w:rsidRPr="005B30A9">
              <w:rPr>
                <w:sz w:val="18"/>
              </w:rPr>
              <w:t>3</w:t>
            </w:r>
          </w:p>
        </w:tc>
      </w:tr>
      <w:tr w:rsidR="001416AC" w:rsidRPr="005B30A9" w14:paraId="5F16F105" w14:textId="77777777" w:rsidTr="0016522F">
        <w:trPr>
          <w:trHeight w:val="240"/>
        </w:trPr>
        <w:tc>
          <w:tcPr>
            <w:tcW w:w="1154" w:type="pct"/>
            <w:vMerge/>
            <w:shd w:val="clear" w:color="auto" w:fill="auto"/>
          </w:tcPr>
          <w:p w14:paraId="0D614BFD"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68ACF2B6"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Discriminación por asociación</w:t>
            </w:r>
          </w:p>
        </w:tc>
        <w:tc>
          <w:tcPr>
            <w:tcW w:w="480" w:type="pct"/>
            <w:shd w:val="clear" w:color="auto" w:fill="auto"/>
            <w:vAlign w:val="bottom"/>
          </w:tcPr>
          <w:p w14:paraId="4DE82D19" w14:textId="77777777" w:rsidR="009612CC" w:rsidRPr="005B30A9" w:rsidRDefault="009612CC" w:rsidP="00757321">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015BABF2" w14:textId="77777777" w:rsidTr="0016522F">
        <w:trPr>
          <w:trHeight w:val="240"/>
        </w:trPr>
        <w:tc>
          <w:tcPr>
            <w:tcW w:w="1154" w:type="pct"/>
            <w:vMerge/>
            <w:shd w:val="clear" w:color="auto" w:fill="auto"/>
          </w:tcPr>
          <w:p w14:paraId="0E293DF6"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5F3AC47B"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Vivienda</w:t>
            </w:r>
          </w:p>
        </w:tc>
        <w:tc>
          <w:tcPr>
            <w:tcW w:w="480" w:type="pct"/>
            <w:shd w:val="clear" w:color="auto" w:fill="auto"/>
            <w:vAlign w:val="bottom"/>
          </w:tcPr>
          <w:p w14:paraId="6C9092C6" w14:textId="77777777" w:rsidR="009612CC" w:rsidRPr="005B30A9" w:rsidRDefault="009612CC" w:rsidP="00757321">
            <w:pPr>
              <w:pStyle w:val="SingleTxtG"/>
              <w:tabs>
                <w:tab w:val="clear" w:pos="1701"/>
                <w:tab w:val="clear" w:pos="2268"/>
                <w:tab w:val="clear" w:pos="2835"/>
              </w:tabs>
              <w:spacing w:before="40" w:after="40" w:line="220" w:lineRule="exact"/>
              <w:ind w:left="0" w:right="28"/>
              <w:jc w:val="right"/>
              <w:rPr>
                <w:sz w:val="18"/>
              </w:rPr>
            </w:pPr>
            <w:r w:rsidRPr="005B30A9">
              <w:rPr>
                <w:sz w:val="18"/>
              </w:rPr>
              <w:t>0</w:t>
            </w:r>
          </w:p>
        </w:tc>
      </w:tr>
      <w:tr w:rsidR="001416AC" w:rsidRPr="005B30A9" w14:paraId="274ED0A0" w14:textId="77777777" w:rsidTr="0016522F">
        <w:trPr>
          <w:trHeight w:val="240"/>
        </w:trPr>
        <w:tc>
          <w:tcPr>
            <w:tcW w:w="1154" w:type="pct"/>
            <w:vMerge w:val="restart"/>
            <w:shd w:val="clear" w:color="auto" w:fill="auto"/>
          </w:tcPr>
          <w:p w14:paraId="34E019B0"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r w:rsidRPr="005B30A9">
              <w:rPr>
                <w:sz w:val="18"/>
              </w:rPr>
              <w:t>Género</w:t>
            </w:r>
          </w:p>
        </w:tc>
        <w:tc>
          <w:tcPr>
            <w:tcW w:w="3366" w:type="pct"/>
            <w:shd w:val="clear" w:color="auto" w:fill="auto"/>
            <w:vAlign w:val="bottom"/>
          </w:tcPr>
          <w:p w14:paraId="14464650"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Acceso a bienes y servicios públicos y suministro de estos</w:t>
            </w:r>
          </w:p>
        </w:tc>
        <w:tc>
          <w:tcPr>
            <w:tcW w:w="480" w:type="pct"/>
            <w:shd w:val="clear" w:color="auto" w:fill="auto"/>
            <w:vAlign w:val="bottom"/>
          </w:tcPr>
          <w:p w14:paraId="67043414" w14:textId="77777777" w:rsidR="009612CC" w:rsidRPr="005B30A9" w:rsidRDefault="009612CC" w:rsidP="00757321">
            <w:pPr>
              <w:pStyle w:val="SingleTxtG"/>
              <w:tabs>
                <w:tab w:val="clear" w:pos="1701"/>
                <w:tab w:val="clear" w:pos="2268"/>
                <w:tab w:val="clear" w:pos="2835"/>
              </w:tabs>
              <w:spacing w:before="40" w:after="40" w:line="220" w:lineRule="exact"/>
              <w:ind w:left="0" w:right="28"/>
              <w:jc w:val="right"/>
              <w:rPr>
                <w:sz w:val="18"/>
              </w:rPr>
            </w:pPr>
            <w:r w:rsidRPr="005B30A9">
              <w:rPr>
                <w:sz w:val="18"/>
              </w:rPr>
              <w:t>8</w:t>
            </w:r>
          </w:p>
        </w:tc>
      </w:tr>
      <w:tr w:rsidR="001416AC" w:rsidRPr="005B30A9" w14:paraId="1B978E44" w14:textId="77777777" w:rsidTr="0016522F">
        <w:trPr>
          <w:trHeight w:val="240"/>
        </w:trPr>
        <w:tc>
          <w:tcPr>
            <w:tcW w:w="1154" w:type="pct"/>
            <w:vMerge/>
            <w:shd w:val="clear" w:color="auto" w:fill="auto"/>
          </w:tcPr>
          <w:p w14:paraId="15A654C2"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290E46A8"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 xml:space="preserve">Órdenes de discriminar </w:t>
            </w:r>
          </w:p>
        </w:tc>
        <w:tc>
          <w:tcPr>
            <w:tcW w:w="480" w:type="pct"/>
            <w:shd w:val="clear" w:color="auto" w:fill="auto"/>
            <w:vAlign w:val="bottom"/>
          </w:tcPr>
          <w:p w14:paraId="23B96D01" w14:textId="77777777" w:rsidR="009612CC" w:rsidRPr="005B30A9" w:rsidRDefault="009612CC" w:rsidP="00757321">
            <w:pPr>
              <w:pStyle w:val="SingleTxtG"/>
              <w:tabs>
                <w:tab w:val="clear" w:pos="1701"/>
                <w:tab w:val="clear" w:pos="2268"/>
                <w:tab w:val="clear" w:pos="2835"/>
              </w:tabs>
              <w:spacing w:before="40" w:after="40" w:line="220" w:lineRule="exact"/>
              <w:ind w:left="0" w:right="28"/>
              <w:jc w:val="right"/>
              <w:rPr>
                <w:sz w:val="18"/>
              </w:rPr>
            </w:pPr>
            <w:r w:rsidRPr="005B30A9">
              <w:rPr>
                <w:sz w:val="18"/>
              </w:rPr>
              <w:t>0</w:t>
            </w:r>
          </w:p>
        </w:tc>
      </w:tr>
      <w:tr w:rsidR="001416AC" w:rsidRPr="005B30A9" w14:paraId="7E817A46" w14:textId="77777777" w:rsidTr="0016522F">
        <w:trPr>
          <w:trHeight w:val="240"/>
        </w:trPr>
        <w:tc>
          <w:tcPr>
            <w:tcW w:w="1154" w:type="pct"/>
            <w:vMerge/>
            <w:shd w:val="clear" w:color="auto" w:fill="auto"/>
          </w:tcPr>
          <w:p w14:paraId="20398472"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599AD6AA"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Acoso sexual</w:t>
            </w:r>
          </w:p>
        </w:tc>
        <w:tc>
          <w:tcPr>
            <w:tcW w:w="480" w:type="pct"/>
            <w:shd w:val="clear" w:color="auto" w:fill="auto"/>
            <w:vAlign w:val="bottom"/>
          </w:tcPr>
          <w:p w14:paraId="242A1C04" w14:textId="77777777" w:rsidR="009612CC" w:rsidRPr="005B30A9" w:rsidRDefault="009612CC" w:rsidP="00757321">
            <w:pPr>
              <w:pStyle w:val="SingleTxtG"/>
              <w:tabs>
                <w:tab w:val="clear" w:pos="1701"/>
                <w:tab w:val="clear" w:pos="2268"/>
                <w:tab w:val="clear" w:pos="2835"/>
              </w:tabs>
              <w:spacing w:before="40" w:after="40" w:line="220" w:lineRule="exact"/>
              <w:ind w:left="0" w:right="28"/>
              <w:jc w:val="right"/>
              <w:rPr>
                <w:sz w:val="18"/>
              </w:rPr>
            </w:pPr>
            <w:r w:rsidRPr="005B30A9">
              <w:rPr>
                <w:sz w:val="18"/>
              </w:rPr>
              <w:t>7</w:t>
            </w:r>
          </w:p>
        </w:tc>
      </w:tr>
      <w:tr w:rsidR="001416AC" w:rsidRPr="005B30A9" w14:paraId="5BBEEFA5" w14:textId="77777777" w:rsidTr="0016522F">
        <w:trPr>
          <w:trHeight w:val="240"/>
        </w:trPr>
        <w:tc>
          <w:tcPr>
            <w:tcW w:w="1154" w:type="pct"/>
            <w:vMerge/>
            <w:shd w:val="clear" w:color="auto" w:fill="auto"/>
          </w:tcPr>
          <w:p w14:paraId="483CD1CE"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shd w:val="clear" w:color="auto" w:fill="auto"/>
            <w:vAlign w:val="bottom"/>
          </w:tcPr>
          <w:p w14:paraId="6049A7C5"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Acoso por razón de género</w:t>
            </w:r>
          </w:p>
        </w:tc>
        <w:tc>
          <w:tcPr>
            <w:tcW w:w="480" w:type="pct"/>
            <w:shd w:val="clear" w:color="auto" w:fill="auto"/>
            <w:vAlign w:val="bottom"/>
          </w:tcPr>
          <w:p w14:paraId="04B62BE7" w14:textId="77777777" w:rsidR="009612CC" w:rsidRPr="005B30A9" w:rsidRDefault="009612CC" w:rsidP="00757321">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r w:rsidR="001416AC" w:rsidRPr="005B30A9" w14:paraId="4EC6CA77" w14:textId="77777777" w:rsidTr="0016522F">
        <w:trPr>
          <w:trHeight w:val="240"/>
        </w:trPr>
        <w:tc>
          <w:tcPr>
            <w:tcW w:w="1154" w:type="pct"/>
            <w:vMerge/>
            <w:tcBorders>
              <w:bottom w:val="single" w:sz="12" w:space="0" w:color="auto"/>
            </w:tcBorders>
            <w:shd w:val="clear" w:color="auto" w:fill="auto"/>
          </w:tcPr>
          <w:p w14:paraId="46FC65A8" w14:textId="77777777" w:rsidR="009612CC" w:rsidRPr="005B30A9" w:rsidRDefault="009612CC" w:rsidP="001416AC">
            <w:pPr>
              <w:pStyle w:val="SingleTxtG"/>
              <w:tabs>
                <w:tab w:val="clear" w:pos="1701"/>
                <w:tab w:val="clear" w:pos="2268"/>
                <w:tab w:val="clear" w:pos="2835"/>
              </w:tabs>
              <w:spacing w:before="40" w:after="40" w:line="220" w:lineRule="exact"/>
              <w:ind w:left="0" w:right="0"/>
              <w:jc w:val="left"/>
              <w:rPr>
                <w:sz w:val="18"/>
              </w:rPr>
            </w:pPr>
          </w:p>
        </w:tc>
        <w:tc>
          <w:tcPr>
            <w:tcW w:w="3366" w:type="pct"/>
            <w:tcBorders>
              <w:bottom w:val="single" w:sz="12" w:space="0" w:color="auto"/>
            </w:tcBorders>
            <w:shd w:val="clear" w:color="auto" w:fill="auto"/>
            <w:vAlign w:val="bottom"/>
          </w:tcPr>
          <w:p w14:paraId="5BD4BA44" w14:textId="77777777" w:rsidR="009612CC" w:rsidRPr="005B30A9" w:rsidRDefault="009612CC" w:rsidP="0016522F">
            <w:pPr>
              <w:pStyle w:val="SingleTxtG"/>
              <w:tabs>
                <w:tab w:val="clear" w:pos="1701"/>
                <w:tab w:val="clear" w:pos="2268"/>
                <w:tab w:val="clear" w:pos="2835"/>
              </w:tabs>
              <w:spacing w:before="40" w:after="40" w:line="220" w:lineRule="exact"/>
              <w:ind w:left="57" w:right="0"/>
              <w:jc w:val="left"/>
              <w:rPr>
                <w:sz w:val="18"/>
              </w:rPr>
            </w:pPr>
            <w:r w:rsidRPr="005B30A9">
              <w:rPr>
                <w:sz w:val="18"/>
              </w:rPr>
              <w:t>Vivienda</w:t>
            </w:r>
          </w:p>
        </w:tc>
        <w:tc>
          <w:tcPr>
            <w:tcW w:w="480" w:type="pct"/>
            <w:tcBorders>
              <w:bottom w:val="single" w:sz="12" w:space="0" w:color="auto"/>
            </w:tcBorders>
            <w:shd w:val="clear" w:color="auto" w:fill="auto"/>
            <w:vAlign w:val="bottom"/>
          </w:tcPr>
          <w:p w14:paraId="0AFAB38C" w14:textId="77777777" w:rsidR="009612CC" w:rsidRPr="005B30A9" w:rsidRDefault="009612CC" w:rsidP="00757321">
            <w:pPr>
              <w:pStyle w:val="SingleTxtG"/>
              <w:tabs>
                <w:tab w:val="clear" w:pos="1701"/>
                <w:tab w:val="clear" w:pos="2268"/>
                <w:tab w:val="clear" w:pos="2835"/>
              </w:tabs>
              <w:spacing w:before="40" w:after="40" w:line="220" w:lineRule="exact"/>
              <w:ind w:left="0" w:right="28"/>
              <w:jc w:val="right"/>
              <w:rPr>
                <w:sz w:val="18"/>
              </w:rPr>
            </w:pPr>
            <w:r w:rsidRPr="005B30A9">
              <w:rPr>
                <w:sz w:val="18"/>
              </w:rPr>
              <w:t>1</w:t>
            </w:r>
          </w:p>
        </w:tc>
      </w:tr>
    </w:tbl>
    <w:p w14:paraId="3B521172" w14:textId="77777777" w:rsidR="009612CC" w:rsidRPr="005B30A9" w:rsidRDefault="009612CC" w:rsidP="00FB462F">
      <w:pPr>
        <w:pStyle w:val="SingleTxtG"/>
        <w:spacing w:before="120"/>
        <w:ind w:firstLine="170"/>
        <w:jc w:val="left"/>
        <w:rPr>
          <w:sz w:val="18"/>
          <w:szCs w:val="18"/>
        </w:rPr>
      </w:pPr>
      <w:r w:rsidRPr="005B30A9">
        <w:rPr>
          <w:i/>
          <w:iCs/>
          <w:sz w:val="18"/>
          <w:szCs w:val="18"/>
        </w:rPr>
        <w:t>Fuente:</w:t>
      </w:r>
      <w:r w:rsidRPr="005B30A9">
        <w:rPr>
          <w:sz w:val="18"/>
          <w:szCs w:val="18"/>
        </w:rPr>
        <w:t xml:space="preserve"> GBK.</w:t>
      </w:r>
    </w:p>
    <w:p w14:paraId="56741090" w14:textId="77777777" w:rsidR="009612CC" w:rsidRPr="005B30A9" w:rsidRDefault="009612CC" w:rsidP="00FB462F">
      <w:pPr>
        <w:pStyle w:val="Table1G"/>
      </w:pPr>
      <w:r w:rsidRPr="005B30A9">
        <w:t>Cuadro 18</w:t>
      </w:r>
    </w:p>
    <w:p w14:paraId="3DAC4F76" w14:textId="1203DC35" w:rsidR="009612CC" w:rsidRPr="0016522F" w:rsidRDefault="009612CC" w:rsidP="00FB462F">
      <w:pPr>
        <w:pStyle w:val="SingleTxtG"/>
        <w:jc w:val="left"/>
        <w:rPr>
          <w:sz w:val="16"/>
          <w:szCs w:val="16"/>
        </w:rPr>
      </w:pPr>
      <w:r w:rsidRPr="005B30A9">
        <w:rPr>
          <w:b/>
          <w:bCs/>
        </w:rPr>
        <w:t>Cumplimiento por las empresas de la obligación de emplear a personas con</w:t>
      </w:r>
      <w:r w:rsidR="00FB462F" w:rsidRPr="005B30A9">
        <w:rPr>
          <w:b/>
          <w:bCs/>
        </w:rPr>
        <w:t> </w:t>
      </w:r>
      <w:r w:rsidRPr="005B30A9">
        <w:rPr>
          <w:b/>
          <w:bCs/>
        </w:rPr>
        <w:t xml:space="preserve">discapacidad: comparación quinquenal (2018-2022) </w:t>
      </w:r>
      <w:r w:rsidR="0016522F">
        <w:rPr>
          <w:b/>
          <w:bCs/>
        </w:rPr>
        <w:br/>
      </w:r>
      <w:r w:rsidR="0016522F" w:rsidRPr="0016522F">
        <w:rPr>
          <w:sz w:val="16"/>
          <w:szCs w:val="16"/>
        </w:rPr>
        <w:t>(E</w:t>
      </w:r>
      <w:r w:rsidRPr="0016522F">
        <w:rPr>
          <w:sz w:val="16"/>
          <w:szCs w:val="16"/>
        </w:rPr>
        <w:t>n porcentaje</w:t>
      </w:r>
      <w:r w:rsidR="0016522F" w:rsidRPr="0016522F">
        <w:rPr>
          <w:sz w:val="16"/>
          <w:szCs w:val="16"/>
        </w:rP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20" w:firstRow="1" w:lastRow="0" w:firstColumn="0" w:lastColumn="0" w:noHBand="0" w:noVBand="1"/>
      </w:tblPr>
      <w:tblGrid>
        <w:gridCol w:w="2605"/>
        <w:gridCol w:w="953"/>
        <w:gridCol w:w="953"/>
        <w:gridCol w:w="953"/>
        <w:gridCol w:w="953"/>
        <w:gridCol w:w="953"/>
      </w:tblGrid>
      <w:tr w:rsidR="00FB462F" w:rsidRPr="005B30A9" w14:paraId="1DE458D8" w14:textId="77777777" w:rsidTr="0016522F">
        <w:trPr>
          <w:trHeight w:val="240"/>
          <w:tblHeader/>
        </w:trPr>
        <w:tc>
          <w:tcPr>
            <w:tcW w:w="2605" w:type="dxa"/>
            <w:shd w:val="clear" w:color="auto" w:fill="auto"/>
            <w:vAlign w:val="bottom"/>
            <w:hideMark/>
          </w:tcPr>
          <w:p w14:paraId="167131F8" w14:textId="77777777" w:rsidR="009612CC" w:rsidRPr="005B30A9" w:rsidRDefault="009612CC" w:rsidP="00FB462F">
            <w:pPr>
              <w:pStyle w:val="SingleTxtG"/>
              <w:tabs>
                <w:tab w:val="clear" w:pos="1701"/>
                <w:tab w:val="clear" w:pos="2268"/>
                <w:tab w:val="clear" w:pos="2835"/>
              </w:tabs>
              <w:spacing w:before="80" w:after="80" w:line="200" w:lineRule="exact"/>
              <w:ind w:left="0" w:right="0"/>
              <w:jc w:val="left"/>
              <w:rPr>
                <w:i/>
                <w:sz w:val="16"/>
              </w:rPr>
            </w:pPr>
            <w:r w:rsidRPr="005B30A9">
              <w:rPr>
                <w:i/>
                <w:iCs/>
                <w:sz w:val="16"/>
              </w:rPr>
              <w:t>Descripción</w:t>
            </w:r>
          </w:p>
        </w:tc>
        <w:tc>
          <w:tcPr>
            <w:tcW w:w="953" w:type="dxa"/>
            <w:shd w:val="clear" w:color="auto" w:fill="auto"/>
            <w:noWrap/>
            <w:vAlign w:val="bottom"/>
            <w:hideMark/>
          </w:tcPr>
          <w:p w14:paraId="0F96B13E" w14:textId="77777777" w:rsidR="009612CC" w:rsidRPr="005B30A9" w:rsidRDefault="009612CC" w:rsidP="001652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2018</w:t>
            </w:r>
          </w:p>
        </w:tc>
        <w:tc>
          <w:tcPr>
            <w:tcW w:w="953" w:type="dxa"/>
            <w:shd w:val="clear" w:color="auto" w:fill="auto"/>
            <w:noWrap/>
            <w:vAlign w:val="bottom"/>
            <w:hideMark/>
          </w:tcPr>
          <w:p w14:paraId="231A4934" w14:textId="77777777" w:rsidR="009612CC" w:rsidRPr="005B30A9" w:rsidRDefault="009612CC" w:rsidP="001652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2019</w:t>
            </w:r>
          </w:p>
        </w:tc>
        <w:tc>
          <w:tcPr>
            <w:tcW w:w="953" w:type="dxa"/>
            <w:shd w:val="clear" w:color="auto" w:fill="auto"/>
            <w:noWrap/>
            <w:vAlign w:val="bottom"/>
            <w:hideMark/>
          </w:tcPr>
          <w:p w14:paraId="427713C7" w14:textId="77777777" w:rsidR="009612CC" w:rsidRPr="005B30A9" w:rsidRDefault="009612CC" w:rsidP="001652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2020</w:t>
            </w:r>
          </w:p>
        </w:tc>
        <w:tc>
          <w:tcPr>
            <w:tcW w:w="953" w:type="dxa"/>
            <w:shd w:val="clear" w:color="auto" w:fill="auto"/>
            <w:noWrap/>
            <w:vAlign w:val="bottom"/>
            <w:hideMark/>
          </w:tcPr>
          <w:p w14:paraId="6D3E827F" w14:textId="77777777" w:rsidR="009612CC" w:rsidRPr="005B30A9" w:rsidRDefault="009612CC" w:rsidP="001652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2021</w:t>
            </w:r>
          </w:p>
        </w:tc>
        <w:tc>
          <w:tcPr>
            <w:tcW w:w="953" w:type="dxa"/>
            <w:shd w:val="clear" w:color="auto" w:fill="auto"/>
            <w:noWrap/>
            <w:vAlign w:val="bottom"/>
            <w:hideMark/>
          </w:tcPr>
          <w:p w14:paraId="12212DBD" w14:textId="77777777" w:rsidR="009612CC" w:rsidRPr="005B30A9" w:rsidRDefault="009612CC" w:rsidP="001652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2022</w:t>
            </w:r>
          </w:p>
        </w:tc>
      </w:tr>
      <w:tr w:rsidR="00FB462F" w:rsidRPr="005B30A9" w14:paraId="5268CA7A" w14:textId="77777777" w:rsidTr="0016522F">
        <w:trPr>
          <w:trHeight w:val="240"/>
        </w:trPr>
        <w:tc>
          <w:tcPr>
            <w:tcW w:w="2605" w:type="dxa"/>
            <w:shd w:val="clear" w:color="auto" w:fill="auto"/>
            <w:hideMark/>
          </w:tcPr>
          <w:p w14:paraId="5C311E40" w14:textId="77777777" w:rsidR="009612CC" w:rsidRPr="005B30A9" w:rsidRDefault="009612CC" w:rsidP="00FB462F">
            <w:pPr>
              <w:pStyle w:val="SingleTxtG"/>
              <w:tabs>
                <w:tab w:val="clear" w:pos="1701"/>
                <w:tab w:val="clear" w:pos="2268"/>
                <w:tab w:val="clear" w:pos="2835"/>
              </w:tabs>
              <w:spacing w:before="40" w:after="40" w:line="220" w:lineRule="exact"/>
              <w:ind w:left="0" w:right="0"/>
              <w:jc w:val="left"/>
              <w:rPr>
                <w:sz w:val="18"/>
              </w:rPr>
            </w:pPr>
            <w:r w:rsidRPr="005B30A9">
              <w:rPr>
                <w:sz w:val="18"/>
              </w:rPr>
              <w:t>Porcentaje de empleadores que cumplen la obligación</w:t>
            </w:r>
          </w:p>
        </w:tc>
        <w:tc>
          <w:tcPr>
            <w:tcW w:w="953" w:type="dxa"/>
            <w:shd w:val="clear" w:color="auto" w:fill="auto"/>
            <w:noWrap/>
            <w:vAlign w:val="bottom"/>
            <w:hideMark/>
          </w:tcPr>
          <w:p w14:paraId="63625789" w14:textId="277964D2"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21,40</w:t>
            </w:r>
          </w:p>
        </w:tc>
        <w:tc>
          <w:tcPr>
            <w:tcW w:w="953" w:type="dxa"/>
            <w:shd w:val="clear" w:color="auto" w:fill="auto"/>
            <w:noWrap/>
            <w:vAlign w:val="bottom"/>
            <w:hideMark/>
          </w:tcPr>
          <w:p w14:paraId="4EC51E40" w14:textId="42426DCC"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21,92</w:t>
            </w:r>
          </w:p>
        </w:tc>
        <w:tc>
          <w:tcPr>
            <w:tcW w:w="953" w:type="dxa"/>
            <w:shd w:val="clear" w:color="auto" w:fill="auto"/>
            <w:noWrap/>
            <w:vAlign w:val="bottom"/>
            <w:hideMark/>
          </w:tcPr>
          <w:p w14:paraId="7B266446" w14:textId="4F2373D4"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24,53</w:t>
            </w:r>
          </w:p>
        </w:tc>
        <w:tc>
          <w:tcPr>
            <w:tcW w:w="953" w:type="dxa"/>
            <w:shd w:val="clear" w:color="auto" w:fill="auto"/>
            <w:noWrap/>
            <w:vAlign w:val="bottom"/>
            <w:hideMark/>
          </w:tcPr>
          <w:p w14:paraId="0AE1C845" w14:textId="36C9C644"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24,72</w:t>
            </w:r>
          </w:p>
        </w:tc>
        <w:tc>
          <w:tcPr>
            <w:tcW w:w="953" w:type="dxa"/>
            <w:shd w:val="clear" w:color="auto" w:fill="auto"/>
            <w:noWrap/>
            <w:vAlign w:val="bottom"/>
            <w:hideMark/>
          </w:tcPr>
          <w:p w14:paraId="12CCB5D8" w14:textId="101026C8"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23,79</w:t>
            </w:r>
          </w:p>
        </w:tc>
      </w:tr>
    </w:tbl>
    <w:p w14:paraId="192C8E34" w14:textId="77777777" w:rsidR="009612CC" w:rsidRPr="005B30A9" w:rsidRDefault="009612CC" w:rsidP="00FB462F">
      <w:pPr>
        <w:pStyle w:val="SingleTxtG"/>
        <w:spacing w:before="120"/>
        <w:ind w:firstLine="170"/>
        <w:jc w:val="left"/>
        <w:rPr>
          <w:sz w:val="18"/>
          <w:szCs w:val="18"/>
        </w:rPr>
      </w:pPr>
      <w:r w:rsidRPr="005B30A9">
        <w:rPr>
          <w:i/>
          <w:iCs/>
          <w:sz w:val="18"/>
          <w:szCs w:val="18"/>
        </w:rPr>
        <w:t>Fuente:</w:t>
      </w:r>
      <w:r w:rsidRPr="005B30A9">
        <w:rPr>
          <w:sz w:val="18"/>
          <w:szCs w:val="18"/>
        </w:rPr>
        <w:t xml:space="preserve"> BMSGPK.</w:t>
      </w:r>
    </w:p>
    <w:p w14:paraId="5D58193C" w14:textId="77777777" w:rsidR="009612CC" w:rsidRPr="005B30A9" w:rsidRDefault="009612CC" w:rsidP="00FB462F">
      <w:pPr>
        <w:pStyle w:val="Table1G"/>
      </w:pPr>
      <w:r w:rsidRPr="005B30A9">
        <w:t>Cuadro 19</w:t>
      </w:r>
    </w:p>
    <w:p w14:paraId="17CD036B" w14:textId="72E8D0C8" w:rsidR="009612CC" w:rsidRPr="005B30A9" w:rsidRDefault="009612CC" w:rsidP="00FB462F">
      <w:pPr>
        <w:pStyle w:val="SingleTxtG"/>
        <w:jc w:val="left"/>
        <w:rPr>
          <w:b/>
          <w:bCs/>
        </w:rPr>
      </w:pPr>
      <w:r w:rsidRPr="005B30A9">
        <w:rPr>
          <w:b/>
          <w:bCs/>
        </w:rPr>
        <w:t xml:space="preserve">Número de adolescentes que cursan formación profesional conforme </w:t>
      </w:r>
      <w:r w:rsidR="00FB462F" w:rsidRPr="005B30A9">
        <w:rPr>
          <w:b/>
          <w:bCs/>
        </w:rPr>
        <w:br/>
      </w:r>
      <w:r w:rsidRPr="005B30A9">
        <w:rPr>
          <w:b/>
          <w:bCs/>
        </w:rPr>
        <w:t>al artículo 8 b) de la BAG: comparación quinquenal (2018</w:t>
      </w:r>
      <w:r w:rsidR="0016522F">
        <w:rPr>
          <w:b/>
          <w:bCs/>
        </w:rPr>
        <w:t>-</w:t>
      </w:r>
      <w:r w:rsidRPr="005B30A9">
        <w:rPr>
          <w:b/>
          <w:bCs/>
        </w:rPr>
        <w:t>2022)</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3970"/>
        <w:gridCol w:w="680"/>
        <w:gridCol w:w="680"/>
        <w:gridCol w:w="680"/>
        <w:gridCol w:w="680"/>
        <w:gridCol w:w="680"/>
      </w:tblGrid>
      <w:tr w:rsidR="00FB462F" w:rsidRPr="005B30A9" w14:paraId="5E855974" w14:textId="77777777" w:rsidTr="0016522F">
        <w:trPr>
          <w:trHeight w:val="240"/>
          <w:tblHeader/>
        </w:trPr>
        <w:tc>
          <w:tcPr>
            <w:tcW w:w="2693" w:type="pct"/>
            <w:tcBorders>
              <w:top w:val="single" w:sz="4" w:space="0" w:color="auto"/>
              <w:bottom w:val="single" w:sz="12" w:space="0" w:color="auto"/>
            </w:tcBorders>
            <w:shd w:val="clear" w:color="auto" w:fill="auto"/>
            <w:vAlign w:val="bottom"/>
            <w:hideMark/>
          </w:tcPr>
          <w:p w14:paraId="2F08D393" w14:textId="77777777" w:rsidR="009612CC" w:rsidRPr="005B30A9" w:rsidRDefault="009612CC" w:rsidP="00FB462F">
            <w:pPr>
              <w:pStyle w:val="SingleTxtG"/>
              <w:tabs>
                <w:tab w:val="clear" w:pos="1701"/>
                <w:tab w:val="clear" w:pos="2268"/>
                <w:tab w:val="clear" w:pos="2835"/>
              </w:tabs>
              <w:spacing w:before="80" w:after="80" w:line="200" w:lineRule="exact"/>
              <w:ind w:left="0" w:right="0"/>
              <w:jc w:val="left"/>
              <w:rPr>
                <w:i/>
                <w:sz w:val="16"/>
              </w:rPr>
            </w:pPr>
            <w:r w:rsidRPr="005B30A9">
              <w:rPr>
                <w:i/>
                <w:iCs/>
                <w:sz w:val="16"/>
              </w:rPr>
              <w:t>Formación profesional conforme al artículo 8 b) de la BAG</w:t>
            </w:r>
          </w:p>
        </w:tc>
        <w:tc>
          <w:tcPr>
            <w:tcW w:w="461" w:type="pct"/>
            <w:tcBorders>
              <w:top w:val="single" w:sz="4" w:space="0" w:color="auto"/>
              <w:bottom w:val="single" w:sz="12" w:space="0" w:color="auto"/>
            </w:tcBorders>
            <w:shd w:val="clear" w:color="auto" w:fill="auto"/>
            <w:vAlign w:val="bottom"/>
            <w:hideMark/>
          </w:tcPr>
          <w:p w14:paraId="00A96E9F" w14:textId="77777777" w:rsidR="009612CC" w:rsidRPr="005B30A9" w:rsidRDefault="009612CC" w:rsidP="00FB46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2018</w:t>
            </w:r>
          </w:p>
        </w:tc>
        <w:tc>
          <w:tcPr>
            <w:tcW w:w="461" w:type="pct"/>
            <w:tcBorders>
              <w:top w:val="single" w:sz="4" w:space="0" w:color="auto"/>
              <w:bottom w:val="single" w:sz="12" w:space="0" w:color="auto"/>
            </w:tcBorders>
            <w:shd w:val="clear" w:color="auto" w:fill="auto"/>
            <w:vAlign w:val="bottom"/>
            <w:hideMark/>
          </w:tcPr>
          <w:p w14:paraId="7F05706C" w14:textId="77777777" w:rsidR="009612CC" w:rsidRPr="005B30A9" w:rsidRDefault="009612CC" w:rsidP="00FB46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2019</w:t>
            </w:r>
          </w:p>
        </w:tc>
        <w:tc>
          <w:tcPr>
            <w:tcW w:w="461" w:type="pct"/>
            <w:tcBorders>
              <w:top w:val="single" w:sz="4" w:space="0" w:color="auto"/>
              <w:bottom w:val="single" w:sz="12" w:space="0" w:color="auto"/>
            </w:tcBorders>
            <w:shd w:val="clear" w:color="auto" w:fill="auto"/>
            <w:vAlign w:val="bottom"/>
            <w:hideMark/>
          </w:tcPr>
          <w:p w14:paraId="0EB6D4F4" w14:textId="77777777" w:rsidR="009612CC" w:rsidRPr="005B30A9" w:rsidRDefault="009612CC" w:rsidP="00FB46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2020</w:t>
            </w:r>
          </w:p>
        </w:tc>
        <w:tc>
          <w:tcPr>
            <w:tcW w:w="461" w:type="pct"/>
            <w:tcBorders>
              <w:top w:val="single" w:sz="4" w:space="0" w:color="auto"/>
              <w:bottom w:val="single" w:sz="12" w:space="0" w:color="auto"/>
            </w:tcBorders>
            <w:shd w:val="clear" w:color="auto" w:fill="auto"/>
            <w:vAlign w:val="bottom"/>
            <w:hideMark/>
          </w:tcPr>
          <w:p w14:paraId="17143B15" w14:textId="77777777" w:rsidR="009612CC" w:rsidRPr="005B30A9" w:rsidRDefault="009612CC" w:rsidP="00FB46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2021</w:t>
            </w:r>
          </w:p>
        </w:tc>
        <w:tc>
          <w:tcPr>
            <w:tcW w:w="461" w:type="pct"/>
            <w:tcBorders>
              <w:top w:val="single" w:sz="4" w:space="0" w:color="auto"/>
              <w:bottom w:val="single" w:sz="12" w:space="0" w:color="auto"/>
            </w:tcBorders>
            <w:shd w:val="clear" w:color="auto" w:fill="auto"/>
            <w:vAlign w:val="bottom"/>
            <w:hideMark/>
          </w:tcPr>
          <w:p w14:paraId="7E2B4F12" w14:textId="77777777" w:rsidR="009612CC" w:rsidRPr="005B30A9" w:rsidRDefault="009612CC" w:rsidP="00FB46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2022</w:t>
            </w:r>
          </w:p>
        </w:tc>
      </w:tr>
      <w:tr w:rsidR="00FB462F" w:rsidRPr="005B30A9" w14:paraId="0451E3A5" w14:textId="77777777" w:rsidTr="0016522F">
        <w:trPr>
          <w:trHeight w:val="240"/>
        </w:trPr>
        <w:tc>
          <w:tcPr>
            <w:tcW w:w="2693" w:type="pct"/>
            <w:shd w:val="clear" w:color="auto" w:fill="auto"/>
            <w:hideMark/>
          </w:tcPr>
          <w:p w14:paraId="76330585" w14:textId="3626BFBA" w:rsidR="009612CC" w:rsidRPr="005B30A9" w:rsidRDefault="009612CC" w:rsidP="00FB462F">
            <w:pPr>
              <w:pStyle w:val="SingleTxtG"/>
              <w:tabs>
                <w:tab w:val="clear" w:pos="1701"/>
                <w:tab w:val="clear" w:pos="2268"/>
                <w:tab w:val="clear" w:pos="2835"/>
              </w:tabs>
              <w:spacing w:before="40" w:after="40" w:line="220" w:lineRule="exact"/>
              <w:ind w:left="0" w:right="0"/>
              <w:jc w:val="left"/>
              <w:rPr>
                <w:sz w:val="18"/>
              </w:rPr>
            </w:pPr>
            <w:r w:rsidRPr="005B30A9">
              <w:rPr>
                <w:sz w:val="18"/>
              </w:rPr>
              <w:t>Artículo 8 b), párrafo 1, de la BAG (</w:t>
            </w:r>
            <w:r w:rsidR="00871746">
              <w:rPr>
                <w:sz w:val="18"/>
              </w:rPr>
              <w:t>período</w:t>
            </w:r>
            <w:r w:rsidRPr="005B30A9">
              <w:rPr>
                <w:sz w:val="18"/>
              </w:rPr>
              <w:t xml:space="preserve"> de aprendizaje ampliado)</w:t>
            </w:r>
          </w:p>
        </w:tc>
        <w:tc>
          <w:tcPr>
            <w:tcW w:w="461" w:type="pct"/>
            <w:shd w:val="clear" w:color="auto" w:fill="auto"/>
            <w:vAlign w:val="bottom"/>
            <w:hideMark/>
          </w:tcPr>
          <w:p w14:paraId="1E67B7CE" w14:textId="1A77B0FB"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6</w:t>
            </w:r>
            <w:r w:rsidR="00FB462F" w:rsidRPr="005B30A9">
              <w:rPr>
                <w:sz w:val="18"/>
              </w:rPr>
              <w:t xml:space="preserve"> </w:t>
            </w:r>
            <w:r w:rsidRPr="005B30A9">
              <w:rPr>
                <w:sz w:val="18"/>
              </w:rPr>
              <w:t>407</w:t>
            </w:r>
          </w:p>
        </w:tc>
        <w:tc>
          <w:tcPr>
            <w:tcW w:w="461" w:type="pct"/>
            <w:shd w:val="clear" w:color="auto" w:fill="auto"/>
            <w:vAlign w:val="bottom"/>
            <w:hideMark/>
          </w:tcPr>
          <w:p w14:paraId="0C031050" w14:textId="6A3079D0"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6</w:t>
            </w:r>
            <w:r w:rsidR="00FB462F" w:rsidRPr="005B30A9">
              <w:rPr>
                <w:sz w:val="18"/>
              </w:rPr>
              <w:t xml:space="preserve"> </w:t>
            </w:r>
            <w:r w:rsidRPr="005B30A9">
              <w:rPr>
                <w:sz w:val="18"/>
              </w:rPr>
              <w:t>625</w:t>
            </w:r>
          </w:p>
        </w:tc>
        <w:tc>
          <w:tcPr>
            <w:tcW w:w="461" w:type="pct"/>
            <w:shd w:val="clear" w:color="auto" w:fill="auto"/>
            <w:noWrap/>
            <w:vAlign w:val="bottom"/>
            <w:hideMark/>
          </w:tcPr>
          <w:p w14:paraId="6C95828F" w14:textId="76F0A869"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6</w:t>
            </w:r>
            <w:r w:rsidR="00FB462F" w:rsidRPr="005B30A9">
              <w:rPr>
                <w:sz w:val="18"/>
              </w:rPr>
              <w:t xml:space="preserve"> </w:t>
            </w:r>
            <w:r w:rsidRPr="005B30A9">
              <w:rPr>
                <w:sz w:val="18"/>
              </w:rPr>
              <w:t>910</w:t>
            </w:r>
          </w:p>
        </w:tc>
        <w:tc>
          <w:tcPr>
            <w:tcW w:w="461" w:type="pct"/>
            <w:shd w:val="clear" w:color="auto" w:fill="auto"/>
            <w:noWrap/>
            <w:vAlign w:val="bottom"/>
            <w:hideMark/>
          </w:tcPr>
          <w:p w14:paraId="3EBE9C50" w14:textId="1CC7FA9A"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7</w:t>
            </w:r>
            <w:r w:rsidR="00FB462F" w:rsidRPr="005B30A9">
              <w:rPr>
                <w:sz w:val="18"/>
              </w:rPr>
              <w:t xml:space="preserve"> </w:t>
            </w:r>
            <w:r w:rsidRPr="005B30A9">
              <w:rPr>
                <w:sz w:val="18"/>
              </w:rPr>
              <w:t>267</w:t>
            </w:r>
          </w:p>
        </w:tc>
        <w:tc>
          <w:tcPr>
            <w:tcW w:w="461" w:type="pct"/>
            <w:shd w:val="clear" w:color="auto" w:fill="auto"/>
            <w:noWrap/>
            <w:vAlign w:val="bottom"/>
            <w:hideMark/>
          </w:tcPr>
          <w:p w14:paraId="317F8659" w14:textId="0C3B1361"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7</w:t>
            </w:r>
            <w:r w:rsidR="00FB462F" w:rsidRPr="005B30A9">
              <w:rPr>
                <w:sz w:val="18"/>
              </w:rPr>
              <w:t xml:space="preserve"> </w:t>
            </w:r>
            <w:r w:rsidRPr="005B30A9">
              <w:rPr>
                <w:sz w:val="18"/>
              </w:rPr>
              <w:t>171</w:t>
            </w:r>
          </w:p>
        </w:tc>
      </w:tr>
      <w:tr w:rsidR="00FB462F" w:rsidRPr="005B30A9" w14:paraId="03DA1172" w14:textId="77777777" w:rsidTr="0016522F">
        <w:trPr>
          <w:trHeight w:val="240"/>
        </w:trPr>
        <w:tc>
          <w:tcPr>
            <w:tcW w:w="2693" w:type="pct"/>
            <w:shd w:val="clear" w:color="auto" w:fill="auto"/>
            <w:hideMark/>
          </w:tcPr>
          <w:p w14:paraId="5496E637" w14:textId="62450624" w:rsidR="009612CC" w:rsidRPr="005B30A9" w:rsidRDefault="0016522F" w:rsidP="00FB462F">
            <w:pPr>
              <w:pStyle w:val="SingleTxtG"/>
              <w:tabs>
                <w:tab w:val="clear" w:pos="1701"/>
                <w:tab w:val="clear" w:pos="2268"/>
                <w:tab w:val="clear" w:pos="2835"/>
              </w:tabs>
              <w:spacing w:before="40" w:after="40" w:line="220" w:lineRule="exact"/>
              <w:ind w:left="0" w:right="0"/>
              <w:jc w:val="left"/>
              <w:rPr>
                <w:sz w:val="18"/>
              </w:rPr>
            </w:pPr>
            <w:r>
              <w:rPr>
                <w:sz w:val="18"/>
              </w:rPr>
              <w:t>E</w:t>
            </w:r>
            <w:r w:rsidR="009612CC" w:rsidRPr="005B30A9">
              <w:rPr>
                <w:sz w:val="18"/>
              </w:rPr>
              <w:t>n empresas</w:t>
            </w:r>
          </w:p>
        </w:tc>
        <w:tc>
          <w:tcPr>
            <w:tcW w:w="461" w:type="pct"/>
            <w:shd w:val="clear" w:color="auto" w:fill="auto"/>
            <w:vAlign w:val="bottom"/>
            <w:hideMark/>
          </w:tcPr>
          <w:p w14:paraId="3C0AAB71" w14:textId="652140D9"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4</w:t>
            </w:r>
            <w:r w:rsidR="00FB462F" w:rsidRPr="005B30A9">
              <w:rPr>
                <w:sz w:val="18"/>
              </w:rPr>
              <w:t xml:space="preserve"> </w:t>
            </w:r>
            <w:r w:rsidRPr="005B30A9">
              <w:rPr>
                <w:sz w:val="18"/>
              </w:rPr>
              <w:t xml:space="preserve">700 </w:t>
            </w:r>
          </w:p>
        </w:tc>
        <w:tc>
          <w:tcPr>
            <w:tcW w:w="461" w:type="pct"/>
            <w:shd w:val="clear" w:color="auto" w:fill="auto"/>
            <w:vAlign w:val="bottom"/>
            <w:hideMark/>
          </w:tcPr>
          <w:p w14:paraId="005FD144" w14:textId="6AA61602"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5</w:t>
            </w:r>
            <w:r w:rsidR="00FB462F" w:rsidRPr="005B30A9">
              <w:rPr>
                <w:sz w:val="18"/>
              </w:rPr>
              <w:t xml:space="preserve"> </w:t>
            </w:r>
            <w:r w:rsidRPr="005B30A9">
              <w:rPr>
                <w:sz w:val="18"/>
              </w:rPr>
              <w:t xml:space="preserve">083 </w:t>
            </w:r>
          </w:p>
        </w:tc>
        <w:tc>
          <w:tcPr>
            <w:tcW w:w="461" w:type="pct"/>
            <w:shd w:val="clear" w:color="auto" w:fill="auto"/>
            <w:noWrap/>
            <w:vAlign w:val="bottom"/>
            <w:hideMark/>
          </w:tcPr>
          <w:p w14:paraId="76EBCE8E" w14:textId="287771BC"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5</w:t>
            </w:r>
            <w:r w:rsidR="00FB462F" w:rsidRPr="005B30A9">
              <w:rPr>
                <w:sz w:val="18"/>
              </w:rPr>
              <w:t xml:space="preserve"> </w:t>
            </w:r>
            <w:r w:rsidRPr="005B30A9">
              <w:rPr>
                <w:sz w:val="18"/>
              </w:rPr>
              <w:t xml:space="preserve">188 </w:t>
            </w:r>
          </w:p>
        </w:tc>
        <w:tc>
          <w:tcPr>
            <w:tcW w:w="461" w:type="pct"/>
            <w:shd w:val="clear" w:color="auto" w:fill="auto"/>
            <w:noWrap/>
            <w:vAlign w:val="bottom"/>
            <w:hideMark/>
          </w:tcPr>
          <w:p w14:paraId="4F6007E9" w14:textId="5234ACD8"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5</w:t>
            </w:r>
            <w:r w:rsidR="00FB462F" w:rsidRPr="005B30A9">
              <w:rPr>
                <w:sz w:val="18"/>
              </w:rPr>
              <w:t xml:space="preserve"> </w:t>
            </w:r>
            <w:r w:rsidRPr="005B30A9">
              <w:rPr>
                <w:sz w:val="18"/>
              </w:rPr>
              <w:t xml:space="preserve">420 </w:t>
            </w:r>
          </w:p>
        </w:tc>
        <w:tc>
          <w:tcPr>
            <w:tcW w:w="461" w:type="pct"/>
            <w:shd w:val="clear" w:color="auto" w:fill="auto"/>
            <w:noWrap/>
            <w:vAlign w:val="bottom"/>
            <w:hideMark/>
          </w:tcPr>
          <w:p w14:paraId="321C5448" w14:textId="76DD51D9"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5</w:t>
            </w:r>
            <w:r w:rsidR="00FB462F" w:rsidRPr="005B30A9">
              <w:rPr>
                <w:sz w:val="18"/>
              </w:rPr>
              <w:t xml:space="preserve"> </w:t>
            </w:r>
            <w:r w:rsidRPr="005B30A9">
              <w:rPr>
                <w:sz w:val="18"/>
              </w:rPr>
              <w:t xml:space="preserve">710 </w:t>
            </w:r>
          </w:p>
        </w:tc>
      </w:tr>
      <w:tr w:rsidR="00FB462F" w:rsidRPr="005B30A9" w14:paraId="123ED479" w14:textId="77777777" w:rsidTr="0016522F">
        <w:trPr>
          <w:trHeight w:val="240"/>
        </w:trPr>
        <w:tc>
          <w:tcPr>
            <w:tcW w:w="2693" w:type="pct"/>
            <w:shd w:val="clear" w:color="auto" w:fill="auto"/>
            <w:hideMark/>
          </w:tcPr>
          <w:p w14:paraId="5FDBFA3C" w14:textId="3E50BD49" w:rsidR="009612CC" w:rsidRPr="005B30A9" w:rsidRDefault="0016522F" w:rsidP="00FB462F">
            <w:pPr>
              <w:pStyle w:val="SingleTxtG"/>
              <w:tabs>
                <w:tab w:val="clear" w:pos="1701"/>
                <w:tab w:val="clear" w:pos="2268"/>
                <w:tab w:val="clear" w:pos="2835"/>
              </w:tabs>
              <w:spacing w:before="40" w:after="40" w:line="220" w:lineRule="exact"/>
              <w:ind w:left="0" w:right="0"/>
              <w:jc w:val="left"/>
              <w:rPr>
                <w:sz w:val="18"/>
              </w:rPr>
            </w:pPr>
            <w:r>
              <w:rPr>
                <w:sz w:val="18"/>
              </w:rPr>
              <w:t>E</w:t>
            </w:r>
            <w:r w:rsidR="009612CC" w:rsidRPr="005B30A9">
              <w:rPr>
                <w:sz w:val="18"/>
              </w:rPr>
              <w:t>n instituciones de capacitación</w:t>
            </w:r>
          </w:p>
        </w:tc>
        <w:tc>
          <w:tcPr>
            <w:tcW w:w="461" w:type="pct"/>
            <w:shd w:val="clear" w:color="auto" w:fill="auto"/>
            <w:vAlign w:val="bottom"/>
            <w:hideMark/>
          </w:tcPr>
          <w:p w14:paraId="151BB601" w14:textId="61A82EE1"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FB462F" w:rsidRPr="005B30A9">
              <w:rPr>
                <w:sz w:val="18"/>
              </w:rPr>
              <w:t xml:space="preserve"> </w:t>
            </w:r>
            <w:r w:rsidRPr="005B30A9">
              <w:rPr>
                <w:sz w:val="18"/>
              </w:rPr>
              <w:t xml:space="preserve">707 </w:t>
            </w:r>
          </w:p>
        </w:tc>
        <w:tc>
          <w:tcPr>
            <w:tcW w:w="461" w:type="pct"/>
            <w:shd w:val="clear" w:color="auto" w:fill="auto"/>
            <w:vAlign w:val="bottom"/>
            <w:hideMark/>
          </w:tcPr>
          <w:p w14:paraId="6321EE8C" w14:textId="1158BF1E"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FB462F" w:rsidRPr="005B30A9">
              <w:rPr>
                <w:sz w:val="18"/>
              </w:rPr>
              <w:t xml:space="preserve"> </w:t>
            </w:r>
            <w:r w:rsidRPr="005B30A9">
              <w:rPr>
                <w:sz w:val="18"/>
              </w:rPr>
              <w:t xml:space="preserve">542 </w:t>
            </w:r>
          </w:p>
        </w:tc>
        <w:tc>
          <w:tcPr>
            <w:tcW w:w="461" w:type="pct"/>
            <w:shd w:val="clear" w:color="auto" w:fill="auto"/>
            <w:noWrap/>
            <w:vAlign w:val="bottom"/>
            <w:hideMark/>
          </w:tcPr>
          <w:p w14:paraId="27C954D1" w14:textId="227A356B"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FB462F" w:rsidRPr="005B30A9">
              <w:rPr>
                <w:sz w:val="18"/>
              </w:rPr>
              <w:t xml:space="preserve"> </w:t>
            </w:r>
            <w:r w:rsidRPr="005B30A9">
              <w:rPr>
                <w:sz w:val="18"/>
              </w:rPr>
              <w:t xml:space="preserve">722 </w:t>
            </w:r>
          </w:p>
        </w:tc>
        <w:tc>
          <w:tcPr>
            <w:tcW w:w="461" w:type="pct"/>
            <w:shd w:val="clear" w:color="auto" w:fill="auto"/>
            <w:noWrap/>
            <w:vAlign w:val="bottom"/>
            <w:hideMark/>
          </w:tcPr>
          <w:p w14:paraId="71C7953D" w14:textId="139776AE"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FB462F" w:rsidRPr="005B30A9">
              <w:rPr>
                <w:sz w:val="18"/>
              </w:rPr>
              <w:t xml:space="preserve"> </w:t>
            </w:r>
            <w:r w:rsidRPr="005B30A9">
              <w:rPr>
                <w:sz w:val="18"/>
              </w:rPr>
              <w:t xml:space="preserve">847 </w:t>
            </w:r>
          </w:p>
        </w:tc>
        <w:tc>
          <w:tcPr>
            <w:tcW w:w="461" w:type="pct"/>
            <w:shd w:val="clear" w:color="auto" w:fill="auto"/>
            <w:noWrap/>
            <w:vAlign w:val="bottom"/>
            <w:hideMark/>
          </w:tcPr>
          <w:p w14:paraId="10B531A9" w14:textId="7AC701C8"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FB462F" w:rsidRPr="005B30A9">
              <w:rPr>
                <w:sz w:val="18"/>
              </w:rPr>
              <w:t xml:space="preserve"> </w:t>
            </w:r>
            <w:r w:rsidRPr="005B30A9">
              <w:rPr>
                <w:sz w:val="18"/>
              </w:rPr>
              <w:t xml:space="preserve">461 </w:t>
            </w:r>
          </w:p>
        </w:tc>
      </w:tr>
      <w:tr w:rsidR="00FB462F" w:rsidRPr="005B30A9" w14:paraId="29BD30FA" w14:textId="77777777" w:rsidTr="0016522F">
        <w:trPr>
          <w:trHeight w:val="240"/>
        </w:trPr>
        <w:tc>
          <w:tcPr>
            <w:tcW w:w="2693" w:type="pct"/>
            <w:shd w:val="clear" w:color="auto" w:fill="auto"/>
            <w:hideMark/>
          </w:tcPr>
          <w:p w14:paraId="0F69E2A7" w14:textId="77777777" w:rsidR="009612CC" w:rsidRPr="005B30A9" w:rsidRDefault="009612CC" w:rsidP="00FB462F">
            <w:pPr>
              <w:pStyle w:val="SingleTxtG"/>
              <w:tabs>
                <w:tab w:val="clear" w:pos="1701"/>
                <w:tab w:val="clear" w:pos="2268"/>
                <w:tab w:val="clear" w:pos="2835"/>
              </w:tabs>
              <w:spacing w:before="40" w:after="40" w:line="220" w:lineRule="exact"/>
              <w:ind w:left="0" w:right="0"/>
              <w:jc w:val="left"/>
              <w:rPr>
                <w:sz w:val="18"/>
              </w:rPr>
            </w:pPr>
            <w:r w:rsidRPr="005B30A9">
              <w:rPr>
                <w:sz w:val="18"/>
              </w:rPr>
              <w:t>Artículo 8 b), párrafo 2, de la BAG (cualificación parcial)</w:t>
            </w:r>
          </w:p>
        </w:tc>
        <w:tc>
          <w:tcPr>
            <w:tcW w:w="461" w:type="pct"/>
            <w:shd w:val="clear" w:color="auto" w:fill="auto"/>
            <w:vAlign w:val="bottom"/>
            <w:hideMark/>
          </w:tcPr>
          <w:p w14:paraId="6C28D916" w14:textId="6CECBB5A"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FB462F" w:rsidRPr="005B30A9">
              <w:rPr>
                <w:sz w:val="18"/>
              </w:rPr>
              <w:t xml:space="preserve"> </w:t>
            </w:r>
            <w:r w:rsidRPr="005B30A9">
              <w:rPr>
                <w:sz w:val="18"/>
              </w:rPr>
              <w:t xml:space="preserve">638 </w:t>
            </w:r>
          </w:p>
        </w:tc>
        <w:tc>
          <w:tcPr>
            <w:tcW w:w="461" w:type="pct"/>
            <w:shd w:val="clear" w:color="auto" w:fill="auto"/>
            <w:vAlign w:val="bottom"/>
            <w:hideMark/>
          </w:tcPr>
          <w:p w14:paraId="761D1893" w14:textId="30A8E4F5"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FB462F" w:rsidRPr="005B30A9">
              <w:rPr>
                <w:sz w:val="18"/>
              </w:rPr>
              <w:t xml:space="preserve"> </w:t>
            </w:r>
            <w:r w:rsidRPr="005B30A9">
              <w:rPr>
                <w:sz w:val="18"/>
              </w:rPr>
              <w:t xml:space="preserve">588 </w:t>
            </w:r>
          </w:p>
        </w:tc>
        <w:tc>
          <w:tcPr>
            <w:tcW w:w="461" w:type="pct"/>
            <w:shd w:val="clear" w:color="auto" w:fill="auto"/>
            <w:vAlign w:val="bottom"/>
            <w:hideMark/>
          </w:tcPr>
          <w:p w14:paraId="5544BBB5" w14:textId="59049E10"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FB462F" w:rsidRPr="005B30A9">
              <w:rPr>
                <w:sz w:val="18"/>
              </w:rPr>
              <w:t xml:space="preserve"> </w:t>
            </w:r>
            <w:r w:rsidRPr="005B30A9">
              <w:rPr>
                <w:sz w:val="18"/>
              </w:rPr>
              <w:t xml:space="preserve">404 </w:t>
            </w:r>
          </w:p>
        </w:tc>
        <w:tc>
          <w:tcPr>
            <w:tcW w:w="461" w:type="pct"/>
            <w:shd w:val="clear" w:color="auto" w:fill="auto"/>
            <w:vAlign w:val="bottom"/>
            <w:hideMark/>
          </w:tcPr>
          <w:p w14:paraId="48E1F5C8" w14:textId="61F6AD59"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FB462F" w:rsidRPr="005B30A9">
              <w:rPr>
                <w:sz w:val="18"/>
              </w:rPr>
              <w:t xml:space="preserve"> </w:t>
            </w:r>
            <w:r w:rsidRPr="005B30A9">
              <w:rPr>
                <w:sz w:val="18"/>
              </w:rPr>
              <w:t xml:space="preserve">108 </w:t>
            </w:r>
          </w:p>
        </w:tc>
        <w:tc>
          <w:tcPr>
            <w:tcW w:w="461" w:type="pct"/>
            <w:shd w:val="clear" w:color="auto" w:fill="auto"/>
            <w:vAlign w:val="bottom"/>
            <w:hideMark/>
          </w:tcPr>
          <w:p w14:paraId="1F9ECA22" w14:textId="73F23993"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FB462F" w:rsidRPr="005B30A9">
              <w:rPr>
                <w:sz w:val="18"/>
              </w:rPr>
              <w:t xml:space="preserve"> </w:t>
            </w:r>
            <w:r w:rsidRPr="005B30A9">
              <w:rPr>
                <w:sz w:val="18"/>
              </w:rPr>
              <w:t xml:space="preserve">251 </w:t>
            </w:r>
          </w:p>
        </w:tc>
      </w:tr>
      <w:tr w:rsidR="00FB462F" w:rsidRPr="005B30A9" w14:paraId="562BBA91" w14:textId="77777777" w:rsidTr="0016522F">
        <w:trPr>
          <w:trHeight w:val="240"/>
        </w:trPr>
        <w:tc>
          <w:tcPr>
            <w:tcW w:w="2693" w:type="pct"/>
            <w:shd w:val="clear" w:color="auto" w:fill="auto"/>
            <w:hideMark/>
          </w:tcPr>
          <w:p w14:paraId="5A0CAA41" w14:textId="0407C05C" w:rsidR="009612CC" w:rsidRPr="005B30A9" w:rsidRDefault="0016522F" w:rsidP="00FB462F">
            <w:pPr>
              <w:pStyle w:val="SingleTxtG"/>
              <w:tabs>
                <w:tab w:val="clear" w:pos="1701"/>
                <w:tab w:val="clear" w:pos="2268"/>
                <w:tab w:val="clear" w:pos="2835"/>
              </w:tabs>
              <w:spacing w:before="40" w:after="40" w:line="220" w:lineRule="exact"/>
              <w:ind w:left="0" w:right="0"/>
              <w:jc w:val="left"/>
              <w:rPr>
                <w:sz w:val="18"/>
              </w:rPr>
            </w:pPr>
            <w:r>
              <w:rPr>
                <w:sz w:val="18"/>
              </w:rPr>
              <w:t>E</w:t>
            </w:r>
            <w:r w:rsidR="009612CC" w:rsidRPr="005B30A9">
              <w:rPr>
                <w:sz w:val="18"/>
              </w:rPr>
              <w:t>n empresas</w:t>
            </w:r>
          </w:p>
        </w:tc>
        <w:tc>
          <w:tcPr>
            <w:tcW w:w="461" w:type="pct"/>
            <w:shd w:val="clear" w:color="auto" w:fill="auto"/>
            <w:vAlign w:val="bottom"/>
            <w:hideMark/>
          </w:tcPr>
          <w:p w14:paraId="32EC6BBC"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 xml:space="preserve">502 </w:t>
            </w:r>
          </w:p>
        </w:tc>
        <w:tc>
          <w:tcPr>
            <w:tcW w:w="461" w:type="pct"/>
            <w:shd w:val="clear" w:color="auto" w:fill="auto"/>
            <w:vAlign w:val="bottom"/>
            <w:hideMark/>
          </w:tcPr>
          <w:p w14:paraId="32EDE942"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 xml:space="preserve"> 631 </w:t>
            </w:r>
          </w:p>
        </w:tc>
        <w:tc>
          <w:tcPr>
            <w:tcW w:w="461" w:type="pct"/>
            <w:shd w:val="clear" w:color="auto" w:fill="auto"/>
            <w:noWrap/>
            <w:vAlign w:val="bottom"/>
            <w:hideMark/>
          </w:tcPr>
          <w:p w14:paraId="6C1A5A45"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 xml:space="preserve"> 590 </w:t>
            </w:r>
          </w:p>
        </w:tc>
        <w:tc>
          <w:tcPr>
            <w:tcW w:w="461" w:type="pct"/>
            <w:shd w:val="clear" w:color="auto" w:fill="auto"/>
            <w:noWrap/>
            <w:vAlign w:val="bottom"/>
            <w:hideMark/>
          </w:tcPr>
          <w:p w14:paraId="4A060C57"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 xml:space="preserve"> 580 </w:t>
            </w:r>
          </w:p>
        </w:tc>
        <w:tc>
          <w:tcPr>
            <w:tcW w:w="461" w:type="pct"/>
            <w:shd w:val="clear" w:color="auto" w:fill="auto"/>
            <w:noWrap/>
            <w:vAlign w:val="bottom"/>
            <w:hideMark/>
          </w:tcPr>
          <w:p w14:paraId="6514486F"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 xml:space="preserve"> 616 </w:t>
            </w:r>
          </w:p>
        </w:tc>
      </w:tr>
      <w:tr w:rsidR="00FB462F" w:rsidRPr="005B30A9" w14:paraId="5D7C92DC" w14:textId="77777777" w:rsidTr="0016522F">
        <w:trPr>
          <w:trHeight w:val="240"/>
        </w:trPr>
        <w:tc>
          <w:tcPr>
            <w:tcW w:w="2693" w:type="pct"/>
            <w:tcBorders>
              <w:bottom w:val="single" w:sz="4" w:space="0" w:color="auto"/>
            </w:tcBorders>
            <w:shd w:val="clear" w:color="auto" w:fill="auto"/>
            <w:hideMark/>
          </w:tcPr>
          <w:p w14:paraId="66A12A42" w14:textId="05C40CF4" w:rsidR="009612CC" w:rsidRPr="005B30A9" w:rsidRDefault="0016522F" w:rsidP="00FB462F">
            <w:pPr>
              <w:pStyle w:val="SingleTxtG"/>
              <w:tabs>
                <w:tab w:val="clear" w:pos="1701"/>
                <w:tab w:val="clear" w:pos="2268"/>
                <w:tab w:val="clear" w:pos="2835"/>
              </w:tabs>
              <w:spacing w:before="40" w:after="40" w:line="220" w:lineRule="exact"/>
              <w:ind w:left="0" w:right="0"/>
              <w:jc w:val="left"/>
              <w:rPr>
                <w:sz w:val="18"/>
              </w:rPr>
            </w:pPr>
            <w:r>
              <w:rPr>
                <w:sz w:val="18"/>
              </w:rPr>
              <w:t>E</w:t>
            </w:r>
            <w:r w:rsidR="009612CC" w:rsidRPr="005B30A9">
              <w:rPr>
                <w:sz w:val="18"/>
              </w:rPr>
              <w:t>n instituciones de capacitación</w:t>
            </w:r>
          </w:p>
        </w:tc>
        <w:tc>
          <w:tcPr>
            <w:tcW w:w="461" w:type="pct"/>
            <w:tcBorders>
              <w:bottom w:val="single" w:sz="4" w:space="0" w:color="auto"/>
            </w:tcBorders>
            <w:shd w:val="clear" w:color="auto" w:fill="auto"/>
            <w:vAlign w:val="bottom"/>
            <w:hideMark/>
          </w:tcPr>
          <w:p w14:paraId="4FDF2128" w14:textId="0B2BDA84"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1</w:t>
            </w:r>
            <w:r w:rsidR="00FB462F" w:rsidRPr="005B30A9">
              <w:rPr>
                <w:sz w:val="18"/>
              </w:rPr>
              <w:t xml:space="preserve"> </w:t>
            </w:r>
            <w:r w:rsidRPr="005B30A9">
              <w:rPr>
                <w:sz w:val="18"/>
              </w:rPr>
              <w:t xml:space="preserve">081 </w:t>
            </w:r>
          </w:p>
        </w:tc>
        <w:tc>
          <w:tcPr>
            <w:tcW w:w="461" w:type="pct"/>
            <w:tcBorders>
              <w:bottom w:val="single" w:sz="4" w:space="0" w:color="auto"/>
            </w:tcBorders>
            <w:shd w:val="clear" w:color="auto" w:fill="auto"/>
            <w:vAlign w:val="bottom"/>
            <w:hideMark/>
          </w:tcPr>
          <w:p w14:paraId="3E07ED0C"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 xml:space="preserve"> 957 </w:t>
            </w:r>
          </w:p>
        </w:tc>
        <w:tc>
          <w:tcPr>
            <w:tcW w:w="461" w:type="pct"/>
            <w:tcBorders>
              <w:bottom w:val="single" w:sz="4" w:space="0" w:color="auto"/>
            </w:tcBorders>
            <w:shd w:val="clear" w:color="auto" w:fill="auto"/>
            <w:noWrap/>
            <w:vAlign w:val="bottom"/>
            <w:hideMark/>
          </w:tcPr>
          <w:p w14:paraId="511DC651"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 xml:space="preserve"> 814 </w:t>
            </w:r>
          </w:p>
        </w:tc>
        <w:tc>
          <w:tcPr>
            <w:tcW w:w="461" w:type="pct"/>
            <w:tcBorders>
              <w:bottom w:val="single" w:sz="4" w:space="0" w:color="auto"/>
            </w:tcBorders>
            <w:shd w:val="clear" w:color="auto" w:fill="auto"/>
            <w:noWrap/>
            <w:vAlign w:val="bottom"/>
            <w:hideMark/>
          </w:tcPr>
          <w:p w14:paraId="7E4DECE9"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 xml:space="preserve"> 528 </w:t>
            </w:r>
          </w:p>
        </w:tc>
        <w:tc>
          <w:tcPr>
            <w:tcW w:w="461" w:type="pct"/>
            <w:tcBorders>
              <w:bottom w:val="single" w:sz="4" w:space="0" w:color="auto"/>
            </w:tcBorders>
            <w:shd w:val="clear" w:color="auto" w:fill="auto"/>
            <w:noWrap/>
            <w:vAlign w:val="bottom"/>
            <w:hideMark/>
          </w:tcPr>
          <w:p w14:paraId="0E869E88"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sz w:val="18"/>
              </w:rPr>
            </w:pPr>
            <w:r w:rsidRPr="005B30A9">
              <w:rPr>
                <w:sz w:val="18"/>
              </w:rPr>
              <w:t xml:space="preserve"> 635 </w:t>
            </w:r>
          </w:p>
        </w:tc>
      </w:tr>
      <w:tr w:rsidR="00FB462F" w:rsidRPr="005B30A9" w14:paraId="65AA2756" w14:textId="77777777" w:rsidTr="0016522F">
        <w:trPr>
          <w:trHeight w:val="240"/>
        </w:trPr>
        <w:tc>
          <w:tcPr>
            <w:tcW w:w="2693" w:type="pct"/>
            <w:tcBorders>
              <w:top w:val="single" w:sz="4" w:space="0" w:color="auto"/>
              <w:bottom w:val="single" w:sz="12" w:space="0" w:color="auto"/>
            </w:tcBorders>
            <w:shd w:val="clear" w:color="auto" w:fill="auto"/>
            <w:hideMark/>
          </w:tcPr>
          <w:p w14:paraId="0F1AD864" w14:textId="77777777" w:rsidR="009612CC" w:rsidRPr="005B30A9" w:rsidRDefault="009612CC" w:rsidP="00FB462F">
            <w:pPr>
              <w:pStyle w:val="SingleTxtG"/>
              <w:tabs>
                <w:tab w:val="clear" w:pos="1701"/>
                <w:tab w:val="clear" w:pos="2268"/>
                <w:tab w:val="clear" w:pos="2835"/>
              </w:tabs>
              <w:spacing w:before="80" w:after="80" w:line="220" w:lineRule="exact"/>
              <w:ind w:left="283" w:right="0"/>
              <w:jc w:val="left"/>
              <w:rPr>
                <w:b/>
                <w:sz w:val="18"/>
              </w:rPr>
            </w:pPr>
            <w:r w:rsidRPr="005B30A9">
              <w:rPr>
                <w:b/>
                <w:sz w:val="18"/>
              </w:rPr>
              <w:t>Total</w:t>
            </w:r>
          </w:p>
        </w:tc>
        <w:tc>
          <w:tcPr>
            <w:tcW w:w="461" w:type="pct"/>
            <w:tcBorders>
              <w:top w:val="single" w:sz="4" w:space="0" w:color="auto"/>
              <w:bottom w:val="single" w:sz="12" w:space="0" w:color="auto"/>
            </w:tcBorders>
            <w:shd w:val="clear" w:color="auto" w:fill="auto"/>
            <w:vAlign w:val="bottom"/>
            <w:hideMark/>
          </w:tcPr>
          <w:p w14:paraId="13EC3F56" w14:textId="11A65C7E" w:rsidR="009612CC" w:rsidRPr="005B30A9" w:rsidRDefault="009612CC" w:rsidP="00FB462F">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8</w:t>
            </w:r>
            <w:r w:rsidR="00FB462F" w:rsidRPr="005B30A9">
              <w:rPr>
                <w:b/>
                <w:bCs/>
                <w:sz w:val="18"/>
              </w:rPr>
              <w:t xml:space="preserve"> </w:t>
            </w:r>
            <w:r w:rsidRPr="005B30A9">
              <w:rPr>
                <w:b/>
                <w:bCs/>
                <w:sz w:val="18"/>
              </w:rPr>
              <w:t>045</w:t>
            </w:r>
            <w:r w:rsidRPr="005B30A9">
              <w:rPr>
                <w:b/>
                <w:sz w:val="18"/>
              </w:rPr>
              <w:t xml:space="preserve"> </w:t>
            </w:r>
          </w:p>
        </w:tc>
        <w:tc>
          <w:tcPr>
            <w:tcW w:w="461" w:type="pct"/>
            <w:tcBorders>
              <w:top w:val="single" w:sz="4" w:space="0" w:color="auto"/>
              <w:bottom w:val="single" w:sz="12" w:space="0" w:color="auto"/>
            </w:tcBorders>
            <w:shd w:val="clear" w:color="auto" w:fill="auto"/>
            <w:vAlign w:val="bottom"/>
            <w:hideMark/>
          </w:tcPr>
          <w:p w14:paraId="694672E6" w14:textId="78099C7A" w:rsidR="009612CC" w:rsidRPr="005B30A9" w:rsidRDefault="009612CC" w:rsidP="00FB462F">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8</w:t>
            </w:r>
            <w:r w:rsidR="00FB462F" w:rsidRPr="005B30A9">
              <w:rPr>
                <w:b/>
                <w:bCs/>
                <w:sz w:val="18"/>
              </w:rPr>
              <w:t xml:space="preserve"> </w:t>
            </w:r>
            <w:r w:rsidRPr="005B30A9">
              <w:rPr>
                <w:b/>
                <w:bCs/>
                <w:sz w:val="18"/>
              </w:rPr>
              <w:t>213</w:t>
            </w:r>
            <w:r w:rsidRPr="005B30A9">
              <w:rPr>
                <w:b/>
                <w:sz w:val="18"/>
              </w:rPr>
              <w:t xml:space="preserve"> </w:t>
            </w:r>
          </w:p>
        </w:tc>
        <w:tc>
          <w:tcPr>
            <w:tcW w:w="461" w:type="pct"/>
            <w:tcBorders>
              <w:top w:val="single" w:sz="4" w:space="0" w:color="auto"/>
              <w:bottom w:val="single" w:sz="12" w:space="0" w:color="auto"/>
            </w:tcBorders>
            <w:shd w:val="clear" w:color="auto" w:fill="auto"/>
            <w:noWrap/>
            <w:vAlign w:val="bottom"/>
            <w:hideMark/>
          </w:tcPr>
          <w:p w14:paraId="4EB2C549" w14:textId="56BD20CD" w:rsidR="009612CC" w:rsidRPr="005B30A9" w:rsidRDefault="009612CC" w:rsidP="00FB462F">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8</w:t>
            </w:r>
            <w:r w:rsidR="00FB462F" w:rsidRPr="005B30A9">
              <w:rPr>
                <w:b/>
                <w:bCs/>
                <w:sz w:val="18"/>
              </w:rPr>
              <w:t xml:space="preserve"> </w:t>
            </w:r>
            <w:r w:rsidRPr="005B30A9">
              <w:rPr>
                <w:b/>
                <w:bCs/>
                <w:sz w:val="18"/>
              </w:rPr>
              <w:t>314</w:t>
            </w:r>
            <w:r w:rsidRPr="005B30A9">
              <w:rPr>
                <w:b/>
                <w:sz w:val="18"/>
              </w:rPr>
              <w:t xml:space="preserve"> </w:t>
            </w:r>
          </w:p>
        </w:tc>
        <w:tc>
          <w:tcPr>
            <w:tcW w:w="461" w:type="pct"/>
            <w:tcBorders>
              <w:top w:val="single" w:sz="4" w:space="0" w:color="auto"/>
              <w:bottom w:val="single" w:sz="12" w:space="0" w:color="auto"/>
            </w:tcBorders>
            <w:shd w:val="clear" w:color="auto" w:fill="auto"/>
            <w:noWrap/>
            <w:vAlign w:val="bottom"/>
            <w:hideMark/>
          </w:tcPr>
          <w:p w14:paraId="3B47524B" w14:textId="0E690536" w:rsidR="009612CC" w:rsidRPr="005B30A9" w:rsidRDefault="009612CC" w:rsidP="00FB462F">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8</w:t>
            </w:r>
            <w:r w:rsidR="00FB462F" w:rsidRPr="005B30A9">
              <w:rPr>
                <w:b/>
                <w:bCs/>
                <w:sz w:val="18"/>
              </w:rPr>
              <w:t xml:space="preserve"> </w:t>
            </w:r>
            <w:r w:rsidRPr="005B30A9">
              <w:rPr>
                <w:b/>
                <w:bCs/>
                <w:sz w:val="18"/>
              </w:rPr>
              <w:t>375</w:t>
            </w:r>
            <w:r w:rsidRPr="005B30A9">
              <w:rPr>
                <w:b/>
                <w:sz w:val="18"/>
              </w:rPr>
              <w:t xml:space="preserve"> </w:t>
            </w:r>
          </w:p>
        </w:tc>
        <w:tc>
          <w:tcPr>
            <w:tcW w:w="461" w:type="pct"/>
            <w:tcBorders>
              <w:top w:val="single" w:sz="4" w:space="0" w:color="auto"/>
              <w:bottom w:val="single" w:sz="12" w:space="0" w:color="auto"/>
            </w:tcBorders>
            <w:shd w:val="clear" w:color="auto" w:fill="auto"/>
            <w:noWrap/>
            <w:vAlign w:val="bottom"/>
            <w:hideMark/>
          </w:tcPr>
          <w:p w14:paraId="3A2CD9BE" w14:textId="1A9005C8" w:rsidR="009612CC" w:rsidRPr="005B30A9" w:rsidRDefault="009612CC" w:rsidP="00FB462F">
            <w:pPr>
              <w:pStyle w:val="SingleTxtG"/>
              <w:tabs>
                <w:tab w:val="clear" w:pos="1701"/>
                <w:tab w:val="clear" w:pos="2268"/>
                <w:tab w:val="clear" w:pos="2835"/>
              </w:tabs>
              <w:spacing w:before="80" w:after="80" w:line="220" w:lineRule="exact"/>
              <w:ind w:left="0" w:right="28"/>
              <w:jc w:val="right"/>
              <w:rPr>
                <w:b/>
                <w:sz w:val="18"/>
              </w:rPr>
            </w:pPr>
            <w:r w:rsidRPr="005B30A9">
              <w:rPr>
                <w:b/>
                <w:bCs/>
                <w:sz w:val="18"/>
              </w:rPr>
              <w:t>8</w:t>
            </w:r>
            <w:r w:rsidR="00FB462F" w:rsidRPr="005B30A9">
              <w:rPr>
                <w:b/>
                <w:bCs/>
                <w:sz w:val="18"/>
              </w:rPr>
              <w:t xml:space="preserve"> </w:t>
            </w:r>
            <w:r w:rsidRPr="005B30A9">
              <w:rPr>
                <w:b/>
                <w:bCs/>
                <w:sz w:val="18"/>
              </w:rPr>
              <w:t>422</w:t>
            </w:r>
            <w:r w:rsidRPr="005B30A9">
              <w:rPr>
                <w:b/>
                <w:sz w:val="18"/>
              </w:rPr>
              <w:t xml:space="preserve"> </w:t>
            </w:r>
          </w:p>
        </w:tc>
      </w:tr>
    </w:tbl>
    <w:p w14:paraId="4BB3FBDD" w14:textId="047F2913" w:rsidR="009612CC" w:rsidRPr="005B30A9" w:rsidRDefault="009612CC" w:rsidP="00FB462F">
      <w:pPr>
        <w:pStyle w:val="SingleTxtG"/>
        <w:spacing w:before="120"/>
        <w:ind w:firstLine="170"/>
        <w:jc w:val="left"/>
        <w:rPr>
          <w:sz w:val="18"/>
          <w:szCs w:val="18"/>
        </w:rPr>
      </w:pPr>
      <w:r w:rsidRPr="005B30A9">
        <w:rPr>
          <w:i/>
          <w:iCs/>
          <w:sz w:val="18"/>
          <w:szCs w:val="18"/>
        </w:rPr>
        <w:t>Fuente:</w:t>
      </w:r>
      <w:r w:rsidRPr="005B30A9">
        <w:rPr>
          <w:sz w:val="18"/>
          <w:szCs w:val="18"/>
        </w:rPr>
        <w:t xml:space="preserve"> </w:t>
      </w:r>
      <w:r w:rsidR="0016522F">
        <w:rPr>
          <w:sz w:val="18"/>
          <w:szCs w:val="18"/>
        </w:rPr>
        <w:t>E</w:t>
      </w:r>
      <w:r w:rsidRPr="005B30A9">
        <w:rPr>
          <w:sz w:val="18"/>
          <w:szCs w:val="18"/>
        </w:rPr>
        <w:t>stadísticas sobre aprendizaje de las Cámaras Económicas de Austria (</w:t>
      </w:r>
      <w:r w:rsidRPr="0016522F">
        <w:rPr>
          <w:i/>
          <w:iCs/>
          <w:sz w:val="18"/>
          <w:szCs w:val="18"/>
        </w:rPr>
        <w:t>Wirtschaftskammer</w:t>
      </w:r>
      <w:r w:rsidRPr="005B30A9">
        <w:rPr>
          <w:sz w:val="18"/>
          <w:szCs w:val="18"/>
        </w:rPr>
        <w:t>/WKO) (a fines de diciembre de cada año).</w:t>
      </w:r>
    </w:p>
    <w:p w14:paraId="52D21D28" w14:textId="77777777" w:rsidR="009612CC" w:rsidRPr="005B30A9" w:rsidRDefault="009612CC" w:rsidP="00FB462F">
      <w:pPr>
        <w:pStyle w:val="Table1G"/>
      </w:pPr>
      <w:r w:rsidRPr="005B30A9">
        <w:t>Cuadro 20</w:t>
      </w:r>
    </w:p>
    <w:p w14:paraId="61B5797F" w14:textId="5DF8CAE8" w:rsidR="009612CC" w:rsidRPr="005B30A9" w:rsidRDefault="009612CC" w:rsidP="00FB462F">
      <w:pPr>
        <w:pStyle w:val="SingleTxtG"/>
        <w:jc w:val="left"/>
        <w:rPr>
          <w:b/>
          <w:bCs/>
        </w:rPr>
      </w:pPr>
      <w:r w:rsidRPr="005B30A9">
        <w:rPr>
          <w:b/>
          <w:bCs/>
        </w:rPr>
        <w:t>Número de casos de discriminación en la contratación recibidos por el GAW (2016/17</w:t>
      </w:r>
      <w:r w:rsidR="0016522F">
        <w:rPr>
          <w:b/>
          <w:bCs/>
        </w:rPr>
        <w:noBreakHyphen/>
      </w:r>
      <w:r w:rsidRPr="005B30A9">
        <w:rPr>
          <w:b/>
          <w:bCs/>
        </w:rPr>
        <w:t>2020/21), por motivo de discriminación</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1736"/>
        <w:gridCol w:w="1086"/>
        <w:gridCol w:w="1532"/>
        <w:gridCol w:w="1531"/>
        <w:gridCol w:w="1485"/>
      </w:tblGrid>
      <w:tr w:rsidR="00FB462F" w:rsidRPr="005B30A9" w14:paraId="301B6C42" w14:textId="77777777" w:rsidTr="00FB462F">
        <w:trPr>
          <w:trHeight w:val="240"/>
          <w:tblHeader/>
        </w:trPr>
        <w:tc>
          <w:tcPr>
            <w:tcW w:w="1995" w:type="dxa"/>
            <w:tcBorders>
              <w:top w:val="single" w:sz="4" w:space="0" w:color="auto"/>
              <w:bottom w:val="single" w:sz="12" w:space="0" w:color="auto"/>
            </w:tcBorders>
            <w:shd w:val="clear" w:color="auto" w:fill="auto"/>
            <w:vAlign w:val="bottom"/>
          </w:tcPr>
          <w:p w14:paraId="0A02E18B" w14:textId="0E73D4F2" w:rsidR="009612CC" w:rsidRPr="005B30A9" w:rsidRDefault="009612CC" w:rsidP="00FB462F">
            <w:pPr>
              <w:pStyle w:val="SingleTxtG"/>
              <w:tabs>
                <w:tab w:val="clear" w:pos="1701"/>
                <w:tab w:val="clear" w:pos="2268"/>
                <w:tab w:val="clear" w:pos="2835"/>
              </w:tabs>
              <w:spacing w:before="80" w:after="80" w:line="200" w:lineRule="exact"/>
              <w:ind w:left="0" w:right="0"/>
              <w:jc w:val="left"/>
              <w:rPr>
                <w:i/>
                <w:sz w:val="16"/>
              </w:rPr>
            </w:pPr>
            <w:r w:rsidRPr="005B30A9">
              <w:rPr>
                <w:i/>
                <w:iCs/>
                <w:sz w:val="16"/>
              </w:rPr>
              <w:t>Motivo de discriminación</w:t>
            </w:r>
          </w:p>
        </w:tc>
        <w:tc>
          <w:tcPr>
            <w:tcW w:w="1264" w:type="dxa"/>
            <w:tcBorders>
              <w:top w:val="single" w:sz="4" w:space="0" w:color="auto"/>
              <w:bottom w:val="single" w:sz="12" w:space="0" w:color="auto"/>
            </w:tcBorders>
            <w:shd w:val="clear" w:color="auto" w:fill="auto"/>
            <w:vAlign w:val="bottom"/>
          </w:tcPr>
          <w:p w14:paraId="2B935442" w14:textId="77777777" w:rsidR="009612CC" w:rsidRPr="005B30A9" w:rsidRDefault="009612CC" w:rsidP="00FB46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2016/17</w:t>
            </w:r>
          </w:p>
        </w:tc>
        <w:tc>
          <w:tcPr>
            <w:tcW w:w="1860" w:type="dxa"/>
            <w:tcBorders>
              <w:top w:val="single" w:sz="4" w:space="0" w:color="auto"/>
              <w:bottom w:val="single" w:sz="12" w:space="0" w:color="auto"/>
            </w:tcBorders>
            <w:shd w:val="clear" w:color="auto" w:fill="auto"/>
            <w:vAlign w:val="bottom"/>
          </w:tcPr>
          <w:p w14:paraId="4E143BBF" w14:textId="77777777" w:rsidR="009612CC" w:rsidRPr="005B30A9" w:rsidRDefault="009612CC" w:rsidP="00FB46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2018/19</w:t>
            </w:r>
          </w:p>
        </w:tc>
        <w:tc>
          <w:tcPr>
            <w:tcW w:w="1859" w:type="dxa"/>
            <w:tcBorders>
              <w:top w:val="single" w:sz="4" w:space="0" w:color="auto"/>
              <w:bottom w:val="single" w:sz="12" w:space="0" w:color="auto"/>
            </w:tcBorders>
            <w:shd w:val="clear" w:color="auto" w:fill="auto"/>
            <w:vAlign w:val="bottom"/>
          </w:tcPr>
          <w:p w14:paraId="7944EB12" w14:textId="77777777" w:rsidR="009612CC" w:rsidRPr="005B30A9" w:rsidRDefault="009612CC" w:rsidP="00FB46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2020/21</w:t>
            </w:r>
          </w:p>
        </w:tc>
        <w:tc>
          <w:tcPr>
            <w:tcW w:w="1860" w:type="dxa"/>
            <w:tcBorders>
              <w:top w:val="single" w:sz="4" w:space="0" w:color="auto"/>
              <w:bottom w:val="single" w:sz="12" w:space="0" w:color="auto"/>
            </w:tcBorders>
            <w:shd w:val="clear" w:color="auto" w:fill="auto"/>
            <w:vAlign w:val="bottom"/>
          </w:tcPr>
          <w:p w14:paraId="63FB05D3" w14:textId="77777777" w:rsidR="009612CC" w:rsidRPr="005B30A9" w:rsidRDefault="009612CC" w:rsidP="00FB462F">
            <w:pPr>
              <w:pStyle w:val="SingleTxtG"/>
              <w:tabs>
                <w:tab w:val="clear" w:pos="1701"/>
                <w:tab w:val="clear" w:pos="2268"/>
                <w:tab w:val="clear" w:pos="2835"/>
              </w:tabs>
              <w:spacing w:before="80" w:after="80" w:line="200" w:lineRule="exact"/>
              <w:ind w:left="0" w:right="28"/>
              <w:jc w:val="right"/>
              <w:rPr>
                <w:i/>
                <w:sz w:val="16"/>
              </w:rPr>
            </w:pPr>
            <w:r w:rsidRPr="005B30A9">
              <w:rPr>
                <w:i/>
                <w:sz w:val="16"/>
              </w:rPr>
              <w:t>Total</w:t>
            </w:r>
          </w:p>
        </w:tc>
      </w:tr>
      <w:tr w:rsidR="00FB462F" w:rsidRPr="005B30A9" w14:paraId="3645DD38" w14:textId="77777777" w:rsidTr="00FB462F">
        <w:trPr>
          <w:trHeight w:val="240"/>
        </w:trPr>
        <w:tc>
          <w:tcPr>
            <w:tcW w:w="1995" w:type="dxa"/>
            <w:tcBorders>
              <w:top w:val="single" w:sz="12" w:space="0" w:color="auto"/>
            </w:tcBorders>
            <w:shd w:val="clear" w:color="auto" w:fill="auto"/>
          </w:tcPr>
          <w:p w14:paraId="2714FC71" w14:textId="77777777" w:rsidR="009612CC" w:rsidRPr="005B30A9" w:rsidRDefault="009612CC" w:rsidP="00FB462F">
            <w:pPr>
              <w:pStyle w:val="SingleTxtG"/>
              <w:tabs>
                <w:tab w:val="clear" w:pos="1701"/>
                <w:tab w:val="clear" w:pos="2268"/>
                <w:tab w:val="clear" w:pos="2835"/>
              </w:tabs>
              <w:spacing w:before="40" w:after="40" w:line="220" w:lineRule="exact"/>
              <w:ind w:left="0" w:right="0"/>
              <w:jc w:val="left"/>
              <w:rPr>
                <w:bCs/>
                <w:sz w:val="18"/>
              </w:rPr>
            </w:pPr>
            <w:r w:rsidRPr="005B30A9">
              <w:rPr>
                <w:sz w:val="18"/>
              </w:rPr>
              <w:t>Origen étnico</w:t>
            </w:r>
          </w:p>
        </w:tc>
        <w:tc>
          <w:tcPr>
            <w:tcW w:w="1264" w:type="dxa"/>
            <w:tcBorders>
              <w:top w:val="single" w:sz="12" w:space="0" w:color="auto"/>
            </w:tcBorders>
            <w:shd w:val="clear" w:color="auto" w:fill="auto"/>
            <w:vAlign w:val="bottom"/>
          </w:tcPr>
          <w:p w14:paraId="6B253412"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38</w:t>
            </w:r>
          </w:p>
        </w:tc>
        <w:tc>
          <w:tcPr>
            <w:tcW w:w="1860" w:type="dxa"/>
            <w:tcBorders>
              <w:top w:val="single" w:sz="12" w:space="0" w:color="auto"/>
            </w:tcBorders>
            <w:shd w:val="clear" w:color="auto" w:fill="auto"/>
            <w:vAlign w:val="bottom"/>
          </w:tcPr>
          <w:p w14:paraId="0D4B7926"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45</w:t>
            </w:r>
          </w:p>
        </w:tc>
        <w:tc>
          <w:tcPr>
            <w:tcW w:w="1859" w:type="dxa"/>
            <w:tcBorders>
              <w:top w:val="single" w:sz="12" w:space="0" w:color="auto"/>
            </w:tcBorders>
            <w:shd w:val="clear" w:color="auto" w:fill="auto"/>
            <w:vAlign w:val="bottom"/>
          </w:tcPr>
          <w:p w14:paraId="23735BC8"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34</w:t>
            </w:r>
          </w:p>
        </w:tc>
        <w:tc>
          <w:tcPr>
            <w:tcW w:w="1860" w:type="dxa"/>
            <w:tcBorders>
              <w:top w:val="single" w:sz="12" w:space="0" w:color="auto"/>
            </w:tcBorders>
            <w:shd w:val="clear" w:color="auto" w:fill="auto"/>
            <w:vAlign w:val="bottom"/>
          </w:tcPr>
          <w:p w14:paraId="1B94CB3E"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117</w:t>
            </w:r>
          </w:p>
        </w:tc>
      </w:tr>
      <w:tr w:rsidR="00FB462F" w:rsidRPr="005B30A9" w14:paraId="100D3FAA" w14:textId="77777777" w:rsidTr="00FB462F">
        <w:trPr>
          <w:trHeight w:val="240"/>
        </w:trPr>
        <w:tc>
          <w:tcPr>
            <w:tcW w:w="1995" w:type="dxa"/>
            <w:shd w:val="clear" w:color="auto" w:fill="auto"/>
          </w:tcPr>
          <w:p w14:paraId="31448310" w14:textId="77777777" w:rsidR="009612CC" w:rsidRPr="005B30A9" w:rsidRDefault="009612CC" w:rsidP="00FB462F">
            <w:pPr>
              <w:pStyle w:val="SingleTxtG"/>
              <w:tabs>
                <w:tab w:val="clear" w:pos="1701"/>
                <w:tab w:val="clear" w:pos="2268"/>
                <w:tab w:val="clear" w:pos="2835"/>
              </w:tabs>
              <w:spacing w:before="40" w:after="40" w:line="220" w:lineRule="exact"/>
              <w:ind w:left="0" w:right="0"/>
              <w:jc w:val="left"/>
              <w:rPr>
                <w:bCs/>
                <w:sz w:val="18"/>
              </w:rPr>
            </w:pPr>
            <w:r w:rsidRPr="005B30A9">
              <w:rPr>
                <w:sz w:val="18"/>
              </w:rPr>
              <w:t>Religión</w:t>
            </w:r>
          </w:p>
        </w:tc>
        <w:tc>
          <w:tcPr>
            <w:tcW w:w="1264" w:type="dxa"/>
            <w:shd w:val="clear" w:color="auto" w:fill="auto"/>
            <w:vAlign w:val="bottom"/>
          </w:tcPr>
          <w:p w14:paraId="2C64CEDC"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17</w:t>
            </w:r>
          </w:p>
        </w:tc>
        <w:tc>
          <w:tcPr>
            <w:tcW w:w="1860" w:type="dxa"/>
            <w:shd w:val="clear" w:color="auto" w:fill="auto"/>
            <w:vAlign w:val="bottom"/>
          </w:tcPr>
          <w:p w14:paraId="3260A3CA"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33</w:t>
            </w:r>
          </w:p>
        </w:tc>
        <w:tc>
          <w:tcPr>
            <w:tcW w:w="1859" w:type="dxa"/>
            <w:shd w:val="clear" w:color="auto" w:fill="auto"/>
            <w:vAlign w:val="bottom"/>
          </w:tcPr>
          <w:p w14:paraId="40785C5E"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24</w:t>
            </w:r>
          </w:p>
        </w:tc>
        <w:tc>
          <w:tcPr>
            <w:tcW w:w="1860" w:type="dxa"/>
            <w:shd w:val="clear" w:color="auto" w:fill="auto"/>
            <w:vAlign w:val="bottom"/>
          </w:tcPr>
          <w:p w14:paraId="647C4FC6"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74</w:t>
            </w:r>
          </w:p>
        </w:tc>
      </w:tr>
      <w:tr w:rsidR="00FB462F" w:rsidRPr="005B30A9" w14:paraId="310BB1B2" w14:textId="77777777" w:rsidTr="00FB462F">
        <w:trPr>
          <w:trHeight w:val="240"/>
        </w:trPr>
        <w:tc>
          <w:tcPr>
            <w:tcW w:w="1995" w:type="dxa"/>
            <w:tcBorders>
              <w:bottom w:val="single" w:sz="4" w:space="0" w:color="auto"/>
            </w:tcBorders>
            <w:shd w:val="clear" w:color="auto" w:fill="auto"/>
          </w:tcPr>
          <w:p w14:paraId="67502357" w14:textId="77777777" w:rsidR="009612CC" w:rsidRPr="005B30A9" w:rsidRDefault="009612CC" w:rsidP="00FB462F">
            <w:pPr>
              <w:pStyle w:val="SingleTxtG"/>
              <w:tabs>
                <w:tab w:val="clear" w:pos="1701"/>
                <w:tab w:val="clear" w:pos="2268"/>
                <w:tab w:val="clear" w:pos="2835"/>
              </w:tabs>
              <w:spacing w:before="40" w:after="40" w:line="220" w:lineRule="exact"/>
              <w:ind w:left="0" w:right="0"/>
              <w:jc w:val="left"/>
              <w:rPr>
                <w:bCs/>
                <w:sz w:val="18"/>
              </w:rPr>
            </w:pPr>
            <w:r w:rsidRPr="005B30A9">
              <w:rPr>
                <w:sz w:val="18"/>
              </w:rPr>
              <w:t>Creencias</w:t>
            </w:r>
          </w:p>
        </w:tc>
        <w:tc>
          <w:tcPr>
            <w:tcW w:w="1264" w:type="dxa"/>
            <w:tcBorders>
              <w:bottom w:val="single" w:sz="4" w:space="0" w:color="auto"/>
            </w:tcBorders>
            <w:shd w:val="clear" w:color="auto" w:fill="auto"/>
            <w:vAlign w:val="bottom"/>
          </w:tcPr>
          <w:p w14:paraId="08689E7F"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2</w:t>
            </w:r>
          </w:p>
        </w:tc>
        <w:tc>
          <w:tcPr>
            <w:tcW w:w="1860" w:type="dxa"/>
            <w:tcBorders>
              <w:bottom w:val="single" w:sz="4" w:space="0" w:color="auto"/>
            </w:tcBorders>
            <w:shd w:val="clear" w:color="auto" w:fill="auto"/>
            <w:vAlign w:val="bottom"/>
          </w:tcPr>
          <w:p w14:paraId="3095121B"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11</w:t>
            </w:r>
          </w:p>
        </w:tc>
        <w:tc>
          <w:tcPr>
            <w:tcW w:w="1859" w:type="dxa"/>
            <w:tcBorders>
              <w:bottom w:val="single" w:sz="4" w:space="0" w:color="auto"/>
            </w:tcBorders>
            <w:shd w:val="clear" w:color="auto" w:fill="auto"/>
            <w:vAlign w:val="bottom"/>
          </w:tcPr>
          <w:p w14:paraId="61E4507A"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10</w:t>
            </w:r>
          </w:p>
        </w:tc>
        <w:tc>
          <w:tcPr>
            <w:tcW w:w="1860" w:type="dxa"/>
            <w:tcBorders>
              <w:bottom w:val="single" w:sz="4" w:space="0" w:color="auto"/>
            </w:tcBorders>
            <w:shd w:val="clear" w:color="auto" w:fill="auto"/>
            <w:vAlign w:val="bottom"/>
          </w:tcPr>
          <w:p w14:paraId="0EF03AC8" w14:textId="77777777"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23</w:t>
            </w:r>
          </w:p>
        </w:tc>
      </w:tr>
      <w:tr w:rsidR="00FB462F" w:rsidRPr="005B30A9" w14:paraId="10A99FEE" w14:textId="77777777" w:rsidTr="00FB462F">
        <w:trPr>
          <w:trHeight w:val="240"/>
        </w:trPr>
        <w:tc>
          <w:tcPr>
            <w:tcW w:w="1995" w:type="dxa"/>
            <w:tcBorders>
              <w:top w:val="single" w:sz="4" w:space="0" w:color="auto"/>
              <w:bottom w:val="single" w:sz="12" w:space="0" w:color="auto"/>
            </w:tcBorders>
            <w:shd w:val="clear" w:color="auto" w:fill="auto"/>
          </w:tcPr>
          <w:p w14:paraId="28ACC57E" w14:textId="77777777" w:rsidR="009612CC" w:rsidRPr="005B30A9" w:rsidRDefault="009612CC" w:rsidP="00FB462F">
            <w:pPr>
              <w:pStyle w:val="SingleTxtG"/>
              <w:tabs>
                <w:tab w:val="clear" w:pos="1701"/>
                <w:tab w:val="clear" w:pos="2268"/>
                <w:tab w:val="clear" w:pos="2835"/>
              </w:tabs>
              <w:spacing w:before="80" w:after="80" w:line="220" w:lineRule="exact"/>
              <w:ind w:left="283" w:right="0"/>
              <w:jc w:val="left"/>
              <w:rPr>
                <w:b/>
                <w:bCs/>
                <w:sz w:val="18"/>
              </w:rPr>
            </w:pPr>
            <w:r w:rsidRPr="005B30A9">
              <w:rPr>
                <w:b/>
                <w:sz w:val="18"/>
              </w:rPr>
              <w:t>Total</w:t>
            </w:r>
          </w:p>
        </w:tc>
        <w:tc>
          <w:tcPr>
            <w:tcW w:w="1264" w:type="dxa"/>
            <w:tcBorders>
              <w:top w:val="single" w:sz="4" w:space="0" w:color="auto"/>
              <w:bottom w:val="single" w:sz="12" w:space="0" w:color="auto"/>
            </w:tcBorders>
            <w:shd w:val="clear" w:color="auto" w:fill="auto"/>
            <w:vAlign w:val="bottom"/>
          </w:tcPr>
          <w:p w14:paraId="072145B9" w14:textId="77777777" w:rsidR="009612CC" w:rsidRPr="005B30A9" w:rsidRDefault="009612CC" w:rsidP="00FB462F">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57</w:t>
            </w:r>
          </w:p>
        </w:tc>
        <w:tc>
          <w:tcPr>
            <w:tcW w:w="1860" w:type="dxa"/>
            <w:tcBorders>
              <w:top w:val="single" w:sz="4" w:space="0" w:color="auto"/>
              <w:bottom w:val="single" w:sz="12" w:space="0" w:color="auto"/>
            </w:tcBorders>
            <w:shd w:val="clear" w:color="auto" w:fill="auto"/>
            <w:vAlign w:val="bottom"/>
          </w:tcPr>
          <w:p w14:paraId="227C809B" w14:textId="77777777" w:rsidR="009612CC" w:rsidRPr="005B30A9" w:rsidRDefault="009612CC" w:rsidP="00FB462F">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89</w:t>
            </w:r>
          </w:p>
        </w:tc>
        <w:tc>
          <w:tcPr>
            <w:tcW w:w="1859" w:type="dxa"/>
            <w:tcBorders>
              <w:top w:val="single" w:sz="4" w:space="0" w:color="auto"/>
              <w:bottom w:val="single" w:sz="12" w:space="0" w:color="auto"/>
            </w:tcBorders>
            <w:shd w:val="clear" w:color="auto" w:fill="auto"/>
            <w:vAlign w:val="bottom"/>
          </w:tcPr>
          <w:p w14:paraId="1D5E8F34" w14:textId="77777777" w:rsidR="009612CC" w:rsidRPr="005B30A9" w:rsidRDefault="009612CC" w:rsidP="00FB462F">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68</w:t>
            </w:r>
          </w:p>
        </w:tc>
        <w:tc>
          <w:tcPr>
            <w:tcW w:w="1860" w:type="dxa"/>
            <w:tcBorders>
              <w:top w:val="single" w:sz="4" w:space="0" w:color="auto"/>
              <w:bottom w:val="single" w:sz="12" w:space="0" w:color="auto"/>
            </w:tcBorders>
            <w:shd w:val="clear" w:color="auto" w:fill="auto"/>
            <w:vAlign w:val="bottom"/>
          </w:tcPr>
          <w:p w14:paraId="4FA89003" w14:textId="77777777" w:rsidR="009612CC" w:rsidRPr="005B30A9" w:rsidRDefault="009612CC" w:rsidP="00FB462F">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214</w:t>
            </w:r>
          </w:p>
        </w:tc>
      </w:tr>
    </w:tbl>
    <w:p w14:paraId="566922F5" w14:textId="77777777" w:rsidR="009612CC" w:rsidRPr="005B30A9" w:rsidRDefault="009612CC" w:rsidP="00FB462F">
      <w:pPr>
        <w:pStyle w:val="Table1G"/>
        <w:spacing w:before="240"/>
      </w:pPr>
      <w:r w:rsidRPr="005B30A9">
        <w:lastRenderedPageBreak/>
        <w:t>Cuadro 21</w:t>
      </w:r>
    </w:p>
    <w:p w14:paraId="1A6F055F" w14:textId="1B5E7802" w:rsidR="009612CC" w:rsidRPr="005B30A9" w:rsidRDefault="009612CC" w:rsidP="00FB462F">
      <w:pPr>
        <w:pStyle w:val="SingleTxtG"/>
        <w:keepNext/>
        <w:keepLines/>
        <w:jc w:val="left"/>
        <w:rPr>
          <w:b/>
          <w:bCs/>
          <w:sz w:val="16"/>
          <w:szCs w:val="16"/>
        </w:rPr>
      </w:pPr>
      <w:r w:rsidRPr="005B30A9">
        <w:rPr>
          <w:b/>
          <w:bCs/>
        </w:rPr>
        <w:t xml:space="preserve">Sinopsis del presupuesto para la asistencia a procesos en curso y la ejecución </w:t>
      </w:r>
      <w:r w:rsidR="00FB462F" w:rsidRPr="005B30A9">
        <w:rPr>
          <w:b/>
          <w:bCs/>
        </w:rPr>
        <w:br/>
      </w:r>
      <w:r w:rsidRPr="005B30A9">
        <w:rPr>
          <w:b/>
          <w:bCs/>
        </w:rPr>
        <w:t>del Plan de Acción por Gesundheit Österreich GmbH (2018-2021)</w:t>
      </w:r>
      <w:r w:rsidR="00FB462F" w:rsidRPr="005B30A9">
        <w:br/>
      </w:r>
      <w:r w:rsidR="00FB462F" w:rsidRPr="005B30A9">
        <w:rPr>
          <w:sz w:val="16"/>
          <w:szCs w:val="16"/>
        </w:rPr>
        <w:t>(En euros)</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2128"/>
        <w:gridCol w:w="5242"/>
      </w:tblGrid>
      <w:tr w:rsidR="00FB462F" w:rsidRPr="005B30A9" w14:paraId="415F7999" w14:textId="77777777" w:rsidTr="00FB462F">
        <w:trPr>
          <w:trHeight w:val="240"/>
          <w:tblHeader/>
        </w:trPr>
        <w:tc>
          <w:tcPr>
            <w:tcW w:w="1276" w:type="dxa"/>
            <w:tcBorders>
              <w:top w:val="single" w:sz="4" w:space="0" w:color="auto"/>
              <w:bottom w:val="single" w:sz="12" w:space="0" w:color="auto"/>
            </w:tcBorders>
            <w:shd w:val="clear" w:color="auto" w:fill="auto"/>
            <w:vAlign w:val="bottom"/>
          </w:tcPr>
          <w:p w14:paraId="302DC45C" w14:textId="77777777" w:rsidR="009612CC" w:rsidRPr="005B30A9" w:rsidRDefault="009612CC" w:rsidP="00FB462F">
            <w:pPr>
              <w:pStyle w:val="SingleTxtG"/>
              <w:keepNext/>
              <w:keepLines/>
              <w:tabs>
                <w:tab w:val="clear" w:pos="1701"/>
                <w:tab w:val="clear" w:pos="2268"/>
                <w:tab w:val="clear" w:pos="2835"/>
              </w:tabs>
              <w:spacing w:before="80" w:after="80" w:line="200" w:lineRule="exact"/>
              <w:ind w:left="0" w:right="0"/>
              <w:jc w:val="left"/>
              <w:rPr>
                <w:i/>
                <w:sz w:val="16"/>
              </w:rPr>
            </w:pPr>
            <w:r w:rsidRPr="005B30A9">
              <w:rPr>
                <w:i/>
                <w:iCs/>
                <w:sz w:val="16"/>
              </w:rPr>
              <w:t>Año</w:t>
            </w:r>
          </w:p>
        </w:tc>
        <w:tc>
          <w:tcPr>
            <w:tcW w:w="3143" w:type="dxa"/>
            <w:tcBorders>
              <w:top w:val="single" w:sz="4" w:space="0" w:color="auto"/>
              <w:bottom w:val="single" w:sz="12" w:space="0" w:color="auto"/>
            </w:tcBorders>
            <w:shd w:val="clear" w:color="auto" w:fill="auto"/>
            <w:vAlign w:val="bottom"/>
          </w:tcPr>
          <w:p w14:paraId="66D2D5C3" w14:textId="77777777" w:rsidR="009612CC" w:rsidRPr="005B30A9" w:rsidRDefault="009612CC" w:rsidP="00FB462F">
            <w:pPr>
              <w:pStyle w:val="SingleTxtG"/>
              <w:keepNext/>
              <w:keepLines/>
              <w:tabs>
                <w:tab w:val="clear" w:pos="1701"/>
                <w:tab w:val="clear" w:pos="2268"/>
                <w:tab w:val="clear" w:pos="2835"/>
              </w:tabs>
              <w:spacing w:before="80" w:after="80" w:line="200" w:lineRule="exact"/>
              <w:ind w:left="0" w:right="28"/>
              <w:jc w:val="right"/>
              <w:rPr>
                <w:i/>
                <w:sz w:val="16"/>
              </w:rPr>
            </w:pPr>
            <w:r w:rsidRPr="005B30A9">
              <w:rPr>
                <w:i/>
                <w:iCs/>
                <w:sz w:val="16"/>
              </w:rPr>
              <w:t>Gasto</w:t>
            </w:r>
            <w:r w:rsidRPr="005B30A9">
              <w:rPr>
                <w:i/>
                <w:sz w:val="16"/>
              </w:rPr>
              <w:t xml:space="preserve"> </w:t>
            </w:r>
          </w:p>
        </w:tc>
      </w:tr>
      <w:tr w:rsidR="00FB462F" w:rsidRPr="005B30A9" w14:paraId="34612E05" w14:textId="77777777" w:rsidTr="00FB462F">
        <w:trPr>
          <w:trHeight w:val="240"/>
        </w:trPr>
        <w:tc>
          <w:tcPr>
            <w:tcW w:w="1276" w:type="dxa"/>
            <w:tcBorders>
              <w:top w:val="single" w:sz="12" w:space="0" w:color="auto"/>
            </w:tcBorders>
            <w:shd w:val="clear" w:color="auto" w:fill="auto"/>
          </w:tcPr>
          <w:p w14:paraId="06C8C1AB" w14:textId="77777777" w:rsidR="009612CC" w:rsidRPr="005B30A9" w:rsidRDefault="009612CC" w:rsidP="00FB462F">
            <w:pPr>
              <w:pStyle w:val="SingleTxtG"/>
              <w:keepNext/>
              <w:keepLines/>
              <w:tabs>
                <w:tab w:val="clear" w:pos="1701"/>
                <w:tab w:val="clear" w:pos="2268"/>
                <w:tab w:val="clear" w:pos="2835"/>
              </w:tabs>
              <w:spacing w:before="40" w:after="40" w:line="220" w:lineRule="exact"/>
              <w:ind w:left="0" w:right="0"/>
              <w:jc w:val="left"/>
              <w:rPr>
                <w:bCs/>
                <w:sz w:val="18"/>
              </w:rPr>
            </w:pPr>
            <w:r w:rsidRPr="005B30A9">
              <w:rPr>
                <w:sz w:val="18"/>
              </w:rPr>
              <w:t>2018</w:t>
            </w:r>
          </w:p>
        </w:tc>
        <w:tc>
          <w:tcPr>
            <w:tcW w:w="3143" w:type="dxa"/>
            <w:tcBorders>
              <w:top w:val="single" w:sz="12" w:space="0" w:color="auto"/>
            </w:tcBorders>
            <w:shd w:val="clear" w:color="auto" w:fill="auto"/>
            <w:vAlign w:val="bottom"/>
          </w:tcPr>
          <w:p w14:paraId="5EBA83DA" w14:textId="5DDDFACA" w:rsidR="009612CC" w:rsidRPr="005B30A9" w:rsidRDefault="009612CC" w:rsidP="00FB462F">
            <w:pPr>
              <w:pStyle w:val="SingleTxtG"/>
              <w:keepNext/>
              <w:keepLines/>
              <w:tabs>
                <w:tab w:val="clear" w:pos="1701"/>
                <w:tab w:val="clear" w:pos="2268"/>
                <w:tab w:val="clear" w:pos="2835"/>
              </w:tabs>
              <w:spacing w:before="40" w:after="40" w:line="220" w:lineRule="exact"/>
              <w:ind w:left="0" w:right="28"/>
              <w:jc w:val="right"/>
              <w:rPr>
                <w:bCs/>
                <w:sz w:val="18"/>
              </w:rPr>
            </w:pPr>
            <w:r w:rsidRPr="005B30A9">
              <w:rPr>
                <w:sz w:val="18"/>
              </w:rPr>
              <w:t xml:space="preserve">28 690,00 </w:t>
            </w:r>
          </w:p>
        </w:tc>
      </w:tr>
      <w:tr w:rsidR="00FE01B8" w:rsidRPr="005B30A9" w14:paraId="58F00070" w14:textId="77777777" w:rsidTr="00FB462F">
        <w:trPr>
          <w:trHeight w:val="240"/>
        </w:trPr>
        <w:tc>
          <w:tcPr>
            <w:tcW w:w="1276" w:type="dxa"/>
            <w:shd w:val="clear" w:color="auto" w:fill="auto"/>
          </w:tcPr>
          <w:p w14:paraId="0F2F37E8" w14:textId="77777777" w:rsidR="009612CC" w:rsidRPr="005B30A9" w:rsidRDefault="009612CC" w:rsidP="00FB462F">
            <w:pPr>
              <w:pStyle w:val="SingleTxtG"/>
              <w:tabs>
                <w:tab w:val="clear" w:pos="1701"/>
                <w:tab w:val="clear" w:pos="2268"/>
                <w:tab w:val="clear" w:pos="2835"/>
              </w:tabs>
              <w:spacing w:before="40" w:after="40" w:line="220" w:lineRule="exact"/>
              <w:ind w:left="0" w:right="0"/>
              <w:jc w:val="left"/>
              <w:rPr>
                <w:bCs/>
                <w:sz w:val="18"/>
              </w:rPr>
            </w:pPr>
            <w:r w:rsidRPr="005B30A9">
              <w:rPr>
                <w:sz w:val="18"/>
              </w:rPr>
              <w:t>2019</w:t>
            </w:r>
          </w:p>
        </w:tc>
        <w:tc>
          <w:tcPr>
            <w:tcW w:w="3143" w:type="dxa"/>
            <w:shd w:val="clear" w:color="auto" w:fill="auto"/>
            <w:vAlign w:val="bottom"/>
          </w:tcPr>
          <w:p w14:paraId="21807AB4" w14:textId="27EAFC2A"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 xml:space="preserve">57 420,00 </w:t>
            </w:r>
          </w:p>
        </w:tc>
      </w:tr>
      <w:tr w:rsidR="00FE01B8" w:rsidRPr="005B30A9" w14:paraId="50373A32" w14:textId="77777777" w:rsidTr="00FB462F">
        <w:trPr>
          <w:trHeight w:val="240"/>
        </w:trPr>
        <w:tc>
          <w:tcPr>
            <w:tcW w:w="1276" w:type="dxa"/>
            <w:shd w:val="clear" w:color="auto" w:fill="auto"/>
          </w:tcPr>
          <w:p w14:paraId="0A4DB99C" w14:textId="77777777" w:rsidR="009612CC" w:rsidRPr="005B30A9" w:rsidRDefault="009612CC" w:rsidP="00FB462F">
            <w:pPr>
              <w:pStyle w:val="SingleTxtG"/>
              <w:tabs>
                <w:tab w:val="clear" w:pos="1701"/>
                <w:tab w:val="clear" w:pos="2268"/>
                <w:tab w:val="clear" w:pos="2835"/>
              </w:tabs>
              <w:spacing w:before="40" w:after="40" w:line="220" w:lineRule="exact"/>
              <w:ind w:left="0" w:right="0"/>
              <w:jc w:val="left"/>
              <w:rPr>
                <w:bCs/>
                <w:sz w:val="18"/>
              </w:rPr>
            </w:pPr>
            <w:r w:rsidRPr="005B30A9">
              <w:rPr>
                <w:sz w:val="18"/>
              </w:rPr>
              <w:t>2020</w:t>
            </w:r>
          </w:p>
        </w:tc>
        <w:tc>
          <w:tcPr>
            <w:tcW w:w="3143" w:type="dxa"/>
            <w:shd w:val="clear" w:color="auto" w:fill="auto"/>
            <w:vAlign w:val="bottom"/>
          </w:tcPr>
          <w:p w14:paraId="62D63EE1" w14:textId="7CD8967E"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 xml:space="preserve">51 836,02 </w:t>
            </w:r>
          </w:p>
        </w:tc>
      </w:tr>
      <w:tr w:rsidR="00FB462F" w:rsidRPr="005B30A9" w14:paraId="44610F3E" w14:textId="77777777" w:rsidTr="00FB462F">
        <w:trPr>
          <w:trHeight w:val="240"/>
        </w:trPr>
        <w:tc>
          <w:tcPr>
            <w:tcW w:w="1276" w:type="dxa"/>
            <w:tcBorders>
              <w:bottom w:val="single" w:sz="12" w:space="0" w:color="auto"/>
            </w:tcBorders>
            <w:shd w:val="clear" w:color="auto" w:fill="auto"/>
          </w:tcPr>
          <w:p w14:paraId="71C05EB0" w14:textId="77777777" w:rsidR="009612CC" w:rsidRPr="005B30A9" w:rsidRDefault="009612CC" w:rsidP="00FB462F">
            <w:pPr>
              <w:pStyle w:val="SingleTxtG"/>
              <w:tabs>
                <w:tab w:val="clear" w:pos="1701"/>
                <w:tab w:val="clear" w:pos="2268"/>
                <w:tab w:val="clear" w:pos="2835"/>
              </w:tabs>
              <w:spacing w:before="40" w:after="40" w:line="220" w:lineRule="exact"/>
              <w:ind w:left="0" w:right="0"/>
              <w:jc w:val="left"/>
              <w:rPr>
                <w:bCs/>
                <w:sz w:val="18"/>
              </w:rPr>
            </w:pPr>
            <w:r w:rsidRPr="005B30A9">
              <w:rPr>
                <w:sz w:val="18"/>
              </w:rPr>
              <w:t>2021</w:t>
            </w:r>
          </w:p>
        </w:tc>
        <w:tc>
          <w:tcPr>
            <w:tcW w:w="3143" w:type="dxa"/>
            <w:tcBorders>
              <w:bottom w:val="single" w:sz="12" w:space="0" w:color="auto"/>
            </w:tcBorders>
            <w:shd w:val="clear" w:color="auto" w:fill="auto"/>
            <w:vAlign w:val="bottom"/>
          </w:tcPr>
          <w:p w14:paraId="7BFD6D8F" w14:textId="1C126BAB" w:rsidR="009612CC" w:rsidRPr="005B30A9" w:rsidRDefault="009612CC" w:rsidP="00FB462F">
            <w:pPr>
              <w:pStyle w:val="SingleTxtG"/>
              <w:tabs>
                <w:tab w:val="clear" w:pos="1701"/>
                <w:tab w:val="clear" w:pos="2268"/>
                <w:tab w:val="clear" w:pos="2835"/>
              </w:tabs>
              <w:spacing w:before="40" w:after="40" w:line="220" w:lineRule="exact"/>
              <w:ind w:left="0" w:right="28"/>
              <w:jc w:val="right"/>
              <w:rPr>
                <w:bCs/>
                <w:sz w:val="18"/>
              </w:rPr>
            </w:pPr>
            <w:r w:rsidRPr="005B30A9">
              <w:rPr>
                <w:sz w:val="18"/>
              </w:rPr>
              <w:t xml:space="preserve">56 694,58 </w:t>
            </w:r>
          </w:p>
        </w:tc>
      </w:tr>
    </w:tbl>
    <w:p w14:paraId="5A92A6F2" w14:textId="77777777" w:rsidR="009612CC" w:rsidRPr="005B30A9" w:rsidRDefault="009612CC" w:rsidP="00FB462F">
      <w:pPr>
        <w:pStyle w:val="SingleTxtG"/>
        <w:spacing w:before="120"/>
        <w:ind w:firstLine="170"/>
        <w:jc w:val="left"/>
        <w:rPr>
          <w:sz w:val="18"/>
          <w:szCs w:val="18"/>
        </w:rPr>
      </w:pPr>
      <w:r w:rsidRPr="005B30A9">
        <w:rPr>
          <w:i/>
          <w:iCs/>
          <w:sz w:val="18"/>
          <w:szCs w:val="18"/>
        </w:rPr>
        <w:t>Fuente:</w:t>
      </w:r>
      <w:r w:rsidRPr="005B30A9">
        <w:rPr>
          <w:sz w:val="18"/>
          <w:szCs w:val="18"/>
        </w:rPr>
        <w:t xml:space="preserve"> BMSGPK.</w:t>
      </w:r>
    </w:p>
    <w:p w14:paraId="471B818F" w14:textId="77777777" w:rsidR="009612CC" w:rsidRPr="005B30A9" w:rsidRDefault="009612CC" w:rsidP="00FB462F">
      <w:pPr>
        <w:pStyle w:val="Table1G"/>
      </w:pPr>
      <w:r w:rsidRPr="005B30A9">
        <w:t>Cuadro 22</w:t>
      </w:r>
    </w:p>
    <w:p w14:paraId="05461728" w14:textId="152BF75B" w:rsidR="009612CC" w:rsidRPr="0016522F" w:rsidRDefault="009612CC" w:rsidP="00FB462F">
      <w:pPr>
        <w:pStyle w:val="SingleTxtG"/>
        <w:jc w:val="left"/>
        <w:rPr>
          <w:b/>
          <w:bCs/>
          <w:sz w:val="16"/>
          <w:szCs w:val="16"/>
        </w:rPr>
      </w:pPr>
      <w:r w:rsidRPr="005B30A9">
        <w:rPr>
          <w:b/>
          <w:bCs/>
        </w:rPr>
        <w:t>Proporción de alumnos con necesidades especiales que asisten a centros de</w:t>
      </w:r>
      <w:r w:rsidR="00FB462F" w:rsidRPr="005B30A9">
        <w:rPr>
          <w:b/>
          <w:bCs/>
        </w:rPr>
        <w:t> </w:t>
      </w:r>
      <w:r w:rsidRPr="005B30A9">
        <w:rPr>
          <w:b/>
          <w:bCs/>
        </w:rPr>
        <w:t>necesidades especiales (años escolares 2017/18-2021/22)</w:t>
      </w:r>
      <w:r w:rsidR="0016522F">
        <w:br/>
      </w:r>
      <w:r w:rsidR="0016522F" w:rsidRPr="0016522F">
        <w:rPr>
          <w:sz w:val="16"/>
          <w:szCs w:val="16"/>
        </w:rPr>
        <w:t>(En porcentaje)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20" w:firstRow="1" w:lastRow="0" w:firstColumn="0" w:lastColumn="0" w:noHBand="0" w:noVBand="1"/>
      </w:tblPr>
      <w:tblGrid>
        <w:gridCol w:w="1451"/>
        <w:gridCol w:w="1479"/>
        <w:gridCol w:w="1480"/>
        <w:gridCol w:w="1480"/>
        <w:gridCol w:w="1480"/>
      </w:tblGrid>
      <w:tr w:rsidR="00FE01B8" w:rsidRPr="005B30A9" w14:paraId="450E7410" w14:textId="77777777" w:rsidTr="00FE01B8">
        <w:trPr>
          <w:trHeight w:val="240"/>
          <w:tblHeader/>
        </w:trPr>
        <w:tc>
          <w:tcPr>
            <w:tcW w:w="1767" w:type="dxa"/>
            <w:shd w:val="clear" w:color="auto" w:fill="auto"/>
            <w:vAlign w:val="bottom"/>
          </w:tcPr>
          <w:p w14:paraId="6CF30297" w14:textId="77777777" w:rsidR="009612CC" w:rsidRPr="005B30A9" w:rsidRDefault="009612CC" w:rsidP="001652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2017/18</w:t>
            </w:r>
          </w:p>
        </w:tc>
        <w:tc>
          <w:tcPr>
            <w:tcW w:w="1767" w:type="dxa"/>
            <w:shd w:val="clear" w:color="auto" w:fill="auto"/>
            <w:vAlign w:val="bottom"/>
          </w:tcPr>
          <w:p w14:paraId="41B74960" w14:textId="77777777" w:rsidR="009612CC" w:rsidRPr="005B30A9" w:rsidRDefault="009612CC" w:rsidP="0016522F">
            <w:pPr>
              <w:pStyle w:val="SingleTxtG"/>
              <w:tabs>
                <w:tab w:val="clear" w:pos="1701"/>
                <w:tab w:val="clear" w:pos="2268"/>
                <w:tab w:val="clear" w:pos="2835"/>
              </w:tabs>
              <w:spacing w:before="80" w:after="80" w:line="200" w:lineRule="exact"/>
              <w:ind w:left="113" w:right="28"/>
              <w:jc w:val="right"/>
              <w:rPr>
                <w:i/>
                <w:sz w:val="16"/>
              </w:rPr>
            </w:pPr>
            <w:r w:rsidRPr="005B30A9">
              <w:rPr>
                <w:i/>
                <w:iCs/>
                <w:sz w:val="16"/>
              </w:rPr>
              <w:t>2018/19</w:t>
            </w:r>
          </w:p>
        </w:tc>
        <w:tc>
          <w:tcPr>
            <w:tcW w:w="1768" w:type="dxa"/>
            <w:shd w:val="clear" w:color="auto" w:fill="auto"/>
            <w:vAlign w:val="bottom"/>
          </w:tcPr>
          <w:p w14:paraId="2F86BEB8" w14:textId="77777777" w:rsidR="009612CC" w:rsidRPr="005B30A9" w:rsidRDefault="009612CC" w:rsidP="0016522F">
            <w:pPr>
              <w:pStyle w:val="SingleTxtG"/>
              <w:tabs>
                <w:tab w:val="clear" w:pos="1701"/>
                <w:tab w:val="clear" w:pos="2268"/>
                <w:tab w:val="clear" w:pos="2835"/>
              </w:tabs>
              <w:spacing w:before="80" w:after="80" w:line="200" w:lineRule="exact"/>
              <w:ind w:left="113" w:right="28"/>
              <w:jc w:val="right"/>
              <w:rPr>
                <w:i/>
                <w:sz w:val="16"/>
              </w:rPr>
            </w:pPr>
            <w:r w:rsidRPr="005B30A9">
              <w:rPr>
                <w:i/>
                <w:iCs/>
                <w:sz w:val="16"/>
              </w:rPr>
              <w:t>2019/20</w:t>
            </w:r>
          </w:p>
        </w:tc>
        <w:tc>
          <w:tcPr>
            <w:tcW w:w="1768" w:type="dxa"/>
            <w:shd w:val="clear" w:color="auto" w:fill="auto"/>
            <w:vAlign w:val="bottom"/>
          </w:tcPr>
          <w:p w14:paraId="5F4F6053" w14:textId="77777777" w:rsidR="009612CC" w:rsidRPr="005B30A9" w:rsidRDefault="009612CC" w:rsidP="0016522F">
            <w:pPr>
              <w:pStyle w:val="SingleTxtG"/>
              <w:tabs>
                <w:tab w:val="clear" w:pos="1701"/>
                <w:tab w:val="clear" w:pos="2268"/>
                <w:tab w:val="clear" w:pos="2835"/>
              </w:tabs>
              <w:spacing w:before="80" w:after="80" w:line="200" w:lineRule="exact"/>
              <w:ind w:left="113" w:right="28"/>
              <w:jc w:val="right"/>
              <w:rPr>
                <w:i/>
                <w:sz w:val="16"/>
              </w:rPr>
            </w:pPr>
            <w:r w:rsidRPr="005B30A9">
              <w:rPr>
                <w:i/>
                <w:iCs/>
                <w:sz w:val="16"/>
              </w:rPr>
              <w:t>2020/21</w:t>
            </w:r>
          </w:p>
        </w:tc>
        <w:tc>
          <w:tcPr>
            <w:tcW w:w="1768" w:type="dxa"/>
            <w:shd w:val="clear" w:color="auto" w:fill="auto"/>
            <w:vAlign w:val="bottom"/>
          </w:tcPr>
          <w:p w14:paraId="032F34EF" w14:textId="77777777" w:rsidR="009612CC" w:rsidRPr="005B30A9" w:rsidRDefault="009612CC" w:rsidP="0016522F">
            <w:pPr>
              <w:pStyle w:val="SingleTxtG"/>
              <w:tabs>
                <w:tab w:val="clear" w:pos="1701"/>
                <w:tab w:val="clear" w:pos="2268"/>
                <w:tab w:val="clear" w:pos="2835"/>
              </w:tabs>
              <w:spacing w:before="80" w:after="80" w:line="200" w:lineRule="exact"/>
              <w:ind w:left="113" w:right="28"/>
              <w:jc w:val="right"/>
              <w:rPr>
                <w:i/>
                <w:sz w:val="16"/>
              </w:rPr>
            </w:pPr>
            <w:r w:rsidRPr="005B30A9">
              <w:rPr>
                <w:i/>
                <w:iCs/>
                <w:sz w:val="16"/>
              </w:rPr>
              <w:t>2021/22</w:t>
            </w:r>
          </w:p>
        </w:tc>
      </w:tr>
      <w:tr w:rsidR="00FE01B8" w:rsidRPr="005B30A9" w14:paraId="1996E64D" w14:textId="77777777" w:rsidTr="00FE01B8">
        <w:trPr>
          <w:trHeight w:val="240"/>
        </w:trPr>
        <w:tc>
          <w:tcPr>
            <w:tcW w:w="1767" w:type="dxa"/>
            <w:shd w:val="clear" w:color="auto" w:fill="auto"/>
          </w:tcPr>
          <w:p w14:paraId="56876F57" w14:textId="3C141265"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35,2</w:t>
            </w:r>
          </w:p>
        </w:tc>
        <w:tc>
          <w:tcPr>
            <w:tcW w:w="1767" w:type="dxa"/>
            <w:shd w:val="clear" w:color="auto" w:fill="auto"/>
            <w:vAlign w:val="bottom"/>
          </w:tcPr>
          <w:p w14:paraId="24C7522C" w14:textId="08B12AB5" w:rsidR="009612CC" w:rsidRPr="005B30A9" w:rsidRDefault="009612CC" w:rsidP="0016522F">
            <w:pPr>
              <w:pStyle w:val="SingleTxtG"/>
              <w:tabs>
                <w:tab w:val="clear" w:pos="1701"/>
                <w:tab w:val="clear" w:pos="2268"/>
                <w:tab w:val="clear" w:pos="2835"/>
              </w:tabs>
              <w:spacing w:before="40" w:after="40" w:line="220" w:lineRule="exact"/>
              <w:ind w:left="113" w:right="28"/>
              <w:jc w:val="right"/>
              <w:rPr>
                <w:sz w:val="18"/>
              </w:rPr>
            </w:pPr>
            <w:r w:rsidRPr="005B30A9">
              <w:rPr>
                <w:sz w:val="18"/>
              </w:rPr>
              <w:t>36,9</w:t>
            </w:r>
          </w:p>
        </w:tc>
        <w:tc>
          <w:tcPr>
            <w:tcW w:w="1768" w:type="dxa"/>
            <w:shd w:val="clear" w:color="auto" w:fill="auto"/>
            <w:vAlign w:val="bottom"/>
          </w:tcPr>
          <w:p w14:paraId="0DA8153D" w14:textId="594E4F55" w:rsidR="009612CC" w:rsidRPr="005B30A9" w:rsidRDefault="009612CC" w:rsidP="0016522F">
            <w:pPr>
              <w:pStyle w:val="SingleTxtG"/>
              <w:tabs>
                <w:tab w:val="clear" w:pos="1701"/>
                <w:tab w:val="clear" w:pos="2268"/>
                <w:tab w:val="clear" w:pos="2835"/>
              </w:tabs>
              <w:spacing w:before="40" w:after="40" w:line="220" w:lineRule="exact"/>
              <w:ind w:left="113" w:right="28"/>
              <w:jc w:val="right"/>
              <w:rPr>
                <w:sz w:val="18"/>
              </w:rPr>
            </w:pPr>
            <w:r w:rsidRPr="005B30A9">
              <w:rPr>
                <w:sz w:val="18"/>
              </w:rPr>
              <w:t>36,2</w:t>
            </w:r>
          </w:p>
        </w:tc>
        <w:tc>
          <w:tcPr>
            <w:tcW w:w="1768" w:type="dxa"/>
            <w:shd w:val="clear" w:color="auto" w:fill="auto"/>
            <w:vAlign w:val="bottom"/>
          </w:tcPr>
          <w:p w14:paraId="044381EE" w14:textId="23D997BA" w:rsidR="009612CC" w:rsidRPr="005B30A9" w:rsidRDefault="009612CC" w:rsidP="0016522F">
            <w:pPr>
              <w:pStyle w:val="SingleTxtG"/>
              <w:tabs>
                <w:tab w:val="clear" w:pos="1701"/>
                <w:tab w:val="clear" w:pos="2268"/>
                <w:tab w:val="clear" w:pos="2835"/>
              </w:tabs>
              <w:spacing w:before="40" w:after="40" w:line="220" w:lineRule="exact"/>
              <w:ind w:left="113" w:right="28"/>
              <w:jc w:val="right"/>
              <w:rPr>
                <w:sz w:val="18"/>
              </w:rPr>
            </w:pPr>
            <w:r w:rsidRPr="005B30A9">
              <w:rPr>
                <w:sz w:val="18"/>
              </w:rPr>
              <w:t>36,4</w:t>
            </w:r>
          </w:p>
        </w:tc>
        <w:tc>
          <w:tcPr>
            <w:tcW w:w="1768" w:type="dxa"/>
            <w:shd w:val="clear" w:color="auto" w:fill="auto"/>
            <w:vAlign w:val="bottom"/>
          </w:tcPr>
          <w:p w14:paraId="2CDC46DA" w14:textId="75910A42" w:rsidR="009612CC" w:rsidRPr="005B30A9" w:rsidRDefault="009612CC" w:rsidP="0016522F">
            <w:pPr>
              <w:pStyle w:val="SingleTxtG"/>
              <w:tabs>
                <w:tab w:val="clear" w:pos="1701"/>
                <w:tab w:val="clear" w:pos="2268"/>
                <w:tab w:val="clear" w:pos="2835"/>
              </w:tabs>
              <w:spacing w:before="40" w:after="40" w:line="220" w:lineRule="exact"/>
              <w:ind w:left="113" w:right="28"/>
              <w:jc w:val="right"/>
              <w:rPr>
                <w:sz w:val="18"/>
              </w:rPr>
            </w:pPr>
            <w:r w:rsidRPr="005B30A9">
              <w:rPr>
                <w:sz w:val="18"/>
              </w:rPr>
              <w:t>36,4</w:t>
            </w:r>
          </w:p>
        </w:tc>
      </w:tr>
    </w:tbl>
    <w:p w14:paraId="4D0DC7ED" w14:textId="77777777" w:rsidR="009612CC" w:rsidRPr="005B30A9" w:rsidRDefault="009612CC" w:rsidP="00FE01B8">
      <w:pPr>
        <w:pStyle w:val="SingleTxtG"/>
        <w:spacing w:before="120"/>
        <w:ind w:firstLine="170"/>
        <w:jc w:val="left"/>
        <w:rPr>
          <w:sz w:val="18"/>
          <w:szCs w:val="18"/>
        </w:rPr>
      </w:pPr>
      <w:r w:rsidRPr="005B30A9">
        <w:rPr>
          <w:i/>
          <w:iCs/>
          <w:sz w:val="18"/>
          <w:szCs w:val="18"/>
        </w:rPr>
        <w:t>Fuente:</w:t>
      </w:r>
      <w:r w:rsidRPr="005B30A9">
        <w:rPr>
          <w:sz w:val="18"/>
          <w:szCs w:val="18"/>
        </w:rPr>
        <w:t xml:space="preserve"> Órgano de Estadísticas de Austria.</w:t>
      </w:r>
    </w:p>
    <w:p w14:paraId="24BBB288" w14:textId="77777777" w:rsidR="009612CC" w:rsidRPr="005B30A9" w:rsidRDefault="009612CC" w:rsidP="00FE01B8">
      <w:pPr>
        <w:pStyle w:val="Table1G"/>
      </w:pPr>
      <w:r w:rsidRPr="005B30A9">
        <w:t>Cuadro 23</w:t>
      </w:r>
    </w:p>
    <w:p w14:paraId="4FBCC04E" w14:textId="61813FED" w:rsidR="009612CC" w:rsidRPr="005B30A9" w:rsidRDefault="009612CC" w:rsidP="00FE01B8">
      <w:pPr>
        <w:pStyle w:val="SingleTxtG"/>
        <w:jc w:val="left"/>
        <w:rPr>
          <w:b/>
          <w:bCs/>
          <w:sz w:val="16"/>
          <w:szCs w:val="16"/>
        </w:rPr>
      </w:pPr>
      <w:r w:rsidRPr="005B30A9">
        <w:rPr>
          <w:b/>
          <w:bCs/>
        </w:rPr>
        <w:t xml:space="preserve">Proporción de alumnos con necesidades especiales que asisten a escuelas </w:t>
      </w:r>
      <w:r w:rsidR="00FE01B8" w:rsidRPr="005B30A9">
        <w:rPr>
          <w:b/>
          <w:bCs/>
        </w:rPr>
        <w:br/>
      </w:r>
      <w:r w:rsidRPr="005B30A9">
        <w:rPr>
          <w:b/>
          <w:bCs/>
        </w:rPr>
        <w:t>inclusivas (comparación de los años escolares 2018/19 a 2021/22)</w:t>
      </w:r>
      <w:r w:rsidR="00FE01B8" w:rsidRPr="005B30A9">
        <w:br/>
      </w:r>
      <w:r w:rsidR="00FE01B8" w:rsidRPr="005B30A9">
        <w:rPr>
          <w:sz w:val="16"/>
          <w:szCs w:val="16"/>
        </w:rPr>
        <w:t>(En porcentaje)</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5124"/>
        <w:gridCol w:w="1123"/>
        <w:gridCol w:w="1123"/>
      </w:tblGrid>
      <w:tr w:rsidR="00FE01B8" w:rsidRPr="005B30A9" w14:paraId="25690F38" w14:textId="77777777" w:rsidTr="00FE01B8">
        <w:trPr>
          <w:trHeight w:val="240"/>
          <w:tblHeader/>
        </w:trPr>
        <w:tc>
          <w:tcPr>
            <w:tcW w:w="6282" w:type="dxa"/>
            <w:tcBorders>
              <w:top w:val="single" w:sz="4" w:space="0" w:color="auto"/>
              <w:bottom w:val="single" w:sz="12" w:space="0" w:color="auto"/>
            </w:tcBorders>
            <w:shd w:val="clear" w:color="auto" w:fill="auto"/>
            <w:vAlign w:val="bottom"/>
          </w:tcPr>
          <w:p w14:paraId="172A5352" w14:textId="77777777" w:rsidR="009612CC" w:rsidRPr="005B30A9" w:rsidRDefault="009612CC" w:rsidP="00FE01B8">
            <w:pPr>
              <w:pStyle w:val="SingleTxtG"/>
              <w:tabs>
                <w:tab w:val="clear" w:pos="1701"/>
                <w:tab w:val="clear" w:pos="2268"/>
                <w:tab w:val="clear" w:pos="2835"/>
              </w:tabs>
              <w:spacing w:before="80" w:after="80" w:line="200" w:lineRule="exact"/>
              <w:ind w:left="0" w:right="0"/>
              <w:jc w:val="left"/>
              <w:rPr>
                <w:i/>
                <w:sz w:val="16"/>
              </w:rPr>
            </w:pPr>
            <w:r w:rsidRPr="005B30A9">
              <w:rPr>
                <w:i/>
                <w:iCs/>
                <w:sz w:val="16"/>
              </w:rPr>
              <w:t>Tipo de escuela</w:t>
            </w:r>
          </w:p>
        </w:tc>
        <w:tc>
          <w:tcPr>
            <w:tcW w:w="1278" w:type="dxa"/>
            <w:tcBorders>
              <w:top w:val="single" w:sz="4" w:space="0" w:color="auto"/>
              <w:bottom w:val="single" w:sz="12" w:space="0" w:color="auto"/>
            </w:tcBorders>
            <w:shd w:val="clear" w:color="auto" w:fill="auto"/>
            <w:vAlign w:val="bottom"/>
          </w:tcPr>
          <w:p w14:paraId="4DCB223E" w14:textId="77777777" w:rsidR="009612CC" w:rsidRPr="005B30A9" w:rsidRDefault="009612CC" w:rsidP="001652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2018/19</w:t>
            </w:r>
          </w:p>
        </w:tc>
        <w:tc>
          <w:tcPr>
            <w:tcW w:w="1278" w:type="dxa"/>
            <w:tcBorders>
              <w:top w:val="single" w:sz="4" w:space="0" w:color="auto"/>
              <w:bottom w:val="single" w:sz="12" w:space="0" w:color="auto"/>
            </w:tcBorders>
            <w:shd w:val="clear" w:color="auto" w:fill="auto"/>
            <w:vAlign w:val="bottom"/>
          </w:tcPr>
          <w:p w14:paraId="04ED79DF" w14:textId="77777777" w:rsidR="009612CC" w:rsidRPr="005B30A9" w:rsidRDefault="009612CC" w:rsidP="001652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2021/22</w:t>
            </w:r>
          </w:p>
        </w:tc>
      </w:tr>
      <w:tr w:rsidR="00FE01B8" w:rsidRPr="005B30A9" w14:paraId="5E448EB7" w14:textId="77777777" w:rsidTr="00FE01B8">
        <w:trPr>
          <w:trHeight w:val="240"/>
        </w:trPr>
        <w:tc>
          <w:tcPr>
            <w:tcW w:w="6282" w:type="dxa"/>
            <w:tcBorders>
              <w:top w:val="single" w:sz="12" w:space="0" w:color="auto"/>
            </w:tcBorders>
            <w:shd w:val="clear" w:color="auto" w:fill="auto"/>
          </w:tcPr>
          <w:p w14:paraId="4A799B74" w14:textId="77777777" w:rsidR="009612CC" w:rsidRPr="005B30A9"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Escolaridad inclusiva (total)</w:t>
            </w:r>
          </w:p>
        </w:tc>
        <w:tc>
          <w:tcPr>
            <w:tcW w:w="1278" w:type="dxa"/>
            <w:tcBorders>
              <w:top w:val="single" w:sz="12" w:space="0" w:color="auto"/>
            </w:tcBorders>
            <w:shd w:val="clear" w:color="auto" w:fill="auto"/>
            <w:vAlign w:val="bottom"/>
          </w:tcPr>
          <w:p w14:paraId="364D8F40" w14:textId="367E5924" w:rsidR="009612CC" w:rsidRPr="005B30A9" w:rsidRDefault="009612CC" w:rsidP="0016522F">
            <w:pPr>
              <w:pStyle w:val="SingleTxtG"/>
              <w:tabs>
                <w:tab w:val="clear" w:pos="1701"/>
                <w:tab w:val="clear" w:pos="2268"/>
                <w:tab w:val="clear" w:pos="2835"/>
              </w:tabs>
              <w:spacing w:before="40" w:after="40" w:line="220" w:lineRule="exact"/>
              <w:ind w:left="0" w:right="28"/>
              <w:jc w:val="right"/>
              <w:rPr>
                <w:bCs/>
                <w:sz w:val="18"/>
              </w:rPr>
            </w:pPr>
            <w:r w:rsidRPr="005B30A9">
              <w:rPr>
                <w:sz w:val="18"/>
              </w:rPr>
              <w:t>63,1</w:t>
            </w:r>
          </w:p>
        </w:tc>
        <w:tc>
          <w:tcPr>
            <w:tcW w:w="1278" w:type="dxa"/>
            <w:tcBorders>
              <w:top w:val="single" w:sz="12" w:space="0" w:color="auto"/>
            </w:tcBorders>
            <w:shd w:val="clear" w:color="auto" w:fill="auto"/>
            <w:vAlign w:val="bottom"/>
          </w:tcPr>
          <w:p w14:paraId="587D697C" w14:textId="282E7F17"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63,6</w:t>
            </w:r>
          </w:p>
        </w:tc>
      </w:tr>
      <w:tr w:rsidR="00FE01B8" w:rsidRPr="005B30A9" w14:paraId="1A575390" w14:textId="77777777" w:rsidTr="00FE01B8">
        <w:trPr>
          <w:trHeight w:val="240"/>
        </w:trPr>
        <w:tc>
          <w:tcPr>
            <w:tcW w:w="6282" w:type="dxa"/>
            <w:shd w:val="clear" w:color="auto" w:fill="auto"/>
          </w:tcPr>
          <w:p w14:paraId="0723E610" w14:textId="77777777" w:rsidR="009612CC" w:rsidRPr="005B30A9"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 xml:space="preserve">Escuela primaria </w:t>
            </w:r>
          </w:p>
        </w:tc>
        <w:tc>
          <w:tcPr>
            <w:tcW w:w="1278" w:type="dxa"/>
            <w:shd w:val="clear" w:color="auto" w:fill="auto"/>
            <w:vAlign w:val="bottom"/>
          </w:tcPr>
          <w:p w14:paraId="073DB6A7" w14:textId="1ACE5400" w:rsidR="009612CC" w:rsidRPr="005B30A9" w:rsidRDefault="009612CC" w:rsidP="0016522F">
            <w:pPr>
              <w:pStyle w:val="SingleTxtG"/>
              <w:tabs>
                <w:tab w:val="clear" w:pos="1701"/>
                <w:tab w:val="clear" w:pos="2268"/>
                <w:tab w:val="clear" w:pos="2835"/>
              </w:tabs>
              <w:spacing w:before="40" w:after="40" w:line="220" w:lineRule="exact"/>
              <w:ind w:left="0" w:right="28"/>
              <w:jc w:val="right"/>
              <w:rPr>
                <w:bCs/>
                <w:sz w:val="18"/>
              </w:rPr>
            </w:pPr>
            <w:r w:rsidRPr="005B30A9">
              <w:rPr>
                <w:sz w:val="18"/>
              </w:rPr>
              <w:t>21,8</w:t>
            </w:r>
          </w:p>
        </w:tc>
        <w:tc>
          <w:tcPr>
            <w:tcW w:w="1278" w:type="dxa"/>
            <w:shd w:val="clear" w:color="auto" w:fill="auto"/>
            <w:vAlign w:val="bottom"/>
          </w:tcPr>
          <w:p w14:paraId="6594D90A" w14:textId="787931C7"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23,2</w:t>
            </w:r>
          </w:p>
        </w:tc>
      </w:tr>
      <w:tr w:rsidR="00FE01B8" w:rsidRPr="005B30A9" w14:paraId="69D45E22" w14:textId="77777777" w:rsidTr="00FE01B8">
        <w:trPr>
          <w:trHeight w:val="240"/>
        </w:trPr>
        <w:tc>
          <w:tcPr>
            <w:tcW w:w="6282" w:type="dxa"/>
            <w:shd w:val="clear" w:color="auto" w:fill="auto"/>
          </w:tcPr>
          <w:p w14:paraId="232D899D" w14:textId="77777777" w:rsidR="009612CC" w:rsidRPr="005B30A9"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 xml:space="preserve">Escuela preparatoria </w:t>
            </w:r>
          </w:p>
        </w:tc>
        <w:tc>
          <w:tcPr>
            <w:tcW w:w="1278" w:type="dxa"/>
            <w:shd w:val="clear" w:color="auto" w:fill="auto"/>
            <w:vAlign w:val="bottom"/>
          </w:tcPr>
          <w:p w14:paraId="25051EC2" w14:textId="5C779ED2" w:rsidR="009612CC" w:rsidRPr="005B30A9" w:rsidRDefault="009612CC" w:rsidP="0016522F">
            <w:pPr>
              <w:pStyle w:val="SingleTxtG"/>
              <w:tabs>
                <w:tab w:val="clear" w:pos="1701"/>
                <w:tab w:val="clear" w:pos="2268"/>
                <w:tab w:val="clear" w:pos="2835"/>
              </w:tabs>
              <w:spacing w:before="40" w:after="40" w:line="220" w:lineRule="exact"/>
              <w:ind w:left="0" w:right="28"/>
              <w:jc w:val="right"/>
              <w:rPr>
                <w:bCs/>
                <w:sz w:val="18"/>
              </w:rPr>
            </w:pPr>
            <w:r w:rsidRPr="005B30A9">
              <w:rPr>
                <w:sz w:val="18"/>
              </w:rPr>
              <w:t>37,4</w:t>
            </w:r>
          </w:p>
        </w:tc>
        <w:tc>
          <w:tcPr>
            <w:tcW w:w="1278" w:type="dxa"/>
            <w:shd w:val="clear" w:color="auto" w:fill="auto"/>
            <w:vAlign w:val="bottom"/>
          </w:tcPr>
          <w:p w14:paraId="5079C055" w14:textId="7414BE1F"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36,7</w:t>
            </w:r>
          </w:p>
        </w:tc>
      </w:tr>
      <w:tr w:rsidR="00FE01B8" w:rsidRPr="005B30A9" w14:paraId="78C66C72" w14:textId="77777777" w:rsidTr="00FE01B8">
        <w:trPr>
          <w:trHeight w:val="240"/>
        </w:trPr>
        <w:tc>
          <w:tcPr>
            <w:tcW w:w="6282" w:type="dxa"/>
            <w:tcBorders>
              <w:bottom w:val="single" w:sz="12" w:space="0" w:color="auto"/>
            </w:tcBorders>
            <w:shd w:val="clear" w:color="auto" w:fill="auto"/>
          </w:tcPr>
          <w:p w14:paraId="132C35B7" w14:textId="77777777" w:rsidR="009612CC" w:rsidRPr="005B30A9" w:rsidDel="001A61E5"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 xml:space="preserve">Escuela politécnica </w:t>
            </w:r>
          </w:p>
        </w:tc>
        <w:tc>
          <w:tcPr>
            <w:tcW w:w="1278" w:type="dxa"/>
            <w:tcBorders>
              <w:bottom w:val="single" w:sz="12" w:space="0" w:color="auto"/>
            </w:tcBorders>
            <w:shd w:val="clear" w:color="auto" w:fill="auto"/>
            <w:vAlign w:val="bottom"/>
          </w:tcPr>
          <w:p w14:paraId="22156E85" w14:textId="5ACE9150" w:rsidR="009612CC" w:rsidRPr="005B30A9" w:rsidRDefault="009612CC" w:rsidP="0016522F">
            <w:pPr>
              <w:pStyle w:val="SingleTxtG"/>
              <w:tabs>
                <w:tab w:val="clear" w:pos="1701"/>
                <w:tab w:val="clear" w:pos="2268"/>
                <w:tab w:val="clear" w:pos="2835"/>
              </w:tabs>
              <w:spacing w:before="40" w:after="40" w:line="220" w:lineRule="exact"/>
              <w:ind w:left="0" w:right="28"/>
              <w:jc w:val="right"/>
              <w:rPr>
                <w:bCs/>
                <w:sz w:val="18"/>
              </w:rPr>
            </w:pPr>
            <w:r w:rsidRPr="005B30A9">
              <w:rPr>
                <w:sz w:val="18"/>
              </w:rPr>
              <w:t>3,8</w:t>
            </w:r>
          </w:p>
        </w:tc>
        <w:tc>
          <w:tcPr>
            <w:tcW w:w="1278" w:type="dxa"/>
            <w:tcBorders>
              <w:bottom w:val="single" w:sz="12" w:space="0" w:color="auto"/>
            </w:tcBorders>
            <w:shd w:val="clear" w:color="auto" w:fill="auto"/>
            <w:vAlign w:val="bottom"/>
          </w:tcPr>
          <w:p w14:paraId="2B3DB145" w14:textId="41A99330"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3,8</w:t>
            </w:r>
          </w:p>
        </w:tc>
      </w:tr>
    </w:tbl>
    <w:p w14:paraId="6F3B3D15" w14:textId="77777777" w:rsidR="009612CC" w:rsidRPr="005B30A9" w:rsidRDefault="009612CC" w:rsidP="00FE01B8">
      <w:pPr>
        <w:pStyle w:val="SingleTxtG"/>
        <w:spacing w:before="120"/>
        <w:ind w:firstLine="170"/>
        <w:jc w:val="left"/>
        <w:rPr>
          <w:sz w:val="18"/>
          <w:szCs w:val="18"/>
        </w:rPr>
      </w:pPr>
      <w:r w:rsidRPr="005B30A9">
        <w:rPr>
          <w:i/>
          <w:iCs/>
          <w:sz w:val="18"/>
          <w:szCs w:val="18"/>
        </w:rPr>
        <w:t>Fuente:</w:t>
      </w:r>
      <w:r w:rsidRPr="005B30A9">
        <w:rPr>
          <w:sz w:val="18"/>
          <w:szCs w:val="18"/>
        </w:rPr>
        <w:t xml:space="preserve"> Órgano de Estadísticas de Austria.</w:t>
      </w:r>
    </w:p>
    <w:p w14:paraId="4EA34F94" w14:textId="77777777" w:rsidR="009612CC" w:rsidRPr="005B30A9" w:rsidRDefault="009612CC" w:rsidP="00FE01B8">
      <w:pPr>
        <w:pStyle w:val="Table1G"/>
      </w:pPr>
      <w:r w:rsidRPr="005B30A9">
        <w:t>Cuadro 24</w:t>
      </w:r>
    </w:p>
    <w:p w14:paraId="6A30D1D5" w14:textId="3CFDB8B6" w:rsidR="009612CC" w:rsidRPr="005B30A9" w:rsidRDefault="009612CC" w:rsidP="00FE01B8">
      <w:pPr>
        <w:pStyle w:val="SingleTxtG"/>
        <w:jc w:val="left"/>
        <w:rPr>
          <w:b/>
          <w:bCs/>
        </w:rPr>
      </w:pPr>
      <w:r w:rsidRPr="005B30A9">
        <w:rPr>
          <w:b/>
          <w:bCs/>
        </w:rPr>
        <w:t>Porcentaje de alumnos cuya lengua cotidiana no es el alemán</w:t>
      </w:r>
      <w:r w:rsidRPr="005B30A9">
        <w:rPr>
          <w:rStyle w:val="Refdenotaalpie"/>
        </w:rPr>
        <w:footnoteReference w:id="58"/>
      </w:r>
      <w:r w:rsidRPr="005B30A9">
        <w:rPr>
          <w:b/>
          <w:bCs/>
        </w:rPr>
        <w:t xml:space="preserve"> </w:t>
      </w:r>
      <w:r w:rsidR="00FE01B8" w:rsidRPr="005B30A9">
        <w:rPr>
          <w:b/>
          <w:bCs/>
        </w:rPr>
        <w:br/>
      </w:r>
      <w:r w:rsidRPr="005B30A9">
        <w:rPr>
          <w:b/>
          <w:bCs/>
        </w:rPr>
        <w:t>(comparación de los años escolares 2018/19 a 2021/22)</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5124"/>
        <w:gridCol w:w="1123"/>
        <w:gridCol w:w="1123"/>
      </w:tblGrid>
      <w:tr w:rsidR="00FE01B8" w:rsidRPr="005B30A9" w14:paraId="1CD8B094" w14:textId="77777777" w:rsidTr="00FE01B8">
        <w:trPr>
          <w:trHeight w:val="240"/>
          <w:tblHeader/>
        </w:trPr>
        <w:tc>
          <w:tcPr>
            <w:tcW w:w="6282" w:type="dxa"/>
            <w:tcBorders>
              <w:top w:val="single" w:sz="4" w:space="0" w:color="auto"/>
              <w:bottom w:val="single" w:sz="12" w:space="0" w:color="auto"/>
            </w:tcBorders>
            <w:shd w:val="clear" w:color="auto" w:fill="auto"/>
            <w:vAlign w:val="bottom"/>
          </w:tcPr>
          <w:p w14:paraId="6DEEB5E3" w14:textId="77777777" w:rsidR="009612CC" w:rsidRPr="005B30A9" w:rsidRDefault="009612CC" w:rsidP="00FE01B8">
            <w:pPr>
              <w:pStyle w:val="SingleTxtG"/>
              <w:tabs>
                <w:tab w:val="clear" w:pos="1701"/>
                <w:tab w:val="clear" w:pos="2268"/>
                <w:tab w:val="clear" w:pos="2835"/>
              </w:tabs>
              <w:spacing w:before="80" w:after="80" w:line="200" w:lineRule="exact"/>
              <w:ind w:left="0" w:right="0"/>
              <w:jc w:val="left"/>
              <w:rPr>
                <w:i/>
                <w:sz w:val="16"/>
              </w:rPr>
            </w:pPr>
            <w:r w:rsidRPr="005B30A9">
              <w:rPr>
                <w:i/>
                <w:iCs/>
                <w:sz w:val="16"/>
              </w:rPr>
              <w:t>Tipo de escuela</w:t>
            </w:r>
          </w:p>
        </w:tc>
        <w:tc>
          <w:tcPr>
            <w:tcW w:w="1278" w:type="dxa"/>
            <w:tcBorders>
              <w:top w:val="single" w:sz="4" w:space="0" w:color="auto"/>
              <w:bottom w:val="single" w:sz="12" w:space="0" w:color="auto"/>
            </w:tcBorders>
            <w:shd w:val="clear" w:color="auto" w:fill="auto"/>
            <w:vAlign w:val="bottom"/>
          </w:tcPr>
          <w:p w14:paraId="79C4B9AD" w14:textId="77777777" w:rsidR="009612CC" w:rsidRPr="005B30A9" w:rsidRDefault="009612CC" w:rsidP="001652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2018/19</w:t>
            </w:r>
          </w:p>
        </w:tc>
        <w:tc>
          <w:tcPr>
            <w:tcW w:w="1278" w:type="dxa"/>
            <w:tcBorders>
              <w:top w:val="single" w:sz="4" w:space="0" w:color="auto"/>
              <w:bottom w:val="single" w:sz="12" w:space="0" w:color="auto"/>
            </w:tcBorders>
            <w:shd w:val="clear" w:color="auto" w:fill="auto"/>
            <w:vAlign w:val="bottom"/>
          </w:tcPr>
          <w:p w14:paraId="0B141790" w14:textId="77777777" w:rsidR="009612CC" w:rsidRPr="005B30A9" w:rsidRDefault="009612CC" w:rsidP="0016522F">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2021/22</w:t>
            </w:r>
          </w:p>
        </w:tc>
      </w:tr>
      <w:tr w:rsidR="00FE01B8" w:rsidRPr="005B30A9" w14:paraId="488B4782" w14:textId="77777777" w:rsidTr="00FE01B8">
        <w:trPr>
          <w:trHeight w:val="240"/>
        </w:trPr>
        <w:tc>
          <w:tcPr>
            <w:tcW w:w="6282" w:type="dxa"/>
            <w:tcBorders>
              <w:top w:val="single" w:sz="12" w:space="0" w:color="auto"/>
            </w:tcBorders>
            <w:shd w:val="clear" w:color="auto" w:fill="auto"/>
          </w:tcPr>
          <w:p w14:paraId="3FFAD942" w14:textId="77777777" w:rsidR="009612CC" w:rsidRPr="005B30A9"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 xml:space="preserve">Escuela primaria </w:t>
            </w:r>
          </w:p>
        </w:tc>
        <w:tc>
          <w:tcPr>
            <w:tcW w:w="1278" w:type="dxa"/>
            <w:tcBorders>
              <w:top w:val="single" w:sz="12" w:space="0" w:color="auto"/>
            </w:tcBorders>
            <w:shd w:val="clear" w:color="auto" w:fill="auto"/>
            <w:vAlign w:val="bottom"/>
          </w:tcPr>
          <w:p w14:paraId="156D9B5C" w14:textId="6CA3F508"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31</w:t>
            </w:r>
          </w:p>
        </w:tc>
        <w:tc>
          <w:tcPr>
            <w:tcW w:w="1278" w:type="dxa"/>
            <w:tcBorders>
              <w:top w:val="single" w:sz="12" w:space="0" w:color="auto"/>
            </w:tcBorders>
            <w:shd w:val="clear" w:color="auto" w:fill="auto"/>
            <w:vAlign w:val="bottom"/>
          </w:tcPr>
          <w:p w14:paraId="28EDDEDB" w14:textId="68FC28B8"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31,2</w:t>
            </w:r>
          </w:p>
        </w:tc>
      </w:tr>
      <w:tr w:rsidR="00FE01B8" w:rsidRPr="005B30A9" w14:paraId="6CA2C044" w14:textId="77777777" w:rsidTr="00FE01B8">
        <w:trPr>
          <w:trHeight w:val="240"/>
        </w:trPr>
        <w:tc>
          <w:tcPr>
            <w:tcW w:w="6282" w:type="dxa"/>
            <w:shd w:val="clear" w:color="auto" w:fill="auto"/>
          </w:tcPr>
          <w:p w14:paraId="224318CD" w14:textId="77777777" w:rsidR="009612CC" w:rsidRPr="005B30A9"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Escuela para niños con necesidades especiales o escolaridad inclusiva</w:t>
            </w:r>
          </w:p>
        </w:tc>
        <w:tc>
          <w:tcPr>
            <w:tcW w:w="1278" w:type="dxa"/>
            <w:shd w:val="clear" w:color="auto" w:fill="auto"/>
            <w:vAlign w:val="bottom"/>
          </w:tcPr>
          <w:p w14:paraId="031B2A65" w14:textId="2CB2FB94"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38,8</w:t>
            </w:r>
          </w:p>
        </w:tc>
        <w:tc>
          <w:tcPr>
            <w:tcW w:w="1278" w:type="dxa"/>
            <w:shd w:val="clear" w:color="auto" w:fill="auto"/>
            <w:vAlign w:val="bottom"/>
          </w:tcPr>
          <w:p w14:paraId="443627D4" w14:textId="696A2359"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42,9</w:t>
            </w:r>
          </w:p>
        </w:tc>
      </w:tr>
      <w:tr w:rsidR="00FE01B8" w:rsidRPr="005B30A9" w14:paraId="13B12067" w14:textId="77777777" w:rsidTr="00FE01B8">
        <w:trPr>
          <w:trHeight w:val="240"/>
        </w:trPr>
        <w:tc>
          <w:tcPr>
            <w:tcW w:w="6282" w:type="dxa"/>
            <w:shd w:val="clear" w:color="auto" w:fill="auto"/>
          </w:tcPr>
          <w:p w14:paraId="3AB6CFCA" w14:textId="77777777" w:rsidR="009612CC" w:rsidRPr="005B30A9"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Escuela preparatoria</w:t>
            </w:r>
          </w:p>
        </w:tc>
        <w:tc>
          <w:tcPr>
            <w:tcW w:w="1278" w:type="dxa"/>
            <w:shd w:val="clear" w:color="auto" w:fill="auto"/>
            <w:vAlign w:val="bottom"/>
          </w:tcPr>
          <w:p w14:paraId="124E3F31" w14:textId="27DAEB38"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32,5</w:t>
            </w:r>
          </w:p>
        </w:tc>
        <w:tc>
          <w:tcPr>
            <w:tcW w:w="1278" w:type="dxa"/>
            <w:shd w:val="clear" w:color="auto" w:fill="auto"/>
            <w:vAlign w:val="bottom"/>
          </w:tcPr>
          <w:p w14:paraId="5EDB073A" w14:textId="147E8DAD"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34,1</w:t>
            </w:r>
          </w:p>
        </w:tc>
      </w:tr>
      <w:tr w:rsidR="00FE01B8" w:rsidRPr="005B30A9" w14:paraId="1D4DB895" w14:textId="77777777" w:rsidTr="00FE01B8">
        <w:trPr>
          <w:trHeight w:val="240"/>
        </w:trPr>
        <w:tc>
          <w:tcPr>
            <w:tcW w:w="6282" w:type="dxa"/>
            <w:tcBorders>
              <w:bottom w:val="single" w:sz="12" w:space="0" w:color="auto"/>
            </w:tcBorders>
            <w:shd w:val="clear" w:color="auto" w:fill="auto"/>
          </w:tcPr>
          <w:p w14:paraId="0D34CB37" w14:textId="77777777" w:rsidR="009612CC" w:rsidRPr="005B30A9" w:rsidDel="001A61E5"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Escuela politécnica</w:t>
            </w:r>
          </w:p>
        </w:tc>
        <w:tc>
          <w:tcPr>
            <w:tcW w:w="1278" w:type="dxa"/>
            <w:tcBorders>
              <w:bottom w:val="single" w:sz="12" w:space="0" w:color="auto"/>
            </w:tcBorders>
            <w:shd w:val="clear" w:color="auto" w:fill="auto"/>
            <w:vAlign w:val="bottom"/>
          </w:tcPr>
          <w:p w14:paraId="3D64AE82" w14:textId="560DE084"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36</w:t>
            </w:r>
          </w:p>
        </w:tc>
        <w:tc>
          <w:tcPr>
            <w:tcW w:w="1278" w:type="dxa"/>
            <w:tcBorders>
              <w:bottom w:val="single" w:sz="12" w:space="0" w:color="auto"/>
            </w:tcBorders>
            <w:shd w:val="clear" w:color="auto" w:fill="auto"/>
            <w:vAlign w:val="bottom"/>
          </w:tcPr>
          <w:p w14:paraId="5A878D89" w14:textId="6D6B0A68" w:rsidR="009612CC" w:rsidRPr="005B30A9" w:rsidRDefault="009612CC" w:rsidP="0016522F">
            <w:pPr>
              <w:pStyle w:val="SingleTxtG"/>
              <w:tabs>
                <w:tab w:val="clear" w:pos="1701"/>
                <w:tab w:val="clear" w:pos="2268"/>
                <w:tab w:val="clear" w:pos="2835"/>
              </w:tabs>
              <w:spacing w:before="40" w:after="40" w:line="220" w:lineRule="exact"/>
              <w:ind w:left="0" w:right="28"/>
              <w:jc w:val="right"/>
              <w:rPr>
                <w:sz w:val="18"/>
              </w:rPr>
            </w:pPr>
            <w:r w:rsidRPr="005B30A9">
              <w:rPr>
                <w:sz w:val="18"/>
              </w:rPr>
              <w:t>37,3</w:t>
            </w:r>
          </w:p>
        </w:tc>
      </w:tr>
    </w:tbl>
    <w:p w14:paraId="49AEF09D" w14:textId="77777777" w:rsidR="009612CC" w:rsidRPr="005B30A9" w:rsidRDefault="009612CC" w:rsidP="00FE01B8">
      <w:pPr>
        <w:pStyle w:val="SingleTxtG"/>
        <w:spacing w:before="120"/>
        <w:ind w:firstLine="170"/>
        <w:jc w:val="left"/>
        <w:rPr>
          <w:sz w:val="18"/>
          <w:szCs w:val="18"/>
        </w:rPr>
      </w:pPr>
      <w:r w:rsidRPr="005B30A9">
        <w:rPr>
          <w:i/>
          <w:iCs/>
          <w:sz w:val="18"/>
          <w:szCs w:val="18"/>
        </w:rPr>
        <w:t>Fuente:</w:t>
      </w:r>
      <w:r w:rsidRPr="005B30A9">
        <w:rPr>
          <w:sz w:val="18"/>
          <w:szCs w:val="18"/>
        </w:rPr>
        <w:t xml:space="preserve"> Órgano de Estadísticas de Austria.</w:t>
      </w:r>
    </w:p>
    <w:p w14:paraId="5751919F" w14:textId="77777777" w:rsidR="009612CC" w:rsidRPr="005B30A9" w:rsidRDefault="009612CC" w:rsidP="00FE01B8">
      <w:pPr>
        <w:pStyle w:val="Table1G"/>
      </w:pPr>
      <w:r w:rsidRPr="005B30A9">
        <w:lastRenderedPageBreak/>
        <w:t>Cuadro 25</w:t>
      </w:r>
    </w:p>
    <w:p w14:paraId="6F4C71C0" w14:textId="6F3EFB5C" w:rsidR="009612CC" w:rsidRPr="005B30A9" w:rsidRDefault="009612CC" w:rsidP="00FE01B8">
      <w:pPr>
        <w:pStyle w:val="SingleTxtG"/>
        <w:keepNext/>
        <w:keepLines/>
        <w:jc w:val="left"/>
        <w:rPr>
          <w:b/>
          <w:bCs/>
        </w:rPr>
      </w:pPr>
      <w:r w:rsidRPr="005B30A9">
        <w:rPr>
          <w:b/>
          <w:bCs/>
        </w:rPr>
        <w:t xml:space="preserve">Porcentaje de mujeres aprendices en 2022, por sector </w:t>
      </w:r>
      <w:r w:rsidR="0016522F">
        <w:rPr>
          <w:b/>
          <w:bCs/>
        </w:rPr>
        <w:t>–</w:t>
      </w:r>
      <w:r w:rsidRPr="005B30A9">
        <w:rPr>
          <w:b/>
          <w:bCs/>
        </w:rPr>
        <w:t xml:space="preserve"> a 31 de diciembre </w:t>
      </w:r>
      <w:r w:rsidR="0016522F">
        <w:rPr>
          <w:b/>
          <w:bCs/>
        </w:rPr>
        <w:br/>
      </w:r>
      <w:r w:rsidRPr="005B30A9">
        <w:rPr>
          <w:b/>
          <w:bCs/>
        </w:rPr>
        <w:t>de 2022</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2694"/>
        <w:gridCol w:w="915"/>
        <w:gridCol w:w="1246"/>
        <w:gridCol w:w="1121"/>
        <w:gridCol w:w="1394"/>
      </w:tblGrid>
      <w:tr w:rsidR="00FE01B8" w:rsidRPr="005B30A9" w14:paraId="7493C861" w14:textId="77777777" w:rsidTr="00FE01B8">
        <w:trPr>
          <w:trHeight w:val="240"/>
          <w:tblHeader/>
        </w:trPr>
        <w:tc>
          <w:tcPr>
            <w:tcW w:w="2694" w:type="dxa"/>
            <w:tcBorders>
              <w:top w:val="single" w:sz="4" w:space="0" w:color="auto"/>
              <w:bottom w:val="single" w:sz="12" w:space="0" w:color="auto"/>
            </w:tcBorders>
            <w:shd w:val="clear" w:color="auto" w:fill="auto"/>
            <w:vAlign w:val="bottom"/>
          </w:tcPr>
          <w:p w14:paraId="62B4CFA7" w14:textId="77777777" w:rsidR="009612CC" w:rsidRPr="005B30A9" w:rsidRDefault="009612CC" w:rsidP="00FE01B8">
            <w:pPr>
              <w:pStyle w:val="SingleTxtG"/>
              <w:tabs>
                <w:tab w:val="clear" w:pos="1701"/>
                <w:tab w:val="clear" w:pos="2268"/>
                <w:tab w:val="clear" w:pos="2835"/>
              </w:tabs>
              <w:spacing w:before="80" w:after="80" w:line="200" w:lineRule="exact"/>
              <w:ind w:left="0" w:right="0"/>
              <w:jc w:val="left"/>
              <w:rPr>
                <w:i/>
                <w:sz w:val="16"/>
              </w:rPr>
            </w:pPr>
            <w:r w:rsidRPr="005B30A9">
              <w:rPr>
                <w:i/>
                <w:iCs/>
                <w:sz w:val="16"/>
              </w:rPr>
              <w:t>Sector</w:t>
            </w:r>
          </w:p>
        </w:tc>
        <w:tc>
          <w:tcPr>
            <w:tcW w:w="915" w:type="dxa"/>
            <w:tcBorders>
              <w:top w:val="single" w:sz="4" w:space="0" w:color="auto"/>
              <w:bottom w:val="single" w:sz="12" w:space="0" w:color="auto"/>
            </w:tcBorders>
            <w:shd w:val="clear" w:color="auto" w:fill="auto"/>
            <w:vAlign w:val="bottom"/>
          </w:tcPr>
          <w:p w14:paraId="4D8F3214" w14:textId="77777777" w:rsidR="009612CC" w:rsidRPr="005B30A9" w:rsidRDefault="009612CC" w:rsidP="00FE01B8">
            <w:pPr>
              <w:pStyle w:val="SingleTxtG"/>
              <w:tabs>
                <w:tab w:val="clear" w:pos="1701"/>
                <w:tab w:val="clear" w:pos="2268"/>
                <w:tab w:val="clear" w:pos="2835"/>
              </w:tabs>
              <w:spacing w:before="80" w:after="80" w:line="200" w:lineRule="exact"/>
              <w:ind w:left="0" w:right="28"/>
              <w:jc w:val="right"/>
              <w:rPr>
                <w:i/>
                <w:sz w:val="16"/>
              </w:rPr>
            </w:pPr>
            <w:r w:rsidRPr="005B30A9">
              <w:rPr>
                <w:i/>
                <w:sz w:val="16"/>
              </w:rPr>
              <w:t>Total</w:t>
            </w:r>
          </w:p>
        </w:tc>
        <w:tc>
          <w:tcPr>
            <w:tcW w:w="1246" w:type="dxa"/>
            <w:tcBorders>
              <w:top w:val="single" w:sz="4" w:space="0" w:color="auto"/>
              <w:bottom w:val="single" w:sz="12" w:space="0" w:color="auto"/>
            </w:tcBorders>
            <w:shd w:val="clear" w:color="auto" w:fill="auto"/>
            <w:vAlign w:val="bottom"/>
          </w:tcPr>
          <w:p w14:paraId="0980FF23" w14:textId="77777777" w:rsidR="009612CC" w:rsidRPr="005B30A9" w:rsidRDefault="009612CC" w:rsidP="00FE01B8">
            <w:pPr>
              <w:pStyle w:val="SingleTxtG"/>
              <w:tabs>
                <w:tab w:val="clear" w:pos="1701"/>
                <w:tab w:val="clear" w:pos="2268"/>
                <w:tab w:val="clear" w:pos="2835"/>
              </w:tabs>
              <w:spacing w:before="80" w:after="80" w:line="200" w:lineRule="exact"/>
              <w:ind w:left="0" w:right="28"/>
              <w:jc w:val="right"/>
              <w:rPr>
                <w:i/>
                <w:sz w:val="16"/>
              </w:rPr>
            </w:pPr>
            <w:r w:rsidRPr="005B30A9">
              <w:rPr>
                <w:i/>
                <w:sz w:val="16"/>
              </w:rPr>
              <w:t>Hombres</w:t>
            </w:r>
          </w:p>
        </w:tc>
        <w:tc>
          <w:tcPr>
            <w:tcW w:w="1121" w:type="dxa"/>
            <w:tcBorders>
              <w:top w:val="single" w:sz="4" w:space="0" w:color="auto"/>
              <w:bottom w:val="single" w:sz="12" w:space="0" w:color="auto"/>
            </w:tcBorders>
            <w:shd w:val="clear" w:color="auto" w:fill="auto"/>
            <w:vAlign w:val="bottom"/>
          </w:tcPr>
          <w:p w14:paraId="34C89B56" w14:textId="77777777" w:rsidR="009612CC" w:rsidRPr="005B30A9" w:rsidRDefault="009612CC" w:rsidP="00FE01B8">
            <w:pPr>
              <w:pStyle w:val="SingleTxtG"/>
              <w:tabs>
                <w:tab w:val="clear" w:pos="1701"/>
                <w:tab w:val="clear" w:pos="2268"/>
                <w:tab w:val="clear" w:pos="2835"/>
              </w:tabs>
              <w:spacing w:before="80" w:after="80" w:line="200" w:lineRule="exact"/>
              <w:ind w:left="0" w:right="28"/>
              <w:jc w:val="right"/>
              <w:rPr>
                <w:i/>
                <w:sz w:val="16"/>
              </w:rPr>
            </w:pPr>
            <w:r w:rsidRPr="005B30A9">
              <w:rPr>
                <w:i/>
                <w:sz w:val="16"/>
              </w:rPr>
              <w:t>Mujeres</w:t>
            </w:r>
          </w:p>
        </w:tc>
        <w:tc>
          <w:tcPr>
            <w:tcW w:w="1394" w:type="dxa"/>
            <w:tcBorders>
              <w:top w:val="single" w:sz="4" w:space="0" w:color="auto"/>
              <w:bottom w:val="single" w:sz="12" w:space="0" w:color="auto"/>
            </w:tcBorders>
            <w:shd w:val="clear" w:color="auto" w:fill="auto"/>
            <w:vAlign w:val="bottom"/>
          </w:tcPr>
          <w:p w14:paraId="0EFBFFDF" w14:textId="7E537271" w:rsidR="009612CC" w:rsidRPr="005B30A9" w:rsidRDefault="009612CC" w:rsidP="00FE01B8">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Proporción de mujeres aprendices</w:t>
            </w:r>
            <w:r w:rsidR="00FE01B8" w:rsidRPr="005B30A9">
              <w:rPr>
                <w:i/>
                <w:iCs/>
                <w:sz w:val="16"/>
              </w:rPr>
              <w:br/>
              <w:t>(en porcentaje)</w:t>
            </w:r>
          </w:p>
        </w:tc>
      </w:tr>
      <w:tr w:rsidR="00FE01B8" w:rsidRPr="005B30A9" w14:paraId="061E3A68" w14:textId="77777777" w:rsidTr="00FE01B8">
        <w:trPr>
          <w:trHeight w:val="240"/>
        </w:trPr>
        <w:tc>
          <w:tcPr>
            <w:tcW w:w="2694" w:type="dxa"/>
            <w:tcBorders>
              <w:top w:val="single" w:sz="12" w:space="0" w:color="auto"/>
            </w:tcBorders>
            <w:shd w:val="clear" w:color="auto" w:fill="auto"/>
          </w:tcPr>
          <w:p w14:paraId="647B1E2F" w14:textId="77777777" w:rsidR="009612CC" w:rsidRPr="005B30A9" w:rsidRDefault="009612CC" w:rsidP="0016522F">
            <w:pPr>
              <w:pStyle w:val="SingleTxtG"/>
              <w:keepNext/>
              <w:keepLines/>
              <w:tabs>
                <w:tab w:val="clear" w:pos="1701"/>
                <w:tab w:val="clear" w:pos="2268"/>
                <w:tab w:val="clear" w:pos="2835"/>
              </w:tabs>
              <w:spacing w:before="40" w:after="40" w:line="220" w:lineRule="exact"/>
              <w:ind w:left="0" w:right="0"/>
              <w:jc w:val="left"/>
              <w:rPr>
                <w:bCs/>
                <w:sz w:val="18"/>
              </w:rPr>
            </w:pPr>
            <w:r w:rsidRPr="005B30A9">
              <w:rPr>
                <w:sz w:val="18"/>
              </w:rPr>
              <w:t>Artes y oficios</w:t>
            </w:r>
          </w:p>
        </w:tc>
        <w:tc>
          <w:tcPr>
            <w:tcW w:w="915" w:type="dxa"/>
            <w:tcBorders>
              <w:top w:val="single" w:sz="12" w:space="0" w:color="auto"/>
            </w:tcBorders>
            <w:shd w:val="clear" w:color="auto" w:fill="auto"/>
            <w:vAlign w:val="bottom"/>
          </w:tcPr>
          <w:p w14:paraId="6241CF1C" w14:textId="196503B6" w:rsidR="009612CC" w:rsidRPr="005B30A9" w:rsidRDefault="009612CC" w:rsidP="0016522F">
            <w:pPr>
              <w:pStyle w:val="SingleTxtG"/>
              <w:keepNext/>
              <w:keepLines/>
              <w:tabs>
                <w:tab w:val="clear" w:pos="1701"/>
                <w:tab w:val="clear" w:pos="2268"/>
                <w:tab w:val="clear" w:pos="2835"/>
              </w:tabs>
              <w:spacing w:before="40" w:after="40" w:line="220" w:lineRule="exact"/>
              <w:ind w:left="0" w:right="28"/>
              <w:jc w:val="right"/>
              <w:rPr>
                <w:bCs/>
                <w:sz w:val="18"/>
              </w:rPr>
            </w:pPr>
            <w:r w:rsidRPr="005B30A9">
              <w:rPr>
                <w:sz w:val="18"/>
              </w:rPr>
              <w:t>46</w:t>
            </w:r>
            <w:r w:rsidR="00FE01B8" w:rsidRPr="005B30A9">
              <w:rPr>
                <w:sz w:val="18"/>
              </w:rPr>
              <w:t xml:space="preserve"> </w:t>
            </w:r>
            <w:r w:rsidRPr="005B30A9">
              <w:rPr>
                <w:sz w:val="18"/>
              </w:rPr>
              <w:t>913</w:t>
            </w:r>
          </w:p>
        </w:tc>
        <w:tc>
          <w:tcPr>
            <w:tcW w:w="1246" w:type="dxa"/>
            <w:tcBorders>
              <w:top w:val="single" w:sz="12" w:space="0" w:color="auto"/>
            </w:tcBorders>
            <w:shd w:val="clear" w:color="auto" w:fill="auto"/>
            <w:vAlign w:val="bottom"/>
          </w:tcPr>
          <w:p w14:paraId="11B33D71" w14:textId="271CF4CA" w:rsidR="009612CC" w:rsidRPr="005B30A9" w:rsidRDefault="009612CC" w:rsidP="0016522F">
            <w:pPr>
              <w:pStyle w:val="SingleTxtG"/>
              <w:keepNext/>
              <w:keepLines/>
              <w:tabs>
                <w:tab w:val="clear" w:pos="1701"/>
                <w:tab w:val="clear" w:pos="2268"/>
                <w:tab w:val="clear" w:pos="2835"/>
              </w:tabs>
              <w:spacing w:before="40" w:after="40" w:line="220" w:lineRule="exact"/>
              <w:ind w:left="0" w:right="28"/>
              <w:jc w:val="right"/>
              <w:rPr>
                <w:bCs/>
                <w:sz w:val="18"/>
              </w:rPr>
            </w:pPr>
            <w:r w:rsidRPr="005B30A9">
              <w:rPr>
                <w:sz w:val="18"/>
              </w:rPr>
              <w:t>38</w:t>
            </w:r>
            <w:r w:rsidR="00FE01B8" w:rsidRPr="005B30A9">
              <w:rPr>
                <w:sz w:val="18"/>
              </w:rPr>
              <w:t xml:space="preserve"> </w:t>
            </w:r>
            <w:r w:rsidRPr="005B30A9">
              <w:rPr>
                <w:sz w:val="18"/>
              </w:rPr>
              <w:t>141</w:t>
            </w:r>
          </w:p>
        </w:tc>
        <w:tc>
          <w:tcPr>
            <w:tcW w:w="1121" w:type="dxa"/>
            <w:tcBorders>
              <w:top w:val="single" w:sz="12" w:space="0" w:color="auto"/>
            </w:tcBorders>
            <w:shd w:val="clear" w:color="auto" w:fill="auto"/>
            <w:vAlign w:val="bottom"/>
          </w:tcPr>
          <w:p w14:paraId="2448CA7B" w14:textId="017B7BEB" w:rsidR="009612CC" w:rsidRPr="005B30A9" w:rsidRDefault="009612CC" w:rsidP="0016522F">
            <w:pPr>
              <w:pStyle w:val="SingleTxtG"/>
              <w:keepNext/>
              <w:keepLines/>
              <w:tabs>
                <w:tab w:val="clear" w:pos="1701"/>
                <w:tab w:val="clear" w:pos="2268"/>
                <w:tab w:val="clear" w:pos="2835"/>
              </w:tabs>
              <w:spacing w:before="40" w:after="40" w:line="220" w:lineRule="exact"/>
              <w:ind w:left="0" w:right="28"/>
              <w:jc w:val="right"/>
              <w:rPr>
                <w:bCs/>
                <w:sz w:val="18"/>
              </w:rPr>
            </w:pPr>
            <w:r w:rsidRPr="005B30A9">
              <w:rPr>
                <w:sz w:val="18"/>
              </w:rPr>
              <w:t>8</w:t>
            </w:r>
            <w:r w:rsidR="00FE01B8" w:rsidRPr="005B30A9">
              <w:rPr>
                <w:sz w:val="18"/>
              </w:rPr>
              <w:t xml:space="preserve"> </w:t>
            </w:r>
            <w:r w:rsidRPr="005B30A9">
              <w:rPr>
                <w:sz w:val="18"/>
              </w:rPr>
              <w:t>772</w:t>
            </w:r>
          </w:p>
        </w:tc>
        <w:tc>
          <w:tcPr>
            <w:tcW w:w="1394" w:type="dxa"/>
            <w:tcBorders>
              <w:top w:val="single" w:sz="12" w:space="0" w:color="auto"/>
            </w:tcBorders>
            <w:shd w:val="clear" w:color="auto" w:fill="auto"/>
            <w:vAlign w:val="bottom"/>
          </w:tcPr>
          <w:p w14:paraId="178C8D87" w14:textId="1FE51360" w:rsidR="009612CC" w:rsidRPr="005B30A9" w:rsidRDefault="009612CC" w:rsidP="0016522F">
            <w:pPr>
              <w:pStyle w:val="SingleTxtG"/>
              <w:keepNext/>
              <w:keepLines/>
              <w:tabs>
                <w:tab w:val="clear" w:pos="1701"/>
                <w:tab w:val="clear" w:pos="2268"/>
                <w:tab w:val="clear" w:pos="2835"/>
              </w:tabs>
              <w:spacing w:before="40" w:after="40" w:line="220" w:lineRule="exact"/>
              <w:ind w:left="0" w:right="28"/>
              <w:jc w:val="right"/>
              <w:rPr>
                <w:bCs/>
                <w:sz w:val="18"/>
              </w:rPr>
            </w:pPr>
            <w:r w:rsidRPr="005B30A9">
              <w:rPr>
                <w:sz w:val="18"/>
              </w:rPr>
              <w:t>18,7</w:t>
            </w:r>
          </w:p>
        </w:tc>
      </w:tr>
      <w:tr w:rsidR="00FE01B8" w:rsidRPr="005B30A9" w14:paraId="71671B4E" w14:textId="77777777" w:rsidTr="00FE01B8">
        <w:trPr>
          <w:trHeight w:val="240"/>
        </w:trPr>
        <w:tc>
          <w:tcPr>
            <w:tcW w:w="2694" w:type="dxa"/>
            <w:shd w:val="clear" w:color="auto" w:fill="auto"/>
          </w:tcPr>
          <w:p w14:paraId="50B34A66" w14:textId="77777777" w:rsidR="009612CC" w:rsidRPr="005B30A9"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Industria</w:t>
            </w:r>
          </w:p>
        </w:tc>
        <w:tc>
          <w:tcPr>
            <w:tcW w:w="915" w:type="dxa"/>
            <w:shd w:val="clear" w:color="auto" w:fill="auto"/>
            <w:vAlign w:val="bottom"/>
          </w:tcPr>
          <w:p w14:paraId="093A01C0" w14:textId="3186E655"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16</w:t>
            </w:r>
            <w:r w:rsidR="00FE01B8" w:rsidRPr="005B30A9">
              <w:rPr>
                <w:sz w:val="18"/>
              </w:rPr>
              <w:t xml:space="preserve"> </w:t>
            </w:r>
            <w:r w:rsidRPr="005B30A9">
              <w:rPr>
                <w:sz w:val="18"/>
              </w:rPr>
              <w:t>428</w:t>
            </w:r>
          </w:p>
        </w:tc>
        <w:tc>
          <w:tcPr>
            <w:tcW w:w="1246" w:type="dxa"/>
            <w:shd w:val="clear" w:color="auto" w:fill="auto"/>
            <w:vAlign w:val="bottom"/>
          </w:tcPr>
          <w:p w14:paraId="1161DC4C" w14:textId="5464F908"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13</w:t>
            </w:r>
            <w:r w:rsidR="00FE01B8" w:rsidRPr="005B30A9">
              <w:rPr>
                <w:sz w:val="18"/>
              </w:rPr>
              <w:t xml:space="preserve"> </w:t>
            </w:r>
            <w:r w:rsidRPr="005B30A9">
              <w:rPr>
                <w:sz w:val="18"/>
              </w:rPr>
              <w:t>326</w:t>
            </w:r>
          </w:p>
        </w:tc>
        <w:tc>
          <w:tcPr>
            <w:tcW w:w="1121" w:type="dxa"/>
            <w:shd w:val="clear" w:color="auto" w:fill="auto"/>
            <w:vAlign w:val="bottom"/>
          </w:tcPr>
          <w:p w14:paraId="724D1644" w14:textId="1D8F7263"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3</w:t>
            </w:r>
            <w:r w:rsidR="00FE01B8" w:rsidRPr="005B30A9">
              <w:rPr>
                <w:sz w:val="18"/>
              </w:rPr>
              <w:t xml:space="preserve"> </w:t>
            </w:r>
            <w:r w:rsidRPr="005B30A9">
              <w:rPr>
                <w:sz w:val="18"/>
              </w:rPr>
              <w:t>102</w:t>
            </w:r>
          </w:p>
        </w:tc>
        <w:tc>
          <w:tcPr>
            <w:tcW w:w="1394" w:type="dxa"/>
            <w:shd w:val="clear" w:color="auto" w:fill="auto"/>
            <w:vAlign w:val="bottom"/>
          </w:tcPr>
          <w:p w14:paraId="125C138F" w14:textId="3224FB54"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18,9</w:t>
            </w:r>
          </w:p>
        </w:tc>
      </w:tr>
      <w:tr w:rsidR="00FE01B8" w:rsidRPr="005B30A9" w14:paraId="680B408D" w14:textId="77777777" w:rsidTr="00FE01B8">
        <w:trPr>
          <w:trHeight w:val="240"/>
        </w:trPr>
        <w:tc>
          <w:tcPr>
            <w:tcW w:w="2694" w:type="dxa"/>
            <w:shd w:val="clear" w:color="auto" w:fill="auto"/>
          </w:tcPr>
          <w:p w14:paraId="1B8F6EAF" w14:textId="77777777" w:rsidR="009612CC" w:rsidRPr="005B30A9"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Comercio minorista</w:t>
            </w:r>
          </w:p>
        </w:tc>
        <w:tc>
          <w:tcPr>
            <w:tcW w:w="915" w:type="dxa"/>
            <w:shd w:val="clear" w:color="auto" w:fill="auto"/>
            <w:vAlign w:val="bottom"/>
          </w:tcPr>
          <w:p w14:paraId="6895E00D" w14:textId="353F07B9"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15</w:t>
            </w:r>
            <w:r w:rsidR="00FE01B8" w:rsidRPr="005B30A9">
              <w:rPr>
                <w:sz w:val="18"/>
              </w:rPr>
              <w:t xml:space="preserve"> </w:t>
            </w:r>
            <w:r w:rsidRPr="005B30A9">
              <w:rPr>
                <w:sz w:val="18"/>
              </w:rPr>
              <w:t>193</w:t>
            </w:r>
          </w:p>
        </w:tc>
        <w:tc>
          <w:tcPr>
            <w:tcW w:w="1246" w:type="dxa"/>
            <w:shd w:val="clear" w:color="auto" w:fill="auto"/>
            <w:vAlign w:val="bottom"/>
          </w:tcPr>
          <w:p w14:paraId="58C14091" w14:textId="0E3444CF"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6</w:t>
            </w:r>
            <w:r w:rsidR="00FE01B8" w:rsidRPr="005B30A9">
              <w:rPr>
                <w:sz w:val="18"/>
              </w:rPr>
              <w:t xml:space="preserve"> </w:t>
            </w:r>
            <w:r w:rsidRPr="005B30A9">
              <w:rPr>
                <w:sz w:val="18"/>
              </w:rPr>
              <w:t>261</w:t>
            </w:r>
          </w:p>
        </w:tc>
        <w:tc>
          <w:tcPr>
            <w:tcW w:w="1121" w:type="dxa"/>
            <w:shd w:val="clear" w:color="auto" w:fill="auto"/>
            <w:vAlign w:val="bottom"/>
          </w:tcPr>
          <w:p w14:paraId="08D6DF75" w14:textId="7439509D"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8</w:t>
            </w:r>
            <w:r w:rsidR="00FE01B8" w:rsidRPr="005B30A9">
              <w:rPr>
                <w:sz w:val="18"/>
              </w:rPr>
              <w:t xml:space="preserve"> </w:t>
            </w:r>
            <w:r w:rsidRPr="005B30A9">
              <w:rPr>
                <w:sz w:val="18"/>
              </w:rPr>
              <w:t>932</w:t>
            </w:r>
          </w:p>
        </w:tc>
        <w:tc>
          <w:tcPr>
            <w:tcW w:w="1394" w:type="dxa"/>
            <w:shd w:val="clear" w:color="auto" w:fill="auto"/>
            <w:vAlign w:val="bottom"/>
          </w:tcPr>
          <w:p w14:paraId="36474ABF" w14:textId="4FCA9ADC"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58,8</w:t>
            </w:r>
          </w:p>
        </w:tc>
      </w:tr>
      <w:tr w:rsidR="00FE01B8" w:rsidRPr="005B30A9" w14:paraId="0354D9ED" w14:textId="77777777" w:rsidTr="00FE01B8">
        <w:trPr>
          <w:trHeight w:val="240"/>
        </w:trPr>
        <w:tc>
          <w:tcPr>
            <w:tcW w:w="2694" w:type="dxa"/>
            <w:shd w:val="clear" w:color="auto" w:fill="auto"/>
          </w:tcPr>
          <w:p w14:paraId="12B83FC9" w14:textId="77777777" w:rsidR="009612CC" w:rsidRPr="005B30A9"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Banca y seguros</w:t>
            </w:r>
          </w:p>
        </w:tc>
        <w:tc>
          <w:tcPr>
            <w:tcW w:w="915" w:type="dxa"/>
            <w:shd w:val="clear" w:color="auto" w:fill="auto"/>
            <w:vAlign w:val="bottom"/>
          </w:tcPr>
          <w:p w14:paraId="4173BE56" w14:textId="258304C1"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1</w:t>
            </w:r>
            <w:r w:rsidR="00FE01B8" w:rsidRPr="005B30A9">
              <w:rPr>
                <w:sz w:val="18"/>
              </w:rPr>
              <w:t xml:space="preserve"> </w:t>
            </w:r>
            <w:r w:rsidRPr="005B30A9">
              <w:rPr>
                <w:sz w:val="18"/>
              </w:rPr>
              <w:t>218</w:t>
            </w:r>
          </w:p>
        </w:tc>
        <w:tc>
          <w:tcPr>
            <w:tcW w:w="1246" w:type="dxa"/>
            <w:shd w:val="clear" w:color="auto" w:fill="auto"/>
            <w:vAlign w:val="bottom"/>
          </w:tcPr>
          <w:p w14:paraId="1059CB8D" w14:textId="77777777"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541</w:t>
            </w:r>
          </w:p>
        </w:tc>
        <w:tc>
          <w:tcPr>
            <w:tcW w:w="1121" w:type="dxa"/>
            <w:shd w:val="clear" w:color="auto" w:fill="auto"/>
            <w:vAlign w:val="bottom"/>
          </w:tcPr>
          <w:p w14:paraId="5FE29FAF" w14:textId="77777777"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677</w:t>
            </w:r>
          </w:p>
        </w:tc>
        <w:tc>
          <w:tcPr>
            <w:tcW w:w="1394" w:type="dxa"/>
            <w:shd w:val="clear" w:color="auto" w:fill="auto"/>
            <w:vAlign w:val="bottom"/>
          </w:tcPr>
          <w:p w14:paraId="1414F703" w14:textId="2AA3BF7E"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55,6</w:t>
            </w:r>
          </w:p>
        </w:tc>
      </w:tr>
      <w:tr w:rsidR="00FE01B8" w:rsidRPr="005B30A9" w14:paraId="1CF77DFA" w14:textId="77777777" w:rsidTr="00FE01B8">
        <w:trPr>
          <w:trHeight w:val="240"/>
        </w:trPr>
        <w:tc>
          <w:tcPr>
            <w:tcW w:w="2694" w:type="dxa"/>
            <w:shd w:val="clear" w:color="auto" w:fill="auto"/>
          </w:tcPr>
          <w:p w14:paraId="69391689" w14:textId="77777777" w:rsidR="009612CC" w:rsidRPr="005B30A9"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Transporte en general y de cargas</w:t>
            </w:r>
          </w:p>
        </w:tc>
        <w:tc>
          <w:tcPr>
            <w:tcW w:w="915" w:type="dxa"/>
            <w:shd w:val="clear" w:color="auto" w:fill="auto"/>
            <w:vAlign w:val="bottom"/>
          </w:tcPr>
          <w:p w14:paraId="4E2283E0" w14:textId="5118B4BE"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2</w:t>
            </w:r>
            <w:r w:rsidR="00FE01B8" w:rsidRPr="005B30A9">
              <w:rPr>
                <w:sz w:val="18"/>
              </w:rPr>
              <w:t xml:space="preserve"> </w:t>
            </w:r>
            <w:r w:rsidRPr="005B30A9">
              <w:rPr>
                <w:sz w:val="18"/>
              </w:rPr>
              <w:t>856</w:t>
            </w:r>
          </w:p>
        </w:tc>
        <w:tc>
          <w:tcPr>
            <w:tcW w:w="1246" w:type="dxa"/>
            <w:shd w:val="clear" w:color="auto" w:fill="auto"/>
            <w:vAlign w:val="bottom"/>
          </w:tcPr>
          <w:p w14:paraId="1D2A0DC1" w14:textId="50BA2D0D"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2</w:t>
            </w:r>
            <w:r w:rsidR="00FE01B8" w:rsidRPr="005B30A9">
              <w:rPr>
                <w:sz w:val="18"/>
              </w:rPr>
              <w:t xml:space="preserve"> </w:t>
            </w:r>
            <w:r w:rsidRPr="005B30A9">
              <w:rPr>
                <w:sz w:val="18"/>
              </w:rPr>
              <w:t>085</w:t>
            </w:r>
          </w:p>
        </w:tc>
        <w:tc>
          <w:tcPr>
            <w:tcW w:w="1121" w:type="dxa"/>
            <w:shd w:val="clear" w:color="auto" w:fill="auto"/>
            <w:vAlign w:val="bottom"/>
          </w:tcPr>
          <w:p w14:paraId="715E75BC" w14:textId="77777777"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771</w:t>
            </w:r>
          </w:p>
        </w:tc>
        <w:tc>
          <w:tcPr>
            <w:tcW w:w="1394" w:type="dxa"/>
            <w:shd w:val="clear" w:color="auto" w:fill="auto"/>
            <w:vAlign w:val="bottom"/>
          </w:tcPr>
          <w:p w14:paraId="4FD79838" w14:textId="66F608E2"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27,0</w:t>
            </w:r>
          </w:p>
        </w:tc>
      </w:tr>
      <w:tr w:rsidR="00FE01B8" w:rsidRPr="005B30A9" w14:paraId="6ADCD2E6" w14:textId="77777777" w:rsidTr="00FE01B8">
        <w:trPr>
          <w:trHeight w:val="240"/>
        </w:trPr>
        <w:tc>
          <w:tcPr>
            <w:tcW w:w="2694" w:type="dxa"/>
            <w:shd w:val="clear" w:color="auto" w:fill="auto"/>
          </w:tcPr>
          <w:p w14:paraId="5DA8AD4B" w14:textId="77777777" w:rsidR="009612CC" w:rsidRPr="005B30A9"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Turismo y ocio</w:t>
            </w:r>
          </w:p>
        </w:tc>
        <w:tc>
          <w:tcPr>
            <w:tcW w:w="915" w:type="dxa"/>
            <w:shd w:val="clear" w:color="auto" w:fill="auto"/>
            <w:vAlign w:val="bottom"/>
          </w:tcPr>
          <w:p w14:paraId="2B0D0F68" w14:textId="0B8CA757"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6</w:t>
            </w:r>
            <w:r w:rsidR="00FE01B8" w:rsidRPr="005B30A9">
              <w:rPr>
                <w:sz w:val="18"/>
              </w:rPr>
              <w:t xml:space="preserve"> </w:t>
            </w:r>
            <w:r w:rsidRPr="005B30A9">
              <w:rPr>
                <w:sz w:val="18"/>
              </w:rPr>
              <w:t>949</w:t>
            </w:r>
          </w:p>
        </w:tc>
        <w:tc>
          <w:tcPr>
            <w:tcW w:w="1246" w:type="dxa"/>
            <w:shd w:val="clear" w:color="auto" w:fill="auto"/>
            <w:vAlign w:val="bottom"/>
          </w:tcPr>
          <w:p w14:paraId="2F14D79B" w14:textId="47235FF2"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3</w:t>
            </w:r>
            <w:r w:rsidR="00FE01B8" w:rsidRPr="005B30A9">
              <w:rPr>
                <w:sz w:val="18"/>
              </w:rPr>
              <w:t xml:space="preserve"> </w:t>
            </w:r>
            <w:r w:rsidRPr="005B30A9">
              <w:rPr>
                <w:sz w:val="18"/>
              </w:rPr>
              <w:t>325</w:t>
            </w:r>
          </w:p>
        </w:tc>
        <w:tc>
          <w:tcPr>
            <w:tcW w:w="1121" w:type="dxa"/>
            <w:shd w:val="clear" w:color="auto" w:fill="auto"/>
            <w:vAlign w:val="bottom"/>
          </w:tcPr>
          <w:p w14:paraId="4DA03272" w14:textId="223D1B00"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3</w:t>
            </w:r>
            <w:r w:rsidR="00FE01B8" w:rsidRPr="005B30A9">
              <w:rPr>
                <w:sz w:val="18"/>
              </w:rPr>
              <w:t xml:space="preserve"> </w:t>
            </w:r>
            <w:r w:rsidRPr="005B30A9">
              <w:rPr>
                <w:sz w:val="18"/>
              </w:rPr>
              <w:t>624</w:t>
            </w:r>
          </w:p>
        </w:tc>
        <w:tc>
          <w:tcPr>
            <w:tcW w:w="1394" w:type="dxa"/>
            <w:shd w:val="clear" w:color="auto" w:fill="auto"/>
            <w:vAlign w:val="bottom"/>
          </w:tcPr>
          <w:p w14:paraId="15BC10CA" w14:textId="07BFA437"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52,2</w:t>
            </w:r>
          </w:p>
        </w:tc>
      </w:tr>
      <w:tr w:rsidR="00FE01B8" w:rsidRPr="005B30A9" w14:paraId="15BE05E5" w14:textId="77777777" w:rsidTr="00FE01B8">
        <w:trPr>
          <w:trHeight w:val="240"/>
        </w:trPr>
        <w:tc>
          <w:tcPr>
            <w:tcW w:w="2694" w:type="dxa"/>
            <w:shd w:val="clear" w:color="auto" w:fill="auto"/>
          </w:tcPr>
          <w:p w14:paraId="3493A044" w14:textId="77777777" w:rsidR="009612CC" w:rsidRPr="005B30A9"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Información y consultoría</w:t>
            </w:r>
          </w:p>
        </w:tc>
        <w:tc>
          <w:tcPr>
            <w:tcW w:w="915" w:type="dxa"/>
            <w:shd w:val="clear" w:color="auto" w:fill="auto"/>
            <w:vAlign w:val="bottom"/>
          </w:tcPr>
          <w:p w14:paraId="1E781AF6" w14:textId="75BE6DE9"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2</w:t>
            </w:r>
            <w:r w:rsidR="00FE01B8" w:rsidRPr="005B30A9">
              <w:rPr>
                <w:sz w:val="18"/>
              </w:rPr>
              <w:t xml:space="preserve"> </w:t>
            </w:r>
            <w:r w:rsidRPr="005B30A9">
              <w:rPr>
                <w:sz w:val="18"/>
              </w:rPr>
              <w:t>764</w:t>
            </w:r>
          </w:p>
        </w:tc>
        <w:tc>
          <w:tcPr>
            <w:tcW w:w="1246" w:type="dxa"/>
            <w:shd w:val="clear" w:color="auto" w:fill="auto"/>
            <w:vAlign w:val="bottom"/>
          </w:tcPr>
          <w:p w14:paraId="00AF0312" w14:textId="73F4D183"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1</w:t>
            </w:r>
            <w:r w:rsidR="00FE01B8" w:rsidRPr="005B30A9">
              <w:rPr>
                <w:sz w:val="18"/>
              </w:rPr>
              <w:t xml:space="preserve"> </w:t>
            </w:r>
            <w:r w:rsidRPr="005B30A9">
              <w:rPr>
                <w:sz w:val="18"/>
              </w:rPr>
              <w:t>684</w:t>
            </w:r>
          </w:p>
        </w:tc>
        <w:tc>
          <w:tcPr>
            <w:tcW w:w="1121" w:type="dxa"/>
            <w:shd w:val="clear" w:color="auto" w:fill="auto"/>
            <w:vAlign w:val="bottom"/>
          </w:tcPr>
          <w:p w14:paraId="551589C0" w14:textId="0285A0B5"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1</w:t>
            </w:r>
            <w:r w:rsidR="00FE01B8" w:rsidRPr="005B30A9">
              <w:rPr>
                <w:sz w:val="18"/>
              </w:rPr>
              <w:t xml:space="preserve"> </w:t>
            </w:r>
            <w:r w:rsidRPr="005B30A9">
              <w:rPr>
                <w:sz w:val="18"/>
              </w:rPr>
              <w:t>080</w:t>
            </w:r>
          </w:p>
        </w:tc>
        <w:tc>
          <w:tcPr>
            <w:tcW w:w="1394" w:type="dxa"/>
            <w:shd w:val="clear" w:color="auto" w:fill="auto"/>
            <w:vAlign w:val="bottom"/>
          </w:tcPr>
          <w:p w14:paraId="36527E24" w14:textId="5E0B8AD9"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39,1</w:t>
            </w:r>
          </w:p>
        </w:tc>
      </w:tr>
      <w:tr w:rsidR="00FE01B8" w:rsidRPr="005B30A9" w14:paraId="41853534" w14:textId="77777777" w:rsidTr="00FE01B8">
        <w:trPr>
          <w:trHeight w:val="240"/>
        </w:trPr>
        <w:tc>
          <w:tcPr>
            <w:tcW w:w="2694" w:type="dxa"/>
            <w:shd w:val="clear" w:color="auto" w:fill="auto"/>
          </w:tcPr>
          <w:p w14:paraId="35F4DB5D" w14:textId="77777777" w:rsidR="009612CC" w:rsidRPr="005B30A9"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 xml:space="preserve">Otros </w:t>
            </w:r>
          </w:p>
        </w:tc>
        <w:tc>
          <w:tcPr>
            <w:tcW w:w="915" w:type="dxa"/>
            <w:shd w:val="clear" w:color="auto" w:fill="auto"/>
            <w:vAlign w:val="bottom"/>
          </w:tcPr>
          <w:p w14:paraId="0D9048F8" w14:textId="63011A95"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9</w:t>
            </w:r>
            <w:r w:rsidR="00FE01B8" w:rsidRPr="005B30A9">
              <w:rPr>
                <w:sz w:val="18"/>
              </w:rPr>
              <w:t xml:space="preserve"> </w:t>
            </w:r>
            <w:r w:rsidRPr="005B30A9">
              <w:rPr>
                <w:sz w:val="18"/>
              </w:rPr>
              <w:t>536</w:t>
            </w:r>
          </w:p>
        </w:tc>
        <w:tc>
          <w:tcPr>
            <w:tcW w:w="1246" w:type="dxa"/>
            <w:shd w:val="clear" w:color="auto" w:fill="auto"/>
            <w:vAlign w:val="bottom"/>
          </w:tcPr>
          <w:p w14:paraId="734BFED3" w14:textId="23602BA1"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3</w:t>
            </w:r>
            <w:r w:rsidR="00FE01B8" w:rsidRPr="005B30A9">
              <w:rPr>
                <w:sz w:val="18"/>
              </w:rPr>
              <w:t xml:space="preserve"> </w:t>
            </w:r>
            <w:r w:rsidRPr="005B30A9">
              <w:rPr>
                <w:sz w:val="18"/>
              </w:rPr>
              <w:t>690</w:t>
            </w:r>
          </w:p>
        </w:tc>
        <w:tc>
          <w:tcPr>
            <w:tcW w:w="1121" w:type="dxa"/>
            <w:shd w:val="clear" w:color="auto" w:fill="auto"/>
            <w:vAlign w:val="bottom"/>
          </w:tcPr>
          <w:p w14:paraId="457BCF5A" w14:textId="4AA97974"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5</w:t>
            </w:r>
            <w:r w:rsidR="00FE01B8" w:rsidRPr="005B30A9">
              <w:rPr>
                <w:sz w:val="18"/>
              </w:rPr>
              <w:t xml:space="preserve"> </w:t>
            </w:r>
            <w:r w:rsidRPr="005B30A9">
              <w:rPr>
                <w:sz w:val="18"/>
              </w:rPr>
              <w:t>846</w:t>
            </w:r>
          </w:p>
        </w:tc>
        <w:tc>
          <w:tcPr>
            <w:tcW w:w="1394" w:type="dxa"/>
            <w:shd w:val="clear" w:color="auto" w:fill="auto"/>
            <w:vAlign w:val="bottom"/>
          </w:tcPr>
          <w:p w14:paraId="39CE7C59" w14:textId="7BDAA1DC"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61,3</w:t>
            </w:r>
          </w:p>
        </w:tc>
      </w:tr>
      <w:tr w:rsidR="00FE01B8" w:rsidRPr="005B30A9" w14:paraId="6F0BDA2D" w14:textId="77777777" w:rsidTr="00FE01B8">
        <w:trPr>
          <w:trHeight w:val="240"/>
        </w:trPr>
        <w:tc>
          <w:tcPr>
            <w:tcW w:w="2694" w:type="dxa"/>
            <w:tcBorders>
              <w:bottom w:val="single" w:sz="4" w:space="0" w:color="auto"/>
            </w:tcBorders>
            <w:shd w:val="clear" w:color="auto" w:fill="auto"/>
          </w:tcPr>
          <w:p w14:paraId="2E56E1AF" w14:textId="77777777" w:rsidR="009612CC" w:rsidRPr="005B30A9" w:rsidRDefault="009612CC" w:rsidP="00FE01B8">
            <w:pPr>
              <w:pStyle w:val="SingleTxtG"/>
              <w:tabs>
                <w:tab w:val="clear" w:pos="1701"/>
                <w:tab w:val="clear" w:pos="2268"/>
                <w:tab w:val="clear" w:pos="2835"/>
              </w:tabs>
              <w:spacing w:before="40" w:after="40" w:line="220" w:lineRule="exact"/>
              <w:ind w:left="0" w:right="0"/>
              <w:jc w:val="left"/>
              <w:rPr>
                <w:bCs/>
                <w:sz w:val="18"/>
              </w:rPr>
            </w:pPr>
            <w:r w:rsidRPr="005B30A9">
              <w:rPr>
                <w:sz w:val="18"/>
              </w:rPr>
              <w:t>Oportunidades de aprendizaje en centros de formación</w:t>
            </w:r>
          </w:p>
        </w:tc>
        <w:tc>
          <w:tcPr>
            <w:tcW w:w="915" w:type="dxa"/>
            <w:tcBorders>
              <w:bottom w:val="single" w:sz="4" w:space="0" w:color="auto"/>
            </w:tcBorders>
            <w:shd w:val="clear" w:color="auto" w:fill="auto"/>
            <w:vAlign w:val="bottom"/>
          </w:tcPr>
          <w:p w14:paraId="561CCF97" w14:textId="7699DBC0"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6</w:t>
            </w:r>
            <w:r w:rsidR="00FE01B8" w:rsidRPr="005B30A9">
              <w:rPr>
                <w:sz w:val="18"/>
              </w:rPr>
              <w:t xml:space="preserve"> </w:t>
            </w:r>
            <w:r w:rsidRPr="005B30A9">
              <w:rPr>
                <w:sz w:val="18"/>
              </w:rPr>
              <w:t>228</w:t>
            </w:r>
          </w:p>
        </w:tc>
        <w:tc>
          <w:tcPr>
            <w:tcW w:w="1246" w:type="dxa"/>
            <w:tcBorders>
              <w:bottom w:val="single" w:sz="4" w:space="0" w:color="auto"/>
            </w:tcBorders>
            <w:shd w:val="clear" w:color="auto" w:fill="auto"/>
            <w:vAlign w:val="bottom"/>
          </w:tcPr>
          <w:p w14:paraId="2A54A59B" w14:textId="43B3CD72"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3</w:t>
            </w:r>
            <w:r w:rsidR="00FE01B8" w:rsidRPr="005B30A9">
              <w:rPr>
                <w:sz w:val="18"/>
              </w:rPr>
              <w:t xml:space="preserve"> </w:t>
            </w:r>
            <w:r w:rsidRPr="005B30A9">
              <w:rPr>
                <w:sz w:val="18"/>
              </w:rPr>
              <w:t>895</w:t>
            </w:r>
          </w:p>
        </w:tc>
        <w:tc>
          <w:tcPr>
            <w:tcW w:w="1121" w:type="dxa"/>
            <w:tcBorders>
              <w:bottom w:val="single" w:sz="4" w:space="0" w:color="auto"/>
            </w:tcBorders>
            <w:shd w:val="clear" w:color="auto" w:fill="auto"/>
            <w:vAlign w:val="bottom"/>
          </w:tcPr>
          <w:p w14:paraId="0C61E54E" w14:textId="3DB95105"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2</w:t>
            </w:r>
            <w:r w:rsidR="00FE01B8" w:rsidRPr="005B30A9">
              <w:rPr>
                <w:sz w:val="18"/>
              </w:rPr>
              <w:t xml:space="preserve"> </w:t>
            </w:r>
            <w:r w:rsidRPr="005B30A9">
              <w:rPr>
                <w:sz w:val="18"/>
              </w:rPr>
              <w:t>333</w:t>
            </w:r>
          </w:p>
        </w:tc>
        <w:tc>
          <w:tcPr>
            <w:tcW w:w="1394" w:type="dxa"/>
            <w:tcBorders>
              <w:bottom w:val="single" w:sz="4" w:space="0" w:color="auto"/>
            </w:tcBorders>
            <w:shd w:val="clear" w:color="auto" w:fill="auto"/>
            <w:vAlign w:val="bottom"/>
          </w:tcPr>
          <w:p w14:paraId="22A6AB71" w14:textId="0D807EDE" w:rsidR="009612CC" w:rsidRPr="005B30A9" w:rsidRDefault="009612CC" w:rsidP="00FE01B8">
            <w:pPr>
              <w:pStyle w:val="SingleTxtG"/>
              <w:tabs>
                <w:tab w:val="clear" w:pos="1701"/>
                <w:tab w:val="clear" w:pos="2268"/>
                <w:tab w:val="clear" w:pos="2835"/>
              </w:tabs>
              <w:spacing w:before="40" w:after="40" w:line="220" w:lineRule="exact"/>
              <w:ind w:left="0" w:right="28"/>
              <w:jc w:val="right"/>
              <w:rPr>
                <w:bCs/>
                <w:sz w:val="18"/>
              </w:rPr>
            </w:pPr>
            <w:r w:rsidRPr="005B30A9">
              <w:rPr>
                <w:sz w:val="18"/>
              </w:rPr>
              <w:t>18,7</w:t>
            </w:r>
          </w:p>
        </w:tc>
      </w:tr>
      <w:tr w:rsidR="00FE01B8" w:rsidRPr="005B30A9" w14:paraId="41323C65" w14:textId="77777777" w:rsidTr="00FE01B8">
        <w:trPr>
          <w:trHeight w:val="240"/>
        </w:trPr>
        <w:tc>
          <w:tcPr>
            <w:tcW w:w="2694" w:type="dxa"/>
            <w:tcBorders>
              <w:top w:val="single" w:sz="4" w:space="0" w:color="auto"/>
              <w:bottom w:val="single" w:sz="12" w:space="0" w:color="auto"/>
            </w:tcBorders>
            <w:shd w:val="clear" w:color="auto" w:fill="auto"/>
          </w:tcPr>
          <w:p w14:paraId="34BDDF2B" w14:textId="77777777" w:rsidR="009612CC" w:rsidRPr="005B30A9" w:rsidRDefault="009612CC" w:rsidP="00FE01B8">
            <w:pPr>
              <w:pStyle w:val="SingleTxtG"/>
              <w:tabs>
                <w:tab w:val="clear" w:pos="1701"/>
                <w:tab w:val="clear" w:pos="2268"/>
                <w:tab w:val="clear" w:pos="2835"/>
              </w:tabs>
              <w:spacing w:before="80" w:after="80" w:line="220" w:lineRule="exact"/>
              <w:ind w:left="283" w:right="0"/>
              <w:jc w:val="left"/>
              <w:rPr>
                <w:b/>
                <w:bCs/>
                <w:sz w:val="18"/>
              </w:rPr>
            </w:pPr>
            <w:r w:rsidRPr="005B30A9">
              <w:rPr>
                <w:b/>
                <w:sz w:val="18"/>
              </w:rPr>
              <w:t>Total</w:t>
            </w:r>
          </w:p>
        </w:tc>
        <w:tc>
          <w:tcPr>
            <w:tcW w:w="915" w:type="dxa"/>
            <w:tcBorders>
              <w:top w:val="single" w:sz="4" w:space="0" w:color="auto"/>
              <w:bottom w:val="single" w:sz="12" w:space="0" w:color="auto"/>
            </w:tcBorders>
            <w:shd w:val="clear" w:color="auto" w:fill="auto"/>
            <w:vAlign w:val="bottom"/>
          </w:tcPr>
          <w:p w14:paraId="732740F8" w14:textId="2C33B485" w:rsidR="009612CC" w:rsidRPr="005B30A9" w:rsidRDefault="009612CC" w:rsidP="00FE01B8">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108</w:t>
            </w:r>
            <w:r w:rsidR="00FE01B8" w:rsidRPr="005B30A9">
              <w:rPr>
                <w:b/>
                <w:bCs/>
                <w:sz w:val="18"/>
              </w:rPr>
              <w:t xml:space="preserve"> </w:t>
            </w:r>
            <w:r w:rsidRPr="005B30A9">
              <w:rPr>
                <w:b/>
                <w:bCs/>
                <w:sz w:val="18"/>
              </w:rPr>
              <w:t>085</w:t>
            </w:r>
          </w:p>
        </w:tc>
        <w:tc>
          <w:tcPr>
            <w:tcW w:w="1246" w:type="dxa"/>
            <w:tcBorders>
              <w:top w:val="single" w:sz="4" w:space="0" w:color="auto"/>
              <w:bottom w:val="single" w:sz="12" w:space="0" w:color="auto"/>
            </w:tcBorders>
            <w:shd w:val="clear" w:color="auto" w:fill="auto"/>
            <w:vAlign w:val="bottom"/>
          </w:tcPr>
          <w:p w14:paraId="43F46DD1" w14:textId="7F9532CC" w:rsidR="009612CC" w:rsidRPr="005B30A9" w:rsidRDefault="009612CC" w:rsidP="00FE01B8">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72</w:t>
            </w:r>
            <w:r w:rsidR="00FE01B8" w:rsidRPr="005B30A9">
              <w:rPr>
                <w:b/>
                <w:bCs/>
                <w:sz w:val="18"/>
              </w:rPr>
              <w:t xml:space="preserve"> </w:t>
            </w:r>
            <w:r w:rsidRPr="005B30A9">
              <w:rPr>
                <w:b/>
                <w:bCs/>
                <w:sz w:val="18"/>
              </w:rPr>
              <w:t>948</w:t>
            </w:r>
          </w:p>
        </w:tc>
        <w:tc>
          <w:tcPr>
            <w:tcW w:w="1121" w:type="dxa"/>
            <w:tcBorders>
              <w:top w:val="single" w:sz="4" w:space="0" w:color="auto"/>
              <w:bottom w:val="single" w:sz="12" w:space="0" w:color="auto"/>
            </w:tcBorders>
            <w:shd w:val="clear" w:color="auto" w:fill="auto"/>
            <w:vAlign w:val="bottom"/>
          </w:tcPr>
          <w:p w14:paraId="1325D15B" w14:textId="0E965E32" w:rsidR="009612CC" w:rsidRPr="005B30A9" w:rsidRDefault="009612CC" w:rsidP="00FE01B8">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35</w:t>
            </w:r>
            <w:r w:rsidR="00FE01B8" w:rsidRPr="005B30A9">
              <w:rPr>
                <w:b/>
                <w:bCs/>
                <w:sz w:val="18"/>
              </w:rPr>
              <w:t xml:space="preserve"> </w:t>
            </w:r>
            <w:r w:rsidRPr="005B30A9">
              <w:rPr>
                <w:b/>
                <w:bCs/>
                <w:sz w:val="18"/>
              </w:rPr>
              <w:t>137</w:t>
            </w:r>
          </w:p>
        </w:tc>
        <w:tc>
          <w:tcPr>
            <w:tcW w:w="1394" w:type="dxa"/>
            <w:tcBorders>
              <w:top w:val="single" w:sz="4" w:space="0" w:color="auto"/>
              <w:bottom w:val="single" w:sz="12" w:space="0" w:color="auto"/>
            </w:tcBorders>
            <w:shd w:val="clear" w:color="auto" w:fill="auto"/>
            <w:vAlign w:val="bottom"/>
          </w:tcPr>
          <w:p w14:paraId="2CDD4F26" w14:textId="158FCD90" w:rsidR="009612CC" w:rsidRPr="005B30A9" w:rsidRDefault="009612CC" w:rsidP="00FE01B8">
            <w:pPr>
              <w:pStyle w:val="SingleTxtG"/>
              <w:tabs>
                <w:tab w:val="clear" w:pos="1701"/>
                <w:tab w:val="clear" w:pos="2268"/>
                <w:tab w:val="clear" w:pos="2835"/>
              </w:tabs>
              <w:spacing w:before="80" w:after="80" w:line="220" w:lineRule="exact"/>
              <w:ind w:left="0" w:right="28"/>
              <w:jc w:val="right"/>
              <w:rPr>
                <w:b/>
                <w:bCs/>
                <w:sz w:val="18"/>
              </w:rPr>
            </w:pPr>
            <w:r w:rsidRPr="005B30A9">
              <w:rPr>
                <w:b/>
                <w:sz w:val="18"/>
              </w:rPr>
              <w:t>32,5</w:t>
            </w:r>
          </w:p>
        </w:tc>
      </w:tr>
    </w:tbl>
    <w:p w14:paraId="06A697E4" w14:textId="2009CB6E" w:rsidR="009612CC" w:rsidRPr="005B30A9" w:rsidRDefault="009612CC" w:rsidP="00FE01B8">
      <w:pPr>
        <w:pStyle w:val="SingleTxtG"/>
        <w:spacing w:before="120"/>
        <w:ind w:firstLine="170"/>
        <w:jc w:val="left"/>
        <w:rPr>
          <w:sz w:val="18"/>
          <w:szCs w:val="18"/>
        </w:rPr>
      </w:pPr>
      <w:r w:rsidRPr="005B30A9">
        <w:rPr>
          <w:i/>
          <w:iCs/>
          <w:sz w:val="18"/>
          <w:szCs w:val="18"/>
        </w:rPr>
        <w:t>Fuente:</w:t>
      </w:r>
      <w:r w:rsidRPr="005B30A9">
        <w:rPr>
          <w:sz w:val="18"/>
          <w:szCs w:val="18"/>
        </w:rPr>
        <w:t xml:space="preserve"> Estadísticas de las WKO sobre aprendizaje</w:t>
      </w:r>
      <w:r w:rsidR="00FE01B8" w:rsidRPr="005B30A9">
        <w:rPr>
          <w:sz w:val="18"/>
          <w:szCs w:val="18"/>
        </w:rPr>
        <w:t>.</w:t>
      </w:r>
    </w:p>
    <w:p w14:paraId="437EF49A" w14:textId="77777777" w:rsidR="00D35568" w:rsidRPr="005B30A9" w:rsidRDefault="00D35568" w:rsidP="00DC6544">
      <w:pPr>
        <w:sectPr w:rsidR="00D35568" w:rsidRPr="005B30A9" w:rsidSect="009612CC">
          <w:headerReference w:type="even" r:id="rId64"/>
          <w:headerReference w:type="default" r:id="rId65"/>
          <w:footerReference w:type="even" r:id="rId66"/>
          <w:footerReference w:type="default" r:id="rId67"/>
          <w:footerReference w:type="first" r:id="rId68"/>
          <w:endnotePr>
            <w:numFmt w:val="decimal"/>
          </w:endnotePr>
          <w:pgSz w:w="11906" w:h="16838" w:code="9"/>
          <w:pgMar w:top="1417" w:right="1134" w:bottom="1134" w:left="1134" w:header="850" w:footer="567" w:gutter="0"/>
          <w:cols w:space="708"/>
          <w:titlePg/>
          <w:docGrid w:linePitch="360"/>
        </w:sectPr>
      </w:pPr>
    </w:p>
    <w:p w14:paraId="3304361F" w14:textId="77777777" w:rsidR="00D35568" w:rsidRPr="005B30A9" w:rsidRDefault="00D35568" w:rsidP="00D35568">
      <w:pPr>
        <w:pStyle w:val="Table1G"/>
        <w:ind w:left="0"/>
      </w:pPr>
      <w:r w:rsidRPr="005B30A9">
        <w:lastRenderedPageBreak/>
        <w:t>Cuadro 26</w:t>
      </w:r>
    </w:p>
    <w:p w14:paraId="3373C85A" w14:textId="2322FAD8" w:rsidR="00381C24" w:rsidRPr="005B30A9" w:rsidRDefault="00D35568" w:rsidP="00D56130">
      <w:pPr>
        <w:spacing w:after="120"/>
        <w:rPr>
          <w:b/>
          <w:bCs/>
        </w:rPr>
      </w:pPr>
      <w:r w:rsidRPr="005B30A9">
        <w:rPr>
          <w:b/>
          <w:bCs/>
        </w:rPr>
        <w:t>Variaciones en la proporción de mujeres aprendices en grupos de aprendizaje técnico, 2005</w:t>
      </w:r>
      <w:r w:rsidR="00616FCD">
        <w:rPr>
          <w:b/>
          <w:bCs/>
        </w:rPr>
        <w:t>-</w:t>
      </w:r>
      <w:r w:rsidRPr="005B30A9">
        <w:rPr>
          <w:b/>
          <w:bCs/>
        </w:rPr>
        <w:t>2022</w:t>
      </w:r>
    </w:p>
    <w:tbl>
      <w:tblPr>
        <w:tblW w:w="13776" w:type="dxa"/>
        <w:tblBorders>
          <w:top w:val="single" w:sz="4" w:space="0" w:color="auto"/>
        </w:tblBorders>
        <w:tblLayout w:type="fixed"/>
        <w:tblCellMar>
          <w:left w:w="0" w:type="dxa"/>
          <w:right w:w="0" w:type="dxa"/>
        </w:tblCellMar>
        <w:tblLook w:val="0420" w:firstRow="1" w:lastRow="0" w:firstColumn="0" w:lastColumn="0" w:noHBand="0" w:noVBand="1"/>
      </w:tblPr>
      <w:tblGrid>
        <w:gridCol w:w="3756"/>
        <w:gridCol w:w="1089"/>
        <w:gridCol w:w="1090"/>
        <w:gridCol w:w="1090"/>
        <w:gridCol w:w="1090"/>
        <w:gridCol w:w="1089"/>
        <w:gridCol w:w="1090"/>
        <w:gridCol w:w="1090"/>
        <w:gridCol w:w="1090"/>
        <w:gridCol w:w="1302"/>
      </w:tblGrid>
      <w:tr w:rsidR="00D56130" w:rsidRPr="005B30A9" w14:paraId="409A9EA0" w14:textId="77777777" w:rsidTr="00616FCD">
        <w:trPr>
          <w:trHeight w:val="240"/>
          <w:tblHeader/>
        </w:trPr>
        <w:tc>
          <w:tcPr>
            <w:tcW w:w="3756" w:type="dxa"/>
            <w:tcBorders>
              <w:top w:val="single" w:sz="4" w:space="0" w:color="auto"/>
              <w:bottom w:val="single" w:sz="12" w:space="0" w:color="auto"/>
            </w:tcBorders>
            <w:shd w:val="clear" w:color="auto" w:fill="auto"/>
            <w:noWrap/>
            <w:vAlign w:val="bottom"/>
          </w:tcPr>
          <w:p w14:paraId="0FA1ACBA" w14:textId="77777777" w:rsidR="00D35568" w:rsidRPr="005B30A9" w:rsidRDefault="00D35568" w:rsidP="00616FCD">
            <w:pPr>
              <w:spacing w:before="80" w:after="80" w:line="200" w:lineRule="exact"/>
              <w:rPr>
                <w:rFonts w:eastAsiaTheme="minorHAnsi"/>
                <w:i/>
                <w:sz w:val="16"/>
              </w:rPr>
            </w:pPr>
            <w:r w:rsidRPr="005B30A9">
              <w:rPr>
                <w:i/>
                <w:iCs/>
                <w:sz w:val="16"/>
              </w:rPr>
              <w:t>Sector</w:t>
            </w:r>
          </w:p>
        </w:tc>
        <w:tc>
          <w:tcPr>
            <w:tcW w:w="1089" w:type="dxa"/>
            <w:tcBorders>
              <w:top w:val="single" w:sz="4" w:space="0" w:color="auto"/>
              <w:bottom w:val="single" w:sz="12" w:space="0" w:color="auto"/>
            </w:tcBorders>
            <w:shd w:val="clear" w:color="auto" w:fill="auto"/>
            <w:noWrap/>
            <w:vAlign w:val="bottom"/>
            <w:hideMark/>
          </w:tcPr>
          <w:p w14:paraId="486C2573" w14:textId="77777777" w:rsidR="00D35568" w:rsidRPr="005B30A9" w:rsidRDefault="00D35568" w:rsidP="00616FCD">
            <w:pPr>
              <w:spacing w:before="80" w:after="80" w:line="200" w:lineRule="exact"/>
              <w:ind w:right="28"/>
              <w:jc w:val="right"/>
              <w:rPr>
                <w:rFonts w:eastAsiaTheme="minorHAnsi"/>
                <w:i/>
                <w:sz w:val="16"/>
              </w:rPr>
            </w:pPr>
            <w:r w:rsidRPr="005B30A9">
              <w:rPr>
                <w:i/>
                <w:iCs/>
                <w:sz w:val="16"/>
              </w:rPr>
              <w:t>2005</w:t>
            </w:r>
          </w:p>
        </w:tc>
        <w:tc>
          <w:tcPr>
            <w:tcW w:w="1090" w:type="dxa"/>
            <w:tcBorders>
              <w:top w:val="single" w:sz="4" w:space="0" w:color="auto"/>
              <w:bottom w:val="single" w:sz="12" w:space="0" w:color="auto"/>
            </w:tcBorders>
            <w:shd w:val="clear" w:color="auto" w:fill="auto"/>
            <w:noWrap/>
            <w:vAlign w:val="bottom"/>
            <w:hideMark/>
          </w:tcPr>
          <w:p w14:paraId="77E58A5C" w14:textId="77777777" w:rsidR="00D35568" w:rsidRPr="005B30A9" w:rsidRDefault="00D35568" w:rsidP="00616FCD">
            <w:pPr>
              <w:spacing w:before="80" w:after="80" w:line="200" w:lineRule="exact"/>
              <w:ind w:right="28"/>
              <w:jc w:val="right"/>
              <w:rPr>
                <w:rFonts w:eastAsiaTheme="minorHAnsi"/>
                <w:i/>
                <w:sz w:val="16"/>
              </w:rPr>
            </w:pPr>
            <w:r w:rsidRPr="005B30A9">
              <w:rPr>
                <w:i/>
                <w:iCs/>
                <w:sz w:val="16"/>
              </w:rPr>
              <w:t>2010</w:t>
            </w:r>
          </w:p>
        </w:tc>
        <w:tc>
          <w:tcPr>
            <w:tcW w:w="1090" w:type="dxa"/>
            <w:tcBorders>
              <w:top w:val="single" w:sz="4" w:space="0" w:color="auto"/>
              <w:bottom w:val="single" w:sz="12" w:space="0" w:color="auto"/>
            </w:tcBorders>
            <w:shd w:val="clear" w:color="auto" w:fill="auto"/>
            <w:noWrap/>
            <w:vAlign w:val="bottom"/>
            <w:hideMark/>
          </w:tcPr>
          <w:p w14:paraId="3BF9E69B" w14:textId="77777777" w:rsidR="00D35568" w:rsidRPr="005B30A9" w:rsidRDefault="00D35568" w:rsidP="00616FCD">
            <w:pPr>
              <w:spacing w:before="80" w:after="80" w:line="200" w:lineRule="exact"/>
              <w:ind w:right="28"/>
              <w:jc w:val="right"/>
              <w:rPr>
                <w:rFonts w:eastAsiaTheme="minorHAnsi"/>
                <w:i/>
                <w:sz w:val="16"/>
              </w:rPr>
            </w:pPr>
            <w:r w:rsidRPr="005B30A9">
              <w:rPr>
                <w:i/>
                <w:iCs/>
                <w:sz w:val="16"/>
              </w:rPr>
              <w:t>2015</w:t>
            </w:r>
          </w:p>
        </w:tc>
        <w:tc>
          <w:tcPr>
            <w:tcW w:w="1090" w:type="dxa"/>
            <w:tcBorders>
              <w:top w:val="single" w:sz="4" w:space="0" w:color="auto"/>
              <w:bottom w:val="single" w:sz="12" w:space="0" w:color="auto"/>
            </w:tcBorders>
            <w:shd w:val="clear" w:color="auto" w:fill="auto"/>
            <w:noWrap/>
            <w:vAlign w:val="bottom"/>
            <w:hideMark/>
          </w:tcPr>
          <w:p w14:paraId="7D109375" w14:textId="77777777" w:rsidR="00D35568" w:rsidRPr="005B30A9" w:rsidRDefault="00D35568" w:rsidP="00616FCD">
            <w:pPr>
              <w:spacing w:before="80" w:after="80" w:line="200" w:lineRule="exact"/>
              <w:ind w:right="28"/>
              <w:jc w:val="right"/>
              <w:rPr>
                <w:rFonts w:eastAsiaTheme="minorHAnsi"/>
                <w:i/>
                <w:sz w:val="16"/>
              </w:rPr>
            </w:pPr>
            <w:r w:rsidRPr="005B30A9">
              <w:rPr>
                <w:i/>
                <w:iCs/>
                <w:sz w:val="16"/>
              </w:rPr>
              <w:t>2018</w:t>
            </w:r>
          </w:p>
        </w:tc>
        <w:tc>
          <w:tcPr>
            <w:tcW w:w="1089" w:type="dxa"/>
            <w:tcBorders>
              <w:top w:val="single" w:sz="4" w:space="0" w:color="auto"/>
              <w:bottom w:val="single" w:sz="12" w:space="0" w:color="auto"/>
            </w:tcBorders>
            <w:shd w:val="clear" w:color="auto" w:fill="auto"/>
            <w:noWrap/>
            <w:vAlign w:val="bottom"/>
            <w:hideMark/>
          </w:tcPr>
          <w:p w14:paraId="7FF5F6D2" w14:textId="77777777" w:rsidR="00D35568" w:rsidRPr="005B30A9" w:rsidRDefault="00D35568" w:rsidP="00616FCD">
            <w:pPr>
              <w:spacing w:before="80" w:after="80" w:line="200" w:lineRule="exact"/>
              <w:ind w:right="28"/>
              <w:jc w:val="right"/>
              <w:rPr>
                <w:rFonts w:eastAsiaTheme="minorHAnsi"/>
                <w:i/>
                <w:sz w:val="16"/>
              </w:rPr>
            </w:pPr>
            <w:r w:rsidRPr="005B30A9">
              <w:rPr>
                <w:i/>
                <w:iCs/>
                <w:sz w:val="16"/>
              </w:rPr>
              <w:t>2019</w:t>
            </w:r>
          </w:p>
        </w:tc>
        <w:tc>
          <w:tcPr>
            <w:tcW w:w="1090" w:type="dxa"/>
            <w:tcBorders>
              <w:top w:val="single" w:sz="4" w:space="0" w:color="auto"/>
              <w:bottom w:val="single" w:sz="12" w:space="0" w:color="auto"/>
            </w:tcBorders>
            <w:shd w:val="clear" w:color="auto" w:fill="auto"/>
            <w:noWrap/>
            <w:vAlign w:val="bottom"/>
            <w:hideMark/>
          </w:tcPr>
          <w:p w14:paraId="1A0AD84B" w14:textId="77777777" w:rsidR="00D35568" w:rsidRPr="005B30A9" w:rsidRDefault="00D35568" w:rsidP="00616FCD">
            <w:pPr>
              <w:spacing w:before="80" w:after="80" w:line="200" w:lineRule="exact"/>
              <w:ind w:right="28"/>
              <w:jc w:val="right"/>
              <w:rPr>
                <w:rFonts w:eastAsiaTheme="minorHAnsi"/>
                <w:i/>
                <w:sz w:val="16"/>
              </w:rPr>
            </w:pPr>
            <w:r w:rsidRPr="005B30A9">
              <w:rPr>
                <w:i/>
                <w:iCs/>
                <w:sz w:val="16"/>
              </w:rPr>
              <w:t>2020</w:t>
            </w:r>
          </w:p>
        </w:tc>
        <w:tc>
          <w:tcPr>
            <w:tcW w:w="1090" w:type="dxa"/>
            <w:tcBorders>
              <w:top w:val="single" w:sz="4" w:space="0" w:color="auto"/>
              <w:bottom w:val="single" w:sz="12" w:space="0" w:color="auto"/>
            </w:tcBorders>
            <w:shd w:val="clear" w:color="auto" w:fill="auto"/>
            <w:vAlign w:val="bottom"/>
          </w:tcPr>
          <w:p w14:paraId="2D186E6B" w14:textId="77777777" w:rsidR="00D35568" w:rsidRPr="005B30A9" w:rsidRDefault="00D35568" w:rsidP="00616FCD">
            <w:pPr>
              <w:spacing w:before="80" w:after="80" w:line="200" w:lineRule="exact"/>
              <w:ind w:right="28"/>
              <w:jc w:val="right"/>
              <w:rPr>
                <w:rFonts w:eastAsiaTheme="minorHAnsi"/>
                <w:i/>
                <w:sz w:val="16"/>
              </w:rPr>
            </w:pPr>
            <w:r w:rsidRPr="005B30A9">
              <w:rPr>
                <w:i/>
                <w:iCs/>
                <w:sz w:val="16"/>
              </w:rPr>
              <w:t>2021</w:t>
            </w:r>
          </w:p>
        </w:tc>
        <w:tc>
          <w:tcPr>
            <w:tcW w:w="1090" w:type="dxa"/>
            <w:tcBorders>
              <w:top w:val="single" w:sz="4" w:space="0" w:color="auto"/>
              <w:bottom w:val="single" w:sz="12" w:space="0" w:color="auto"/>
            </w:tcBorders>
            <w:shd w:val="clear" w:color="auto" w:fill="auto"/>
            <w:noWrap/>
            <w:vAlign w:val="bottom"/>
            <w:hideMark/>
          </w:tcPr>
          <w:p w14:paraId="1D50C90D" w14:textId="77777777" w:rsidR="00D35568" w:rsidRPr="005B30A9" w:rsidRDefault="00D35568" w:rsidP="00616FCD">
            <w:pPr>
              <w:spacing w:before="80" w:after="80" w:line="200" w:lineRule="exact"/>
              <w:ind w:right="28"/>
              <w:jc w:val="right"/>
              <w:rPr>
                <w:rFonts w:eastAsiaTheme="minorHAnsi"/>
                <w:i/>
                <w:sz w:val="16"/>
              </w:rPr>
            </w:pPr>
            <w:r w:rsidRPr="005B30A9">
              <w:rPr>
                <w:i/>
                <w:iCs/>
                <w:sz w:val="16"/>
              </w:rPr>
              <w:t>2022</w:t>
            </w:r>
          </w:p>
        </w:tc>
        <w:tc>
          <w:tcPr>
            <w:tcW w:w="1302" w:type="dxa"/>
            <w:tcBorders>
              <w:top w:val="single" w:sz="4" w:space="0" w:color="auto"/>
              <w:bottom w:val="single" w:sz="12" w:space="0" w:color="auto"/>
            </w:tcBorders>
            <w:shd w:val="clear" w:color="auto" w:fill="auto"/>
            <w:vAlign w:val="bottom"/>
          </w:tcPr>
          <w:p w14:paraId="3F3DCAD2" w14:textId="45C656CF" w:rsidR="00D35568" w:rsidRPr="005B30A9" w:rsidRDefault="00D35568" w:rsidP="00616FCD">
            <w:pPr>
              <w:spacing w:before="80" w:after="80" w:line="200" w:lineRule="exact"/>
              <w:ind w:right="28"/>
              <w:jc w:val="right"/>
              <w:rPr>
                <w:rFonts w:eastAsiaTheme="minorHAnsi"/>
                <w:i/>
                <w:sz w:val="16"/>
              </w:rPr>
            </w:pPr>
            <w:r w:rsidRPr="005B30A9">
              <w:rPr>
                <w:i/>
                <w:iCs/>
                <w:sz w:val="16"/>
              </w:rPr>
              <w:t>Variación anual</w:t>
            </w:r>
            <w:r w:rsidR="00D56130" w:rsidRPr="005B30A9">
              <w:rPr>
                <w:i/>
                <w:iCs/>
                <w:sz w:val="16"/>
              </w:rPr>
              <w:br/>
              <w:t>(en porcentaje)</w:t>
            </w:r>
          </w:p>
        </w:tc>
      </w:tr>
      <w:tr w:rsidR="00D56130" w:rsidRPr="005B30A9" w14:paraId="7BC103CD" w14:textId="77777777" w:rsidTr="00616FCD">
        <w:trPr>
          <w:trHeight w:val="240"/>
        </w:trPr>
        <w:tc>
          <w:tcPr>
            <w:tcW w:w="3756" w:type="dxa"/>
            <w:tcBorders>
              <w:top w:val="single" w:sz="12" w:space="0" w:color="auto"/>
            </w:tcBorders>
            <w:shd w:val="clear" w:color="auto" w:fill="auto"/>
            <w:noWrap/>
            <w:hideMark/>
          </w:tcPr>
          <w:p w14:paraId="06C42CC8" w14:textId="77777777" w:rsidR="00D35568" w:rsidRPr="005B30A9" w:rsidRDefault="00D35568" w:rsidP="00D56130">
            <w:pPr>
              <w:spacing w:before="40" w:after="40" w:line="220" w:lineRule="exact"/>
              <w:rPr>
                <w:rFonts w:eastAsiaTheme="minorHAnsi"/>
                <w:sz w:val="18"/>
              </w:rPr>
            </w:pPr>
            <w:r w:rsidRPr="005B30A9">
              <w:rPr>
                <w:sz w:val="18"/>
              </w:rPr>
              <w:t>Construcción/arquitectura/tecnología de la edificación</w:t>
            </w:r>
          </w:p>
        </w:tc>
        <w:tc>
          <w:tcPr>
            <w:tcW w:w="1089" w:type="dxa"/>
            <w:tcBorders>
              <w:top w:val="single" w:sz="12" w:space="0" w:color="auto"/>
            </w:tcBorders>
            <w:shd w:val="clear" w:color="auto" w:fill="auto"/>
            <w:noWrap/>
            <w:vAlign w:val="bottom"/>
            <w:hideMark/>
          </w:tcPr>
          <w:p w14:paraId="2EF6A12A" w14:textId="77777777" w:rsidR="00D35568" w:rsidRPr="005B30A9" w:rsidRDefault="00D35568" w:rsidP="00616FCD">
            <w:pPr>
              <w:spacing w:before="40" w:after="40" w:line="220" w:lineRule="exact"/>
              <w:ind w:right="28"/>
              <w:jc w:val="right"/>
              <w:rPr>
                <w:rFonts w:eastAsiaTheme="minorHAnsi"/>
                <w:sz w:val="18"/>
              </w:rPr>
            </w:pPr>
            <w:r w:rsidRPr="005B30A9">
              <w:rPr>
                <w:sz w:val="18"/>
              </w:rPr>
              <w:t>657</w:t>
            </w:r>
          </w:p>
        </w:tc>
        <w:tc>
          <w:tcPr>
            <w:tcW w:w="1090" w:type="dxa"/>
            <w:tcBorders>
              <w:top w:val="single" w:sz="12" w:space="0" w:color="auto"/>
            </w:tcBorders>
            <w:shd w:val="clear" w:color="auto" w:fill="auto"/>
            <w:noWrap/>
            <w:vAlign w:val="bottom"/>
            <w:hideMark/>
          </w:tcPr>
          <w:p w14:paraId="46919E0D" w14:textId="77777777" w:rsidR="00D35568" w:rsidRPr="005B30A9" w:rsidRDefault="00D35568" w:rsidP="00616FCD">
            <w:pPr>
              <w:spacing w:before="40" w:after="40" w:line="220" w:lineRule="exact"/>
              <w:ind w:right="28"/>
              <w:jc w:val="right"/>
              <w:rPr>
                <w:rFonts w:eastAsiaTheme="minorHAnsi"/>
                <w:sz w:val="18"/>
              </w:rPr>
            </w:pPr>
            <w:r w:rsidRPr="005B30A9">
              <w:rPr>
                <w:sz w:val="18"/>
              </w:rPr>
              <w:t>998</w:t>
            </w:r>
          </w:p>
        </w:tc>
        <w:tc>
          <w:tcPr>
            <w:tcW w:w="1090" w:type="dxa"/>
            <w:tcBorders>
              <w:top w:val="single" w:sz="12" w:space="0" w:color="auto"/>
            </w:tcBorders>
            <w:shd w:val="clear" w:color="auto" w:fill="auto"/>
            <w:noWrap/>
            <w:vAlign w:val="bottom"/>
            <w:hideMark/>
          </w:tcPr>
          <w:p w14:paraId="5B6931BC" w14:textId="77777777" w:rsidR="00D35568" w:rsidRPr="005B30A9" w:rsidRDefault="00D35568" w:rsidP="00616FCD">
            <w:pPr>
              <w:spacing w:before="40" w:after="40" w:line="220" w:lineRule="exact"/>
              <w:ind w:right="28"/>
              <w:jc w:val="right"/>
              <w:rPr>
                <w:rFonts w:eastAsiaTheme="minorHAnsi"/>
                <w:sz w:val="18"/>
              </w:rPr>
            </w:pPr>
            <w:r w:rsidRPr="005B30A9">
              <w:rPr>
                <w:sz w:val="18"/>
              </w:rPr>
              <w:t>868</w:t>
            </w:r>
          </w:p>
        </w:tc>
        <w:tc>
          <w:tcPr>
            <w:tcW w:w="1090" w:type="dxa"/>
            <w:tcBorders>
              <w:top w:val="single" w:sz="12" w:space="0" w:color="auto"/>
            </w:tcBorders>
            <w:shd w:val="clear" w:color="auto" w:fill="auto"/>
            <w:noWrap/>
            <w:vAlign w:val="bottom"/>
            <w:hideMark/>
          </w:tcPr>
          <w:p w14:paraId="6DA5F168" w14:textId="77777777" w:rsidR="00D35568" w:rsidRPr="005B30A9" w:rsidRDefault="00D35568" w:rsidP="00616FCD">
            <w:pPr>
              <w:spacing w:before="40" w:after="40" w:line="220" w:lineRule="exact"/>
              <w:ind w:right="28"/>
              <w:jc w:val="right"/>
              <w:rPr>
                <w:rFonts w:eastAsiaTheme="minorHAnsi"/>
                <w:sz w:val="18"/>
              </w:rPr>
            </w:pPr>
            <w:r w:rsidRPr="005B30A9">
              <w:rPr>
                <w:sz w:val="18"/>
              </w:rPr>
              <w:t>988</w:t>
            </w:r>
          </w:p>
        </w:tc>
        <w:tc>
          <w:tcPr>
            <w:tcW w:w="1089" w:type="dxa"/>
            <w:tcBorders>
              <w:top w:val="single" w:sz="12" w:space="0" w:color="auto"/>
            </w:tcBorders>
            <w:shd w:val="clear" w:color="auto" w:fill="auto"/>
            <w:noWrap/>
            <w:vAlign w:val="bottom"/>
            <w:hideMark/>
          </w:tcPr>
          <w:p w14:paraId="122B0324" w14:textId="669F5F61" w:rsidR="00D35568" w:rsidRPr="005B30A9" w:rsidRDefault="00D35568" w:rsidP="00616FCD">
            <w:pPr>
              <w:spacing w:before="40" w:after="40" w:line="220" w:lineRule="exact"/>
              <w:ind w:right="28"/>
              <w:jc w:val="right"/>
              <w:rPr>
                <w:rFonts w:eastAsiaTheme="minorHAnsi"/>
                <w:sz w:val="18"/>
              </w:rPr>
            </w:pPr>
            <w:r w:rsidRPr="005B30A9">
              <w:rPr>
                <w:sz w:val="18"/>
              </w:rPr>
              <w:t>1</w:t>
            </w:r>
            <w:r w:rsidR="00D56130" w:rsidRPr="005B30A9">
              <w:rPr>
                <w:sz w:val="18"/>
              </w:rPr>
              <w:t xml:space="preserve"> </w:t>
            </w:r>
            <w:r w:rsidRPr="005B30A9">
              <w:rPr>
                <w:sz w:val="18"/>
              </w:rPr>
              <w:t>092</w:t>
            </w:r>
          </w:p>
        </w:tc>
        <w:tc>
          <w:tcPr>
            <w:tcW w:w="1090" w:type="dxa"/>
            <w:tcBorders>
              <w:top w:val="single" w:sz="12" w:space="0" w:color="auto"/>
            </w:tcBorders>
            <w:shd w:val="clear" w:color="auto" w:fill="auto"/>
            <w:noWrap/>
            <w:vAlign w:val="bottom"/>
            <w:hideMark/>
          </w:tcPr>
          <w:p w14:paraId="17244656" w14:textId="25BC539D" w:rsidR="00D35568" w:rsidRPr="005B30A9" w:rsidRDefault="00D35568" w:rsidP="00616FCD">
            <w:pPr>
              <w:spacing w:before="40" w:after="40" w:line="220" w:lineRule="exact"/>
              <w:ind w:right="28"/>
              <w:jc w:val="right"/>
              <w:rPr>
                <w:rFonts w:eastAsiaTheme="minorHAnsi"/>
                <w:sz w:val="18"/>
              </w:rPr>
            </w:pPr>
            <w:r w:rsidRPr="005B30A9">
              <w:rPr>
                <w:sz w:val="18"/>
              </w:rPr>
              <w:t>1</w:t>
            </w:r>
            <w:r w:rsidR="00D56130" w:rsidRPr="005B30A9">
              <w:rPr>
                <w:sz w:val="18"/>
              </w:rPr>
              <w:t xml:space="preserve"> </w:t>
            </w:r>
            <w:r w:rsidRPr="005B30A9">
              <w:rPr>
                <w:sz w:val="18"/>
              </w:rPr>
              <w:t>186</w:t>
            </w:r>
          </w:p>
        </w:tc>
        <w:tc>
          <w:tcPr>
            <w:tcW w:w="1090" w:type="dxa"/>
            <w:tcBorders>
              <w:top w:val="single" w:sz="12" w:space="0" w:color="auto"/>
            </w:tcBorders>
            <w:shd w:val="clear" w:color="auto" w:fill="auto"/>
            <w:vAlign w:val="bottom"/>
          </w:tcPr>
          <w:p w14:paraId="65AB04F1" w14:textId="74CC4DEA" w:rsidR="00D35568" w:rsidRPr="005B30A9" w:rsidRDefault="00D35568" w:rsidP="00616FCD">
            <w:pPr>
              <w:spacing w:before="40" w:after="40" w:line="220" w:lineRule="exact"/>
              <w:ind w:right="28"/>
              <w:jc w:val="right"/>
              <w:rPr>
                <w:rFonts w:eastAsiaTheme="minorHAnsi"/>
                <w:sz w:val="18"/>
              </w:rPr>
            </w:pPr>
            <w:r w:rsidRPr="005B30A9">
              <w:rPr>
                <w:sz w:val="18"/>
              </w:rPr>
              <w:t>1</w:t>
            </w:r>
            <w:r w:rsidR="00D56130" w:rsidRPr="005B30A9">
              <w:rPr>
                <w:sz w:val="18"/>
              </w:rPr>
              <w:t xml:space="preserve"> </w:t>
            </w:r>
            <w:r w:rsidRPr="005B30A9">
              <w:rPr>
                <w:sz w:val="18"/>
              </w:rPr>
              <w:t>208</w:t>
            </w:r>
          </w:p>
        </w:tc>
        <w:tc>
          <w:tcPr>
            <w:tcW w:w="1090" w:type="dxa"/>
            <w:tcBorders>
              <w:top w:val="single" w:sz="12" w:space="0" w:color="auto"/>
            </w:tcBorders>
            <w:shd w:val="clear" w:color="auto" w:fill="auto"/>
            <w:noWrap/>
            <w:vAlign w:val="bottom"/>
            <w:hideMark/>
          </w:tcPr>
          <w:p w14:paraId="6CE97820" w14:textId="19A33355" w:rsidR="00D35568" w:rsidRPr="005B30A9" w:rsidRDefault="00D35568" w:rsidP="00616FCD">
            <w:pPr>
              <w:spacing w:before="40" w:after="40" w:line="220" w:lineRule="exact"/>
              <w:ind w:right="28"/>
              <w:jc w:val="right"/>
              <w:rPr>
                <w:rFonts w:eastAsiaTheme="minorHAnsi"/>
                <w:sz w:val="18"/>
              </w:rPr>
            </w:pPr>
            <w:r w:rsidRPr="005B30A9">
              <w:rPr>
                <w:sz w:val="18"/>
              </w:rPr>
              <w:t>1</w:t>
            </w:r>
            <w:r w:rsidR="00D56130" w:rsidRPr="005B30A9">
              <w:rPr>
                <w:sz w:val="18"/>
              </w:rPr>
              <w:t xml:space="preserve"> </w:t>
            </w:r>
            <w:r w:rsidRPr="005B30A9">
              <w:rPr>
                <w:sz w:val="18"/>
              </w:rPr>
              <w:t>302</w:t>
            </w:r>
          </w:p>
        </w:tc>
        <w:tc>
          <w:tcPr>
            <w:tcW w:w="1302" w:type="dxa"/>
            <w:tcBorders>
              <w:top w:val="single" w:sz="12" w:space="0" w:color="auto"/>
            </w:tcBorders>
            <w:shd w:val="clear" w:color="auto" w:fill="auto"/>
            <w:vAlign w:val="bottom"/>
          </w:tcPr>
          <w:p w14:paraId="53B25704" w14:textId="64FD19BD" w:rsidR="00D35568" w:rsidRPr="005B30A9" w:rsidRDefault="00D35568" w:rsidP="00616FCD">
            <w:pPr>
              <w:spacing w:before="40" w:after="40" w:line="220" w:lineRule="exact"/>
              <w:ind w:right="28"/>
              <w:jc w:val="right"/>
              <w:rPr>
                <w:rFonts w:eastAsiaTheme="minorHAnsi"/>
                <w:sz w:val="18"/>
              </w:rPr>
            </w:pPr>
            <w:r w:rsidRPr="005B30A9">
              <w:rPr>
                <w:sz w:val="18"/>
              </w:rPr>
              <w:t>7,8</w:t>
            </w:r>
          </w:p>
        </w:tc>
      </w:tr>
      <w:tr w:rsidR="00D56130" w:rsidRPr="005B30A9" w14:paraId="763EE5B9" w14:textId="77777777" w:rsidTr="00616FCD">
        <w:trPr>
          <w:trHeight w:val="240"/>
        </w:trPr>
        <w:tc>
          <w:tcPr>
            <w:tcW w:w="3756" w:type="dxa"/>
            <w:shd w:val="clear" w:color="auto" w:fill="auto"/>
            <w:noWrap/>
            <w:hideMark/>
          </w:tcPr>
          <w:p w14:paraId="36BBB706" w14:textId="77777777" w:rsidR="00D35568" w:rsidRPr="005B30A9" w:rsidRDefault="00D35568" w:rsidP="00D56130">
            <w:pPr>
              <w:spacing w:before="40" w:after="40" w:line="220" w:lineRule="exact"/>
              <w:rPr>
                <w:rFonts w:eastAsiaTheme="minorHAnsi"/>
                <w:sz w:val="18"/>
              </w:rPr>
            </w:pPr>
            <w:r w:rsidRPr="005B30A9">
              <w:rPr>
                <w:sz w:val="18"/>
              </w:rPr>
              <w:t>Productos químicos/plásticos</w:t>
            </w:r>
          </w:p>
        </w:tc>
        <w:tc>
          <w:tcPr>
            <w:tcW w:w="1089" w:type="dxa"/>
            <w:shd w:val="clear" w:color="auto" w:fill="auto"/>
            <w:noWrap/>
            <w:vAlign w:val="bottom"/>
            <w:hideMark/>
          </w:tcPr>
          <w:p w14:paraId="5A693C37" w14:textId="77777777" w:rsidR="00D35568" w:rsidRPr="005B30A9" w:rsidRDefault="00D35568" w:rsidP="00616FCD">
            <w:pPr>
              <w:spacing w:before="40" w:after="40" w:line="220" w:lineRule="exact"/>
              <w:ind w:right="28"/>
              <w:jc w:val="right"/>
              <w:rPr>
                <w:rFonts w:eastAsiaTheme="minorHAnsi"/>
                <w:sz w:val="18"/>
              </w:rPr>
            </w:pPr>
            <w:r w:rsidRPr="005B30A9">
              <w:rPr>
                <w:sz w:val="18"/>
              </w:rPr>
              <w:t>343</w:t>
            </w:r>
          </w:p>
        </w:tc>
        <w:tc>
          <w:tcPr>
            <w:tcW w:w="1090" w:type="dxa"/>
            <w:shd w:val="clear" w:color="auto" w:fill="auto"/>
            <w:noWrap/>
            <w:vAlign w:val="bottom"/>
            <w:hideMark/>
          </w:tcPr>
          <w:p w14:paraId="1237FE6C" w14:textId="77777777" w:rsidR="00D35568" w:rsidRPr="005B30A9" w:rsidRDefault="00D35568" w:rsidP="00616FCD">
            <w:pPr>
              <w:spacing w:before="40" w:after="40" w:line="220" w:lineRule="exact"/>
              <w:ind w:right="28"/>
              <w:jc w:val="right"/>
              <w:rPr>
                <w:rFonts w:eastAsiaTheme="minorHAnsi"/>
                <w:sz w:val="18"/>
              </w:rPr>
            </w:pPr>
            <w:r w:rsidRPr="005B30A9">
              <w:rPr>
                <w:sz w:val="18"/>
              </w:rPr>
              <w:t>488</w:t>
            </w:r>
          </w:p>
        </w:tc>
        <w:tc>
          <w:tcPr>
            <w:tcW w:w="1090" w:type="dxa"/>
            <w:shd w:val="clear" w:color="auto" w:fill="auto"/>
            <w:noWrap/>
            <w:vAlign w:val="bottom"/>
            <w:hideMark/>
          </w:tcPr>
          <w:p w14:paraId="0928330E" w14:textId="77777777" w:rsidR="00D35568" w:rsidRPr="005B30A9" w:rsidRDefault="00D35568" w:rsidP="00616FCD">
            <w:pPr>
              <w:spacing w:before="40" w:after="40" w:line="220" w:lineRule="exact"/>
              <w:ind w:right="28"/>
              <w:jc w:val="right"/>
              <w:rPr>
                <w:rFonts w:eastAsiaTheme="minorHAnsi"/>
                <w:sz w:val="18"/>
              </w:rPr>
            </w:pPr>
            <w:r w:rsidRPr="005B30A9">
              <w:rPr>
                <w:sz w:val="18"/>
              </w:rPr>
              <w:t>560</w:t>
            </w:r>
          </w:p>
        </w:tc>
        <w:tc>
          <w:tcPr>
            <w:tcW w:w="1090" w:type="dxa"/>
            <w:shd w:val="clear" w:color="auto" w:fill="auto"/>
            <w:noWrap/>
            <w:vAlign w:val="bottom"/>
            <w:hideMark/>
          </w:tcPr>
          <w:p w14:paraId="663B4DF1" w14:textId="77777777" w:rsidR="00D35568" w:rsidRPr="005B30A9" w:rsidRDefault="00D35568" w:rsidP="00616FCD">
            <w:pPr>
              <w:spacing w:before="40" w:after="40" w:line="220" w:lineRule="exact"/>
              <w:ind w:right="28"/>
              <w:jc w:val="right"/>
              <w:rPr>
                <w:rFonts w:eastAsiaTheme="minorHAnsi"/>
                <w:sz w:val="18"/>
              </w:rPr>
            </w:pPr>
            <w:r w:rsidRPr="005B30A9">
              <w:rPr>
                <w:sz w:val="18"/>
              </w:rPr>
              <w:t>609</w:t>
            </w:r>
          </w:p>
        </w:tc>
        <w:tc>
          <w:tcPr>
            <w:tcW w:w="1089" w:type="dxa"/>
            <w:shd w:val="clear" w:color="auto" w:fill="auto"/>
            <w:noWrap/>
            <w:vAlign w:val="bottom"/>
            <w:hideMark/>
          </w:tcPr>
          <w:p w14:paraId="0C29F6B0" w14:textId="77777777" w:rsidR="00D35568" w:rsidRPr="005B30A9" w:rsidRDefault="00D35568" w:rsidP="00616FCD">
            <w:pPr>
              <w:spacing w:before="40" w:after="40" w:line="220" w:lineRule="exact"/>
              <w:ind w:right="28"/>
              <w:jc w:val="right"/>
              <w:rPr>
                <w:rFonts w:eastAsiaTheme="minorHAnsi"/>
                <w:sz w:val="18"/>
              </w:rPr>
            </w:pPr>
            <w:r w:rsidRPr="005B30A9">
              <w:rPr>
                <w:sz w:val="18"/>
              </w:rPr>
              <w:t>633</w:t>
            </w:r>
          </w:p>
        </w:tc>
        <w:tc>
          <w:tcPr>
            <w:tcW w:w="1090" w:type="dxa"/>
            <w:shd w:val="clear" w:color="auto" w:fill="auto"/>
            <w:noWrap/>
            <w:vAlign w:val="bottom"/>
            <w:hideMark/>
          </w:tcPr>
          <w:p w14:paraId="40E97323" w14:textId="77777777" w:rsidR="00D35568" w:rsidRPr="005B30A9" w:rsidRDefault="00D35568" w:rsidP="00616FCD">
            <w:pPr>
              <w:spacing w:before="40" w:after="40" w:line="220" w:lineRule="exact"/>
              <w:ind w:right="28"/>
              <w:jc w:val="right"/>
              <w:rPr>
                <w:rFonts w:eastAsiaTheme="minorHAnsi"/>
                <w:sz w:val="18"/>
              </w:rPr>
            </w:pPr>
            <w:r w:rsidRPr="005B30A9">
              <w:rPr>
                <w:sz w:val="18"/>
              </w:rPr>
              <w:t>644</w:t>
            </w:r>
          </w:p>
        </w:tc>
        <w:tc>
          <w:tcPr>
            <w:tcW w:w="1090" w:type="dxa"/>
            <w:shd w:val="clear" w:color="auto" w:fill="auto"/>
            <w:vAlign w:val="bottom"/>
          </w:tcPr>
          <w:p w14:paraId="56F2DE34" w14:textId="77777777" w:rsidR="00D35568" w:rsidRPr="005B30A9" w:rsidRDefault="00D35568" w:rsidP="00616FCD">
            <w:pPr>
              <w:spacing w:before="40" w:after="40" w:line="220" w:lineRule="exact"/>
              <w:ind w:right="28"/>
              <w:jc w:val="right"/>
              <w:rPr>
                <w:rFonts w:eastAsiaTheme="minorHAnsi"/>
                <w:sz w:val="18"/>
              </w:rPr>
            </w:pPr>
            <w:r w:rsidRPr="005B30A9">
              <w:rPr>
                <w:sz w:val="18"/>
              </w:rPr>
              <w:t>622</w:t>
            </w:r>
          </w:p>
        </w:tc>
        <w:tc>
          <w:tcPr>
            <w:tcW w:w="1090" w:type="dxa"/>
            <w:shd w:val="clear" w:color="auto" w:fill="auto"/>
            <w:noWrap/>
            <w:vAlign w:val="bottom"/>
            <w:hideMark/>
          </w:tcPr>
          <w:p w14:paraId="3E435E96" w14:textId="77777777" w:rsidR="00D35568" w:rsidRPr="005B30A9" w:rsidRDefault="00D35568" w:rsidP="00616FCD">
            <w:pPr>
              <w:spacing w:before="40" w:after="40" w:line="220" w:lineRule="exact"/>
              <w:ind w:right="28"/>
              <w:jc w:val="right"/>
              <w:rPr>
                <w:rFonts w:eastAsiaTheme="minorHAnsi"/>
                <w:sz w:val="18"/>
              </w:rPr>
            </w:pPr>
            <w:r w:rsidRPr="005B30A9">
              <w:rPr>
                <w:sz w:val="18"/>
              </w:rPr>
              <w:t>657</w:t>
            </w:r>
          </w:p>
        </w:tc>
        <w:tc>
          <w:tcPr>
            <w:tcW w:w="1302" w:type="dxa"/>
            <w:shd w:val="clear" w:color="auto" w:fill="auto"/>
            <w:vAlign w:val="bottom"/>
          </w:tcPr>
          <w:p w14:paraId="39907756" w14:textId="5CD15FFE" w:rsidR="00D35568" w:rsidRPr="005B30A9" w:rsidRDefault="00D35568" w:rsidP="00616FCD">
            <w:pPr>
              <w:spacing w:before="40" w:after="40" w:line="220" w:lineRule="exact"/>
              <w:ind w:right="28"/>
              <w:jc w:val="right"/>
              <w:rPr>
                <w:rFonts w:eastAsiaTheme="minorHAnsi"/>
                <w:sz w:val="18"/>
              </w:rPr>
            </w:pPr>
            <w:r w:rsidRPr="005B30A9">
              <w:rPr>
                <w:sz w:val="18"/>
              </w:rPr>
              <w:t>5,6</w:t>
            </w:r>
          </w:p>
        </w:tc>
      </w:tr>
      <w:tr w:rsidR="00D56130" w:rsidRPr="005B30A9" w14:paraId="73E6A721" w14:textId="77777777" w:rsidTr="00616FCD">
        <w:trPr>
          <w:trHeight w:val="240"/>
        </w:trPr>
        <w:tc>
          <w:tcPr>
            <w:tcW w:w="3756" w:type="dxa"/>
            <w:shd w:val="clear" w:color="auto" w:fill="auto"/>
            <w:noWrap/>
            <w:hideMark/>
          </w:tcPr>
          <w:p w14:paraId="65FFCEFC" w14:textId="77777777" w:rsidR="00D35568" w:rsidRPr="005B30A9" w:rsidRDefault="00D35568" w:rsidP="00D56130">
            <w:pPr>
              <w:spacing w:before="40" w:after="40" w:line="220" w:lineRule="exact"/>
              <w:rPr>
                <w:rFonts w:eastAsiaTheme="minorHAnsi"/>
                <w:sz w:val="18"/>
              </w:rPr>
            </w:pPr>
            <w:r w:rsidRPr="005B30A9">
              <w:rPr>
                <w:sz w:val="18"/>
              </w:rPr>
              <w:t>Ingeniería eléctrica/electrónica</w:t>
            </w:r>
          </w:p>
        </w:tc>
        <w:tc>
          <w:tcPr>
            <w:tcW w:w="1089" w:type="dxa"/>
            <w:shd w:val="clear" w:color="auto" w:fill="auto"/>
            <w:noWrap/>
            <w:vAlign w:val="bottom"/>
            <w:hideMark/>
          </w:tcPr>
          <w:p w14:paraId="21B47F3A" w14:textId="77777777" w:rsidR="00D35568" w:rsidRPr="005B30A9" w:rsidRDefault="00D35568" w:rsidP="00616FCD">
            <w:pPr>
              <w:spacing w:before="40" w:after="40" w:line="220" w:lineRule="exact"/>
              <w:ind w:right="28"/>
              <w:jc w:val="right"/>
              <w:rPr>
                <w:rFonts w:eastAsiaTheme="minorHAnsi"/>
                <w:sz w:val="18"/>
              </w:rPr>
            </w:pPr>
            <w:r w:rsidRPr="005B30A9">
              <w:rPr>
                <w:sz w:val="18"/>
              </w:rPr>
              <w:t>295</w:t>
            </w:r>
          </w:p>
        </w:tc>
        <w:tc>
          <w:tcPr>
            <w:tcW w:w="1090" w:type="dxa"/>
            <w:shd w:val="clear" w:color="auto" w:fill="auto"/>
            <w:noWrap/>
            <w:vAlign w:val="bottom"/>
            <w:hideMark/>
          </w:tcPr>
          <w:p w14:paraId="24819A35" w14:textId="77777777" w:rsidR="00D35568" w:rsidRPr="005B30A9" w:rsidRDefault="00D35568" w:rsidP="00616FCD">
            <w:pPr>
              <w:spacing w:before="40" w:after="40" w:line="220" w:lineRule="exact"/>
              <w:ind w:right="28"/>
              <w:jc w:val="right"/>
              <w:rPr>
                <w:rFonts w:eastAsiaTheme="minorHAnsi"/>
                <w:sz w:val="18"/>
              </w:rPr>
            </w:pPr>
            <w:r w:rsidRPr="005B30A9">
              <w:rPr>
                <w:sz w:val="18"/>
              </w:rPr>
              <w:t>609</w:t>
            </w:r>
          </w:p>
        </w:tc>
        <w:tc>
          <w:tcPr>
            <w:tcW w:w="1090" w:type="dxa"/>
            <w:shd w:val="clear" w:color="auto" w:fill="auto"/>
            <w:noWrap/>
            <w:vAlign w:val="bottom"/>
            <w:hideMark/>
          </w:tcPr>
          <w:p w14:paraId="1B059755" w14:textId="77777777" w:rsidR="00D35568" w:rsidRPr="005B30A9" w:rsidRDefault="00D35568" w:rsidP="00616FCD">
            <w:pPr>
              <w:spacing w:before="40" w:after="40" w:line="220" w:lineRule="exact"/>
              <w:ind w:right="28"/>
              <w:jc w:val="right"/>
              <w:rPr>
                <w:rFonts w:eastAsiaTheme="minorHAnsi"/>
                <w:sz w:val="18"/>
              </w:rPr>
            </w:pPr>
            <w:r w:rsidRPr="005B30A9">
              <w:rPr>
                <w:sz w:val="18"/>
              </w:rPr>
              <w:t>557</w:t>
            </w:r>
          </w:p>
        </w:tc>
        <w:tc>
          <w:tcPr>
            <w:tcW w:w="1090" w:type="dxa"/>
            <w:shd w:val="clear" w:color="auto" w:fill="auto"/>
            <w:noWrap/>
            <w:vAlign w:val="bottom"/>
            <w:hideMark/>
          </w:tcPr>
          <w:p w14:paraId="408B5492" w14:textId="77777777" w:rsidR="00D35568" w:rsidRPr="005B30A9" w:rsidRDefault="00D35568" w:rsidP="00616FCD">
            <w:pPr>
              <w:spacing w:before="40" w:after="40" w:line="220" w:lineRule="exact"/>
              <w:ind w:right="28"/>
              <w:jc w:val="right"/>
              <w:rPr>
                <w:rFonts w:eastAsiaTheme="minorHAnsi"/>
                <w:sz w:val="18"/>
              </w:rPr>
            </w:pPr>
            <w:r w:rsidRPr="005B30A9">
              <w:rPr>
                <w:sz w:val="18"/>
              </w:rPr>
              <w:t>496</w:t>
            </w:r>
          </w:p>
        </w:tc>
        <w:tc>
          <w:tcPr>
            <w:tcW w:w="1089" w:type="dxa"/>
            <w:shd w:val="clear" w:color="auto" w:fill="auto"/>
            <w:noWrap/>
            <w:vAlign w:val="bottom"/>
            <w:hideMark/>
          </w:tcPr>
          <w:p w14:paraId="3C3843D3" w14:textId="77777777" w:rsidR="00D35568" w:rsidRPr="005B30A9" w:rsidRDefault="00D35568" w:rsidP="00616FCD">
            <w:pPr>
              <w:spacing w:before="40" w:after="40" w:line="220" w:lineRule="exact"/>
              <w:ind w:right="28"/>
              <w:jc w:val="right"/>
              <w:rPr>
                <w:rFonts w:eastAsiaTheme="minorHAnsi"/>
                <w:sz w:val="18"/>
              </w:rPr>
            </w:pPr>
            <w:r w:rsidRPr="005B30A9">
              <w:rPr>
                <w:sz w:val="18"/>
              </w:rPr>
              <w:t>570</w:t>
            </w:r>
          </w:p>
        </w:tc>
        <w:tc>
          <w:tcPr>
            <w:tcW w:w="1090" w:type="dxa"/>
            <w:shd w:val="clear" w:color="auto" w:fill="auto"/>
            <w:noWrap/>
            <w:vAlign w:val="bottom"/>
            <w:hideMark/>
          </w:tcPr>
          <w:p w14:paraId="558EC6E0" w14:textId="77777777" w:rsidR="00D35568" w:rsidRPr="005B30A9" w:rsidRDefault="00D35568" w:rsidP="00616FCD">
            <w:pPr>
              <w:spacing w:before="40" w:after="40" w:line="220" w:lineRule="exact"/>
              <w:ind w:right="28"/>
              <w:jc w:val="right"/>
              <w:rPr>
                <w:rFonts w:eastAsiaTheme="minorHAnsi"/>
                <w:sz w:val="18"/>
              </w:rPr>
            </w:pPr>
            <w:r w:rsidRPr="005B30A9">
              <w:rPr>
                <w:sz w:val="18"/>
              </w:rPr>
              <w:t>651</w:t>
            </w:r>
          </w:p>
        </w:tc>
        <w:tc>
          <w:tcPr>
            <w:tcW w:w="1090" w:type="dxa"/>
            <w:shd w:val="clear" w:color="auto" w:fill="auto"/>
            <w:vAlign w:val="bottom"/>
          </w:tcPr>
          <w:p w14:paraId="61705551" w14:textId="77777777" w:rsidR="00D35568" w:rsidRPr="005B30A9" w:rsidRDefault="00D35568" w:rsidP="00616FCD">
            <w:pPr>
              <w:spacing w:before="40" w:after="40" w:line="220" w:lineRule="exact"/>
              <w:ind w:right="28"/>
              <w:jc w:val="right"/>
              <w:rPr>
                <w:rFonts w:eastAsiaTheme="minorHAnsi"/>
                <w:sz w:val="18"/>
              </w:rPr>
            </w:pPr>
            <w:r w:rsidRPr="005B30A9">
              <w:rPr>
                <w:sz w:val="18"/>
              </w:rPr>
              <w:t>716</w:t>
            </w:r>
          </w:p>
        </w:tc>
        <w:tc>
          <w:tcPr>
            <w:tcW w:w="1090" w:type="dxa"/>
            <w:shd w:val="clear" w:color="auto" w:fill="auto"/>
            <w:noWrap/>
            <w:vAlign w:val="bottom"/>
            <w:hideMark/>
          </w:tcPr>
          <w:p w14:paraId="2D85EB61" w14:textId="77777777" w:rsidR="00D35568" w:rsidRPr="005B30A9" w:rsidRDefault="00D35568" w:rsidP="00616FCD">
            <w:pPr>
              <w:spacing w:before="40" w:after="40" w:line="220" w:lineRule="exact"/>
              <w:ind w:right="28"/>
              <w:jc w:val="right"/>
              <w:rPr>
                <w:rFonts w:eastAsiaTheme="minorHAnsi"/>
                <w:sz w:val="18"/>
              </w:rPr>
            </w:pPr>
            <w:r w:rsidRPr="005B30A9">
              <w:rPr>
                <w:sz w:val="18"/>
              </w:rPr>
              <w:t>788</w:t>
            </w:r>
          </w:p>
        </w:tc>
        <w:tc>
          <w:tcPr>
            <w:tcW w:w="1302" w:type="dxa"/>
            <w:shd w:val="clear" w:color="auto" w:fill="auto"/>
            <w:vAlign w:val="bottom"/>
          </w:tcPr>
          <w:p w14:paraId="05A3B1BF" w14:textId="675C8889" w:rsidR="00D35568" w:rsidRPr="005B30A9" w:rsidRDefault="00D35568" w:rsidP="00616FCD">
            <w:pPr>
              <w:spacing w:before="40" w:after="40" w:line="220" w:lineRule="exact"/>
              <w:ind w:right="28"/>
              <w:jc w:val="right"/>
              <w:rPr>
                <w:rFonts w:eastAsiaTheme="minorHAnsi"/>
                <w:sz w:val="18"/>
              </w:rPr>
            </w:pPr>
            <w:r w:rsidRPr="005B30A9">
              <w:rPr>
                <w:sz w:val="18"/>
              </w:rPr>
              <w:t>10,1</w:t>
            </w:r>
          </w:p>
        </w:tc>
      </w:tr>
      <w:tr w:rsidR="00D56130" w:rsidRPr="005B30A9" w14:paraId="6095F443" w14:textId="77777777" w:rsidTr="00616FCD">
        <w:trPr>
          <w:trHeight w:val="240"/>
        </w:trPr>
        <w:tc>
          <w:tcPr>
            <w:tcW w:w="3756" w:type="dxa"/>
            <w:shd w:val="clear" w:color="auto" w:fill="auto"/>
            <w:noWrap/>
            <w:hideMark/>
          </w:tcPr>
          <w:p w14:paraId="72A68669" w14:textId="77777777" w:rsidR="00D35568" w:rsidRPr="005B30A9" w:rsidRDefault="00D35568" w:rsidP="00D56130">
            <w:pPr>
              <w:spacing w:before="40" w:after="40" w:line="220" w:lineRule="exact"/>
              <w:rPr>
                <w:rFonts w:eastAsiaTheme="minorHAnsi"/>
                <w:sz w:val="18"/>
              </w:rPr>
            </w:pPr>
            <w:r w:rsidRPr="005B30A9">
              <w:rPr>
                <w:sz w:val="18"/>
              </w:rPr>
              <w:t>Madera/papel/cristal/cerámica</w:t>
            </w:r>
          </w:p>
        </w:tc>
        <w:tc>
          <w:tcPr>
            <w:tcW w:w="1089" w:type="dxa"/>
            <w:shd w:val="clear" w:color="auto" w:fill="auto"/>
            <w:noWrap/>
            <w:vAlign w:val="bottom"/>
            <w:hideMark/>
          </w:tcPr>
          <w:p w14:paraId="797F59DC" w14:textId="77777777" w:rsidR="00D35568" w:rsidRPr="005B30A9" w:rsidRDefault="00D35568" w:rsidP="00616FCD">
            <w:pPr>
              <w:spacing w:before="40" w:after="40" w:line="220" w:lineRule="exact"/>
              <w:ind w:right="28"/>
              <w:jc w:val="right"/>
              <w:rPr>
                <w:rFonts w:eastAsiaTheme="minorHAnsi"/>
                <w:sz w:val="18"/>
              </w:rPr>
            </w:pPr>
            <w:r w:rsidRPr="005B30A9">
              <w:rPr>
                <w:sz w:val="18"/>
              </w:rPr>
              <w:t>383</w:t>
            </w:r>
          </w:p>
        </w:tc>
        <w:tc>
          <w:tcPr>
            <w:tcW w:w="1090" w:type="dxa"/>
            <w:shd w:val="clear" w:color="auto" w:fill="auto"/>
            <w:noWrap/>
            <w:vAlign w:val="bottom"/>
            <w:hideMark/>
          </w:tcPr>
          <w:p w14:paraId="25A74688" w14:textId="77777777" w:rsidR="00D35568" w:rsidRPr="005B30A9" w:rsidRDefault="00D35568" w:rsidP="00616FCD">
            <w:pPr>
              <w:spacing w:before="40" w:after="40" w:line="220" w:lineRule="exact"/>
              <w:ind w:right="28"/>
              <w:jc w:val="right"/>
              <w:rPr>
                <w:rFonts w:eastAsiaTheme="minorHAnsi"/>
                <w:sz w:val="18"/>
              </w:rPr>
            </w:pPr>
            <w:r w:rsidRPr="005B30A9">
              <w:rPr>
                <w:sz w:val="18"/>
              </w:rPr>
              <w:t>537</w:t>
            </w:r>
          </w:p>
        </w:tc>
        <w:tc>
          <w:tcPr>
            <w:tcW w:w="1090" w:type="dxa"/>
            <w:shd w:val="clear" w:color="auto" w:fill="auto"/>
            <w:noWrap/>
            <w:vAlign w:val="bottom"/>
            <w:hideMark/>
          </w:tcPr>
          <w:p w14:paraId="1D49A1C1" w14:textId="77777777" w:rsidR="00D35568" w:rsidRPr="005B30A9" w:rsidRDefault="00D35568" w:rsidP="00616FCD">
            <w:pPr>
              <w:spacing w:before="40" w:after="40" w:line="220" w:lineRule="exact"/>
              <w:ind w:right="28"/>
              <w:jc w:val="right"/>
              <w:rPr>
                <w:rFonts w:eastAsiaTheme="minorHAnsi"/>
                <w:sz w:val="18"/>
              </w:rPr>
            </w:pPr>
            <w:r w:rsidRPr="005B30A9">
              <w:rPr>
                <w:sz w:val="18"/>
              </w:rPr>
              <w:t>504</w:t>
            </w:r>
          </w:p>
        </w:tc>
        <w:tc>
          <w:tcPr>
            <w:tcW w:w="1090" w:type="dxa"/>
            <w:shd w:val="clear" w:color="auto" w:fill="auto"/>
            <w:noWrap/>
            <w:vAlign w:val="bottom"/>
            <w:hideMark/>
          </w:tcPr>
          <w:p w14:paraId="2CCF347E" w14:textId="77777777" w:rsidR="00D35568" w:rsidRPr="005B30A9" w:rsidRDefault="00D35568" w:rsidP="00616FCD">
            <w:pPr>
              <w:spacing w:before="40" w:after="40" w:line="220" w:lineRule="exact"/>
              <w:ind w:right="28"/>
              <w:jc w:val="right"/>
              <w:rPr>
                <w:rFonts w:eastAsiaTheme="minorHAnsi"/>
                <w:sz w:val="18"/>
              </w:rPr>
            </w:pPr>
            <w:r w:rsidRPr="005B30A9">
              <w:rPr>
                <w:sz w:val="18"/>
              </w:rPr>
              <w:t>548</w:t>
            </w:r>
          </w:p>
        </w:tc>
        <w:tc>
          <w:tcPr>
            <w:tcW w:w="1089" w:type="dxa"/>
            <w:shd w:val="clear" w:color="auto" w:fill="auto"/>
            <w:noWrap/>
            <w:vAlign w:val="bottom"/>
            <w:hideMark/>
          </w:tcPr>
          <w:p w14:paraId="241D9546" w14:textId="77777777" w:rsidR="00D35568" w:rsidRPr="005B30A9" w:rsidRDefault="00D35568" w:rsidP="00616FCD">
            <w:pPr>
              <w:spacing w:before="40" w:after="40" w:line="220" w:lineRule="exact"/>
              <w:ind w:right="28"/>
              <w:jc w:val="right"/>
              <w:rPr>
                <w:rFonts w:eastAsiaTheme="minorHAnsi"/>
                <w:sz w:val="18"/>
              </w:rPr>
            </w:pPr>
            <w:r w:rsidRPr="005B30A9">
              <w:rPr>
                <w:sz w:val="18"/>
              </w:rPr>
              <w:t>602</w:t>
            </w:r>
          </w:p>
        </w:tc>
        <w:tc>
          <w:tcPr>
            <w:tcW w:w="1090" w:type="dxa"/>
            <w:shd w:val="clear" w:color="auto" w:fill="auto"/>
            <w:noWrap/>
            <w:vAlign w:val="bottom"/>
            <w:hideMark/>
          </w:tcPr>
          <w:p w14:paraId="1DF46D8E" w14:textId="77777777" w:rsidR="00D35568" w:rsidRPr="005B30A9" w:rsidRDefault="00D35568" w:rsidP="00616FCD">
            <w:pPr>
              <w:spacing w:before="40" w:after="40" w:line="220" w:lineRule="exact"/>
              <w:ind w:right="28"/>
              <w:jc w:val="right"/>
              <w:rPr>
                <w:rFonts w:eastAsiaTheme="minorHAnsi"/>
                <w:sz w:val="18"/>
              </w:rPr>
            </w:pPr>
            <w:r w:rsidRPr="005B30A9">
              <w:rPr>
                <w:sz w:val="18"/>
              </w:rPr>
              <w:t>644</w:t>
            </w:r>
          </w:p>
        </w:tc>
        <w:tc>
          <w:tcPr>
            <w:tcW w:w="1090" w:type="dxa"/>
            <w:shd w:val="clear" w:color="auto" w:fill="auto"/>
            <w:vAlign w:val="bottom"/>
          </w:tcPr>
          <w:p w14:paraId="451BB33B" w14:textId="77777777" w:rsidR="00D35568" w:rsidRPr="005B30A9" w:rsidRDefault="00D35568" w:rsidP="00616FCD">
            <w:pPr>
              <w:spacing w:before="40" w:after="40" w:line="220" w:lineRule="exact"/>
              <w:ind w:right="28"/>
              <w:jc w:val="right"/>
              <w:rPr>
                <w:rFonts w:eastAsiaTheme="minorHAnsi"/>
                <w:sz w:val="18"/>
              </w:rPr>
            </w:pPr>
            <w:r w:rsidRPr="005B30A9">
              <w:rPr>
                <w:sz w:val="18"/>
              </w:rPr>
              <w:t>678</w:t>
            </w:r>
          </w:p>
        </w:tc>
        <w:tc>
          <w:tcPr>
            <w:tcW w:w="1090" w:type="dxa"/>
            <w:shd w:val="clear" w:color="auto" w:fill="auto"/>
            <w:noWrap/>
            <w:vAlign w:val="bottom"/>
            <w:hideMark/>
          </w:tcPr>
          <w:p w14:paraId="52B7C5AF" w14:textId="77777777" w:rsidR="00D35568" w:rsidRPr="005B30A9" w:rsidRDefault="00D35568" w:rsidP="00616FCD">
            <w:pPr>
              <w:spacing w:before="40" w:after="40" w:line="220" w:lineRule="exact"/>
              <w:ind w:right="28"/>
              <w:jc w:val="right"/>
              <w:rPr>
                <w:rFonts w:eastAsiaTheme="minorHAnsi"/>
                <w:sz w:val="18"/>
              </w:rPr>
            </w:pPr>
            <w:r w:rsidRPr="005B30A9">
              <w:rPr>
                <w:sz w:val="18"/>
              </w:rPr>
              <w:t>700</w:t>
            </w:r>
          </w:p>
        </w:tc>
        <w:tc>
          <w:tcPr>
            <w:tcW w:w="1302" w:type="dxa"/>
            <w:shd w:val="clear" w:color="auto" w:fill="auto"/>
            <w:vAlign w:val="bottom"/>
          </w:tcPr>
          <w:p w14:paraId="6F27AFF3" w14:textId="63EED3DF" w:rsidR="00D35568" w:rsidRPr="005B30A9" w:rsidRDefault="00D35568" w:rsidP="00616FCD">
            <w:pPr>
              <w:spacing w:before="40" w:after="40" w:line="220" w:lineRule="exact"/>
              <w:ind w:right="28"/>
              <w:jc w:val="right"/>
              <w:rPr>
                <w:rFonts w:eastAsiaTheme="minorHAnsi"/>
                <w:sz w:val="18"/>
              </w:rPr>
            </w:pPr>
            <w:r w:rsidRPr="005B30A9">
              <w:rPr>
                <w:sz w:val="18"/>
              </w:rPr>
              <w:t>3,2</w:t>
            </w:r>
          </w:p>
        </w:tc>
      </w:tr>
      <w:tr w:rsidR="00D56130" w:rsidRPr="005B30A9" w14:paraId="2BEA1A1B" w14:textId="77777777" w:rsidTr="00616FCD">
        <w:trPr>
          <w:trHeight w:val="240"/>
        </w:trPr>
        <w:tc>
          <w:tcPr>
            <w:tcW w:w="3756" w:type="dxa"/>
            <w:shd w:val="clear" w:color="auto" w:fill="auto"/>
            <w:noWrap/>
            <w:hideMark/>
          </w:tcPr>
          <w:p w14:paraId="73C89942" w14:textId="77777777" w:rsidR="00D35568" w:rsidRPr="005B30A9" w:rsidRDefault="00D35568" w:rsidP="00D56130">
            <w:pPr>
              <w:spacing w:before="40" w:after="40" w:line="220" w:lineRule="exact"/>
              <w:rPr>
                <w:rFonts w:eastAsiaTheme="minorHAnsi"/>
                <w:sz w:val="18"/>
              </w:rPr>
            </w:pPr>
            <w:r w:rsidRPr="005B30A9">
              <w:rPr>
                <w:sz w:val="18"/>
              </w:rPr>
              <w:t>Informática/tecnología de la información y las comunicaciones</w:t>
            </w:r>
          </w:p>
        </w:tc>
        <w:tc>
          <w:tcPr>
            <w:tcW w:w="1089" w:type="dxa"/>
            <w:shd w:val="clear" w:color="auto" w:fill="auto"/>
            <w:noWrap/>
            <w:vAlign w:val="bottom"/>
            <w:hideMark/>
          </w:tcPr>
          <w:p w14:paraId="71AC80E5" w14:textId="77777777" w:rsidR="00D35568" w:rsidRPr="005B30A9" w:rsidRDefault="00D35568" w:rsidP="00616FCD">
            <w:pPr>
              <w:spacing w:before="40" w:after="40" w:line="220" w:lineRule="exact"/>
              <w:ind w:right="28"/>
              <w:jc w:val="right"/>
              <w:rPr>
                <w:rFonts w:eastAsiaTheme="minorHAnsi"/>
                <w:sz w:val="18"/>
              </w:rPr>
            </w:pPr>
            <w:r w:rsidRPr="005B30A9">
              <w:rPr>
                <w:sz w:val="18"/>
              </w:rPr>
              <w:t>164</w:t>
            </w:r>
          </w:p>
        </w:tc>
        <w:tc>
          <w:tcPr>
            <w:tcW w:w="1090" w:type="dxa"/>
            <w:shd w:val="clear" w:color="auto" w:fill="auto"/>
            <w:noWrap/>
            <w:vAlign w:val="bottom"/>
            <w:hideMark/>
          </w:tcPr>
          <w:p w14:paraId="01D9BE37" w14:textId="77777777" w:rsidR="00D35568" w:rsidRPr="005B30A9" w:rsidRDefault="00D35568" w:rsidP="00616FCD">
            <w:pPr>
              <w:spacing w:before="40" w:after="40" w:line="220" w:lineRule="exact"/>
              <w:ind w:right="28"/>
              <w:jc w:val="right"/>
              <w:rPr>
                <w:rFonts w:eastAsiaTheme="minorHAnsi"/>
                <w:sz w:val="18"/>
              </w:rPr>
            </w:pPr>
            <w:r w:rsidRPr="005B30A9">
              <w:rPr>
                <w:sz w:val="18"/>
              </w:rPr>
              <w:t>204</w:t>
            </w:r>
          </w:p>
        </w:tc>
        <w:tc>
          <w:tcPr>
            <w:tcW w:w="1090" w:type="dxa"/>
            <w:shd w:val="clear" w:color="auto" w:fill="auto"/>
            <w:noWrap/>
            <w:vAlign w:val="bottom"/>
            <w:hideMark/>
          </w:tcPr>
          <w:p w14:paraId="1963028C" w14:textId="77777777" w:rsidR="00D35568" w:rsidRPr="005B30A9" w:rsidRDefault="00D35568" w:rsidP="00616FCD">
            <w:pPr>
              <w:spacing w:before="40" w:after="40" w:line="220" w:lineRule="exact"/>
              <w:ind w:right="28"/>
              <w:jc w:val="right"/>
              <w:rPr>
                <w:rFonts w:eastAsiaTheme="minorHAnsi"/>
                <w:sz w:val="18"/>
              </w:rPr>
            </w:pPr>
            <w:r w:rsidRPr="005B30A9">
              <w:rPr>
                <w:sz w:val="18"/>
              </w:rPr>
              <w:t>204</w:t>
            </w:r>
          </w:p>
        </w:tc>
        <w:tc>
          <w:tcPr>
            <w:tcW w:w="1090" w:type="dxa"/>
            <w:shd w:val="clear" w:color="auto" w:fill="auto"/>
            <w:noWrap/>
            <w:vAlign w:val="bottom"/>
            <w:hideMark/>
          </w:tcPr>
          <w:p w14:paraId="0665820B" w14:textId="77777777" w:rsidR="00D35568" w:rsidRPr="005B30A9" w:rsidRDefault="00D35568" w:rsidP="00616FCD">
            <w:pPr>
              <w:spacing w:before="40" w:after="40" w:line="220" w:lineRule="exact"/>
              <w:ind w:right="28"/>
              <w:jc w:val="right"/>
              <w:rPr>
                <w:rFonts w:eastAsiaTheme="minorHAnsi"/>
                <w:sz w:val="18"/>
              </w:rPr>
            </w:pPr>
            <w:r w:rsidRPr="005B30A9">
              <w:rPr>
                <w:sz w:val="18"/>
              </w:rPr>
              <w:t>468</w:t>
            </w:r>
          </w:p>
        </w:tc>
        <w:tc>
          <w:tcPr>
            <w:tcW w:w="1089" w:type="dxa"/>
            <w:shd w:val="clear" w:color="auto" w:fill="auto"/>
            <w:noWrap/>
            <w:vAlign w:val="bottom"/>
            <w:hideMark/>
          </w:tcPr>
          <w:p w14:paraId="7F3A878E" w14:textId="77777777" w:rsidR="00D35568" w:rsidRPr="005B30A9" w:rsidRDefault="00D35568" w:rsidP="00616FCD">
            <w:pPr>
              <w:spacing w:before="40" w:after="40" w:line="220" w:lineRule="exact"/>
              <w:ind w:right="28"/>
              <w:jc w:val="right"/>
              <w:rPr>
                <w:rFonts w:eastAsiaTheme="minorHAnsi"/>
                <w:sz w:val="18"/>
              </w:rPr>
            </w:pPr>
            <w:r w:rsidRPr="005B30A9">
              <w:rPr>
                <w:sz w:val="18"/>
              </w:rPr>
              <w:t>616</w:t>
            </w:r>
          </w:p>
        </w:tc>
        <w:tc>
          <w:tcPr>
            <w:tcW w:w="1090" w:type="dxa"/>
            <w:shd w:val="clear" w:color="auto" w:fill="auto"/>
            <w:noWrap/>
            <w:vAlign w:val="bottom"/>
            <w:hideMark/>
          </w:tcPr>
          <w:p w14:paraId="036F4F32" w14:textId="77777777" w:rsidR="00D35568" w:rsidRPr="005B30A9" w:rsidRDefault="00D35568" w:rsidP="00616FCD">
            <w:pPr>
              <w:spacing w:before="40" w:after="40" w:line="220" w:lineRule="exact"/>
              <w:ind w:right="28"/>
              <w:jc w:val="right"/>
              <w:rPr>
                <w:rFonts w:eastAsiaTheme="minorHAnsi"/>
                <w:sz w:val="18"/>
              </w:rPr>
            </w:pPr>
            <w:r w:rsidRPr="005B30A9">
              <w:rPr>
                <w:sz w:val="18"/>
              </w:rPr>
              <w:t>745</w:t>
            </w:r>
          </w:p>
        </w:tc>
        <w:tc>
          <w:tcPr>
            <w:tcW w:w="1090" w:type="dxa"/>
            <w:shd w:val="clear" w:color="auto" w:fill="auto"/>
            <w:vAlign w:val="bottom"/>
          </w:tcPr>
          <w:p w14:paraId="603DE756" w14:textId="77777777" w:rsidR="00D35568" w:rsidRPr="005B30A9" w:rsidRDefault="00D35568" w:rsidP="00616FCD">
            <w:pPr>
              <w:spacing w:before="40" w:after="40" w:line="220" w:lineRule="exact"/>
              <w:ind w:right="28"/>
              <w:jc w:val="right"/>
              <w:rPr>
                <w:rFonts w:eastAsiaTheme="minorHAnsi"/>
                <w:sz w:val="18"/>
              </w:rPr>
            </w:pPr>
            <w:r w:rsidRPr="005B30A9">
              <w:rPr>
                <w:sz w:val="18"/>
              </w:rPr>
              <w:t>807</w:t>
            </w:r>
          </w:p>
        </w:tc>
        <w:tc>
          <w:tcPr>
            <w:tcW w:w="1090" w:type="dxa"/>
            <w:shd w:val="clear" w:color="auto" w:fill="auto"/>
            <w:noWrap/>
            <w:vAlign w:val="bottom"/>
            <w:hideMark/>
          </w:tcPr>
          <w:p w14:paraId="41E0B498" w14:textId="77777777" w:rsidR="00D35568" w:rsidRPr="005B30A9" w:rsidRDefault="00D35568" w:rsidP="00616FCD">
            <w:pPr>
              <w:spacing w:before="40" w:after="40" w:line="220" w:lineRule="exact"/>
              <w:ind w:right="28"/>
              <w:jc w:val="right"/>
              <w:rPr>
                <w:rFonts w:eastAsiaTheme="minorHAnsi"/>
                <w:sz w:val="18"/>
              </w:rPr>
            </w:pPr>
            <w:r w:rsidRPr="005B30A9">
              <w:rPr>
                <w:sz w:val="18"/>
              </w:rPr>
              <w:t>837</w:t>
            </w:r>
          </w:p>
        </w:tc>
        <w:tc>
          <w:tcPr>
            <w:tcW w:w="1302" w:type="dxa"/>
            <w:shd w:val="clear" w:color="auto" w:fill="auto"/>
            <w:vAlign w:val="bottom"/>
          </w:tcPr>
          <w:p w14:paraId="647D09B4" w14:textId="5C4305A0" w:rsidR="00D35568" w:rsidRPr="005B30A9" w:rsidRDefault="00D35568" w:rsidP="00616FCD">
            <w:pPr>
              <w:spacing w:before="40" w:after="40" w:line="220" w:lineRule="exact"/>
              <w:ind w:right="28"/>
              <w:jc w:val="right"/>
              <w:rPr>
                <w:rFonts w:eastAsiaTheme="minorHAnsi"/>
                <w:sz w:val="18"/>
              </w:rPr>
            </w:pPr>
            <w:r w:rsidRPr="005B30A9">
              <w:rPr>
                <w:sz w:val="18"/>
              </w:rPr>
              <w:t>3,7</w:t>
            </w:r>
          </w:p>
        </w:tc>
      </w:tr>
      <w:tr w:rsidR="00D56130" w:rsidRPr="005B30A9" w14:paraId="524C2FF4" w14:textId="77777777" w:rsidTr="00616FCD">
        <w:trPr>
          <w:trHeight w:val="240"/>
        </w:trPr>
        <w:tc>
          <w:tcPr>
            <w:tcW w:w="3756" w:type="dxa"/>
            <w:shd w:val="clear" w:color="auto" w:fill="auto"/>
            <w:noWrap/>
            <w:hideMark/>
          </w:tcPr>
          <w:p w14:paraId="4EF83DDF" w14:textId="77777777" w:rsidR="00D35568" w:rsidRPr="005B30A9" w:rsidRDefault="00D35568" w:rsidP="00D56130">
            <w:pPr>
              <w:spacing w:before="40" w:after="40" w:line="220" w:lineRule="exact"/>
              <w:rPr>
                <w:rFonts w:eastAsiaTheme="minorHAnsi"/>
                <w:sz w:val="18"/>
              </w:rPr>
            </w:pPr>
            <w:r w:rsidRPr="005B30A9">
              <w:rPr>
                <w:sz w:val="18"/>
              </w:rPr>
              <w:t>Máquinas/vehículos/metal</w:t>
            </w:r>
          </w:p>
        </w:tc>
        <w:tc>
          <w:tcPr>
            <w:tcW w:w="1089" w:type="dxa"/>
            <w:shd w:val="clear" w:color="auto" w:fill="auto"/>
            <w:noWrap/>
            <w:vAlign w:val="bottom"/>
            <w:hideMark/>
          </w:tcPr>
          <w:p w14:paraId="246A7977" w14:textId="77777777" w:rsidR="00D35568" w:rsidRPr="005B30A9" w:rsidRDefault="00D35568" w:rsidP="00616FCD">
            <w:pPr>
              <w:spacing w:before="40" w:after="40" w:line="220" w:lineRule="exact"/>
              <w:ind w:right="28"/>
              <w:jc w:val="right"/>
              <w:rPr>
                <w:rFonts w:eastAsiaTheme="minorHAnsi"/>
                <w:sz w:val="18"/>
              </w:rPr>
            </w:pPr>
            <w:r w:rsidRPr="005B30A9">
              <w:rPr>
                <w:sz w:val="18"/>
              </w:rPr>
              <w:t>854</w:t>
            </w:r>
          </w:p>
        </w:tc>
        <w:tc>
          <w:tcPr>
            <w:tcW w:w="1090" w:type="dxa"/>
            <w:shd w:val="clear" w:color="auto" w:fill="auto"/>
            <w:noWrap/>
            <w:vAlign w:val="bottom"/>
            <w:hideMark/>
          </w:tcPr>
          <w:p w14:paraId="23C2A1D3" w14:textId="64355611" w:rsidR="00D35568" w:rsidRPr="005B30A9" w:rsidRDefault="00D35568" w:rsidP="00616FCD">
            <w:pPr>
              <w:spacing w:before="40" w:after="40" w:line="220" w:lineRule="exact"/>
              <w:ind w:right="28"/>
              <w:jc w:val="right"/>
              <w:rPr>
                <w:rFonts w:eastAsiaTheme="minorHAnsi"/>
                <w:sz w:val="18"/>
              </w:rPr>
            </w:pPr>
            <w:r w:rsidRPr="005B30A9">
              <w:rPr>
                <w:sz w:val="18"/>
              </w:rPr>
              <w:t>1</w:t>
            </w:r>
            <w:r w:rsidR="00D56130" w:rsidRPr="005B30A9">
              <w:rPr>
                <w:sz w:val="18"/>
              </w:rPr>
              <w:t xml:space="preserve"> </w:t>
            </w:r>
            <w:r w:rsidRPr="005B30A9">
              <w:rPr>
                <w:sz w:val="18"/>
              </w:rPr>
              <w:t>376</w:t>
            </w:r>
          </w:p>
        </w:tc>
        <w:tc>
          <w:tcPr>
            <w:tcW w:w="1090" w:type="dxa"/>
            <w:shd w:val="clear" w:color="auto" w:fill="auto"/>
            <w:noWrap/>
            <w:vAlign w:val="bottom"/>
            <w:hideMark/>
          </w:tcPr>
          <w:p w14:paraId="7CC6DC16" w14:textId="729ACE70" w:rsidR="00D35568" w:rsidRPr="005B30A9" w:rsidRDefault="00D35568" w:rsidP="00616FCD">
            <w:pPr>
              <w:spacing w:before="40" w:after="40" w:line="220" w:lineRule="exact"/>
              <w:ind w:right="28"/>
              <w:jc w:val="right"/>
              <w:rPr>
                <w:rFonts w:eastAsiaTheme="minorHAnsi"/>
                <w:sz w:val="18"/>
              </w:rPr>
            </w:pPr>
            <w:r w:rsidRPr="005B30A9">
              <w:rPr>
                <w:sz w:val="18"/>
              </w:rPr>
              <w:t>1</w:t>
            </w:r>
            <w:r w:rsidR="00D56130" w:rsidRPr="005B30A9">
              <w:rPr>
                <w:sz w:val="18"/>
              </w:rPr>
              <w:t xml:space="preserve"> </w:t>
            </w:r>
            <w:r w:rsidRPr="005B30A9">
              <w:rPr>
                <w:sz w:val="18"/>
              </w:rPr>
              <w:t>605</w:t>
            </w:r>
          </w:p>
        </w:tc>
        <w:tc>
          <w:tcPr>
            <w:tcW w:w="1090" w:type="dxa"/>
            <w:shd w:val="clear" w:color="auto" w:fill="auto"/>
            <w:noWrap/>
            <w:vAlign w:val="bottom"/>
            <w:hideMark/>
          </w:tcPr>
          <w:p w14:paraId="73F64049" w14:textId="5915D9C8" w:rsidR="00D35568" w:rsidRPr="005B30A9" w:rsidRDefault="00D35568" w:rsidP="00616FCD">
            <w:pPr>
              <w:spacing w:before="40" w:after="40" w:line="220" w:lineRule="exact"/>
              <w:ind w:right="28"/>
              <w:jc w:val="right"/>
              <w:rPr>
                <w:rFonts w:eastAsiaTheme="minorHAnsi"/>
                <w:sz w:val="18"/>
              </w:rPr>
            </w:pPr>
            <w:r w:rsidRPr="005B30A9">
              <w:rPr>
                <w:sz w:val="18"/>
              </w:rPr>
              <w:t>1</w:t>
            </w:r>
            <w:r w:rsidR="00D56130" w:rsidRPr="005B30A9">
              <w:rPr>
                <w:sz w:val="18"/>
              </w:rPr>
              <w:t xml:space="preserve"> </w:t>
            </w:r>
            <w:r w:rsidRPr="005B30A9">
              <w:rPr>
                <w:sz w:val="18"/>
              </w:rPr>
              <w:t>871</w:t>
            </w:r>
          </w:p>
        </w:tc>
        <w:tc>
          <w:tcPr>
            <w:tcW w:w="1089" w:type="dxa"/>
            <w:shd w:val="clear" w:color="auto" w:fill="auto"/>
            <w:noWrap/>
            <w:vAlign w:val="bottom"/>
            <w:hideMark/>
          </w:tcPr>
          <w:p w14:paraId="490D19F2" w14:textId="4E702DBB" w:rsidR="00D35568" w:rsidRPr="005B30A9" w:rsidRDefault="00D35568" w:rsidP="00616FCD">
            <w:pPr>
              <w:spacing w:before="40" w:after="40" w:line="220" w:lineRule="exact"/>
              <w:ind w:right="28"/>
              <w:jc w:val="right"/>
              <w:rPr>
                <w:rFonts w:eastAsiaTheme="minorHAnsi"/>
                <w:sz w:val="18"/>
              </w:rPr>
            </w:pPr>
            <w:r w:rsidRPr="005B30A9">
              <w:rPr>
                <w:sz w:val="18"/>
              </w:rPr>
              <w:t>2</w:t>
            </w:r>
            <w:r w:rsidR="00D56130" w:rsidRPr="005B30A9">
              <w:rPr>
                <w:sz w:val="18"/>
              </w:rPr>
              <w:t xml:space="preserve"> </w:t>
            </w:r>
            <w:r w:rsidRPr="005B30A9">
              <w:rPr>
                <w:sz w:val="18"/>
              </w:rPr>
              <w:t>006</w:t>
            </w:r>
          </w:p>
        </w:tc>
        <w:tc>
          <w:tcPr>
            <w:tcW w:w="1090" w:type="dxa"/>
            <w:shd w:val="clear" w:color="auto" w:fill="auto"/>
            <w:noWrap/>
            <w:vAlign w:val="bottom"/>
            <w:hideMark/>
          </w:tcPr>
          <w:p w14:paraId="16A92246" w14:textId="06B71B18" w:rsidR="00D35568" w:rsidRPr="005B30A9" w:rsidRDefault="00D35568" w:rsidP="00616FCD">
            <w:pPr>
              <w:spacing w:before="40" w:after="40" w:line="220" w:lineRule="exact"/>
              <w:ind w:right="28"/>
              <w:jc w:val="right"/>
              <w:rPr>
                <w:rFonts w:eastAsiaTheme="minorHAnsi"/>
                <w:sz w:val="18"/>
              </w:rPr>
            </w:pPr>
            <w:r w:rsidRPr="005B30A9">
              <w:rPr>
                <w:sz w:val="18"/>
              </w:rPr>
              <w:t>2</w:t>
            </w:r>
            <w:r w:rsidR="00D56130" w:rsidRPr="005B30A9">
              <w:rPr>
                <w:sz w:val="18"/>
              </w:rPr>
              <w:t xml:space="preserve"> </w:t>
            </w:r>
            <w:r w:rsidRPr="005B30A9">
              <w:rPr>
                <w:sz w:val="18"/>
              </w:rPr>
              <w:t>077</w:t>
            </w:r>
          </w:p>
        </w:tc>
        <w:tc>
          <w:tcPr>
            <w:tcW w:w="1090" w:type="dxa"/>
            <w:shd w:val="clear" w:color="auto" w:fill="auto"/>
            <w:vAlign w:val="bottom"/>
          </w:tcPr>
          <w:p w14:paraId="7194843C" w14:textId="74CA4108" w:rsidR="00D35568" w:rsidRPr="005B30A9" w:rsidRDefault="00D35568" w:rsidP="00616FCD">
            <w:pPr>
              <w:spacing w:before="40" w:after="40" w:line="220" w:lineRule="exact"/>
              <w:ind w:right="28"/>
              <w:jc w:val="right"/>
              <w:rPr>
                <w:rFonts w:eastAsiaTheme="minorHAnsi"/>
                <w:sz w:val="18"/>
              </w:rPr>
            </w:pPr>
            <w:r w:rsidRPr="005B30A9">
              <w:rPr>
                <w:sz w:val="18"/>
              </w:rPr>
              <w:t>2</w:t>
            </w:r>
            <w:r w:rsidR="00D56130" w:rsidRPr="005B30A9">
              <w:rPr>
                <w:sz w:val="18"/>
              </w:rPr>
              <w:t xml:space="preserve"> </w:t>
            </w:r>
            <w:r w:rsidRPr="005B30A9">
              <w:rPr>
                <w:sz w:val="18"/>
              </w:rPr>
              <w:t>121</w:t>
            </w:r>
          </w:p>
        </w:tc>
        <w:tc>
          <w:tcPr>
            <w:tcW w:w="1090" w:type="dxa"/>
            <w:shd w:val="clear" w:color="auto" w:fill="auto"/>
            <w:noWrap/>
            <w:vAlign w:val="bottom"/>
            <w:hideMark/>
          </w:tcPr>
          <w:p w14:paraId="69A1E376" w14:textId="0D848022" w:rsidR="00D35568" w:rsidRPr="005B30A9" w:rsidRDefault="00D35568" w:rsidP="00616FCD">
            <w:pPr>
              <w:spacing w:before="40" w:after="40" w:line="220" w:lineRule="exact"/>
              <w:ind w:right="28"/>
              <w:jc w:val="right"/>
              <w:rPr>
                <w:rFonts w:eastAsiaTheme="minorHAnsi"/>
                <w:sz w:val="18"/>
              </w:rPr>
            </w:pPr>
            <w:r w:rsidRPr="005B30A9">
              <w:rPr>
                <w:sz w:val="18"/>
              </w:rPr>
              <w:t>2</w:t>
            </w:r>
            <w:r w:rsidR="00D56130" w:rsidRPr="005B30A9">
              <w:rPr>
                <w:sz w:val="18"/>
              </w:rPr>
              <w:t xml:space="preserve"> </w:t>
            </w:r>
            <w:r w:rsidRPr="005B30A9">
              <w:rPr>
                <w:sz w:val="18"/>
              </w:rPr>
              <w:t>235</w:t>
            </w:r>
          </w:p>
        </w:tc>
        <w:tc>
          <w:tcPr>
            <w:tcW w:w="1302" w:type="dxa"/>
            <w:shd w:val="clear" w:color="auto" w:fill="auto"/>
            <w:vAlign w:val="bottom"/>
          </w:tcPr>
          <w:p w14:paraId="02A014D7" w14:textId="123BAF62" w:rsidR="00D35568" w:rsidRPr="005B30A9" w:rsidRDefault="00D35568" w:rsidP="00616FCD">
            <w:pPr>
              <w:spacing w:before="40" w:after="40" w:line="220" w:lineRule="exact"/>
              <w:ind w:right="28"/>
              <w:jc w:val="right"/>
              <w:rPr>
                <w:rFonts w:eastAsiaTheme="minorHAnsi"/>
                <w:sz w:val="18"/>
              </w:rPr>
            </w:pPr>
            <w:r w:rsidRPr="005B30A9">
              <w:rPr>
                <w:sz w:val="18"/>
              </w:rPr>
              <w:t>5,4</w:t>
            </w:r>
          </w:p>
        </w:tc>
      </w:tr>
      <w:tr w:rsidR="00D56130" w:rsidRPr="005B30A9" w14:paraId="0D907F6D" w14:textId="77777777" w:rsidTr="00616FCD">
        <w:trPr>
          <w:trHeight w:val="240"/>
        </w:trPr>
        <w:tc>
          <w:tcPr>
            <w:tcW w:w="3756" w:type="dxa"/>
            <w:shd w:val="clear" w:color="auto" w:fill="auto"/>
            <w:noWrap/>
            <w:hideMark/>
          </w:tcPr>
          <w:p w14:paraId="4FD89828" w14:textId="77777777" w:rsidR="00D35568" w:rsidRPr="005B30A9" w:rsidRDefault="00D35568" w:rsidP="00D56130">
            <w:pPr>
              <w:spacing w:before="40" w:after="40" w:line="220" w:lineRule="exact"/>
              <w:rPr>
                <w:rFonts w:eastAsiaTheme="minorHAnsi"/>
                <w:sz w:val="18"/>
              </w:rPr>
            </w:pPr>
            <w:r w:rsidRPr="005B30A9">
              <w:rPr>
                <w:sz w:val="18"/>
              </w:rPr>
              <w:t>Transporte en general y de cargas/almacenamiento</w:t>
            </w:r>
          </w:p>
        </w:tc>
        <w:tc>
          <w:tcPr>
            <w:tcW w:w="1089" w:type="dxa"/>
            <w:shd w:val="clear" w:color="auto" w:fill="auto"/>
            <w:noWrap/>
            <w:vAlign w:val="bottom"/>
            <w:hideMark/>
          </w:tcPr>
          <w:p w14:paraId="43521252" w14:textId="77777777" w:rsidR="00D35568" w:rsidRPr="005B30A9" w:rsidRDefault="00D35568" w:rsidP="00616FCD">
            <w:pPr>
              <w:spacing w:before="40" w:after="40" w:line="220" w:lineRule="exact"/>
              <w:ind w:right="28"/>
              <w:jc w:val="right"/>
              <w:rPr>
                <w:rFonts w:eastAsiaTheme="minorHAnsi"/>
                <w:sz w:val="18"/>
              </w:rPr>
            </w:pPr>
            <w:r w:rsidRPr="005B30A9">
              <w:rPr>
                <w:sz w:val="18"/>
              </w:rPr>
              <w:t>364</w:t>
            </w:r>
          </w:p>
        </w:tc>
        <w:tc>
          <w:tcPr>
            <w:tcW w:w="1090" w:type="dxa"/>
            <w:shd w:val="clear" w:color="auto" w:fill="auto"/>
            <w:noWrap/>
            <w:vAlign w:val="bottom"/>
            <w:hideMark/>
          </w:tcPr>
          <w:p w14:paraId="3E959AD2" w14:textId="77777777" w:rsidR="00D35568" w:rsidRPr="005B30A9" w:rsidRDefault="00D35568" w:rsidP="00616FCD">
            <w:pPr>
              <w:spacing w:before="40" w:after="40" w:line="220" w:lineRule="exact"/>
              <w:ind w:right="28"/>
              <w:jc w:val="right"/>
              <w:rPr>
                <w:rFonts w:eastAsiaTheme="minorHAnsi"/>
                <w:sz w:val="18"/>
              </w:rPr>
            </w:pPr>
            <w:r w:rsidRPr="005B30A9">
              <w:rPr>
                <w:sz w:val="18"/>
              </w:rPr>
              <w:t>640</w:t>
            </w:r>
          </w:p>
        </w:tc>
        <w:tc>
          <w:tcPr>
            <w:tcW w:w="1090" w:type="dxa"/>
            <w:shd w:val="clear" w:color="auto" w:fill="auto"/>
            <w:noWrap/>
            <w:vAlign w:val="bottom"/>
            <w:hideMark/>
          </w:tcPr>
          <w:p w14:paraId="0C614BA0" w14:textId="77777777" w:rsidR="00D35568" w:rsidRPr="005B30A9" w:rsidRDefault="00D35568" w:rsidP="00616FCD">
            <w:pPr>
              <w:spacing w:before="40" w:after="40" w:line="220" w:lineRule="exact"/>
              <w:ind w:right="28"/>
              <w:jc w:val="right"/>
              <w:rPr>
                <w:rFonts w:eastAsiaTheme="minorHAnsi"/>
                <w:sz w:val="18"/>
              </w:rPr>
            </w:pPr>
            <w:r w:rsidRPr="005B30A9">
              <w:rPr>
                <w:sz w:val="18"/>
              </w:rPr>
              <w:t>644</w:t>
            </w:r>
          </w:p>
        </w:tc>
        <w:tc>
          <w:tcPr>
            <w:tcW w:w="1090" w:type="dxa"/>
            <w:shd w:val="clear" w:color="auto" w:fill="auto"/>
            <w:noWrap/>
            <w:vAlign w:val="bottom"/>
            <w:hideMark/>
          </w:tcPr>
          <w:p w14:paraId="0B9EEABB" w14:textId="77777777" w:rsidR="00D35568" w:rsidRPr="005B30A9" w:rsidRDefault="00D35568" w:rsidP="00616FCD">
            <w:pPr>
              <w:spacing w:before="40" w:after="40" w:line="220" w:lineRule="exact"/>
              <w:ind w:right="28"/>
              <w:jc w:val="right"/>
              <w:rPr>
                <w:rFonts w:eastAsiaTheme="minorHAnsi"/>
                <w:sz w:val="18"/>
              </w:rPr>
            </w:pPr>
            <w:r w:rsidRPr="005B30A9">
              <w:rPr>
                <w:sz w:val="18"/>
              </w:rPr>
              <w:t>711</w:t>
            </w:r>
          </w:p>
        </w:tc>
        <w:tc>
          <w:tcPr>
            <w:tcW w:w="1089" w:type="dxa"/>
            <w:shd w:val="clear" w:color="auto" w:fill="auto"/>
            <w:noWrap/>
            <w:vAlign w:val="bottom"/>
            <w:hideMark/>
          </w:tcPr>
          <w:p w14:paraId="6A9FC4D9" w14:textId="77777777" w:rsidR="00D35568" w:rsidRPr="005B30A9" w:rsidRDefault="00D35568" w:rsidP="00616FCD">
            <w:pPr>
              <w:spacing w:before="40" w:after="40" w:line="220" w:lineRule="exact"/>
              <w:ind w:right="28"/>
              <w:jc w:val="right"/>
              <w:rPr>
                <w:rFonts w:eastAsiaTheme="minorHAnsi"/>
                <w:sz w:val="18"/>
              </w:rPr>
            </w:pPr>
            <w:r w:rsidRPr="005B30A9">
              <w:rPr>
                <w:sz w:val="18"/>
              </w:rPr>
              <w:t>794</w:t>
            </w:r>
          </w:p>
        </w:tc>
        <w:tc>
          <w:tcPr>
            <w:tcW w:w="1090" w:type="dxa"/>
            <w:shd w:val="clear" w:color="auto" w:fill="auto"/>
            <w:noWrap/>
            <w:vAlign w:val="bottom"/>
            <w:hideMark/>
          </w:tcPr>
          <w:p w14:paraId="0E4FAC86" w14:textId="77777777" w:rsidR="00D35568" w:rsidRPr="005B30A9" w:rsidRDefault="00D35568" w:rsidP="00616FCD">
            <w:pPr>
              <w:spacing w:before="40" w:after="40" w:line="220" w:lineRule="exact"/>
              <w:ind w:right="28"/>
              <w:jc w:val="right"/>
              <w:rPr>
                <w:rFonts w:eastAsiaTheme="minorHAnsi"/>
                <w:sz w:val="18"/>
              </w:rPr>
            </w:pPr>
            <w:r w:rsidRPr="005B30A9">
              <w:rPr>
                <w:sz w:val="18"/>
              </w:rPr>
              <w:t>847</w:t>
            </w:r>
          </w:p>
        </w:tc>
        <w:tc>
          <w:tcPr>
            <w:tcW w:w="1090" w:type="dxa"/>
            <w:shd w:val="clear" w:color="auto" w:fill="auto"/>
            <w:vAlign w:val="bottom"/>
          </w:tcPr>
          <w:p w14:paraId="219A558A" w14:textId="77777777" w:rsidR="00D35568" w:rsidRPr="005B30A9" w:rsidRDefault="00D35568" w:rsidP="00616FCD">
            <w:pPr>
              <w:spacing w:before="40" w:after="40" w:line="220" w:lineRule="exact"/>
              <w:ind w:right="28"/>
              <w:jc w:val="right"/>
              <w:rPr>
                <w:rFonts w:eastAsiaTheme="minorHAnsi"/>
                <w:sz w:val="18"/>
              </w:rPr>
            </w:pPr>
            <w:r w:rsidRPr="005B30A9">
              <w:rPr>
                <w:sz w:val="18"/>
              </w:rPr>
              <w:t>910</w:t>
            </w:r>
          </w:p>
        </w:tc>
        <w:tc>
          <w:tcPr>
            <w:tcW w:w="1090" w:type="dxa"/>
            <w:shd w:val="clear" w:color="auto" w:fill="auto"/>
            <w:noWrap/>
            <w:vAlign w:val="bottom"/>
            <w:hideMark/>
          </w:tcPr>
          <w:p w14:paraId="38D06633" w14:textId="77777777" w:rsidR="00D35568" w:rsidRPr="005B30A9" w:rsidRDefault="00D35568" w:rsidP="00616FCD">
            <w:pPr>
              <w:spacing w:before="40" w:after="40" w:line="220" w:lineRule="exact"/>
              <w:ind w:right="28"/>
              <w:jc w:val="right"/>
              <w:rPr>
                <w:rFonts w:eastAsiaTheme="minorHAnsi"/>
                <w:sz w:val="18"/>
              </w:rPr>
            </w:pPr>
            <w:r w:rsidRPr="005B30A9">
              <w:rPr>
                <w:sz w:val="18"/>
              </w:rPr>
              <w:t>972</w:t>
            </w:r>
          </w:p>
        </w:tc>
        <w:tc>
          <w:tcPr>
            <w:tcW w:w="1302" w:type="dxa"/>
            <w:shd w:val="clear" w:color="auto" w:fill="auto"/>
            <w:vAlign w:val="bottom"/>
          </w:tcPr>
          <w:p w14:paraId="2DED8EEA" w14:textId="16C3F76E" w:rsidR="00D35568" w:rsidRPr="005B30A9" w:rsidRDefault="00D35568" w:rsidP="00616FCD">
            <w:pPr>
              <w:spacing w:before="40" w:after="40" w:line="220" w:lineRule="exact"/>
              <w:ind w:right="28"/>
              <w:jc w:val="right"/>
              <w:rPr>
                <w:rFonts w:eastAsiaTheme="minorHAnsi"/>
                <w:sz w:val="18"/>
              </w:rPr>
            </w:pPr>
            <w:r w:rsidRPr="005B30A9">
              <w:rPr>
                <w:sz w:val="18"/>
              </w:rPr>
              <w:t>6,8</w:t>
            </w:r>
          </w:p>
        </w:tc>
      </w:tr>
      <w:tr w:rsidR="00D56130" w:rsidRPr="005B30A9" w14:paraId="000A0049" w14:textId="77777777" w:rsidTr="00616FCD">
        <w:trPr>
          <w:trHeight w:val="240"/>
        </w:trPr>
        <w:tc>
          <w:tcPr>
            <w:tcW w:w="3756" w:type="dxa"/>
            <w:shd w:val="clear" w:color="auto" w:fill="auto"/>
            <w:noWrap/>
            <w:hideMark/>
          </w:tcPr>
          <w:p w14:paraId="7B7538F5" w14:textId="77777777" w:rsidR="00D35568" w:rsidRPr="005B30A9" w:rsidRDefault="00D35568" w:rsidP="00D56130">
            <w:pPr>
              <w:spacing w:before="40" w:after="40" w:line="220" w:lineRule="exact"/>
              <w:rPr>
                <w:rFonts w:eastAsiaTheme="minorHAnsi"/>
                <w:sz w:val="18"/>
              </w:rPr>
            </w:pPr>
            <w:r w:rsidRPr="005B30A9">
              <w:rPr>
                <w:sz w:val="18"/>
              </w:rPr>
              <w:t>Medio ambiente/energía/productos básicos</w:t>
            </w:r>
          </w:p>
        </w:tc>
        <w:tc>
          <w:tcPr>
            <w:tcW w:w="1089" w:type="dxa"/>
            <w:shd w:val="clear" w:color="auto" w:fill="auto"/>
            <w:noWrap/>
            <w:vAlign w:val="bottom"/>
            <w:hideMark/>
          </w:tcPr>
          <w:p w14:paraId="5B171054" w14:textId="77777777" w:rsidR="00D35568" w:rsidRPr="005B30A9" w:rsidRDefault="00D35568" w:rsidP="00616FCD">
            <w:pPr>
              <w:spacing w:before="40" w:after="40" w:line="220" w:lineRule="exact"/>
              <w:ind w:right="28"/>
              <w:jc w:val="right"/>
              <w:rPr>
                <w:rFonts w:eastAsiaTheme="minorHAnsi"/>
                <w:sz w:val="18"/>
              </w:rPr>
            </w:pPr>
            <w:r w:rsidRPr="005B30A9">
              <w:rPr>
                <w:sz w:val="18"/>
              </w:rPr>
              <w:t>50</w:t>
            </w:r>
          </w:p>
        </w:tc>
        <w:tc>
          <w:tcPr>
            <w:tcW w:w="1090" w:type="dxa"/>
            <w:shd w:val="clear" w:color="auto" w:fill="auto"/>
            <w:noWrap/>
            <w:vAlign w:val="bottom"/>
            <w:hideMark/>
          </w:tcPr>
          <w:p w14:paraId="1EDA5423" w14:textId="77777777" w:rsidR="00D35568" w:rsidRPr="005B30A9" w:rsidRDefault="00D35568" w:rsidP="00616FCD">
            <w:pPr>
              <w:spacing w:before="40" w:after="40" w:line="220" w:lineRule="exact"/>
              <w:ind w:right="28"/>
              <w:jc w:val="right"/>
              <w:rPr>
                <w:rFonts w:eastAsiaTheme="minorHAnsi"/>
                <w:sz w:val="18"/>
              </w:rPr>
            </w:pPr>
            <w:r w:rsidRPr="005B30A9">
              <w:rPr>
                <w:sz w:val="18"/>
              </w:rPr>
              <w:t>41</w:t>
            </w:r>
          </w:p>
        </w:tc>
        <w:tc>
          <w:tcPr>
            <w:tcW w:w="1090" w:type="dxa"/>
            <w:shd w:val="clear" w:color="auto" w:fill="auto"/>
            <w:noWrap/>
            <w:vAlign w:val="bottom"/>
            <w:hideMark/>
          </w:tcPr>
          <w:p w14:paraId="38DA9297" w14:textId="77777777" w:rsidR="00D35568" w:rsidRPr="005B30A9" w:rsidRDefault="00D35568" w:rsidP="00616FCD">
            <w:pPr>
              <w:spacing w:before="40" w:after="40" w:line="220" w:lineRule="exact"/>
              <w:ind w:right="28"/>
              <w:jc w:val="right"/>
              <w:rPr>
                <w:rFonts w:eastAsiaTheme="minorHAnsi"/>
                <w:sz w:val="18"/>
              </w:rPr>
            </w:pPr>
            <w:r w:rsidRPr="005B30A9">
              <w:rPr>
                <w:sz w:val="18"/>
              </w:rPr>
              <w:t>48</w:t>
            </w:r>
          </w:p>
        </w:tc>
        <w:tc>
          <w:tcPr>
            <w:tcW w:w="1090" w:type="dxa"/>
            <w:shd w:val="clear" w:color="auto" w:fill="auto"/>
            <w:noWrap/>
            <w:vAlign w:val="bottom"/>
            <w:hideMark/>
          </w:tcPr>
          <w:p w14:paraId="34367676" w14:textId="77777777" w:rsidR="00D35568" w:rsidRPr="005B30A9" w:rsidRDefault="00D35568" w:rsidP="00616FCD">
            <w:pPr>
              <w:spacing w:before="40" w:after="40" w:line="220" w:lineRule="exact"/>
              <w:ind w:right="28"/>
              <w:jc w:val="right"/>
              <w:rPr>
                <w:rFonts w:eastAsiaTheme="minorHAnsi"/>
                <w:sz w:val="18"/>
              </w:rPr>
            </w:pPr>
            <w:r w:rsidRPr="005B30A9">
              <w:rPr>
                <w:sz w:val="18"/>
              </w:rPr>
              <w:t>60</w:t>
            </w:r>
          </w:p>
        </w:tc>
        <w:tc>
          <w:tcPr>
            <w:tcW w:w="1089" w:type="dxa"/>
            <w:shd w:val="clear" w:color="auto" w:fill="auto"/>
            <w:noWrap/>
            <w:vAlign w:val="bottom"/>
            <w:hideMark/>
          </w:tcPr>
          <w:p w14:paraId="286B4AE9" w14:textId="77777777" w:rsidR="00D35568" w:rsidRPr="005B30A9" w:rsidRDefault="00D35568" w:rsidP="00616FCD">
            <w:pPr>
              <w:spacing w:before="40" w:after="40" w:line="220" w:lineRule="exact"/>
              <w:ind w:right="28"/>
              <w:jc w:val="right"/>
              <w:rPr>
                <w:rFonts w:eastAsiaTheme="minorHAnsi"/>
                <w:sz w:val="18"/>
              </w:rPr>
            </w:pPr>
            <w:r w:rsidRPr="005B30A9">
              <w:rPr>
                <w:sz w:val="18"/>
              </w:rPr>
              <w:t>43</w:t>
            </w:r>
          </w:p>
        </w:tc>
        <w:tc>
          <w:tcPr>
            <w:tcW w:w="1090" w:type="dxa"/>
            <w:shd w:val="clear" w:color="auto" w:fill="auto"/>
            <w:noWrap/>
            <w:vAlign w:val="bottom"/>
            <w:hideMark/>
          </w:tcPr>
          <w:p w14:paraId="37258F68" w14:textId="77777777" w:rsidR="00D35568" w:rsidRPr="005B30A9" w:rsidRDefault="00D35568" w:rsidP="00616FCD">
            <w:pPr>
              <w:spacing w:before="40" w:after="40" w:line="220" w:lineRule="exact"/>
              <w:ind w:right="28"/>
              <w:jc w:val="right"/>
              <w:rPr>
                <w:rFonts w:eastAsiaTheme="minorHAnsi"/>
                <w:sz w:val="18"/>
              </w:rPr>
            </w:pPr>
            <w:r w:rsidRPr="005B30A9">
              <w:rPr>
                <w:sz w:val="18"/>
              </w:rPr>
              <w:t>50</w:t>
            </w:r>
          </w:p>
        </w:tc>
        <w:tc>
          <w:tcPr>
            <w:tcW w:w="1090" w:type="dxa"/>
            <w:shd w:val="clear" w:color="auto" w:fill="auto"/>
            <w:vAlign w:val="bottom"/>
          </w:tcPr>
          <w:p w14:paraId="36FB5C8D" w14:textId="77777777" w:rsidR="00D35568" w:rsidRPr="005B30A9" w:rsidRDefault="00D35568" w:rsidP="00616FCD">
            <w:pPr>
              <w:spacing w:before="40" w:after="40" w:line="220" w:lineRule="exact"/>
              <w:ind w:right="28"/>
              <w:jc w:val="right"/>
              <w:rPr>
                <w:rFonts w:eastAsiaTheme="minorHAnsi"/>
                <w:sz w:val="18"/>
              </w:rPr>
            </w:pPr>
            <w:r w:rsidRPr="005B30A9">
              <w:rPr>
                <w:sz w:val="18"/>
              </w:rPr>
              <w:t>54</w:t>
            </w:r>
          </w:p>
        </w:tc>
        <w:tc>
          <w:tcPr>
            <w:tcW w:w="1090" w:type="dxa"/>
            <w:shd w:val="clear" w:color="auto" w:fill="auto"/>
            <w:noWrap/>
            <w:vAlign w:val="bottom"/>
            <w:hideMark/>
          </w:tcPr>
          <w:p w14:paraId="641A69E8" w14:textId="77777777" w:rsidR="00D35568" w:rsidRPr="005B30A9" w:rsidRDefault="00D35568" w:rsidP="00616FCD">
            <w:pPr>
              <w:spacing w:before="40" w:after="40" w:line="220" w:lineRule="exact"/>
              <w:ind w:right="28"/>
              <w:jc w:val="right"/>
              <w:rPr>
                <w:rFonts w:eastAsiaTheme="minorHAnsi"/>
                <w:sz w:val="18"/>
              </w:rPr>
            </w:pPr>
            <w:r w:rsidRPr="005B30A9">
              <w:rPr>
                <w:sz w:val="18"/>
              </w:rPr>
              <w:t>46</w:t>
            </w:r>
          </w:p>
        </w:tc>
        <w:tc>
          <w:tcPr>
            <w:tcW w:w="1302" w:type="dxa"/>
            <w:shd w:val="clear" w:color="auto" w:fill="auto"/>
            <w:vAlign w:val="bottom"/>
          </w:tcPr>
          <w:p w14:paraId="645DDD91" w14:textId="76F7EC9B" w:rsidR="00D35568" w:rsidRPr="005B30A9" w:rsidRDefault="00D35568" w:rsidP="00616FCD">
            <w:pPr>
              <w:spacing w:before="40" w:after="40" w:line="220" w:lineRule="exact"/>
              <w:ind w:right="28"/>
              <w:jc w:val="right"/>
              <w:rPr>
                <w:rFonts w:eastAsiaTheme="minorHAnsi"/>
                <w:sz w:val="18"/>
              </w:rPr>
            </w:pPr>
            <w:r w:rsidRPr="005B30A9">
              <w:rPr>
                <w:sz w:val="18"/>
              </w:rPr>
              <w:t>-14,8</w:t>
            </w:r>
          </w:p>
        </w:tc>
      </w:tr>
      <w:tr w:rsidR="00D56130" w:rsidRPr="005B30A9" w14:paraId="5FEB25D8" w14:textId="77777777" w:rsidTr="00616FCD">
        <w:trPr>
          <w:trHeight w:val="240"/>
        </w:trPr>
        <w:tc>
          <w:tcPr>
            <w:tcW w:w="3756" w:type="dxa"/>
            <w:shd w:val="clear" w:color="auto" w:fill="auto"/>
            <w:hideMark/>
          </w:tcPr>
          <w:p w14:paraId="1AB9A69F" w14:textId="77777777" w:rsidR="00D35568" w:rsidRPr="005B30A9" w:rsidRDefault="00D35568" w:rsidP="00D56130">
            <w:pPr>
              <w:spacing w:before="40" w:after="40" w:line="220" w:lineRule="exact"/>
              <w:rPr>
                <w:rFonts w:eastAsiaTheme="minorHAnsi"/>
                <w:sz w:val="18"/>
              </w:rPr>
            </w:pPr>
            <w:r w:rsidRPr="005B30A9">
              <w:rPr>
                <w:sz w:val="18"/>
              </w:rPr>
              <w:t>Total de mujeres aprendices en los grupos seleccionados</w:t>
            </w:r>
          </w:p>
        </w:tc>
        <w:tc>
          <w:tcPr>
            <w:tcW w:w="1089" w:type="dxa"/>
            <w:shd w:val="clear" w:color="auto" w:fill="auto"/>
            <w:noWrap/>
            <w:vAlign w:val="bottom"/>
            <w:hideMark/>
          </w:tcPr>
          <w:p w14:paraId="5F39DAC8" w14:textId="056A68E3" w:rsidR="00D35568" w:rsidRPr="005B30A9" w:rsidRDefault="00D35568" w:rsidP="00616FCD">
            <w:pPr>
              <w:spacing w:before="40" w:after="40" w:line="220" w:lineRule="exact"/>
              <w:ind w:right="28"/>
              <w:jc w:val="right"/>
              <w:rPr>
                <w:rFonts w:eastAsiaTheme="minorHAnsi"/>
                <w:bCs/>
                <w:sz w:val="18"/>
              </w:rPr>
            </w:pPr>
            <w:r w:rsidRPr="005B30A9">
              <w:rPr>
                <w:sz w:val="18"/>
              </w:rPr>
              <w:t>3</w:t>
            </w:r>
            <w:r w:rsidR="00D56130" w:rsidRPr="005B30A9">
              <w:rPr>
                <w:sz w:val="18"/>
              </w:rPr>
              <w:t xml:space="preserve"> </w:t>
            </w:r>
            <w:r w:rsidRPr="005B30A9">
              <w:rPr>
                <w:sz w:val="18"/>
              </w:rPr>
              <w:t>110</w:t>
            </w:r>
          </w:p>
        </w:tc>
        <w:tc>
          <w:tcPr>
            <w:tcW w:w="1090" w:type="dxa"/>
            <w:shd w:val="clear" w:color="auto" w:fill="auto"/>
            <w:noWrap/>
            <w:vAlign w:val="bottom"/>
            <w:hideMark/>
          </w:tcPr>
          <w:p w14:paraId="498B1AE6" w14:textId="53AF5AD0" w:rsidR="00D35568" w:rsidRPr="005B30A9" w:rsidRDefault="00D35568" w:rsidP="00616FCD">
            <w:pPr>
              <w:spacing w:before="40" w:after="40" w:line="220" w:lineRule="exact"/>
              <w:ind w:right="28"/>
              <w:jc w:val="right"/>
              <w:rPr>
                <w:rFonts w:eastAsiaTheme="minorHAnsi"/>
                <w:bCs/>
                <w:sz w:val="18"/>
              </w:rPr>
            </w:pPr>
            <w:r w:rsidRPr="005B30A9">
              <w:rPr>
                <w:sz w:val="18"/>
              </w:rPr>
              <w:t>4</w:t>
            </w:r>
            <w:r w:rsidR="00D56130" w:rsidRPr="005B30A9">
              <w:rPr>
                <w:sz w:val="18"/>
              </w:rPr>
              <w:t xml:space="preserve"> </w:t>
            </w:r>
            <w:r w:rsidRPr="005B30A9">
              <w:rPr>
                <w:sz w:val="18"/>
              </w:rPr>
              <w:t>893</w:t>
            </w:r>
          </w:p>
        </w:tc>
        <w:tc>
          <w:tcPr>
            <w:tcW w:w="1090" w:type="dxa"/>
            <w:shd w:val="clear" w:color="auto" w:fill="auto"/>
            <w:noWrap/>
            <w:vAlign w:val="bottom"/>
            <w:hideMark/>
          </w:tcPr>
          <w:p w14:paraId="7893C723" w14:textId="5619B802" w:rsidR="00D35568" w:rsidRPr="005B30A9" w:rsidRDefault="00D35568" w:rsidP="00616FCD">
            <w:pPr>
              <w:spacing w:before="40" w:after="40" w:line="220" w:lineRule="exact"/>
              <w:ind w:right="28"/>
              <w:jc w:val="right"/>
              <w:rPr>
                <w:rFonts w:eastAsiaTheme="minorHAnsi"/>
                <w:bCs/>
                <w:sz w:val="18"/>
              </w:rPr>
            </w:pPr>
            <w:r w:rsidRPr="005B30A9">
              <w:rPr>
                <w:sz w:val="18"/>
              </w:rPr>
              <w:t>4</w:t>
            </w:r>
            <w:r w:rsidR="00D56130" w:rsidRPr="005B30A9">
              <w:rPr>
                <w:sz w:val="18"/>
              </w:rPr>
              <w:t xml:space="preserve"> </w:t>
            </w:r>
            <w:r w:rsidRPr="005B30A9">
              <w:rPr>
                <w:sz w:val="18"/>
              </w:rPr>
              <w:t>990</w:t>
            </w:r>
          </w:p>
        </w:tc>
        <w:tc>
          <w:tcPr>
            <w:tcW w:w="1090" w:type="dxa"/>
            <w:shd w:val="clear" w:color="auto" w:fill="auto"/>
            <w:noWrap/>
            <w:vAlign w:val="bottom"/>
            <w:hideMark/>
          </w:tcPr>
          <w:p w14:paraId="584B84E5" w14:textId="41B0B12F" w:rsidR="00D35568" w:rsidRPr="005B30A9" w:rsidRDefault="00D35568" w:rsidP="00616FCD">
            <w:pPr>
              <w:spacing w:before="40" w:after="40" w:line="220" w:lineRule="exact"/>
              <w:ind w:right="28"/>
              <w:jc w:val="right"/>
              <w:rPr>
                <w:rFonts w:eastAsiaTheme="minorHAnsi"/>
                <w:sz w:val="18"/>
              </w:rPr>
            </w:pPr>
            <w:r w:rsidRPr="005B30A9">
              <w:rPr>
                <w:sz w:val="18"/>
              </w:rPr>
              <w:t>5</w:t>
            </w:r>
            <w:r w:rsidR="00D56130" w:rsidRPr="005B30A9">
              <w:rPr>
                <w:sz w:val="18"/>
              </w:rPr>
              <w:t xml:space="preserve"> </w:t>
            </w:r>
            <w:r w:rsidRPr="005B30A9">
              <w:rPr>
                <w:sz w:val="18"/>
              </w:rPr>
              <w:t>751</w:t>
            </w:r>
          </w:p>
        </w:tc>
        <w:tc>
          <w:tcPr>
            <w:tcW w:w="1089" w:type="dxa"/>
            <w:shd w:val="clear" w:color="auto" w:fill="auto"/>
            <w:noWrap/>
            <w:vAlign w:val="bottom"/>
            <w:hideMark/>
          </w:tcPr>
          <w:p w14:paraId="643636B5" w14:textId="7AC94E41" w:rsidR="00D35568" w:rsidRPr="005B30A9" w:rsidRDefault="00D35568" w:rsidP="00616FCD">
            <w:pPr>
              <w:spacing w:before="40" w:after="40" w:line="220" w:lineRule="exact"/>
              <w:ind w:right="28"/>
              <w:jc w:val="right"/>
              <w:rPr>
                <w:rFonts w:eastAsiaTheme="minorHAnsi"/>
                <w:sz w:val="18"/>
              </w:rPr>
            </w:pPr>
            <w:r w:rsidRPr="005B30A9">
              <w:rPr>
                <w:sz w:val="18"/>
              </w:rPr>
              <w:t>6</w:t>
            </w:r>
            <w:r w:rsidR="00D56130" w:rsidRPr="005B30A9">
              <w:rPr>
                <w:sz w:val="18"/>
              </w:rPr>
              <w:t xml:space="preserve"> </w:t>
            </w:r>
            <w:r w:rsidRPr="005B30A9">
              <w:rPr>
                <w:sz w:val="18"/>
              </w:rPr>
              <w:t>356</w:t>
            </w:r>
          </w:p>
        </w:tc>
        <w:tc>
          <w:tcPr>
            <w:tcW w:w="1090" w:type="dxa"/>
            <w:shd w:val="clear" w:color="auto" w:fill="auto"/>
            <w:noWrap/>
            <w:vAlign w:val="bottom"/>
            <w:hideMark/>
          </w:tcPr>
          <w:p w14:paraId="0EDD9EB7" w14:textId="0A047768" w:rsidR="00D35568" w:rsidRPr="005B30A9" w:rsidRDefault="00D35568" w:rsidP="00616FCD">
            <w:pPr>
              <w:spacing w:before="40" w:after="40" w:line="220" w:lineRule="exact"/>
              <w:ind w:right="28"/>
              <w:jc w:val="right"/>
              <w:rPr>
                <w:rFonts w:eastAsiaTheme="minorHAnsi"/>
                <w:sz w:val="18"/>
              </w:rPr>
            </w:pPr>
            <w:r w:rsidRPr="005B30A9">
              <w:rPr>
                <w:sz w:val="18"/>
              </w:rPr>
              <w:t>6</w:t>
            </w:r>
            <w:r w:rsidR="00D56130" w:rsidRPr="005B30A9">
              <w:rPr>
                <w:sz w:val="18"/>
              </w:rPr>
              <w:t xml:space="preserve"> </w:t>
            </w:r>
            <w:r w:rsidRPr="005B30A9">
              <w:rPr>
                <w:sz w:val="18"/>
              </w:rPr>
              <w:t>844</w:t>
            </w:r>
          </w:p>
        </w:tc>
        <w:tc>
          <w:tcPr>
            <w:tcW w:w="1090" w:type="dxa"/>
            <w:shd w:val="clear" w:color="auto" w:fill="auto"/>
            <w:vAlign w:val="bottom"/>
          </w:tcPr>
          <w:p w14:paraId="671E879A" w14:textId="1764E29C" w:rsidR="00D35568" w:rsidRPr="005B30A9" w:rsidRDefault="00D35568" w:rsidP="00616FCD">
            <w:pPr>
              <w:spacing w:before="40" w:after="40" w:line="220" w:lineRule="exact"/>
              <w:ind w:right="28"/>
              <w:jc w:val="right"/>
              <w:rPr>
                <w:rFonts w:eastAsiaTheme="minorHAnsi"/>
                <w:sz w:val="18"/>
              </w:rPr>
            </w:pPr>
            <w:r w:rsidRPr="005B30A9">
              <w:rPr>
                <w:sz w:val="18"/>
              </w:rPr>
              <w:t>7</w:t>
            </w:r>
            <w:r w:rsidR="00D56130" w:rsidRPr="005B30A9">
              <w:rPr>
                <w:sz w:val="18"/>
              </w:rPr>
              <w:t xml:space="preserve"> </w:t>
            </w:r>
            <w:r w:rsidRPr="005B30A9">
              <w:rPr>
                <w:sz w:val="18"/>
              </w:rPr>
              <w:t>116</w:t>
            </w:r>
          </w:p>
        </w:tc>
        <w:tc>
          <w:tcPr>
            <w:tcW w:w="1090" w:type="dxa"/>
            <w:shd w:val="clear" w:color="auto" w:fill="auto"/>
            <w:noWrap/>
            <w:vAlign w:val="bottom"/>
            <w:hideMark/>
          </w:tcPr>
          <w:p w14:paraId="194516D5" w14:textId="4D59E9C1" w:rsidR="00D35568" w:rsidRPr="005B30A9" w:rsidRDefault="00D35568" w:rsidP="00616FCD">
            <w:pPr>
              <w:spacing w:before="40" w:after="40" w:line="220" w:lineRule="exact"/>
              <w:ind w:right="28"/>
              <w:jc w:val="right"/>
              <w:rPr>
                <w:rFonts w:eastAsiaTheme="minorHAnsi"/>
                <w:sz w:val="18"/>
              </w:rPr>
            </w:pPr>
            <w:r w:rsidRPr="005B30A9">
              <w:rPr>
                <w:sz w:val="18"/>
              </w:rPr>
              <w:t>7</w:t>
            </w:r>
            <w:r w:rsidR="00D56130" w:rsidRPr="005B30A9">
              <w:rPr>
                <w:sz w:val="18"/>
              </w:rPr>
              <w:t xml:space="preserve"> </w:t>
            </w:r>
            <w:r w:rsidRPr="005B30A9">
              <w:rPr>
                <w:sz w:val="18"/>
              </w:rPr>
              <w:t>537</w:t>
            </w:r>
          </w:p>
        </w:tc>
        <w:tc>
          <w:tcPr>
            <w:tcW w:w="1302" w:type="dxa"/>
            <w:shd w:val="clear" w:color="auto" w:fill="auto"/>
            <w:vAlign w:val="bottom"/>
          </w:tcPr>
          <w:p w14:paraId="0A89B4D6" w14:textId="203CF89C" w:rsidR="00D35568" w:rsidRPr="005B30A9" w:rsidRDefault="00D35568" w:rsidP="00616FCD">
            <w:pPr>
              <w:spacing w:before="40" w:after="40" w:line="220" w:lineRule="exact"/>
              <w:ind w:right="28"/>
              <w:jc w:val="right"/>
              <w:rPr>
                <w:rFonts w:eastAsiaTheme="minorHAnsi"/>
                <w:sz w:val="18"/>
              </w:rPr>
            </w:pPr>
            <w:r w:rsidRPr="005B30A9">
              <w:rPr>
                <w:sz w:val="18"/>
              </w:rPr>
              <w:t>5,9</w:t>
            </w:r>
          </w:p>
        </w:tc>
      </w:tr>
      <w:tr w:rsidR="00D56130" w:rsidRPr="005B30A9" w14:paraId="6AC294AC" w14:textId="77777777" w:rsidTr="00616FCD">
        <w:trPr>
          <w:trHeight w:val="240"/>
        </w:trPr>
        <w:tc>
          <w:tcPr>
            <w:tcW w:w="3756" w:type="dxa"/>
            <w:shd w:val="clear" w:color="auto" w:fill="auto"/>
            <w:hideMark/>
          </w:tcPr>
          <w:p w14:paraId="5B17C0D5" w14:textId="77777777" w:rsidR="00D35568" w:rsidRPr="005B30A9" w:rsidRDefault="00D35568" w:rsidP="00D56130">
            <w:pPr>
              <w:spacing w:before="40" w:after="40" w:line="220" w:lineRule="exact"/>
              <w:rPr>
                <w:rFonts w:eastAsiaTheme="minorHAnsi"/>
                <w:sz w:val="18"/>
              </w:rPr>
            </w:pPr>
            <w:r w:rsidRPr="005B30A9">
              <w:rPr>
                <w:sz w:val="18"/>
              </w:rPr>
              <w:t>Total de aprendices (en los grupos seleccionados)</w:t>
            </w:r>
          </w:p>
        </w:tc>
        <w:tc>
          <w:tcPr>
            <w:tcW w:w="1089" w:type="dxa"/>
            <w:shd w:val="clear" w:color="auto" w:fill="auto"/>
            <w:noWrap/>
            <w:vAlign w:val="bottom"/>
            <w:hideMark/>
          </w:tcPr>
          <w:p w14:paraId="394DA4C3" w14:textId="223B6D2A" w:rsidR="00D35568" w:rsidRPr="005B30A9" w:rsidRDefault="00D35568" w:rsidP="00616FCD">
            <w:pPr>
              <w:spacing w:before="40" w:after="40" w:line="220" w:lineRule="exact"/>
              <w:ind w:right="28"/>
              <w:jc w:val="right"/>
              <w:rPr>
                <w:rFonts w:eastAsiaTheme="minorHAnsi"/>
                <w:sz w:val="18"/>
              </w:rPr>
            </w:pPr>
            <w:r w:rsidRPr="005B30A9">
              <w:rPr>
                <w:sz w:val="18"/>
              </w:rPr>
              <w:t>66</w:t>
            </w:r>
            <w:r w:rsidR="00D56130" w:rsidRPr="005B30A9">
              <w:rPr>
                <w:sz w:val="18"/>
              </w:rPr>
              <w:t xml:space="preserve"> </w:t>
            </w:r>
            <w:r w:rsidRPr="005B30A9">
              <w:rPr>
                <w:sz w:val="18"/>
              </w:rPr>
              <w:t>121</w:t>
            </w:r>
          </w:p>
        </w:tc>
        <w:tc>
          <w:tcPr>
            <w:tcW w:w="1090" w:type="dxa"/>
            <w:shd w:val="clear" w:color="auto" w:fill="auto"/>
            <w:noWrap/>
            <w:vAlign w:val="bottom"/>
            <w:hideMark/>
          </w:tcPr>
          <w:p w14:paraId="72B6B091" w14:textId="5A4306A9" w:rsidR="00D35568" w:rsidRPr="005B30A9" w:rsidRDefault="00D35568" w:rsidP="00616FCD">
            <w:pPr>
              <w:spacing w:before="40" w:after="40" w:line="220" w:lineRule="exact"/>
              <w:ind w:right="28"/>
              <w:jc w:val="right"/>
              <w:rPr>
                <w:rFonts w:eastAsiaTheme="minorHAnsi"/>
                <w:sz w:val="18"/>
              </w:rPr>
            </w:pPr>
            <w:r w:rsidRPr="005B30A9">
              <w:rPr>
                <w:sz w:val="18"/>
              </w:rPr>
              <w:t>71</w:t>
            </w:r>
            <w:r w:rsidR="00D56130" w:rsidRPr="005B30A9">
              <w:rPr>
                <w:sz w:val="18"/>
              </w:rPr>
              <w:t xml:space="preserve"> </w:t>
            </w:r>
            <w:r w:rsidRPr="005B30A9">
              <w:rPr>
                <w:sz w:val="18"/>
              </w:rPr>
              <w:t>444</w:t>
            </w:r>
          </w:p>
        </w:tc>
        <w:tc>
          <w:tcPr>
            <w:tcW w:w="1090" w:type="dxa"/>
            <w:shd w:val="clear" w:color="auto" w:fill="auto"/>
            <w:noWrap/>
            <w:vAlign w:val="bottom"/>
            <w:hideMark/>
          </w:tcPr>
          <w:p w14:paraId="65A0A1CF" w14:textId="77D7F125" w:rsidR="00D35568" w:rsidRPr="005B30A9" w:rsidRDefault="00D35568" w:rsidP="00616FCD">
            <w:pPr>
              <w:spacing w:before="40" w:after="40" w:line="220" w:lineRule="exact"/>
              <w:ind w:right="28"/>
              <w:jc w:val="right"/>
              <w:rPr>
                <w:rFonts w:eastAsiaTheme="minorHAnsi"/>
                <w:sz w:val="18"/>
              </w:rPr>
            </w:pPr>
            <w:r w:rsidRPr="005B30A9">
              <w:rPr>
                <w:sz w:val="18"/>
              </w:rPr>
              <w:t>61</w:t>
            </w:r>
            <w:r w:rsidR="00D56130" w:rsidRPr="005B30A9">
              <w:rPr>
                <w:sz w:val="18"/>
              </w:rPr>
              <w:t xml:space="preserve"> </w:t>
            </w:r>
            <w:r w:rsidRPr="005B30A9">
              <w:rPr>
                <w:sz w:val="18"/>
              </w:rPr>
              <w:t>487</w:t>
            </w:r>
          </w:p>
        </w:tc>
        <w:tc>
          <w:tcPr>
            <w:tcW w:w="1090" w:type="dxa"/>
            <w:shd w:val="clear" w:color="auto" w:fill="auto"/>
            <w:noWrap/>
            <w:vAlign w:val="bottom"/>
            <w:hideMark/>
          </w:tcPr>
          <w:p w14:paraId="5E6C7B35" w14:textId="058D28A9" w:rsidR="00D35568" w:rsidRPr="005B30A9" w:rsidRDefault="00D35568" w:rsidP="00616FCD">
            <w:pPr>
              <w:spacing w:before="40" w:after="40" w:line="220" w:lineRule="exact"/>
              <w:ind w:right="28"/>
              <w:jc w:val="right"/>
              <w:rPr>
                <w:rFonts w:eastAsiaTheme="minorHAnsi"/>
                <w:sz w:val="18"/>
              </w:rPr>
            </w:pPr>
            <w:r w:rsidRPr="005B30A9">
              <w:rPr>
                <w:sz w:val="18"/>
              </w:rPr>
              <w:t>61</w:t>
            </w:r>
            <w:r w:rsidR="00D56130" w:rsidRPr="005B30A9">
              <w:rPr>
                <w:sz w:val="18"/>
              </w:rPr>
              <w:t xml:space="preserve"> </w:t>
            </w:r>
            <w:r w:rsidRPr="005B30A9">
              <w:rPr>
                <w:sz w:val="18"/>
              </w:rPr>
              <w:t>761</w:t>
            </w:r>
          </w:p>
        </w:tc>
        <w:tc>
          <w:tcPr>
            <w:tcW w:w="1089" w:type="dxa"/>
            <w:shd w:val="clear" w:color="auto" w:fill="auto"/>
            <w:noWrap/>
            <w:vAlign w:val="bottom"/>
            <w:hideMark/>
          </w:tcPr>
          <w:p w14:paraId="02BF8782" w14:textId="084466EB" w:rsidR="00D35568" w:rsidRPr="005B30A9" w:rsidRDefault="00D35568" w:rsidP="00616FCD">
            <w:pPr>
              <w:spacing w:before="40" w:after="40" w:line="220" w:lineRule="exact"/>
              <w:ind w:right="28"/>
              <w:jc w:val="right"/>
              <w:rPr>
                <w:rFonts w:eastAsiaTheme="minorHAnsi"/>
                <w:sz w:val="18"/>
              </w:rPr>
            </w:pPr>
            <w:r w:rsidRPr="005B30A9">
              <w:rPr>
                <w:sz w:val="18"/>
              </w:rPr>
              <w:t>63</w:t>
            </w:r>
            <w:r w:rsidR="00D56130" w:rsidRPr="005B30A9">
              <w:rPr>
                <w:sz w:val="18"/>
              </w:rPr>
              <w:t xml:space="preserve"> </w:t>
            </w:r>
            <w:r w:rsidRPr="005B30A9">
              <w:rPr>
                <w:sz w:val="18"/>
              </w:rPr>
              <w:t>560</w:t>
            </w:r>
          </w:p>
        </w:tc>
        <w:tc>
          <w:tcPr>
            <w:tcW w:w="1090" w:type="dxa"/>
            <w:shd w:val="clear" w:color="auto" w:fill="auto"/>
            <w:noWrap/>
            <w:vAlign w:val="bottom"/>
            <w:hideMark/>
          </w:tcPr>
          <w:p w14:paraId="08BE453F" w14:textId="308CC069" w:rsidR="00D35568" w:rsidRPr="005B30A9" w:rsidRDefault="00D35568" w:rsidP="00616FCD">
            <w:pPr>
              <w:spacing w:before="40" w:after="40" w:line="220" w:lineRule="exact"/>
              <w:ind w:right="28"/>
              <w:jc w:val="right"/>
              <w:rPr>
                <w:rFonts w:eastAsiaTheme="minorHAnsi"/>
                <w:sz w:val="18"/>
              </w:rPr>
            </w:pPr>
            <w:r w:rsidRPr="005B30A9">
              <w:rPr>
                <w:sz w:val="18"/>
              </w:rPr>
              <w:t>64</w:t>
            </w:r>
            <w:r w:rsidR="00D56130" w:rsidRPr="005B30A9">
              <w:rPr>
                <w:sz w:val="18"/>
              </w:rPr>
              <w:t xml:space="preserve"> </w:t>
            </w:r>
            <w:r w:rsidRPr="005B30A9">
              <w:rPr>
                <w:sz w:val="18"/>
              </w:rPr>
              <w:t>539</w:t>
            </w:r>
          </w:p>
        </w:tc>
        <w:tc>
          <w:tcPr>
            <w:tcW w:w="1090" w:type="dxa"/>
            <w:shd w:val="clear" w:color="auto" w:fill="auto"/>
            <w:vAlign w:val="bottom"/>
          </w:tcPr>
          <w:p w14:paraId="06732C27" w14:textId="76D0C5F0" w:rsidR="00D35568" w:rsidRPr="005B30A9" w:rsidRDefault="00D35568" w:rsidP="00616FCD">
            <w:pPr>
              <w:spacing w:before="40" w:after="40" w:line="220" w:lineRule="exact"/>
              <w:ind w:right="28"/>
              <w:jc w:val="right"/>
              <w:rPr>
                <w:rFonts w:eastAsiaTheme="minorHAnsi"/>
                <w:sz w:val="18"/>
              </w:rPr>
            </w:pPr>
            <w:r w:rsidRPr="005B30A9">
              <w:rPr>
                <w:sz w:val="18"/>
              </w:rPr>
              <w:t>65</w:t>
            </w:r>
            <w:r w:rsidR="00D56130" w:rsidRPr="005B30A9">
              <w:rPr>
                <w:sz w:val="18"/>
              </w:rPr>
              <w:t xml:space="preserve"> </w:t>
            </w:r>
            <w:r w:rsidRPr="005B30A9">
              <w:rPr>
                <w:sz w:val="18"/>
              </w:rPr>
              <w:t>265</w:t>
            </w:r>
          </w:p>
        </w:tc>
        <w:tc>
          <w:tcPr>
            <w:tcW w:w="1090" w:type="dxa"/>
            <w:shd w:val="clear" w:color="auto" w:fill="auto"/>
            <w:noWrap/>
            <w:vAlign w:val="bottom"/>
            <w:hideMark/>
          </w:tcPr>
          <w:p w14:paraId="0B71895C" w14:textId="24C62EB4" w:rsidR="00D35568" w:rsidRPr="005B30A9" w:rsidRDefault="00D35568" w:rsidP="00616FCD">
            <w:pPr>
              <w:spacing w:before="40" w:after="40" w:line="220" w:lineRule="exact"/>
              <w:ind w:right="28"/>
              <w:jc w:val="right"/>
              <w:rPr>
                <w:rFonts w:eastAsiaTheme="minorHAnsi"/>
                <w:sz w:val="18"/>
              </w:rPr>
            </w:pPr>
            <w:r w:rsidRPr="005B30A9">
              <w:rPr>
                <w:sz w:val="18"/>
              </w:rPr>
              <w:t>65</w:t>
            </w:r>
            <w:r w:rsidR="00D56130" w:rsidRPr="005B30A9">
              <w:rPr>
                <w:sz w:val="18"/>
              </w:rPr>
              <w:t xml:space="preserve"> </w:t>
            </w:r>
            <w:r w:rsidRPr="005B30A9">
              <w:rPr>
                <w:sz w:val="18"/>
              </w:rPr>
              <w:t>770</w:t>
            </w:r>
          </w:p>
        </w:tc>
        <w:tc>
          <w:tcPr>
            <w:tcW w:w="1302" w:type="dxa"/>
            <w:shd w:val="clear" w:color="auto" w:fill="auto"/>
            <w:vAlign w:val="bottom"/>
          </w:tcPr>
          <w:p w14:paraId="1DAF57A8" w14:textId="5E1A4DB7" w:rsidR="00D35568" w:rsidRPr="005B30A9" w:rsidRDefault="00D35568" w:rsidP="00616FCD">
            <w:pPr>
              <w:spacing w:before="40" w:after="40" w:line="220" w:lineRule="exact"/>
              <w:ind w:right="28"/>
              <w:jc w:val="right"/>
              <w:rPr>
                <w:rFonts w:eastAsiaTheme="minorHAnsi"/>
                <w:sz w:val="18"/>
              </w:rPr>
            </w:pPr>
            <w:r w:rsidRPr="005B30A9">
              <w:rPr>
                <w:sz w:val="18"/>
              </w:rPr>
              <w:t>0,8</w:t>
            </w:r>
          </w:p>
        </w:tc>
      </w:tr>
      <w:tr w:rsidR="00D56130" w:rsidRPr="005B30A9" w14:paraId="1F748CF1" w14:textId="77777777" w:rsidTr="00616FCD">
        <w:trPr>
          <w:trHeight w:val="240"/>
        </w:trPr>
        <w:tc>
          <w:tcPr>
            <w:tcW w:w="3756" w:type="dxa"/>
            <w:tcBorders>
              <w:bottom w:val="single" w:sz="12" w:space="0" w:color="auto"/>
            </w:tcBorders>
            <w:shd w:val="clear" w:color="auto" w:fill="auto"/>
            <w:noWrap/>
            <w:hideMark/>
          </w:tcPr>
          <w:p w14:paraId="45CE7478" w14:textId="346AAC4C" w:rsidR="00D35568" w:rsidRPr="005B30A9" w:rsidRDefault="00D35568" w:rsidP="00D56130">
            <w:pPr>
              <w:spacing w:before="40" w:after="40" w:line="220" w:lineRule="exact"/>
              <w:rPr>
                <w:rFonts w:eastAsiaTheme="minorHAnsi"/>
                <w:sz w:val="18"/>
              </w:rPr>
            </w:pPr>
            <w:r w:rsidRPr="005B30A9">
              <w:rPr>
                <w:sz w:val="18"/>
              </w:rPr>
              <w:t>Proporción de mujeres aprendices</w:t>
            </w:r>
            <w:r w:rsidR="00D56130" w:rsidRPr="005B30A9">
              <w:rPr>
                <w:sz w:val="18"/>
              </w:rPr>
              <w:t xml:space="preserve"> (en porcentaje)</w:t>
            </w:r>
          </w:p>
        </w:tc>
        <w:tc>
          <w:tcPr>
            <w:tcW w:w="1089" w:type="dxa"/>
            <w:tcBorders>
              <w:bottom w:val="single" w:sz="12" w:space="0" w:color="auto"/>
            </w:tcBorders>
            <w:shd w:val="clear" w:color="auto" w:fill="auto"/>
            <w:noWrap/>
            <w:vAlign w:val="bottom"/>
            <w:hideMark/>
          </w:tcPr>
          <w:p w14:paraId="1C5709FF" w14:textId="3224458A" w:rsidR="00D35568" w:rsidRPr="005B30A9" w:rsidRDefault="00D35568" w:rsidP="00616FCD">
            <w:pPr>
              <w:spacing w:before="40" w:after="40" w:line="220" w:lineRule="exact"/>
              <w:ind w:right="28"/>
              <w:jc w:val="right"/>
              <w:rPr>
                <w:rFonts w:eastAsiaTheme="minorHAnsi"/>
                <w:bCs/>
                <w:sz w:val="18"/>
              </w:rPr>
            </w:pPr>
            <w:r w:rsidRPr="005B30A9">
              <w:rPr>
                <w:sz w:val="18"/>
              </w:rPr>
              <w:t>4,7</w:t>
            </w:r>
          </w:p>
        </w:tc>
        <w:tc>
          <w:tcPr>
            <w:tcW w:w="1090" w:type="dxa"/>
            <w:tcBorders>
              <w:bottom w:val="single" w:sz="12" w:space="0" w:color="auto"/>
            </w:tcBorders>
            <w:shd w:val="clear" w:color="auto" w:fill="auto"/>
            <w:noWrap/>
            <w:vAlign w:val="bottom"/>
            <w:hideMark/>
          </w:tcPr>
          <w:p w14:paraId="52272C6A" w14:textId="348C93BA" w:rsidR="00D35568" w:rsidRPr="005B30A9" w:rsidRDefault="00D35568" w:rsidP="00616FCD">
            <w:pPr>
              <w:spacing w:before="40" w:after="40" w:line="220" w:lineRule="exact"/>
              <w:ind w:right="28"/>
              <w:jc w:val="right"/>
              <w:rPr>
                <w:rFonts w:eastAsiaTheme="minorHAnsi"/>
                <w:bCs/>
                <w:sz w:val="18"/>
              </w:rPr>
            </w:pPr>
            <w:r w:rsidRPr="005B30A9">
              <w:rPr>
                <w:sz w:val="18"/>
              </w:rPr>
              <w:t>6,8</w:t>
            </w:r>
          </w:p>
        </w:tc>
        <w:tc>
          <w:tcPr>
            <w:tcW w:w="1090" w:type="dxa"/>
            <w:tcBorders>
              <w:bottom w:val="single" w:sz="12" w:space="0" w:color="auto"/>
            </w:tcBorders>
            <w:shd w:val="clear" w:color="auto" w:fill="auto"/>
            <w:noWrap/>
            <w:vAlign w:val="bottom"/>
            <w:hideMark/>
          </w:tcPr>
          <w:p w14:paraId="43DFC1DD" w14:textId="100C232F" w:rsidR="00D35568" w:rsidRPr="005B30A9" w:rsidRDefault="00D35568" w:rsidP="00616FCD">
            <w:pPr>
              <w:spacing w:before="40" w:after="40" w:line="220" w:lineRule="exact"/>
              <w:ind w:right="28"/>
              <w:jc w:val="right"/>
              <w:rPr>
                <w:rFonts w:eastAsiaTheme="minorHAnsi"/>
                <w:bCs/>
                <w:sz w:val="18"/>
              </w:rPr>
            </w:pPr>
            <w:r w:rsidRPr="005B30A9">
              <w:rPr>
                <w:sz w:val="18"/>
              </w:rPr>
              <w:t>8,1</w:t>
            </w:r>
          </w:p>
        </w:tc>
        <w:tc>
          <w:tcPr>
            <w:tcW w:w="1090" w:type="dxa"/>
            <w:tcBorders>
              <w:bottom w:val="single" w:sz="12" w:space="0" w:color="auto"/>
            </w:tcBorders>
            <w:shd w:val="clear" w:color="auto" w:fill="auto"/>
            <w:noWrap/>
            <w:vAlign w:val="bottom"/>
            <w:hideMark/>
          </w:tcPr>
          <w:p w14:paraId="7A1D0F94" w14:textId="3CAE8908" w:rsidR="00D35568" w:rsidRPr="005B30A9" w:rsidRDefault="00D35568" w:rsidP="00616FCD">
            <w:pPr>
              <w:spacing w:before="40" w:after="40" w:line="220" w:lineRule="exact"/>
              <w:ind w:right="28"/>
              <w:jc w:val="right"/>
              <w:rPr>
                <w:rFonts w:eastAsiaTheme="minorHAnsi"/>
                <w:bCs/>
                <w:sz w:val="18"/>
              </w:rPr>
            </w:pPr>
            <w:r w:rsidRPr="005B30A9">
              <w:rPr>
                <w:sz w:val="18"/>
              </w:rPr>
              <w:t>9,3</w:t>
            </w:r>
          </w:p>
        </w:tc>
        <w:tc>
          <w:tcPr>
            <w:tcW w:w="1089" w:type="dxa"/>
            <w:tcBorders>
              <w:bottom w:val="single" w:sz="12" w:space="0" w:color="auto"/>
            </w:tcBorders>
            <w:shd w:val="clear" w:color="auto" w:fill="auto"/>
            <w:noWrap/>
            <w:vAlign w:val="bottom"/>
            <w:hideMark/>
          </w:tcPr>
          <w:p w14:paraId="47EB87DE" w14:textId="0ECBD246" w:rsidR="00D35568" w:rsidRPr="005B30A9" w:rsidRDefault="00D35568" w:rsidP="00616FCD">
            <w:pPr>
              <w:spacing w:before="40" w:after="40" w:line="220" w:lineRule="exact"/>
              <w:ind w:right="28"/>
              <w:jc w:val="right"/>
              <w:rPr>
                <w:rFonts w:eastAsiaTheme="minorHAnsi"/>
                <w:bCs/>
                <w:sz w:val="18"/>
              </w:rPr>
            </w:pPr>
            <w:r w:rsidRPr="005B30A9">
              <w:rPr>
                <w:sz w:val="18"/>
              </w:rPr>
              <w:t>10,0</w:t>
            </w:r>
          </w:p>
        </w:tc>
        <w:tc>
          <w:tcPr>
            <w:tcW w:w="1090" w:type="dxa"/>
            <w:tcBorders>
              <w:bottom w:val="single" w:sz="12" w:space="0" w:color="auto"/>
            </w:tcBorders>
            <w:shd w:val="clear" w:color="auto" w:fill="auto"/>
            <w:noWrap/>
            <w:vAlign w:val="bottom"/>
            <w:hideMark/>
          </w:tcPr>
          <w:p w14:paraId="31C82717" w14:textId="3C4E7D27" w:rsidR="00D35568" w:rsidRPr="005B30A9" w:rsidRDefault="00D35568" w:rsidP="00616FCD">
            <w:pPr>
              <w:spacing w:before="40" w:after="40" w:line="220" w:lineRule="exact"/>
              <w:ind w:right="28"/>
              <w:jc w:val="right"/>
              <w:rPr>
                <w:rFonts w:eastAsiaTheme="minorHAnsi"/>
                <w:bCs/>
                <w:sz w:val="18"/>
              </w:rPr>
            </w:pPr>
            <w:r w:rsidRPr="005B30A9">
              <w:rPr>
                <w:sz w:val="18"/>
              </w:rPr>
              <w:t>10,6</w:t>
            </w:r>
          </w:p>
        </w:tc>
        <w:tc>
          <w:tcPr>
            <w:tcW w:w="1090" w:type="dxa"/>
            <w:tcBorders>
              <w:bottom w:val="single" w:sz="12" w:space="0" w:color="auto"/>
            </w:tcBorders>
            <w:shd w:val="clear" w:color="auto" w:fill="auto"/>
            <w:vAlign w:val="bottom"/>
          </w:tcPr>
          <w:p w14:paraId="66907638" w14:textId="2A242413" w:rsidR="00D35568" w:rsidRPr="005B30A9" w:rsidRDefault="00D35568" w:rsidP="00616FCD">
            <w:pPr>
              <w:spacing w:before="40" w:after="40" w:line="220" w:lineRule="exact"/>
              <w:ind w:right="28"/>
              <w:jc w:val="right"/>
              <w:rPr>
                <w:rFonts w:eastAsiaTheme="minorHAnsi"/>
                <w:bCs/>
                <w:sz w:val="18"/>
              </w:rPr>
            </w:pPr>
            <w:r w:rsidRPr="005B30A9">
              <w:rPr>
                <w:sz w:val="18"/>
              </w:rPr>
              <w:t>10,9</w:t>
            </w:r>
          </w:p>
        </w:tc>
        <w:tc>
          <w:tcPr>
            <w:tcW w:w="1090" w:type="dxa"/>
            <w:tcBorders>
              <w:bottom w:val="single" w:sz="12" w:space="0" w:color="auto"/>
            </w:tcBorders>
            <w:shd w:val="clear" w:color="auto" w:fill="auto"/>
            <w:noWrap/>
            <w:vAlign w:val="bottom"/>
            <w:hideMark/>
          </w:tcPr>
          <w:p w14:paraId="4F142C84" w14:textId="4788BDC0" w:rsidR="00D35568" w:rsidRPr="005B30A9" w:rsidRDefault="00D35568" w:rsidP="00616FCD">
            <w:pPr>
              <w:spacing w:before="40" w:after="40" w:line="220" w:lineRule="exact"/>
              <w:ind w:right="28"/>
              <w:jc w:val="right"/>
              <w:rPr>
                <w:rFonts w:eastAsiaTheme="minorHAnsi"/>
                <w:bCs/>
                <w:sz w:val="18"/>
              </w:rPr>
            </w:pPr>
            <w:r w:rsidRPr="005B30A9">
              <w:rPr>
                <w:sz w:val="18"/>
              </w:rPr>
              <w:t>11,5</w:t>
            </w:r>
          </w:p>
        </w:tc>
        <w:tc>
          <w:tcPr>
            <w:tcW w:w="1302" w:type="dxa"/>
            <w:tcBorders>
              <w:bottom w:val="single" w:sz="12" w:space="0" w:color="auto"/>
            </w:tcBorders>
            <w:shd w:val="clear" w:color="auto" w:fill="auto"/>
            <w:vAlign w:val="bottom"/>
          </w:tcPr>
          <w:p w14:paraId="53FCAC8D" w14:textId="77777777" w:rsidR="00D35568" w:rsidRPr="005B30A9" w:rsidRDefault="00D35568" w:rsidP="00616FCD">
            <w:pPr>
              <w:spacing w:before="40" w:after="40" w:line="220" w:lineRule="exact"/>
              <w:ind w:right="28"/>
              <w:jc w:val="right"/>
              <w:rPr>
                <w:rFonts w:eastAsiaTheme="minorHAnsi"/>
                <w:sz w:val="18"/>
              </w:rPr>
            </w:pPr>
          </w:p>
        </w:tc>
      </w:tr>
    </w:tbl>
    <w:p w14:paraId="15D4B423" w14:textId="5C93D67A" w:rsidR="00D35568" w:rsidRPr="005B30A9" w:rsidRDefault="00D56130" w:rsidP="00D56130">
      <w:pPr>
        <w:spacing w:before="120"/>
        <w:ind w:firstLine="170"/>
        <w:rPr>
          <w:sz w:val="18"/>
          <w:szCs w:val="18"/>
        </w:rPr>
      </w:pPr>
      <w:r w:rsidRPr="005B30A9">
        <w:rPr>
          <w:i/>
          <w:iCs/>
          <w:sz w:val="18"/>
          <w:szCs w:val="18"/>
        </w:rPr>
        <w:t>Fuente:</w:t>
      </w:r>
      <w:r w:rsidRPr="005B30A9">
        <w:rPr>
          <w:sz w:val="18"/>
          <w:szCs w:val="18"/>
        </w:rPr>
        <w:t xml:space="preserve"> Estadísticas de las WKO sobre aprendizaje (a fines de diciembre).</w:t>
      </w:r>
    </w:p>
    <w:p w14:paraId="54EE3CF2" w14:textId="77777777" w:rsidR="00E302A0" w:rsidRPr="005B30A9" w:rsidRDefault="00E302A0" w:rsidP="00D56130">
      <w:pPr>
        <w:sectPr w:rsidR="00E302A0" w:rsidRPr="005B30A9" w:rsidSect="00D35568">
          <w:headerReference w:type="even" r:id="rId69"/>
          <w:headerReference w:type="default" r:id="rId70"/>
          <w:footerReference w:type="even" r:id="rId71"/>
          <w:footerReference w:type="default" r:id="rId72"/>
          <w:endnotePr>
            <w:numFmt w:val="decimal"/>
          </w:endnotePr>
          <w:pgSz w:w="16838" w:h="11906" w:orient="landscape" w:code="9"/>
          <w:pgMar w:top="1134" w:right="1417" w:bottom="1134" w:left="1134" w:header="567" w:footer="567" w:gutter="0"/>
          <w:cols w:space="708"/>
          <w:docGrid w:linePitch="360"/>
        </w:sectPr>
      </w:pPr>
    </w:p>
    <w:p w14:paraId="58F62F82" w14:textId="77777777" w:rsidR="00E302A0" w:rsidRPr="005B30A9" w:rsidRDefault="00E302A0" w:rsidP="00E302A0">
      <w:pPr>
        <w:pStyle w:val="Table1G"/>
      </w:pPr>
      <w:r w:rsidRPr="005B30A9">
        <w:lastRenderedPageBreak/>
        <w:t>Cuadro 27</w:t>
      </w:r>
    </w:p>
    <w:p w14:paraId="77897686" w14:textId="77777777" w:rsidR="00E302A0" w:rsidRPr="005B30A9" w:rsidRDefault="00E302A0" w:rsidP="00E302A0">
      <w:pPr>
        <w:pStyle w:val="SingleTxtG"/>
        <w:jc w:val="left"/>
        <w:rPr>
          <w:b/>
          <w:bCs/>
        </w:rPr>
      </w:pPr>
      <w:r w:rsidRPr="005B30A9">
        <w:rPr>
          <w:b/>
          <w:bCs/>
        </w:rPr>
        <w:t>Los 10 principales aprendizajes elegidos por mujeres en 2022</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645"/>
        <w:gridCol w:w="3077"/>
        <w:gridCol w:w="1824"/>
        <w:gridCol w:w="1824"/>
      </w:tblGrid>
      <w:tr w:rsidR="00E302A0" w:rsidRPr="005B30A9" w14:paraId="0336F3C9" w14:textId="77777777" w:rsidTr="00E302A0">
        <w:trPr>
          <w:trHeight w:val="240"/>
          <w:tblHeader/>
        </w:trPr>
        <w:tc>
          <w:tcPr>
            <w:tcW w:w="754" w:type="dxa"/>
            <w:tcBorders>
              <w:top w:val="single" w:sz="4" w:space="0" w:color="auto"/>
              <w:bottom w:val="single" w:sz="12" w:space="0" w:color="auto"/>
            </w:tcBorders>
            <w:shd w:val="clear" w:color="auto" w:fill="auto"/>
            <w:vAlign w:val="bottom"/>
          </w:tcPr>
          <w:p w14:paraId="6F94ECE3" w14:textId="77777777" w:rsidR="00E302A0" w:rsidRPr="005B30A9" w:rsidRDefault="00E302A0" w:rsidP="00E302A0">
            <w:pPr>
              <w:pStyle w:val="SingleTxtG"/>
              <w:tabs>
                <w:tab w:val="clear" w:pos="1701"/>
                <w:tab w:val="clear" w:pos="2268"/>
                <w:tab w:val="clear" w:pos="2835"/>
              </w:tabs>
              <w:spacing w:before="80" w:after="80" w:line="200" w:lineRule="exact"/>
              <w:ind w:left="0" w:right="0"/>
              <w:jc w:val="left"/>
              <w:rPr>
                <w:i/>
                <w:sz w:val="16"/>
              </w:rPr>
            </w:pPr>
            <w:r w:rsidRPr="005B30A9">
              <w:rPr>
                <w:i/>
                <w:iCs/>
                <w:sz w:val="16"/>
              </w:rPr>
              <w:t>Puesto</w:t>
            </w:r>
          </w:p>
        </w:tc>
        <w:tc>
          <w:tcPr>
            <w:tcW w:w="4112" w:type="dxa"/>
            <w:tcBorders>
              <w:top w:val="single" w:sz="4" w:space="0" w:color="auto"/>
              <w:bottom w:val="single" w:sz="12" w:space="0" w:color="auto"/>
            </w:tcBorders>
            <w:shd w:val="clear" w:color="auto" w:fill="auto"/>
            <w:vAlign w:val="bottom"/>
          </w:tcPr>
          <w:p w14:paraId="3F50A432" w14:textId="77777777" w:rsidR="00E302A0" w:rsidRPr="005B30A9" w:rsidRDefault="00E302A0" w:rsidP="00616FCD">
            <w:pPr>
              <w:pStyle w:val="SingleTxtG"/>
              <w:tabs>
                <w:tab w:val="clear" w:pos="1701"/>
                <w:tab w:val="clear" w:pos="2268"/>
                <w:tab w:val="clear" w:pos="2835"/>
              </w:tabs>
              <w:spacing w:before="80" w:after="80" w:line="200" w:lineRule="exact"/>
              <w:ind w:left="57" w:right="0"/>
              <w:jc w:val="left"/>
              <w:rPr>
                <w:i/>
                <w:sz w:val="16"/>
              </w:rPr>
            </w:pPr>
            <w:r w:rsidRPr="005B30A9">
              <w:rPr>
                <w:i/>
                <w:iCs/>
                <w:sz w:val="16"/>
              </w:rPr>
              <w:t>Aprendizaje</w:t>
            </w:r>
          </w:p>
        </w:tc>
        <w:tc>
          <w:tcPr>
            <w:tcW w:w="2395" w:type="dxa"/>
            <w:tcBorders>
              <w:top w:val="single" w:sz="4" w:space="0" w:color="auto"/>
              <w:bottom w:val="single" w:sz="12" w:space="0" w:color="auto"/>
            </w:tcBorders>
            <w:shd w:val="clear" w:color="auto" w:fill="auto"/>
            <w:vAlign w:val="bottom"/>
          </w:tcPr>
          <w:p w14:paraId="13B7E304" w14:textId="77777777" w:rsidR="00E302A0" w:rsidRPr="005B30A9" w:rsidRDefault="00E302A0" w:rsidP="002A1FCA">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Número de mujeres aprendices</w:t>
            </w:r>
          </w:p>
        </w:tc>
        <w:tc>
          <w:tcPr>
            <w:tcW w:w="2377" w:type="dxa"/>
            <w:tcBorders>
              <w:top w:val="single" w:sz="4" w:space="0" w:color="auto"/>
              <w:bottom w:val="single" w:sz="12" w:space="0" w:color="auto"/>
            </w:tcBorders>
            <w:shd w:val="clear" w:color="auto" w:fill="auto"/>
            <w:vAlign w:val="bottom"/>
          </w:tcPr>
          <w:p w14:paraId="108CC38F" w14:textId="77777777" w:rsidR="00E302A0" w:rsidRPr="005B30A9" w:rsidRDefault="00E302A0" w:rsidP="002A1FCA">
            <w:pPr>
              <w:pStyle w:val="SingleTxtG"/>
              <w:tabs>
                <w:tab w:val="clear" w:pos="1701"/>
                <w:tab w:val="clear" w:pos="2268"/>
                <w:tab w:val="clear" w:pos="2835"/>
              </w:tabs>
              <w:spacing w:before="80" w:after="80" w:line="200" w:lineRule="exact"/>
              <w:ind w:left="0" w:right="28"/>
              <w:jc w:val="right"/>
              <w:rPr>
                <w:i/>
                <w:sz w:val="16"/>
              </w:rPr>
            </w:pPr>
            <w:r w:rsidRPr="005B30A9">
              <w:rPr>
                <w:i/>
                <w:iCs/>
                <w:sz w:val="16"/>
              </w:rPr>
              <w:t>Proporción de mujeres aprendices</w:t>
            </w:r>
          </w:p>
        </w:tc>
      </w:tr>
      <w:tr w:rsidR="00E302A0" w:rsidRPr="005B30A9" w14:paraId="7272C625" w14:textId="77777777" w:rsidTr="00E302A0">
        <w:trPr>
          <w:trHeight w:val="240"/>
        </w:trPr>
        <w:tc>
          <w:tcPr>
            <w:tcW w:w="754" w:type="dxa"/>
            <w:tcBorders>
              <w:top w:val="single" w:sz="12" w:space="0" w:color="auto"/>
            </w:tcBorders>
            <w:shd w:val="clear" w:color="auto" w:fill="auto"/>
          </w:tcPr>
          <w:p w14:paraId="6E330749" w14:textId="77777777" w:rsidR="00E302A0" w:rsidRPr="005B30A9" w:rsidRDefault="00E302A0" w:rsidP="00E302A0">
            <w:pPr>
              <w:pStyle w:val="SingleTxtG"/>
              <w:tabs>
                <w:tab w:val="clear" w:pos="1701"/>
                <w:tab w:val="clear" w:pos="2268"/>
                <w:tab w:val="clear" w:pos="2835"/>
              </w:tabs>
              <w:spacing w:before="40" w:after="40" w:line="220" w:lineRule="exact"/>
              <w:ind w:left="0" w:right="0"/>
              <w:jc w:val="left"/>
              <w:rPr>
                <w:bCs/>
                <w:sz w:val="18"/>
              </w:rPr>
            </w:pPr>
            <w:r w:rsidRPr="005B30A9">
              <w:rPr>
                <w:sz w:val="18"/>
              </w:rPr>
              <w:t>1</w:t>
            </w:r>
          </w:p>
        </w:tc>
        <w:tc>
          <w:tcPr>
            <w:tcW w:w="4112" w:type="dxa"/>
            <w:tcBorders>
              <w:top w:val="single" w:sz="12" w:space="0" w:color="auto"/>
            </w:tcBorders>
            <w:shd w:val="clear" w:color="auto" w:fill="auto"/>
            <w:vAlign w:val="bottom"/>
          </w:tcPr>
          <w:p w14:paraId="36AB6E3D" w14:textId="77777777" w:rsidR="00E302A0" w:rsidRPr="005B30A9" w:rsidRDefault="00E302A0" w:rsidP="00616FCD">
            <w:pPr>
              <w:pStyle w:val="SingleTxtG"/>
              <w:tabs>
                <w:tab w:val="clear" w:pos="1701"/>
                <w:tab w:val="clear" w:pos="2268"/>
                <w:tab w:val="clear" w:pos="2835"/>
              </w:tabs>
              <w:spacing w:before="40" w:after="40" w:line="220" w:lineRule="exact"/>
              <w:ind w:left="57" w:right="0"/>
              <w:jc w:val="left"/>
              <w:rPr>
                <w:bCs/>
                <w:sz w:val="18"/>
              </w:rPr>
            </w:pPr>
            <w:r w:rsidRPr="005B30A9">
              <w:rPr>
                <w:sz w:val="18"/>
              </w:rPr>
              <w:t>Comercio minorista</w:t>
            </w:r>
          </w:p>
        </w:tc>
        <w:tc>
          <w:tcPr>
            <w:tcW w:w="2395" w:type="dxa"/>
            <w:tcBorders>
              <w:top w:val="single" w:sz="12" w:space="0" w:color="auto"/>
            </w:tcBorders>
            <w:shd w:val="clear" w:color="auto" w:fill="auto"/>
            <w:vAlign w:val="bottom"/>
          </w:tcPr>
          <w:p w14:paraId="69B0E829" w14:textId="55651569"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7</w:t>
            </w:r>
            <w:r w:rsidR="002A1FCA" w:rsidRPr="005B30A9">
              <w:rPr>
                <w:sz w:val="18"/>
              </w:rPr>
              <w:t xml:space="preserve"> </w:t>
            </w:r>
            <w:r w:rsidRPr="005B30A9">
              <w:rPr>
                <w:sz w:val="18"/>
              </w:rPr>
              <w:t>204</w:t>
            </w:r>
          </w:p>
        </w:tc>
        <w:tc>
          <w:tcPr>
            <w:tcW w:w="2377" w:type="dxa"/>
            <w:tcBorders>
              <w:top w:val="single" w:sz="12" w:space="0" w:color="auto"/>
            </w:tcBorders>
            <w:shd w:val="clear" w:color="auto" w:fill="auto"/>
            <w:vAlign w:val="bottom"/>
          </w:tcPr>
          <w:p w14:paraId="42C74A1B" w14:textId="6F92D7EE"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20,5</w:t>
            </w:r>
          </w:p>
        </w:tc>
      </w:tr>
      <w:tr w:rsidR="00E302A0" w:rsidRPr="005B30A9" w14:paraId="53AC17F6" w14:textId="77777777" w:rsidTr="00E302A0">
        <w:trPr>
          <w:trHeight w:val="240"/>
        </w:trPr>
        <w:tc>
          <w:tcPr>
            <w:tcW w:w="754" w:type="dxa"/>
            <w:shd w:val="clear" w:color="auto" w:fill="auto"/>
          </w:tcPr>
          <w:p w14:paraId="38287F90" w14:textId="77777777" w:rsidR="00E302A0" w:rsidRPr="005B30A9" w:rsidRDefault="00E302A0" w:rsidP="00E302A0">
            <w:pPr>
              <w:pStyle w:val="SingleTxtG"/>
              <w:tabs>
                <w:tab w:val="clear" w:pos="1701"/>
                <w:tab w:val="clear" w:pos="2268"/>
                <w:tab w:val="clear" w:pos="2835"/>
              </w:tabs>
              <w:spacing w:before="40" w:after="40" w:line="220" w:lineRule="exact"/>
              <w:ind w:left="0" w:right="0"/>
              <w:jc w:val="left"/>
              <w:rPr>
                <w:bCs/>
                <w:sz w:val="18"/>
              </w:rPr>
            </w:pPr>
            <w:r w:rsidRPr="005B30A9">
              <w:rPr>
                <w:sz w:val="18"/>
              </w:rPr>
              <w:t>2</w:t>
            </w:r>
          </w:p>
        </w:tc>
        <w:tc>
          <w:tcPr>
            <w:tcW w:w="4112" w:type="dxa"/>
            <w:shd w:val="clear" w:color="auto" w:fill="auto"/>
            <w:vAlign w:val="bottom"/>
          </w:tcPr>
          <w:p w14:paraId="04B2968D" w14:textId="77777777" w:rsidR="00E302A0" w:rsidRPr="005B30A9" w:rsidRDefault="00E302A0" w:rsidP="00616FCD">
            <w:pPr>
              <w:pStyle w:val="SingleTxtG"/>
              <w:tabs>
                <w:tab w:val="clear" w:pos="1701"/>
                <w:tab w:val="clear" w:pos="2268"/>
                <w:tab w:val="clear" w:pos="2835"/>
              </w:tabs>
              <w:spacing w:before="40" w:after="40" w:line="220" w:lineRule="exact"/>
              <w:ind w:left="57" w:right="0"/>
              <w:jc w:val="left"/>
              <w:rPr>
                <w:bCs/>
                <w:sz w:val="18"/>
              </w:rPr>
            </w:pPr>
            <w:r w:rsidRPr="005B30A9">
              <w:rPr>
                <w:sz w:val="18"/>
              </w:rPr>
              <w:t>Empleo en una oficina</w:t>
            </w:r>
          </w:p>
        </w:tc>
        <w:tc>
          <w:tcPr>
            <w:tcW w:w="2395" w:type="dxa"/>
            <w:shd w:val="clear" w:color="auto" w:fill="auto"/>
            <w:vAlign w:val="bottom"/>
          </w:tcPr>
          <w:p w14:paraId="52464D87" w14:textId="0D45F40E"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3</w:t>
            </w:r>
            <w:r w:rsidR="002A1FCA" w:rsidRPr="005B30A9">
              <w:rPr>
                <w:sz w:val="18"/>
              </w:rPr>
              <w:t xml:space="preserve"> </w:t>
            </w:r>
            <w:r w:rsidRPr="005B30A9">
              <w:rPr>
                <w:sz w:val="18"/>
              </w:rPr>
              <w:t>502</w:t>
            </w:r>
          </w:p>
        </w:tc>
        <w:tc>
          <w:tcPr>
            <w:tcW w:w="2377" w:type="dxa"/>
            <w:shd w:val="clear" w:color="auto" w:fill="auto"/>
            <w:vAlign w:val="bottom"/>
          </w:tcPr>
          <w:p w14:paraId="6E19179F" w14:textId="6F72AAFC"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10,0</w:t>
            </w:r>
          </w:p>
        </w:tc>
      </w:tr>
      <w:tr w:rsidR="00E302A0" w:rsidRPr="005B30A9" w14:paraId="16809766" w14:textId="77777777" w:rsidTr="00E302A0">
        <w:trPr>
          <w:trHeight w:val="240"/>
        </w:trPr>
        <w:tc>
          <w:tcPr>
            <w:tcW w:w="754" w:type="dxa"/>
            <w:shd w:val="clear" w:color="auto" w:fill="auto"/>
          </w:tcPr>
          <w:p w14:paraId="0C20131C" w14:textId="77777777" w:rsidR="00E302A0" w:rsidRPr="005B30A9" w:rsidRDefault="00E302A0" w:rsidP="00E302A0">
            <w:pPr>
              <w:pStyle w:val="SingleTxtG"/>
              <w:tabs>
                <w:tab w:val="clear" w:pos="1701"/>
                <w:tab w:val="clear" w:pos="2268"/>
                <w:tab w:val="clear" w:pos="2835"/>
              </w:tabs>
              <w:spacing w:before="40" w:after="40" w:line="220" w:lineRule="exact"/>
              <w:ind w:left="0" w:right="0"/>
              <w:jc w:val="left"/>
              <w:rPr>
                <w:bCs/>
                <w:sz w:val="18"/>
              </w:rPr>
            </w:pPr>
            <w:r w:rsidRPr="005B30A9">
              <w:rPr>
                <w:sz w:val="18"/>
              </w:rPr>
              <w:t>3</w:t>
            </w:r>
          </w:p>
        </w:tc>
        <w:tc>
          <w:tcPr>
            <w:tcW w:w="4112" w:type="dxa"/>
            <w:shd w:val="clear" w:color="auto" w:fill="auto"/>
            <w:vAlign w:val="bottom"/>
          </w:tcPr>
          <w:p w14:paraId="4589CB60" w14:textId="77777777" w:rsidR="00E302A0" w:rsidRPr="005B30A9" w:rsidRDefault="00E302A0" w:rsidP="00616FCD">
            <w:pPr>
              <w:pStyle w:val="SingleTxtG"/>
              <w:tabs>
                <w:tab w:val="clear" w:pos="1701"/>
                <w:tab w:val="clear" w:pos="2268"/>
                <w:tab w:val="clear" w:pos="2835"/>
              </w:tabs>
              <w:spacing w:before="40" w:after="40" w:line="220" w:lineRule="exact"/>
              <w:ind w:left="57" w:right="0"/>
              <w:jc w:val="left"/>
              <w:rPr>
                <w:bCs/>
                <w:sz w:val="18"/>
              </w:rPr>
            </w:pPr>
            <w:r w:rsidRPr="005B30A9">
              <w:rPr>
                <w:sz w:val="18"/>
              </w:rPr>
              <w:t>Peluquería (estilismo)</w:t>
            </w:r>
          </w:p>
        </w:tc>
        <w:tc>
          <w:tcPr>
            <w:tcW w:w="2395" w:type="dxa"/>
            <w:shd w:val="clear" w:color="auto" w:fill="auto"/>
            <w:vAlign w:val="bottom"/>
          </w:tcPr>
          <w:p w14:paraId="524BF02D" w14:textId="3F6DAF64"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2</w:t>
            </w:r>
            <w:r w:rsidR="002A1FCA" w:rsidRPr="005B30A9">
              <w:rPr>
                <w:sz w:val="18"/>
              </w:rPr>
              <w:t xml:space="preserve"> </w:t>
            </w:r>
            <w:r w:rsidRPr="005B30A9">
              <w:rPr>
                <w:sz w:val="18"/>
              </w:rPr>
              <w:t>061</w:t>
            </w:r>
          </w:p>
        </w:tc>
        <w:tc>
          <w:tcPr>
            <w:tcW w:w="2377" w:type="dxa"/>
            <w:shd w:val="clear" w:color="auto" w:fill="auto"/>
            <w:vAlign w:val="bottom"/>
          </w:tcPr>
          <w:p w14:paraId="4649C112" w14:textId="1D168A8C"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5,9</w:t>
            </w:r>
          </w:p>
        </w:tc>
      </w:tr>
      <w:tr w:rsidR="00E302A0" w:rsidRPr="005B30A9" w14:paraId="0FEB4643" w14:textId="77777777" w:rsidTr="00E302A0">
        <w:trPr>
          <w:trHeight w:val="240"/>
        </w:trPr>
        <w:tc>
          <w:tcPr>
            <w:tcW w:w="754" w:type="dxa"/>
            <w:shd w:val="clear" w:color="auto" w:fill="auto"/>
          </w:tcPr>
          <w:p w14:paraId="5E3CDEF2" w14:textId="77777777" w:rsidR="00E302A0" w:rsidRPr="005B30A9" w:rsidRDefault="00E302A0" w:rsidP="00E302A0">
            <w:pPr>
              <w:pStyle w:val="SingleTxtG"/>
              <w:tabs>
                <w:tab w:val="clear" w:pos="1701"/>
                <w:tab w:val="clear" w:pos="2268"/>
                <w:tab w:val="clear" w:pos="2835"/>
              </w:tabs>
              <w:spacing w:before="40" w:after="40" w:line="220" w:lineRule="exact"/>
              <w:ind w:left="0" w:right="0"/>
              <w:jc w:val="left"/>
              <w:rPr>
                <w:bCs/>
                <w:sz w:val="18"/>
              </w:rPr>
            </w:pPr>
            <w:r w:rsidRPr="005B30A9">
              <w:rPr>
                <w:sz w:val="18"/>
              </w:rPr>
              <w:t>4</w:t>
            </w:r>
          </w:p>
        </w:tc>
        <w:tc>
          <w:tcPr>
            <w:tcW w:w="4112" w:type="dxa"/>
            <w:shd w:val="clear" w:color="auto" w:fill="auto"/>
            <w:vAlign w:val="bottom"/>
          </w:tcPr>
          <w:p w14:paraId="6041E146" w14:textId="77777777" w:rsidR="00E302A0" w:rsidRPr="005B30A9" w:rsidRDefault="00E302A0" w:rsidP="00616FCD">
            <w:pPr>
              <w:pStyle w:val="SingleTxtG"/>
              <w:tabs>
                <w:tab w:val="clear" w:pos="1701"/>
                <w:tab w:val="clear" w:pos="2268"/>
                <w:tab w:val="clear" w:pos="2835"/>
              </w:tabs>
              <w:spacing w:before="40" w:after="40" w:line="220" w:lineRule="exact"/>
              <w:ind w:left="57" w:right="0"/>
              <w:jc w:val="left"/>
              <w:rPr>
                <w:bCs/>
                <w:sz w:val="18"/>
              </w:rPr>
            </w:pPr>
            <w:r w:rsidRPr="005B30A9">
              <w:rPr>
                <w:sz w:val="18"/>
              </w:rPr>
              <w:t>Auxiliar administrativo</w:t>
            </w:r>
          </w:p>
        </w:tc>
        <w:tc>
          <w:tcPr>
            <w:tcW w:w="2395" w:type="dxa"/>
            <w:shd w:val="clear" w:color="auto" w:fill="auto"/>
            <w:vAlign w:val="bottom"/>
          </w:tcPr>
          <w:p w14:paraId="5A6C21D4" w14:textId="6B73E8C0"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1</w:t>
            </w:r>
            <w:r w:rsidR="002A1FCA" w:rsidRPr="005B30A9">
              <w:rPr>
                <w:sz w:val="18"/>
              </w:rPr>
              <w:t xml:space="preserve"> </w:t>
            </w:r>
            <w:r w:rsidRPr="005B30A9">
              <w:rPr>
                <w:sz w:val="18"/>
              </w:rPr>
              <w:t>520</w:t>
            </w:r>
          </w:p>
        </w:tc>
        <w:tc>
          <w:tcPr>
            <w:tcW w:w="2377" w:type="dxa"/>
            <w:shd w:val="clear" w:color="auto" w:fill="auto"/>
            <w:vAlign w:val="bottom"/>
          </w:tcPr>
          <w:p w14:paraId="015AB556" w14:textId="04CDE039"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4,3</w:t>
            </w:r>
          </w:p>
        </w:tc>
      </w:tr>
      <w:tr w:rsidR="00E302A0" w:rsidRPr="005B30A9" w14:paraId="63C34766" w14:textId="77777777" w:rsidTr="00E302A0">
        <w:trPr>
          <w:trHeight w:val="240"/>
        </w:trPr>
        <w:tc>
          <w:tcPr>
            <w:tcW w:w="754" w:type="dxa"/>
            <w:shd w:val="clear" w:color="auto" w:fill="auto"/>
          </w:tcPr>
          <w:p w14:paraId="4FF33DA6" w14:textId="77777777" w:rsidR="00E302A0" w:rsidRPr="005B30A9" w:rsidRDefault="00E302A0" w:rsidP="00E302A0">
            <w:pPr>
              <w:pStyle w:val="SingleTxtG"/>
              <w:tabs>
                <w:tab w:val="clear" w:pos="1701"/>
                <w:tab w:val="clear" w:pos="2268"/>
                <w:tab w:val="clear" w:pos="2835"/>
              </w:tabs>
              <w:spacing w:before="40" w:after="40" w:line="220" w:lineRule="exact"/>
              <w:ind w:left="0" w:right="0"/>
              <w:jc w:val="left"/>
              <w:rPr>
                <w:bCs/>
                <w:sz w:val="18"/>
              </w:rPr>
            </w:pPr>
            <w:r w:rsidRPr="005B30A9">
              <w:rPr>
                <w:sz w:val="18"/>
              </w:rPr>
              <w:t>5</w:t>
            </w:r>
          </w:p>
        </w:tc>
        <w:tc>
          <w:tcPr>
            <w:tcW w:w="4112" w:type="dxa"/>
            <w:shd w:val="clear" w:color="auto" w:fill="auto"/>
            <w:vAlign w:val="bottom"/>
          </w:tcPr>
          <w:p w14:paraId="4190EF52" w14:textId="77777777" w:rsidR="00E302A0" w:rsidRPr="005B30A9" w:rsidRDefault="00E302A0" w:rsidP="00616FCD">
            <w:pPr>
              <w:pStyle w:val="SingleTxtG"/>
              <w:tabs>
                <w:tab w:val="clear" w:pos="1701"/>
                <w:tab w:val="clear" w:pos="2268"/>
                <w:tab w:val="clear" w:pos="2835"/>
              </w:tabs>
              <w:spacing w:before="40" w:after="40" w:line="220" w:lineRule="exact"/>
              <w:ind w:left="57" w:right="0"/>
              <w:jc w:val="left"/>
              <w:rPr>
                <w:bCs/>
                <w:sz w:val="18"/>
              </w:rPr>
            </w:pPr>
            <w:r w:rsidRPr="005B30A9">
              <w:rPr>
                <w:sz w:val="18"/>
              </w:rPr>
              <w:t>Auxiliar farmacéutico-comercial</w:t>
            </w:r>
          </w:p>
        </w:tc>
        <w:tc>
          <w:tcPr>
            <w:tcW w:w="2395" w:type="dxa"/>
            <w:shd w:val="clear" w:color="auto" w:fill="auto"/>
            <w:vAlign w:val="bottom"/>
          </w:tcPr>
          <w:p w14:paraId="7039EF0F" w14:textId="34A01E7E"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1</w:t>
            </w:r>
            <w:r w:rsidR="002A1FCA" w:rsidRPr="005B30A9">
              <w:rPr>
                <w:sz w:val="18"/>
              </w:rPr>
              <w:t xml:space="preserve"> </w:t>
            </w:r>
            <w:r w:rsidRPr="005B30A9">
              <w:rPr>
                <w:sz w:val="18"/>
              </w:rPr>
              <w:t>513</w:t>
            </w:r>
          </w:p>
        </w:tc>
        <w:tc>
          <w:tcPr>
            <w:tcW w:w="2377" w:type="dxa"/>
            <w:shd w:val="clear" w:color="auto" w:fill="auto"/>
            <w:vAlign w:val="bottom"/>
          </w:tcPr>
          <w:p w14:paraId="7994FD38" w14:textId="691FA97F"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4,3</w:t>
            </w:r>
          </w:p>
        </w:tc>
      </w:tr>
      <w:tr w:rsidR="00E302A0" w:rsidRPr="005B30A9" w14:paraId="3D24F8A8" w14:textId="77777777" w:rsidTr="00E302A0">
        <w:trPr>
          <w:trHeight w:val="240"/>
        </w:trPr>
        <w:tc>
          <w:tcPr>
            <w:tcW w:w="754" w:type="dxa"/>
            <w:shd w:val="clear" w:color="auto" w:fill="auto"/>
          </w:tcPr>
          <w:p w14:paraId="55971036" w14:textId="77777777" w:rsidR="00E302A0" w:rsidRPr="005B30A9" w:rsidRDefault="00E302A0" w:rsidP="00E302A0">
            <w:pPr>
              <w:pStyle w:val="SingleTxtG"/>
              <w:tabs>
                <w:tab w:val="clear" w:pos="1701"/>
                <w:tab w:val="clear" w:pos="2268"/>
                <w:tab w:val="clear" w:pos="2835"/>
              </w:tabs>
              <w:spacing w:before="40" w:after="40" w:line="220" w:lineRule="exact"/>
              <w:ind w:left="0" w:right="0"/>
              <w:jc w:val="left"/>
              <w:rPr>
                <w:bCs/>
                <w:sz w:val="18"/>
              </w:rPr>
            </w:pPr>
            <w:r w:rsidRPr="005B30A9">
              <w:rPr>
                <w:sz w:val="18"/>
              </w:rPr>
              <w:t>6</w:t>
            </w:r>
          </w:p>
        </w:tc>
        <w:tc>
          <w:tcPr>
            <w:tcW w:w="4112" w:type="dxa"/>
            <w:shd w:val="clear" w:color="auto" w:fill="auto"/>
            <w:vAlign w:val="bottom"/>
          </w:tcPr>
          <w:p w14:paraId="1F55C0A2" w14:textId="77777777" w:rsidR="00E302A0" w:rsidRPr="005B30A9" w:rsidRDefault="00E302A0" w:rsidP="00616FCD">
            <w:pPr>
              <w:pStyle w:val="SingleTxtG"/>
              <w:tabs>
                <w:tab w:val="clear" w:pos="1701"/>
                <w:tab w:val="clear" w:pos="2268"/>
                <w:tab w:val="clear" w:pos="2835"/>
              </w:tabs>
              <w:spacing w:before="40" w:after="40" w:line="220" w:lineRule="exact"/>
              <w:ind w:left="57" w:right="0"/>
              <w:jc w:val="left"/>
              <w:rPr>
                <w:bCs/>
                <w:sz w:val="18"/>
              </w:rPr>
            </w:pPr>
            <w:r w:rsidRPr="005B30A9">
              <w:rPr>
                <w:sz w:val="18"/>
              </w:rPr>
              <w:t>Metalurgia</w:t>
            </w:r>
          </w:p>
        </w:tc>
        <w:tc>
          <w:tcPr>
            <w:tcW w:w="2395" w:type="dxa"/>
            <w:shd w:val="clear" w:color="auto" w:fill="auto"/>
            <w:vAlign w:val="bottom"/>
          </w:tcPr>
          <w:p w14:paraId="37CBD899" w14:textId="13D80665"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1</w:t>
            </w:r>
            <w:r w:rsidR="002A1FCA" w:rsidRPr="005B30A9">
              <w:rPr>
                <w:sz w:val="18"/>
              </w:rPr>
              <w:t xml:space="preserve"> </w:t>
            </w:r>
            <w:r w:rsidRPr="005B30A9">
              <w:rPr>
                <w:sz w:val="18"/>
              </w:rPr>
              <w:t>086</w:t>
            </w:r>
          </w:p>
        </w:tc>
        <w:tc>
          <w:tcPr>
            <w:tcW w:w="2377" w:type="dxa"/>
            <w:shd w:val="clear" w:color="auto" w:fill="auto"/>
            <w:vAlign w:val="bottom"/>
          </w:tcPr>
          <w:p w14:paraId="224145F1" w14:textId="7EB64F37"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3,1</w:t>
            </w:r>
          </w:p>
        </w:tc>
      </w:tr>
      <w:tr w:rsidR="00E302A0" w:rsidRPr="005B30A9" w14:paraId="5EE906F8" w14:textId="77777777" w:rsidTr="00E302A0">
        <w:trPr>
          <w:trHeight w:val="240"/>
        </w:trPr>
        <w:tc>
          <w:tcPr>
            <w:tcW w:w="754" w:type="dxa"/>
            <w:shd w:val="clear" w:color="auto" w:fill="auto"/>
          </w:tcPr>
          <w:p w14:paraId="4E641128" w14:textId="77777777" w:rsidR="00E302A0" w:rsidRPr="005B30A9" w:rsidRDefault="00E302A0" w:rsidP="00E302A0">
            <w:pPr>
              <w:pStyle w:val="SingleTxtG"/>
              <w:tabs>
                <w:tab w:val="clear" w:pos="1701"/>
                <w:tab w:val="clear" w:pos="2268"/>
                <w:tab w:val="clear" w:pos="2835"/>
              </w:tabs>
              <w:spacing w:before="40" w:after="40" w:line="220" w:lineRule="exact"/>
              <w:ind w:left="0" w:right="0"/>
              <w:jc w:val="left"/>
              <w:rPr>
                <w:bCs/>
                <w:sz w:val="18"/>
              </w:rPr>
            </w:pPr>
            <w:r w:rsidRPr="005B30A9">
              <w:rPr>
                <w:sz w:val="18"/>
              </w:rPr>
              <w:t>7</w:t>
            </w:r>
          </w:p>
        </w:tc>
        <w:tc>
          <w:tcPr>
            <w:tcW w:w="4112" w:type="dxa"/>
            <w:shd w:val="clear" w:color="auto" w:fill="auto"/>
            <w:vAlign w:val="bottom"/>
          </w:tcPr>
          <w:p w14:paraId="6FF31A59" w14:textId="77777777" w:rsidR="00E302A0" w:rsidRPr="005B30A9" w:rsidRDefault="00E302A0" w:rsidP="00616FCD">
            <w:pPr>
              <w:pStyle w:val="SingleTxtG"/>
              <w:tabs>
                <w:tab w:val="clear" w:pos="1701"/>
                <w:tab w:val="clear" w:pos="2268"/>
                <w:tab w:val="clear" w:pos="2835"/>
              </w:tabs>
              <w:spacing w:before="40" w:after="40" w:line="220" w:lineRule="exact"/>
              <w:ind w:left="57" w:right="0"/>
              <w:jc w:val="left"/>
              <w:rPr>
                <w:bCs/>
                <w:sz w:val="18"/>
              </w:rPr>
            </w:pPr>
            <w:r w:rsidRPr="005B30A9">
              <w:rPr>
                <w:sz w:val="18"/>
              </w:rPr>
              <w:t>Repostería (chef de pastelería)</w:t>
            </w:r>
          </w:p>
        </w:tc>
        <w:tc>
          <w:tcPr>
            <w:tcW w:w="2395" w:type="dxa"/>
            <w:shd w:val="clear" w:color="auto" w:fill="auto"/>
            <w:vAlign w:val="bottom"/>
          </w:tcPr>
          <w:p w14:paraId="5C46BAF9" w14:textId="77777777"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956</w:t>
            </w:r>
          </w:p>
        </w:tc>
        <w:tc>
          <w:tcPr>
            <w:tcW w:w="2377" w:type="dxa"/>
            <w:shd w:val="clear" w:color="auto" w:fill="auto"/>
            <w:vAlign w:val="bottom"/>
          </w:tcPr>
          <w:p w14:paraId="207FB900" w14:textId="3309E844"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2,7</w:t>
            </w:r>
          </w:p>
        </w:tc>
      </w:tr>
      <w:tr w:rsidR="00E302A0" w:rsidRPr="005B30A9" w14:paraId="5D3804BE" w14:textId="77777777" w:rsidTr="00E302A0">
        <w:trPr>
          <w:trHeight w:val="240"/>
        </w:trPr>
        <w:tc>
          <w:tcPr>
            <w:tcW w:w="754" w:type="dxa"/>
            <w:shd w:val="clear" w:color="auto" w:fill="auto"/>
          </w:tcPr>
          <w:p w14:paraId="2CBD4D5C" w14:textId="77777777" w:rsidR="00E302A0" w:rsidRPr="005B30A9" w:rsidRDefault="00E302A0" w:rsidP="00E302A0">
            <w:pPr>
              <w:pStyle w:val="SingleTxtG"/>
              <w:tabs>
                <w:tab w:val="clear" w:pos="1701"/>
                <w:tab w:val="clear" w:pos="2268"/>
                <w:tab w:val="clear" w:pos="2835"/>
              </w:tabs>
              <w:spacing w:before="40" w:after="40" w:line="220" w:lineRule="exact"/>
              <w:ind w:left="0" w:right="0"/>
              <w:jc w:val="left"/>
              <w:rPr>
                <w:bCs/>
                <w:sz w:val="18"/>
              </w:rPr>
            </w:pPr>
            <w:r w:rsidRPr="005B30A9">
              <w:rPr>
                <w:sz w:val="18"/>
              </w:rPr>
              <w:t>8</w:t>
            </w:r>
          </w:p>
        </w:tc>
        <w:tc>
          <w:tcPr>
            <w:tcW w:w="4112" w:type="dxa"/>
            <w:shd w:val="clear" w:color="auto" w:fill="auto"/>
            <w:vAlign w:val="bottom"/>
          </w:tcPr>
          <w:p w14:paraId="754D8029" w14:textId="77777777" w:rsidR="00E302A0" w:rsidRPr="005B30A9" w:rsidRDefault="00E302A0" w:rsidP="00616FCD">
            <w:pPr>
              <w:pStyle w:val="SingleTxtG"/>
              <w:tabs>
                <w:tab w:val="clear" w:pos="1701"/>
                <w:tab w:val="clear" w:pos="2268"/>
                <w:tab w:val="clear" w:pos="2835"/>
              </w:tabs>
              <w:spacing w:before="40" w:after="40" w:line="220" w:lineRule="exact"/>
              <w:ind w:left="57" w:right="0"/>
              <w:jc w:val="left"/>
              <w:rPr>
                <w:bCs/>
                <w:sz w:val="18"/>
              </w:rPr>
            </w:pPr>
            <w:r w:rsidRPr="005B30A9">
              <w:rPr>
                <w:sz w:val="18"/>
              </w:rPr>
              <w:t>Chef</w:t>
            </w:r>
          </w:p>
        </w:tc>
        <w:tc>
          <w:tcPr>
            <w:tcW w:w="2395" w:type="dxa"/>
            <w:shd w:val="clear" w:color="auto" w:fill="auto"/>
            <w:vAlign w:val="bottom"/>
          </w:tcPr>
          <w:p w14:paraId="393A9882" w14:textId="77777777"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946</w:t>
            </w:r>
          </w:p>
        </w:tc>
        <w:tc>
          <w:tcPr>
            <w:tcW w:w="2377" w:type="dxa"/>
            <w:shd w:val="clear" w:color="auto" w:fill="auto"/>
            <w:vAlign w:val="bottom"/>
          </w:tcPr>
          <w:p w14:paraId="17F9978F" w14:textId="1E205923"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2,7</w:t>
            </w:r>
          </w:p>
        </w:tc>
      </w:tr>
      <w:tr w:rsidR="00E302A0" w:rsidRPr="005B30A9" w14:paraId="6AFDB4AD" w14:textId="77777777" w:rsidTr="00E302A0">
        <w:trPr>
          <w:trHeight w:val="240"/>
        </w:trPr>
        <w:tc>
          <w:tcPr>
            <w:tcW w:w="754" w:type="dxa"/>
            <w:shd w:val="clear" w:color="auto" w:fill="auto"/>
          </w:tcPr>
          <w:p w14:paraId="491AC4EA" w14:textId="77777777" w:rsidR="00E302A0" w:rsidRPr="005B30A9" w:rsidRDefault="00E302A0" w:rsidP="00E302A0">
            <w:pPr>
              <w:pStyle w:val="SingleTxtG"/>
              <w:tabs>
                <w:tab w:val="clear" w:pos="1701"/>
                <w:tab w:val="clear" w:pos="2268"/>
                <w:tab w:val="clear" w:pos="2835"/>
              </w:tabs>
              <w:spacing w:before="40" w:after="40" w:line="220" w:lineRule="exact"/>
              <w:ind w:left="0" w:right="0"/>
              <w:jc w:val="left"/>
              <w:rPr>
                <w:bCs/>
                <w:sz w:val="18"/>
              </w:rPr>
            </w:pPr>
            <w:r w:rsidRPr="005B30A9">
              <w:rPr>
                <w:sz w:val="18"/>
              </w:rPr>
              <w:t>9</w:t>
            </w:r>
          </w:p>
        </w:tc>
        <w:tc>
          <w:tcPr>
            <w:tcW w:w="4112" w:type="dxa"/>
            <w:shd w:val="clear" w:color="auto" w:fill="auto"/>
            <w:vAlign w:val="bottom"/>
          </w:tcPr>
          <w:p w14:paraId="23012152" w14:textId="77777777" w:rsidR="00E302A0" w:rsidRPr="005B30A9" w:rsidRDefault="00E302A0" w:rsidP="00616FCD">
            <w:pPr>
              <w:pStyle w:val="SingleTxtG"/>
              <w:tabs>
                <w:tab w:val="clear" w:pos="1701"/>
                <w:tab w:val="clear" w:pos="2268"/>
                <w:tab w:val="clear" w:pos="2835"/>
              </w:tabs>
              <w:spacing w:before="40" w:after="40" w:line="220" w:lineRule="exact"/>
              <w:ind w:left="57" w:right="0"/>
              <w:jc w:val="left"/>
              <w:rPr>
                <w:bCs/>
                <w:sz w:val="18"/>
              </w:rPr>
            </w:pPr>
            <w:r w:rsidRPr="005B30A9">
              <w:rPr>
                <w:sz w:val="18"/>
              </w:rPr>
              <w:t>Auxiliar de servicios de comedores y hostelería</w:t>
            </w:r>
          </w:p>
        </w:tc>
        <w:tc>
          <w:tcPr>
            <w:tcW w:w="2395" w:type="dxa"/>
            <w:shd w:val="clear" w:color="auto" w:fill="auto"/>
            <w:vAlign w:val="bottom"/>
          </w:tcPr>
          <w:p w14:paraId="7D68183C" w14:textId="77777777"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804</w:t>
            </w:r>
          </w:p>
        </w:tc>
        <w:tc>
          <w:tcPr>
            <w:tcW w:w="2377" w:type="dxa"/>
            <w:shd w:val="clear" w:color="auto" w:fill="auto"/>
            <w:vAlign w:val="bottom"/>
          </w:tcPr>
          <w:p w14:paraId="1D76A0A6" w14:textId="5A0864C9"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2,3</w:t>
            </w:r>
          </w:p>
        </w:tc>
      </w:tr>
      <w:tr w:rsidR="00E302A0" w:rsidRPr="005B30A9" w14:paraId="1F960872" w14:textId="77777777" w:rsidTr="002A1FCA">
        <w:trPr>
          <w:trHeight w:val="240"/>
        </w:trPr>
        <w:tc>
          <w:tcPr>
            <w:tcW w:w="754" w:type="dxa"/>
            <w:tcBorders>
              <w:bottom w:val="single" w:sz="4" w:space="0" w:color="auto"/>
            </w:tcBorders>
            <w:shd w:val="clear" w:color="auto" w:fill="auto"/>
          </w:tcPr>
          <w:p w14:paraId="22094FC7" w14:textId="77777777" w:rsidR="00E302A0" w:rsidRPr="005B30A9" w:rsidRDefault="00E302A0" w:rsidP="00E302A0">
            <w:pPr>
              <w:pStyle w:val="SingleTxtG"/>
              <w:tabs>
                <w:tab w:val="clear" w:pos="1701"/>
                <w:tab w:val="clear" w:pos="2268"/>
                <w:tab w:val="clear" w:pos="2835"/>
              </w:tabs>
              <w:spacing w:before="40" w:after="40" w:line="220" w:lineRule="exact"/>
              <w:ind w:left="0" w:right="0"/>
              <w:jc w:val="left"/>
              <w:rPr>
                <w:bCs/>
                <w:sz w:val="18"/>
              </w:rPr>
            </w:pPr>
            <w:r w:rsidRPr="005B30A9">
              <w:rPr>
                <w:sz w:val="18"/>
              </w:rPr>
              <w:t>10</w:t>
            </w:r>
          </w:p>
        </w:tc>
        <w:tc>
          <w:tcPr>
            <w:tcW w:w="4112" w:type="dxa"/>
            <w:tcBorders>
              <w:bottom w:val="single" w:sz="4" w:space="0" w:color="auto"/>
            </w:tcBorders>
            <w:shd w:val="clear" w:color="auto" w:fill="auto"/>
            <w:vAlign w:val="bottom"/>
          </w:tcPr>
          <w:p w14:paraId="5A4653BE" w14:textId="77777777" w:rsidR="00E302A0" w:rsidRPr="005B30A9" w:rsidRDefault="00E302A0" w:rsidP="00616FCD">
            <w:pPr>
              <w:pStyle w:val="SingleTxtG"/>
              <w:tabs>
                <w:tab w:val="clear" w:pos="1701"/>
                <w:tab w:val="clear" w:pos="2268"/>
                <w:tab w:val="clear" w:pos="2835"/>
              </w:tabs>
              <w:spacing w:before="40" w:after="40" w:line="220" w:lineRule="exact"/>
              <w:ind w:left="57" w:right="0"/>
              <w:jc w:val="left"/>
              <w:rPr>
                <w:bCs/>
                <w:sz w:val="18"/>
              </w:rPr>
            </w:pPr>
            <w:r w:rsidRPr="005B30A9">
              <w:rPr>
                <w:sz w:val="18"/>
              </w:rPr>
              <w:t>Trabajo cualificado en la restauración</w:t>
            </w:r>
          </w:p>
        </w:tc>
        <w:tc>
          <w:tcPr>
            <w:tcW w:w="2395" w:type="dxa"/>
            <w:tcBorders>
              <w:bottom w:val="single" w:sz="4" w:space="0" w:color="auto"/>
            </w:tcBorders>
            <w:shd w:val="clear" w:color="auto" w:fill="auto"/>
            <w:vAlign w:val="bottom"/>
          </w:tcPr>
          <w:p w14:paraId="570780AE" w14:textId="77777777"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778</w:t>
            </w:r>
          </w:p>
        </w:tc>
        <w:tc>
          <w:tcPr>
            <w:tcW w:w="2377" w:type="dxa"/>
            <w:tcBorders>
              <w:bottom w:val="single" w:sz="4" w:space="0" w:color="auto"/>
            </w:tcBorders>
            <w:shd w:val="clear" w:color="auto" w:fill="auto"/>
            <w:vAlign w:val="bottom"/>
          </w:tcPr>
          <w:p w14:paraId="55E07930" w14:textId="0F0F6164" w:rsidR="00E302A0" w:rsidRPr="005B30A9" w:rsidRDefault="00E302A0" w:rsidP="002A1FCA">
            <w:pPr>
              <w:pStyle w:val="SingleTxtG"/>
              <w:tabs>
                <w:tab w:val="clear" w:pos="1701"/>
                <w:tab w:val="clear" w:pos="2268"/>
                <w:tab w:val="clear" w:pos="2835"/>
              </w:tabs>
              <w:spacing w:before="40" w:after="40" w:line="220" w:lineRule="exact"/>
              <w:ind w:left="0" w:right="28"/>
              <w:jc w:val="right"/>
              <w:rPr>
                <w:bCs/>
                <w:sz w:val="18"/>
              </w:rPr>
            </w:pPr>
            <w:r w:rsidRPr="005B30A9">
              <w:rPr>
                <w:sz w:val="18"/>
              </w:rPr>
              <w:t>2,2</w:t>
            </w:r>
          </w:p>
        </w:tc>
      </w:tr>
      <w:tr w:rsidR="00E302A0" w:rsidRPr="005B30A9" w14:paraId="6AC2CCF5" w14:textId="77777777" w:rsidTr="002A1FCA">
        <w:trPr>
          <w:trHeight w:val="240"/>
        </w:trPr>
        <w:tc>
          <w:tcPr>
            <w:tcW w:w="4866" w:type="dxa"/>
            <w:gridSpan w:val="2"/>
            <w:tcBorders>
              <w:top w:val="single" w:sz="4" w:space="0" w:color="auto"/>
              <w:bottom w:val="single" w:sz="4" w:space="0" w:color="auto"/>
            </w:tcBorders>
            <w:shd w:val="clear" w:color="auto" w:fill="auto"/>
          </w:tcPr>
          <w:p w14:paraId="59CEC75E" w14:textId="77777777" w:rsidR="00E302A0" w:rsidRPr="005B30A9" w:rsidRDefault="00E302A0" w:rsidP="002A1FCA">
            <w:pPr>
              <w:pStyle w:val="SingleTxtG"/>
              <w:tabs>
                <w:tab w:val="clear" w:pos="1701"/>
                <w:tab w:val="clear" w:pos="2268"/>
                <w:tab w:val="clear" w:pos="2835"/>
              </w:tabs>
              <w:spacing w:before="80" w:after="80" w:line="220" w:lineRule="exact"/>
              <w:ind w:left="283" w:right="0"/>
              <w:jc w:val="left"/>
              <w:rPr>
                <w:b/>
                <w:bCs/>
                <w:sz w:val="18"/>
              </w:rPr>
            </w:pPr>
            <w:r w:rsidRPr="005B30A9">
              <w:rPr>
                <w:b/>
                <w:bCs/>
                <w:sz w:val="18"/>
              </w:rPr>
              <w:t>Total de los 10 principales aprendizajes</w:t>
            </w:r>
          </w:p>
        </w:tc>
        <w:tc>
          <w:tcPr>
            <w:tcW w:w="2395" w:type="dxa"/>
            <w:tcBorders>
              <w:top w:val="single" w:sz="4" w:space="0" w:color="auto"/>
              <w:bottom w:val="single" w:sz="4" w:space="0" w:color="auto"/>
            </w:tcBorders>
            <w:shd w:val="clear" w:color="auto" w:fill="auto"/>
            <w:vAlign w:val="bottom"/>
          </w:tcPr>
          <w:p w14:paraId="6CC345B3" w14:textId="201E8162" w:rsidR="00E302A0" w:rsidRPr="005B30A9" w:rsidRDefault="00E302A0" w:rsidP="002A1FCA">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20</w:t>
            </w:r>
            <w:r w:rsidR="002A1FCA" w:rsidRPr="005B30A9">
              <w:rPr>
                <w:b/>
                <w:bCs/>
                <w:sz w:val="18"/>
              </w:rPr>
              <w:t xml:space="preserve"> </w:t>
            </w:r>
            <w:r w:rsidRPr="005B30A9">
              <w:rPr>
                <w:b/>
                <w:bCs/>
                <w:sz w:val="18"/>
              </w:rPr>
              <w:t>370</w:t>
            </w:r>
          </w:p>
        </w:tc>
        <w:tc>
          <w:tcPr>
            <w:tcW w:w="2377" w:type="dxa"/>
            <w:tcBorders>
              <w:top w:val="single" w:sz="4" w:space="0" w:color="auto"/>
              <w:bottom w:val="single" w:sz="4" w:space="0" w:color="auto"/>
            </w:tcBorders>
            <w:shd w:val="clear" w:color="auto" w:fill="auto"/>
            <w:vAlign w:val="bottom"/>
          </w:tcPr>
          <w:p w14:paraId="1A55DB17" w14:textId="5C180228" w:rsidR="00E302A0" w:rsidRPr="005B30A9" w:rsidRDefault="00E302A0" w:rsidP="002A1FCA">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58,0</w:t>
            </w:r>
          </w:p>
        </w:tc>
      </w:tr>
      <w:tr w:rsidR="00E302A0" w:rsidRPr="005B30A9" w14:paraId="737A8868" w14:textId="77777777" w:rsidTr="002A1FCA">
        <w:trPr>
          <w:trHeight w:val="240"/>
        </w:trPr>
        <w:tc>
          <w:tcPr>
            <w:tcW w:w="4866" w:type="dxa"/>
            <w:gridSpan w:val="2"/>
            <w:tcBorders>
              <w:top w:val="single" w:sz="4" w:space="0" w:color="auto"/>
              <w:bottom w:val="single" w:sz="12" w:space="0" w:color="auto"/>
            </w:tcBorders>
            <w:shd w:val="clear" w:color="auto" w:fill="auto"/>
          </w:tcPr>
          <w:p w14:paraId="4E3DB768" w14:textId="77777777" w:rsidR="00E302A0" w:rsidRPr="005B30A9" w:rsidRDefault="00E302A0" w:rsidP="002A1FCA">
            <w:pPr>
              <w:pStyle w:val="SingleTxtG"/>
              <w:tabs>
                <w:tab w:val="clear" w:pos="1701"/>
                <w:tab w:val="clear" w:pos="2268"/>
                <w:tab w:val="clear" w:pos="2835"/>
              </w:tabs>
              <w:spacing w:before="80" w:after="80" w:line="220" w:lineRule="exact"/>
              <w:ind w:left="283" w:right="0"/>
              <w:jc w:val="left"/>
              <w:rPr>
                <w:b/>
                <w:bCs/>
                <w:sz w:val="18"/>
              </w:rPr>
            </w:pPr>
            <w:r w:rsidRPr="005B30A9">
              <w:rPr>
                <w:b/>
                <w:bCs/>
                <w:sz w:val="18"/>
              </w:rPr>
              <w:t>Total de aprendices</w:t>
            </w:r>
          </w:p>
        </w:tc>
        <w:tc>
          <w:tcPr>
            <w:tcW w:w="2395" w:type="dxa"/>
            <w:tcBorders>
              <w:top w:val="single" w:sz="4" w:space="0" w:color="auto"/>
              <w:bottom w:val="single" w:sz="12" w:space="0" w:color="auto"/>
            </w:tcBorders>
            <w:shd w:val="clear" w:color="auto" w:fill="auto"/>
            <w:vAlign w:val="bottom"/>
          </w:tcPr>
          <w:p w14:paraId="30B1F9E8" w14:textId="030178A1" w:rsidR="00E302A0" w:rsidRPr="005B30A9" w:rsidRDefault="00E302A0" w:rsidP="002A1FCA">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35</w:t>
            </w:r>
            <w:r w:rsidR="002A1FCA" w:rsidRPr="005B30A9">
              <w:rPr>
                <w:b/>
                <w:bCs/>
                <w:sz w:val="18"/>
              </w:rPr>
              <w:t xml:space="preserve"> </w:t>
            </w:r>
            <w:r w:rsidRPr="005B30A9">
              <w:rPr>
                <w:b/>
                <w:bCs/>
                <w:sz w:val="18"/>
              </w:rPr>
              <w:t>137</w:t>
            </w:r>
          </w:p>
        </w:tc>
        <w:tc>
          <w:tcPr>
            <w:tcW w:w="2377" w:type="dxa"/>
            <w:tcBorders>
              <w:top w:val="single" w:sz="4" w:space="0" w:color="auto"/>
              <w:bottom w:val="single" w:sz="12" w:space="0" w:color="auto"/>
            </w:tcBorders>
            <w:shd w:val="clear" w:color="auto" w:fill="auto"/>
            <w:vAlign w:val="bottom"/>
          </w:tcPr>
          <w:p w14:paraId="36CD0D0D" w14:textId="2017A7A7" w:rsidR="00E302A0" w:rsidRPr="005B30A9" w:rsidRDefault="00E302A0" w:rsidP="002A1FCA">
            <w:pPr>
              <w:pStyle w:val="SingleTxtG"/>
              <w:tabs>
                <w:tab w:val="clear" w:pos="1701"/>
                <w:tab w:val="clear" w:pos="2268"/>
                <w:tab w:val="clear" w:pos="2835"/>
              </w:tabs>
              <w:spacing w:before="80" w:after="80" w:line="220" w:lineRule="exact"/>
              <w:ind w:left="0" w:right="28"/>
              <w:jc w:val="right"/>
              <w:rPr>
                <w:b/>
                <w:bCs/>
                <w:sz w:val="18"/>
              </w:rPr>
            </w:pPr>
            <w:r w:rsidRPr="005B30A9">
              <w:rPr>
                <w:b/>
                <w:bCs/>
                <w:sz w:val="18"/>
              </w:rPr>
              <w:t>100</w:t>
            </w:r>
          </w:p>
        </w:tc>
      </w:tr>
    </w:tbl>
    <w:p w14:paraId="3ECFF212" w14:textId="77777777" w:rsidR="00E302A0" w:rsidRPr="005B30A9" w:rsidRDefault="00E302A0" w:rsidP="002A1FCA">
      <w:pPr>
        <w:pStyle w:val="SingleTxtG"/>
        <w:spacing w:before="120"/>
        <w:ind w:firstLine="170"/>
        <w:jc w:val="left"/>
        <w:rPr>
          <w:sz w:val="18"/>
          <w:szCs w:val="18"/>
        </w:rPr>
      </w:pPr>
      <w:r w:rsidRPr="005B30A9">
        <w:rPr>
          <w:i/>
          <w:iCs/>
          <w:sz w:val="18"/>
          <w:szCs w:val="18"/>
        </w:rPr>
        <w:t>Fuente:</w:t>
      </w:r>
      <w:r w:rsidRPr="005B30A9">
        <w:rPr>
          <w:sz w:val="18"/>
          <w:szCs w:val="18"/>
        </w:rPr>
        <w:t xml:space="preserve"> Estadísticas de las WKO sobre aprendizaje (al 31 de diciembre de 2022).</w:t>
      </w:r>
    </w:p>
    <w:p w14:paraId="4A8672C8" w14:textId="77777777" w:rsidR="00E302A0" w:rsidRPr="005B30A9" w:rsidRDefault="00E302A0" w:rsidP="002A1FCA">
      <w:pPr>
        <w:pStyle w:val="Table1G"/>
      </w:pPr>
      <w:r w:rsidRPr="005B30A9">
        <w:t>Cuadro 28</w:t>
      </w:r>
    </w:p>
    <w:p w14:paraId="22EE3F1F" w14:textId="4E83E3EC" w:rsidR="00E302A0" w:rsidRPr="005B30A9" w:rsidRDefault="00E302A0" w:rsidP="002A1FCA">
      <w:pPr>
        <w:pStyle w:val="SingleTxtG"/>
        <w:jc w:val="left"/>
        <w:rPr>
          <w:sz w:val="16"/>
          <w:szCs w:val="16"/>
        </w:rPr>
      </w:pPr>
      <w:r w:rsidRPr="005B30A9">
        <w:rPr>
          <w:b/>
          <w:bCs/>
        </w:rPr>
        <w:t xml:space="preserve">Variaciones en los tres principales aprendizajes elegidos por mujeres, </w:t>
      </w:r>
      <w:r w:rsidR="002A1FCA" w:rsidRPr="005B30A9">
        <w:rPr>
          <w:b/>
          <w:bCs/>
        </w:rPr>
        <w:br/>
      </w:r>
      <w:r w:rsidRPr="005B30A9">
        <w:rPr>
          <w:b/>
          <w:bCs/>
        </w:rPr>
        <w:t>2002-2022</w:t>
      </w:r>
      <w:r w:rsidR="002A1FCA" w:rsidRPr="005B30A9">
        <w:rPr>
          <w:b/>
          <w:bCs/>
        </w:rPr>
        <w:br/>
      </w:r>
      <w:r w:rsidR="002A1FCA" w:rsidRPr="005B30A9">
        <w:rPr>
          <w:sz w:val="16"/>
          <w:szCs w:val="16"/>
        </w:rPr>
        <w:t>(En porcentaje)</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3720"/>
        <w:gridCol w:w="3650"/>
      </w:tblGrid>
      <w:tr w:rsidR="002A1FCA" w:rsidRPr="005B30A9" w14:paraId="6833992D" w14:textId="77777777" w:rsidTr="002A1FCA">
        <w:trPr>
          <w:trHeight w:val="240"/>
          <w:tblHeader/>
        </w:trPr>
        <w:tc>
          <w:tcPr>
            <w:tcW w:w="3720" w:type="dxa"/>
            <w:tcBorders>
              <w:top w:val="single" w:sz="12" w:space="0" w:color="auto"/>
              <w:bottom w:val="nil"/>
            </w:tcBorders>
            <w:shd w:val="clear" w:color="auto" w:fill="auto"/>
            <w:vAlign w:val="bottom"/>
          </w:tcPr>
          <w:p w14:paraId="28F84149"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i/>
                <w:sz w:val="16"/>
              </w:rPr>
            </w:pPr>
            <w:r w:rsidRPr="005B30A9">
              <w:rPr>
                <w:bCs/>
                <w:sz w:val="18"/>
              </w:rPr>
              <w:t>2002</w:t>
            </w:r>
          </w:p>
        </w:tc>
        <w:tc>
          <w:tcPr>
            <w:tcW w:w="3650" w:type="dxa"/>
            <w:tcBorders>
              <w:top w:val="single" w:sz="12" w:space="0" w:color="auto"/>
              <w:bottom w:val="nil"/>
            </w:tcBorders>
            <w:shd w:val="clear" w:color="auto" w:fill="auto"/>
            <w:vAlign w:val="bottom"/>
          </w:tcPr>
          <w:p w14:paraId="56ED49C3" w14:textId="17F15EE0"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53,1</w:t>
            </w:r>
          </w:p>
        </w:tc>
      </w:tr>
      <w:tr w:rsidR="002A1FCA" w:rsidRPr="005B30A9" w14:paraId="1C0F660E" w14:textId="77777777" w:rsidTr="002A1FCA">
        <w:trPr>
          <w:trHeight w:val="240"/>
        </w:trPr>
        <w:tc>
          <w:tcPr>
            <w:tcW w:w="3720" w:type="dxa"/>
            <w:tcBorders>
              <w:top w:val="nil"/>
            </w:tcBorders>
            <w:shd w:val="clear" w:color="auto" w:fill="auto"/>
          </w:tcPr>
          <w:p w14:paraId="1E883D4C"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2003</w:t>
            </w:r>
          </w:p>
        </w:tc>
        <w:tc>
          <w:tcPr>
            <w:tcW w:w="3650" w:type="dxa"/>
            <w:tcBorders>
              <w:top w:val="nil"/>
            </w:tcBorders>
            <w:shd w:val="clear" w:color="auto" w:fill="auto"/>
            <w:vAlign w:val="bottom"/>
          </w:tcPr>
          <w:p w14:paraId="6BA4604D" w14:textId="21D16D2D"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51,6</w:t>
            </w:r>
          </w:p>
        </w:tc>
      </w:tr>
      <w:tr w:rsidR="00E302A0" w:rsidRPr="005B30A9" w14:paraId="571F3B53" w14:textId="77777777" w:rsidTr="002A1FCA">
        <w:trPr>
          <w:trHeight w:val="240"/>
        </w:trPr>
        <w:tc>
          <w:tcPr>
            <w:tcW w:w="3720" w:type="dxa"/>
            <w:shd w:val="clear" w:color="auto" w:fill="auto"/>
          </w:tcPr>
          <w:p w14:paraId="15CAF923"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2004</w:t>
            </w:r>
          </w:p>
        </w:tc>
        <w:tc>
          <w:tcPr>
            <w:tcW w:w="3650" w:type="dxa"/>
            <w:shd w:val="clear" w:color="auto" w:fill="auto"/>
            <w:vAlign w:val="bottom"/>
          </w:tcPr>
          <w:p w14:paraId="26C46339" w14:textId="7A561ADB"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51,5</w:t>
            </w:r>
          </w:p>
        </w:tc>
      </w:tr>
      <w:tr w:rsidR="00E302A0" w:rsidRPr="005B30A9" w14:paraId="0384AE26" w14:textId="77777777" w:rsidTr="002A1FCA">
        <w:trPr>
          <w:trHeight w:val="240"/>
        </w:trPr>
        <w:tc>
          <w:tcPr>
            <w:tcW w:w="3720" w:type="dxa"/>
            <w:shd w:val="clear" w:color="auto" w:fill="auto"/>
          </w:tcPr>
          <w:p w14:paraId="6433D324"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2005</w:t>
            </w:r>
          </w:p>
        </w:tc>
        <w:tc>
          <w:tcPr>
            <w:tcW w:w="3650" w:type="dxa"/>
            <w:shd w:val="clear" w:color="auto" w:fill="auto"/>
            <w:vAlign w:val="bottom"/>
          </w:tcPr>
          <w:p w14:paraId="3337ECD0" w14:textId="545136A6"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50,8</w:t>
            </w:r>
          </w:p>
        </w:tc>
      </w:tr>
      <w:tr w:rsidR="00E302A0" w:rsidRPr="005B30A9" w14:paraId="0B25F681" w14:textId="77777777" w:rsidTr="002A1FCA">
        <w:trPr>
          <w:trHeight w:val="240"/>
        </w:trPr>
        <w:tc>
          <w:tcPr>
            <w:tcW w:w="3720" w:type="dxa"/>
            <w:shd w:val="clear" w:color="auto" w:fill="auto"/>
          </w:tcPr>
          <w:p w14:paraId="14199F54"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2006</w:t>
            </w:r>
          </w:p>
        </w:tc>
        <w:tc>
          <w:tcPr>
            <w:tcW w:w="3650" w:type="dxa"/>
            <w:shd w:val="clear" w:color="auto" w:fill="auto"/>
            <w:vAlign w:val="bottom"/>
          </w:tcPr>
          <w:p w14:paraId="360223D8" w14:textId="4AAA5825"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50,0</w:t>
            </w:r>
          </w:p>
        </w:tc>
      </w:tr>
      <w:tr w:rsidR="00E302A0" w:rsidRPr="005B30A9" w14:paraId="5F9BB39B" w14:textId="77777777" w:rsidTr="002A1FCA">
        <w:trPr>
          <w:trHeight w:val="240"/>
        </w:trPr>
        <w:tc>
          <w:tcPr>
            <w:tcW w:w="3720" w:type="dxa"/>
            <w:shd w:val="clear" w:color="auto" w:fill="auto"/>
          </w:tcPr>
          <w:p w14:paraId="4A6E6EF5"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2007</w:t>
            </w:r>
          </w:p>
        </w:tc>
        <w:tc>
          <w:tcPr>
            <w:tcW w:w="3650" w:type="dxa"/>
            <w:shd w:val="clear" w:color="auto" w:fill="auto"/>
            <w:vAlign w:val="bottom"/>
          </w:tcPr>
          <w:p w14:paraId="09A37A69" w14:textId="0404551E"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49,6</w:t>
            </w:r>
          </w:p>
        </w:tc>
      </w:tr>
      <w:tr w:rsidR="00E302A0" w:rsidRPr="005B30A9" w14:paraId="04CAA5F1" w14:textId="77777777" w:rsidTr="002A1FCA">
        <w:trPr>
          <w:trHeight w:val="240"/>
        </w:trPr>
        <w:tc>
          <w:tcPr>
            <w:tcW w:w="3720" w:type="dxa"/>
            <w:shd w:val="clear" w:color="auto" w:fill="auto"/>
          </w:tcPr>
          <w:p w14:paraId="73463A9D"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2008</w:t>
            </w:r>
          </w:p>
        </w:tc>
        <w:tc>
          <w:tcPr>
            <w:tcW w:w="3650" w:type="dxa"/>
            <w:shd w:val="clear" w:color="auto" w:fill="auto"/>
            <w:vAlign w:val="bottom"/>
          </w:tcPr>
          <w:p w14:paraId="68439C28" w14:textId="354212ED"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48,5</w:t>
            </w:r>
          </w:p>
        </w:tc>
      </w:tr>
      <w:tr w:rsidR="00E302A0" w:rsidRPr="005B30A9" w14:paraId="7965645E" w14:textId="77777777" w:rsidTr="002A1FCA">
        <w:trPr>
          <w:trHeight w:val="240"/>
        </w:trPr>
        <w:tc>
          <w:tcPr>
            <w:tcW w:w="3720" w:type="dxa"/>
            <w:shd w:val="clear" w:color="auto" w:fill="auto"/>
          </w:tcPr>
          <w:p w14:paraId="6D4CC83E"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2009</w:t>
            </w:r>
          </w:p>
        </w:tc>
        <w:tc>
          <w:tcPr>
            <w:tcW w:w="3650" w:type="dxa"/>
            <w:shd w:val="clear" w:color="auto" w:fill="auto"/>
            <w:vAlign w:val="bottom"/>
          </w:tcPr>
          <w:p w14:paraId="35AAED7B" w14:textId="42DCDC53"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48,2</w:t>
            </w:r>
          </w:p>
        </w:tc>
      </w:tr>
      <w:tr w:rsidR="00E302A0" w:rsidRPr="005B30A9" w14:paraId="101EBAED" w14:textId="77777777" w:rsidTr="002A1FCA">
        <w:trPr>
          <w:trHeight w:val="240"/>
        </w:trPr>
        <w:tc>
          <w:tcPr>
            <w:tcW w:w="3720" w:type="dxa"/>
            <w:shd w:val="clear" w:color="auto" w:fill="auto"/>
          </w:tcPr>
          <w:p w14:paraId="41C85E70"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2010</w:t>
            </w:r>
          </w:p>
        </w:tc>
        <w:tc>
          <w:tcPr>
            <w:tcW w:w="3650" w:type="dxa"/>
            <w:shd w:val="clear" w:color="auto" w:fill="auto"/>
            <w:vAlign w:val="bottom"/>
          </w:tcPr>
          <w:p w14:paraId="3EDBC4EE" w14:textId="2DFD27E8"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48,0</w:t>
            </w:r>
          </w:p>
        </w:tc>
      </w:tr>
      <w:tr w:rsidR="00E302A0" w:rsidRPr="005B30A9" w14:paraId="1DA8F434" w14:textId="77777777" w:rsidTr="002A1FCA">
        <w:trPr>
          <w:trHeight w:val="240"/>
        </w:trPr>
        <w:tc>
          <w:tcPr>
            <w:tcW w:w="3720" w:type="dxa"/>
            <w:shd w:val="clear" w:color="auto" w:fill="auto"/>
          </w:tcPr>
          <w:p w14:paraId="05F5CF1F"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2011</w:t>
            </w:r>
          </w:p>
        </w:tc>
        <w:tc>
          <w:tcPr>
            <w:tcW w:w="3650" w:type="dxa"/>
            <w:shd w:val="clear" w:color="auto" w:fill="auto"/>
            <w:vAlign w:val="bottom"/>
          </w:tcPr>
          <w:p w14:paraId="42179481" w14:textId="63F0BB42"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47,9</w:t>
            </w:r>
          </w:p>
        </w:tc>
      </w:tr>
      <w:tr w:rsidR="00E302A0" w:rsidRPr="005B30A9" w14:paraId="2468DD3F" w14:textId="77777777" w:rsidTr="002A1FCA">
        <w:trPr>
          <w:trHeight w:val="240"/>
        </w:trPr>
        <w:tc>
          <w:tcPr>
            <w:tcW w:w="3720" w:type="dxa"/>
            <w:shd w:val="clear" w:color="auto" w:fill="auto"/>
          </w:tcPr>
          <w:p w14:paraId="75AD3279"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2012</w:t>
            </w:r>
          </w:p>
        </w:tc>
        <w:tc>
          <w:tcPr>
            <w:tcW w:w="3650" w:type="dxa"/>
            <w:shd w:val="clear" w:color="auto" w:fill="auto"/>
            <w:vAlign w:val="bottom"/>
          </w:tcPr>
          <w:p w14:paraId="10764605" w14:textId="254CB3DC"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47,9</w:t>
            </w:r>
          </w:p>
        </w:tc>
      </w:tr>
      <w:tr w:rsidR="00E302A0" w:rsidRPr="005B30A9" w14:paraId="7EF44F1D" w14:textId="77777777" w:rsidTr="002A1FCA">
        <w:trPr>
          <w:trHeight w:val="240"/>
        </w:trPr>
        <w:tc>
          <w:tcPr>
            <w:tcW w:w="3720" w:type="dxa"/>
            <w:shd w:val="clear" w:color="auto" w:fill="auto"/>
          </w:tcPr>
          <w:p w14:paraId="65FC92E6"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2013</w:t>
            </w:r>
          </w:p>
        </w:tc>
        <w:tc>
          <w:tcPr>
            <w:tcW w:w="3650" w:type="dxa"/>
            <w:shd w:val="clear" w:color="auto" w:fill="auto"/>
            <w:vAlign w:val="bottom"/>
          </w:tcPr>
          <w:p w14:paraId="259C79AB" w14:textId="0A9CD372"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47,6</w:t>
            </w:r>
          </w:p>
        </w:tc>
      </w:tr>
      <w:tr w:rsidR="00E302A0" w:rsidRPr="005B30A9" w14:paraId="4AB7502D" w14:textId="77777777" w:rsidTr="002A1FCA">
        <w:trPr>
          <w:trHeight w:val="240"/>
        </w:trPr>
        <w:tc>
          <w:tcPr>
            <w:tcW w:w="3720" w:type="dxa"/>
            <w:shd w:val="clear" w:color="auto" w:fill="auto"/>
          </w:tcPr>
          <w:p w14:paraId="7D8BFC00"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2014</w:t>
            </w:r>
          </w:p>
        </w:tc>
        <w:tc>
          <w:tcPr>
            <w:tcW w:w="3650" w:type="dxa"/>
            <w:shd w:val="clear" w:color="auto" w:fill="auto"/>
            <w:vAlign w:val="bottom"/>
          </w:tcPr>
          <w:p w14:paraId="7E4F7E90" w14:textId="3D686BB2"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47,4</w:t>
            </w:r>
          </w:p>
        </w:tc>
      </w:tr>
      <w:tr w:rsidR="00E302A0" w:rsidRPr="005B30A9" w14:paraId="7C684E15" w14:textId="77777777" w:rsidTr="002A1FCA">
        <w:trPr>
          <w:trHeight w:val="240"/>
        </w:trPr>
        <w:tc>
          <w:tcPr>
            <w:tcW w:w="3720" w:type="dxa"/>
            <w:shd w:val="clear" w:color="auto" w:fill="auto"/>
          </w:tcPr>
          <w:p w14:paraId="758B9D8B"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2015</w:t>
            </w:r>
          </w:p>
        </w:tc>
        <w:tc>
          <w:tcPr>
            <w:tcW w:w="3650" w:type="dxa"/>
            <w:shd w:val="clear" w:color="auto" w:fill="auto"/>
            <w:vAlign w:val="bottom"/>
          </w:tcPr>
          <w:p w14:paraId="0827DD7A" w14:textId="69F856BD"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46,7</w:t>
            </w:r>
          </w:p>
        </w:tc>
      </w:tr>
      <w:tr w:rsidR="00E302A0" w:rsidRPr="005B30A9" w14:paraId="17168C79" w14:textId="77777777" w:rsidTr="002A1FCA">
        <w:trPr>
          <w:trHeight w:val="240"/>
        </w:trPr>
        <w:tc>
          <w:tcPr>
            <w:tcW w:w="3720" w:type="dxa"/>
            <w:shd w:val="clear" w:color="auto" w:fill="auto"/>
          </w:tcPr>
          <w:p w14:paraId="488887BF"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2016</w:t>
            </w:r>
          </w:p>
        </w:tc>
        <w:tc>
          <w:tcPr>
            <w:tcW w:w="3650" w:type="dxa"/>
            <w:shd w:val="clear" w:color="auto" w:fill="auto"/>
            <w:vAlign w:val="bottom"/>
          </w:tcPr>
          <w:p w14:paraId="38CC77A3" w14:textId="77249102"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45,8</w:t>
            </w:r>
          </w:p>
        </w:tc>
      </w:tr>
      <w:tr w:rsidR="00E302A0" w:rsidRPr="005B30A9" w14:paraId="03324210" w14:textId="77777777" w:rsidTr="002A1FCA">
        <w:trPr>
          <w:trHeight w:val="240"/>
        </w:trPr>
        <w:tc>
          <w:tcPr>
            <w:tcW w:w="3720" w:type="dxa"/>
            <w:shd w:val="clear" w:color="auto" w:fill="auto"/>
          </w:tcPr>
          <w:p w14:paraId="5717B2C8"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2017</w:t>
            </w:r>
          </w:p>
        </w:tc>
        <w:tc>
          <w:tcPr>
            <w:tcW w:w="3650" w:type="dxa"/>
            <w:shd w:val="clear" w:color="auto" w:fill="auto"/>
            <w:vAlign w:val="bottom"/>
          </w:tcPr>
          <w:p w14:paraId="43327EAB" w14:textId="50DBFFB3"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44,5</w:t>
            </w:r>
          </w:p>
        </w:tc>
      </w:tr>
      <w:tr w:rsidR="00E302A0" w:rsidRPr="005B30A9" w14:paraId="443B8816" w14:textId="77777777" w:rsidTr="002A1FCA">
        <w:trPr>
          <w:trHeight w:val="240"/>
        </w:trPr>
        <w:tc>
          <w:tcPr>
            <w:tcW w:w="3720" w:type="dxa"/>
            <w:shd w:val="clear" w:color="auto" w:fill="auto"/>
          </w:tcPr>
          <w:p w14:paraId="3A1D0E6B"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2018</w:t>
            </w:r>
          </w:p>
        </w:tc>
        <w:tc>
          <w:tcPr>
            <w:tcW w:w="3650" w:type="dxa"/>
            <w:shd w:val="clear" w:color="auto" w:fill="auto"/>
            <w:vAlign w:val="bottom"/>
          </w:tcPr>
          <w:p w14:paraId="07BEF7F8" w14:textId="22ED472D"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43,2</w:t>
            </w:r>
          </w:p>
        </w:tc>
      </w:tr>
      <w:tr w:rsidR="00E302A0" w:rsidRPr="005B30A9" w14:paraId="7D4A59D7" w14:textId="77777777" w:rsidTr="002A1FCA">
        <w:trPr>
          <w:trHeight w:val="240"/>
        </w:trPr>
        <w:tc>
          <w:tcPr>
            <w:tcW w:w="3720" w:type="dxa"/>
            <w:shd w:val="clear" w:color="auto" w:fill="auto"/>
          </w:tcPr>
          <w:p w14:paraId="3AE0872A"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2019</w:t>
            </w:r>
          </w:p>
        </w:tc>
        <w:tc>
          <w:tcPr>
            <w:tcW w:w="3650" w:type="dxa"/>
            <w:shd w:val="clear" w:color="auto" w:fill="auto"/>
            <w:vAlign w:val="bottom"/>
          </w:tcPr>
          <w:p w14:paraId="52AE218F" w14:textId="03D05853"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41,5</w:t>
            </w:r>
          </w:p>
        </w:tc>
      </w:tr>
      <w:tr w:rsidR="00E302A0" w:rsidRPr="005B30A9" w14:paraId="17A34C65" w14:textId="77777777" w:rsidTr="002A1FCA">
        <w:trPr>
          <w:trHeight w:val="240"/>
        </w:trPr>
        <w:tc>
          <w:tcPr>
            <w:tcW w:w="3720" w:type="dxa"/>
            <w:shd w:val="clear" w:color="auto" w:fill="auto"/>
          </w:tcPr>
          <w:p w14:paraId="286586B7"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2020</w:t>
            </w:r>
          </w:p>
        </w:tc>
        <w:tc>
          <w:tcPr>
            <w:tcW w:w="3650" w:type="dxa"/>
            <w:shd w:val="clear" w:color="auto" w:fill="auto"/>
            <w:vAlign w:val="bottom"/>
          </w:tcPr>
          <w:p w14:paraId="59EDECD3" w14:textId="6AD92CDC"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39,9</w:t>
            </w:r>
          </w:p>
        </w:tc>
      </w:tr>
      <w:tr w:rsidR="00E302A0" w:rsidRPr="005B30A9" w14:paraId="1551A2BF" w14:textId="77777777" w:rsidTr="002A1FCA">
        <w:trPr>
          <w:trHeight w:val="240"/>
        </w:trPr>
        <w:tc>
          <w:tcPr>
            <w:tcW w:w="3720" w:type="dxa"/>
            <w:shd w:val="clear" w:color="auto" w:fill="auto"/>
          </w:tcPr>
          <w:p w14:paraId="6EB68E30"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2021</w:t>
            </w:r>
          </w:p>
        </w:tc>
        <w:tc>
          <w:tcPr>
            <w:tcW w:w="3650" w:type="dxa"/>
            <w:shd w:val="clear" w:color="auto" w:fill="auto"/>
            <w:vAlign w:val="bottom"/>
          </w:tcPr>
          <w:p w14:paraId="6C79BCEC" w14:textId="289AE36B"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38,2</w:t>
            </w:r>
          </w:p>
        </w:tc>
      </w:tr>
      <w:tr w:rsidR="00E302A0" w:rsidRPr="005B30A9" w14:paraId="100163DE" w14:textId="77777777" w:rsidTr="002A1FCA">
        <w:trPr>
          <w:trHeight w:val="240"/>
        </w:trPr>
        <w:tc>
          <w:tcPr>
            <w:tcW w:w="3720" w:type="dxa"/>
            <w:tcBorders>
              <w:bottom w:val="single" w:sz="12" w:space="0" w:color="auto"/>
            </w:tcBorders>
            <w:shd w:val="clear" w:color="auto" w:fill="auto"/>
          </w:tcPr>
          <w:p w14:paraId="77DD3A59" w14:textId="77777777" w:rsidR="00E302A0" w:rsidRPr="005B30A9" w:rsidRDefault="00E302A0" w:rsidP="002A1FCA">
            <w:pPr>
              <w:pStyle w:val="SingleTxtG"/>
              <w:tabs>
                <w:tab w:val="clear" w:pos="1701"/>
                <w:tab w:val="clear" w:pos="2268"/>
                <w:tab w:val="clear" w:pos="2835"/>
              </w:tabs>
              <w:spacing w:before="40" w:after="40" w:line="220" w:lineRule="exact"/>
              <w:ind w:left="0" w:right="0"/>
              <w:jc w:val="left"/>
              <w:rPr>
                <w:bCs/>
                <w:sz w:val="18"/>
              </w:rPr>
            </w:pPr>
            <w:r w:rsidRPr="005B30A9">
              <w:rPr>
                <w:sz w:val="18"/>
              </w:rPr>
              <w:t>2022</w:t>
            </w:r>
          </w:p>
        </w:tc>
        <w:tc>
          <w:tcPr>
            <w:tcW w:w="3650" w:type="dxa"/>
            <w:tcBorders>
              <w:bottom w:val="single" w:sz="12" w:space="0" w:color="auto"/>
            </w:tcBorders>
            <w:shd w:val="clear" w:color="auto" w:fill="auto"/>
            <w:vAlign w:val="bottom"/>
          </w:tcPr>
          <w:p w14:paraId="7D1454AD" w14:textId="59133E23" w:rsidR="00E302A0" w:rsidRPr="005B30A9" w:rsidRDefault="00E302A0" w:rsidP="002A1FCA">
            <w:pPr>
              <w:pStyle w:val="SingleTxtG"/>
              <w:tabs>
                <w:tab w:val="clear" w:pos="1701"/>
                <w:tab w:val="clear" w:pos="2268"/>
                <w:tab w:val="clear" w:pos="2835"/>
              </w:tabs>
              <w:spacing w:before="40" w:after="40" w:line="220" w:lineRule="exact"/>
              <w:ind w:left="113" w:right="0"/>
              <w:jc w:val="right"/>
              <w:rPr>
                <w:sz w:val="18"/>
              </w:rPr>
            </w:pPr>
            <w:r w:rsidRPr="005B30A9">
              <w:rPr>
                <w:sz w:val="18"/>
              </w:rPr>
              <w:t>36,3</w:t>
            </w:r>
          </w:p>
        </w:tc>
      </w:tr>
    </w:tbl>
    <w:p w14:paraId="48B182B5" w14:textId="2060E83C" w:rsidR="00D56130" w:rsidRPr="005B30A9" w:rsidRDefault="00E302A0" w:rsidP="002A1FCA">
      <w:pPr>
        <w:pStyle w:val="SingleTxtG"/>
        <w:spacing w:before="120"/>
        <w:ind w:firstLine="170"/>
        <w:jc w:val="left"/>
        <w:rPr>
          <w:sz w:val="18"/>
          <w:szCs w:val="18"/>
        </w:rPr>
      </w:pPr>
      <w:r w:rsidRPr="005B30A9">
        <w:rPr>
          <w:i/>
          <w:iCs/>
          <w:sz w:val="18"/>
          <w:szCs w:val="18"/>
        </w:rPr>
        <w:t>Fuente</w:t>
      </w:r>
      <w:r w:rsidRPr="005B30A9">
        <w:rPr>
          <w:sz w:val="18"/>
          <w:szCs w:val="18"/>
        </w:rPr>
        <w:t>: BMAW.</w:t>
      </w:r>
    </w:p>
    <w:p w14:paraId="20B66235" w14:textId="6DBB8901" w:rsidR="00E302A0" w:rsidRPr="005B30A9" w:rsidRDefault="002A1FCA" w:rsidP="002A1FCA">
      <w:pPr>
        <w:pStyle w:val="SingleTxtG"/>
        <w:suppressAutoHyphens/>
        <w:spacing w:before="240" w:after="0"/>
        <w:jc w:val="center"/>
        <w:rPr>
          <w:u w:val="single"/>
        </w:rPr>
      </w:pPr>
      <w:r w:rsidRPr="005B30A9">
        <w:rPr>
          <w:u w:val="single"/>
        </w:rPr>
        <w:tab/>
      </w:r>
      <w:r w:rsidRPr="005B30A9">
        <w:rPr>
          <w:u w:val="single"/>
        </w:rPr>
        <w:tab/>
      </w:r>
      <w:r w:rsidRPr="005B30A9">
        <w:rPr>
          <w:u w:val="single"/>
        </w:rPr>
        <w:tab/>
      </w:r>
    </w:p>
    <w:sectPr w:rsidR="00E302A0" w:rsidRPr="005B30A9" w:rsidSect="00E302A0">
      <w:headerReference w:type="even" r:id="rId73"/>
      <w:headerReference w:type="default" r:id="rId74"/>
      <w:footerReference w:type="even" r:id="rId75"/>
      <w:footerReference w:type="default" r:id="rId76"/>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84F2F" w14:textId="77777777" w:rsidR="00D91483" w:rsidRPr="00093664" w:rsidRDefault="00D91483" w:rsidP="00093664">
      <w:pPr>
        <w:pStyle w:val="Piedepgina"/>
      </w:pPr>
    </w:p>
  </w:endnote>
  <w:endnote w:type="continuationSeparator" w:id="0">
    <w:p w14:paraId="03FFC4FB" w14:textId="77777777" w:rsidR="00D91483" w:rsidRPr="00093664" w:rsidRDefault="00D9148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4C5D1" w14:textId="09DB5ECF" w:rsidR="009612CC" w:rsidRPr="009612CC" w:rsidRDefault="009612CC" w:rsidP="009612CC">
    <w:pPr>
      <w:pStyle w:val="Piedepgina"/>
      <w:tabs>
        <w:tab w:val="right" w:pos="9638"/>
      </w:tabs>
    </w:pPr>
    <w:r w:rsidRPr="009612CC">
      <w:rPr>
        <w:b/>
        <w:sz w:val="18"/>
      </w:rPr>
      <w:fldChar w:fldCharType="begin"/>
    </w:r>
    <w:r w:rsidRPr="009612CC">
      <w:rPr>
        <w:b/>
        <w:sz w:val="18"/>
      </w:rPr>
      <w:instrText xml:space="preserve"> PAGE  \* MERGEFORMAT </w:instrText>
    </w:r>
    <w:r w:rsidRPr="009612CC">
      <w:rPr>
        <w:b/>
        <w:sz w:val="18"/>
      </w:rPr>
      <w:fldChar w:fldCharType="separate"/>
    </w:r>
    <w:r w:rsidRPr="009612CC">
      <w:rPr>
        <w:b/>
        <w:noProof/>
        <w:sz w:val="18"/>
      </w:rPr>
      <w:t>2</w:t>
    </w:r>
    <w:r w:rsidRPr="009612CC">
      <w:rPr>
        <w:b/>
        <w:sz w:val="18"/>
      </w:rPr>
      <w:fldChar w:fldCharType="end"/>
    </w:r>
    <w:r>
      <w:rPr>
        <w:b/>
        <w:sz w:val="18"/>
      </w:rPr>
      <w:tab/>
    </w:r>
    <w:r>
      <w:t>GE.24-22909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02535" w14:textId="373C8497" w:rsidR="009612CC" w:rsidRPr="009612CC" w:rsidRDefault="009612CC" w:rsidP="009612CC">
    <w:pPr>
      <w:pStyle w:val="Piedepgina"/>
      <w:tabs>
        <w:tab w:val="right" w:pos="9638"/>
      </w:tabs>
      <w:rPr>
        <w:b/>
        <w:sz w:val="18"/>
      </w:rPr>
    </w:pPr>
    <w:r>
      <w:t>GE.24-22909</w:t>
    </w:r>
    <w:r>
      <w:tab/>
    </w:r>
    <w:r w:rsidRPr="009612CC">
      <w:rPr>
        <w:b/>
        <w:sz w:val="18"/>
      </w:rPr>
      <w:fldChar w:fldCharType="begin"/>
    </w:r>
    <w:r w:rsidRPr="009612CC">
      <w:rPr>
        <w:b/>
        <w:sz w:val="18"/>
      </w:rPr>
      <w:instrText xml:space="preserve"> PAGE  \* MERGEFORMAT </w:instrText>
    </w:r>
    <w:r w:rsidRPr="009612CC">
      <w:rPr>
        <w:b/>
        <w:sz w:val="18"/>
      </w:rPr>
      <w:fldChar w:fldCharType="separate"/>
    </w:r>
    <w:r w:rsidRPr="009612CC">
      <w:rPr>
        <w:b/>
        <w:noProof/>
        <w:sz w:val="18"/>
      </w:rPr>
      <w:t>3</w:t>
    </w:r>
    <w:r w:rsidRPr="009612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6D9E7" w14:textId="7B6F3162" w:rsidR="005016AF" w:rsidRPr="009612CC" w:rsidRDefault="009612CC" w:rsidP="009612C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19F5B99" wp14:editId="675D499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24-22909  (S)</w:t>
    </w:r>
    <w:r>
      <w:rPr>
        <w:noProof/>
        <w:sz w:val="20"/>
      </w:rPr>
      <w:drawing>
        <wp:anchor distT="0" distB="0" distL="114300" distR="114300" simplePos="0" relativeHeight="251658752" behindDoc="0" locked="0" layoutInCell="1" allowOverlap="1" wp14:anchorId="4E68D42C" wp14:editId="28CB23D1">
          <wp:simplePos x="0" y="0"/>
          <wp:positionH relativeFrom="margin">
            <wp:posOffset>5489575</wp:posOffset>
          </wp:positionH>
          <wp:positionV relativeFrom="margin">
            <wp:posOffset>8891905</wp:posOffset>
          </wp:positionV>
          <wp:extent cx="628650" cy="628650"/>
          <wp:effectExtent l="0" t="0" r="0" b="0"/>
          <wp:wrapNone/>
          <wp:docPr id="16401606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F4824">
      <w:rPr>
        <w:sz w:val="20"/>
      </w:rPr>
      <w:t xml:space="preserve">    210125    1</w:t>
    </w:r>
    <w:r w:rsidR="00F67715">
      <w:rPr>
        <w:sz w:val="20"/>
      </w:rPr>
      <w:t>1</w:t>
    </w:r>
    <w:r w:rsidR="003F4824">
      <w:rPr>
        <w:sz w:val="20"/>
      </w:rPr>
      <w:t>0425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E1D01" w14:textId="308F709B" w:rsidR="00D35568" w:rsidRPr="00D35568" w:rsidRDefault="00D35568" w:rsidP="00D35568">
    <w:pPr>
      <w:pStyle w:val="Piedepgina"/>
    </w:pPr>
    <w:r>
      <w:rPr>
        <w:noProof/>
      </w:rPr>
      <mc:AlternateContent>
        <mc:Choice Requires="wps">
          <w:drawing>
            <wp:anchor distT="0" distB="0" distL="114300" distR="114300" simplePos="0" relativeHeight="251660800" behindDoc="0" locked="0" layoutInCell="1" allowOverlap="1" wp14:anchorId="09DFB22B" wp14:editId="79EF0476">
              <wp:simplePos x="0" y="0"/>
              <wp:positionH relativeFrom="margin">
                <wp:posOffset>-431800</wp:posOffset>
              </wp:positionH>
              <wp:positionV relativeFrom="margin">
                <wp:posOffset>0</wp:posOffset>
              </wp:positionV>
              <wp:extent cx="215900" cy="6120130"/>
              <wp:effectExtent l="0" t="0" r="0" b="0"/>
              <wp:wrapNone/>
              <wp:docPr id="605673155" name="Cuadro de texto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120E10F" w14:textId="77777777" w:rsidR="00D35568" w:rsidRPr="009612CC" w:rsidRDefault="00D35568" w:rsidP="00D35568">
                          <w:pPr>
                            <w:pStyle w:val="Piedepgina"/>
                            <w:tabs>
                              <w:tab w:val="right" w:pos="9638"/>
                            </w:tabs>
                          </w:pPr>
                          <w:r w:rsidRPr="009612CC">
                            <w:rPr>
                              <w:b/>
                              <w:sz w:val="18"/>
                            </w:rPr>
                            <w:fldChar w:fldCharType="begin"/>
                          </w:r>
                          <w:r w:rsidRPr="009612CC">
                            <w:rPr>
                              <w:b/>
                              <w:sz w:val="18"/>
                            </w:rPr>
                            <w:instrText xml:space="preserve"> PAGE  \* MERGEFORMAT </w:instrText>
                          </w:r>
                          <w:r w:rsidRPr="009612CC">
                            <w:rPr>
                              <w:b/>
                              <w:sz w:val="18"/>
                            </w:rPr>
                            <w:fldChar w:fldCharType="separate"/>
                          </w:r>
                          <w:r>
                            <w:rPr>
                              <w:b/>
                              <w:sz w:val="18"/>
                            </w:rPr>
                            <w:t>66</w:t>
                          </w:r>
                          <w:r w:rsidRPr="009612CC">
                            <w:rPr>
                              <w:b/>
                              <w:sz w:val="18"/>
                            </w:rPr>
                            <w:fldChar w:fldCharType="end"/>
                          </w:r>
                          <w:r>
                            <w:rPr>
                              <w:b/>
                              <w:sz w:val="18"/>
                            </w:rPr>
                            <w:tab/>
                          </w:r>
                          <w:r>
                            <w:t>GE.24-22909</w:t>
                          </w:r>
                        </w:p>
                        <w:p w14:paraId="34908FAE" w14:textId="77777777" w:rsidR="00D35568" w:rsidRDefault="00D3556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9DFB22B" id="_x0000_t202" coordsize="21600,21600" o:spt="202" path="m,l,21600r21600,l21600,xe">
              <v:stroke joinstyle="miter"/>
              <v:path gradientshapeok="t" o:connecttype="rect"/>
            </v:shapetype>
            <v:shape id="Cuadro de texto 2" o:spid="_x0000_s1028"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120E10F" w14:textId="77777777" w:rsidR="00D35568" w:rsidRPr="009612CC" w:rsidRDefault="00D35568" w:rsidP="00D35568">
                    <w:pPr>
                      <w:pStyle w:val="Piedepgina"/>
                      <w:tabs>
                        <w:tab w:val="right" w:pos="9638"/>
                      </w:tabs>
                    </w:pPr>
                    <w:r w:rsidRPr="009612CC">
                      <w:rPr>
                        <w:b/>
                        <w:sz w:val="18"/>
                      </w:rPr>
                      <w:fldChar w:fldCharType="begin"/>
                    </w:r>
                    <w:r w:rsidRPr="009612CC">
                      <w:rPr>
                        <w:b/>
                        <w:sz w:val="18"/>
                      </w:rPr>
                      <w:instrText xml:space="preserve"> PAGE  \* MERGEFORMAT </w:instrText>
                    </w:r>
                    <w:r w:rsidRPr="009612CC">
                      <w:rPr>
                        <w:b/>
                        <w:sz w:val="18"/>
                      </w:rPr>
                      <w:fldChar w:fldCharType="separate"/>
                    </w:r>
                    <w:r>
                      <w:rPr>
                        <w:b/>
                        <w:sz w:val="18"/>
                      </w:rPr>
                      <w:t>66</w:t>
                    </w:r>
                    <w:r w:rsidRPr="009612CC">
                      <w:rPr>
                        <w:b/>
                        <w:sz w:val="18"/>
                      </w:rPr>
                      <w:fldChar w:fldCharType="end"/>
                    </w:r>
                    <w:r>
                      <w:rPr>
                        <w:b/>
                        <w:sz w:val="18"/>
                      </w:rPr>
                      <w:tab/>
                    </w:r>
                    <w:r>
                      <w:t>GE.24-22909</w:t>
                    </w:r>
                  </w:p>
                  <w:p w14:paraId="34908FAE" w14:textId="77777777" w:rsidR="00D35568" w:rsidRDefault="00D35568"/>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91714" w14:textId="5E20A875" w:rsidR="00D35568" w:rsidRPr="00D35568" w:rsidRDefault="00D35568" w:rsidP="00D35568">
    <w:pPr>
      <w:pStyle w:val="Piedepgina"/>
    </w:pPr>
    <w:r>
      <w:rPr>
        <w:noProof/>
      </w:rPr>
      <mc:AlternateContent>
        <mc:Choice Requires="wps">
          <w:drawing>
            <wp:anchor distT="0" distB="0" distL="114300" distR="114300" simplePos="0" relativeHeight="251662848" behindDoc="0" locked="0" layoutInCell="1" allowOverlap="1" wp14:anchorId="25EB7D27" wp14:editId="107FB5B8">
              <wp:simplePos x="0" y="0"/>
              <wp:positionH relativeFrom="margin">
                <wp:posOffset>-431800</wp:posOffset>
              </wp:positionH>
              <wp:positionV relativeFrom="margin">
                <wp:posOffset>0</wp:posOffset>
              </wp:positionV>
              <wp:extent cx="215900" cy="6120130"/>
              <wp:effectExtent l="0" t="0" r="0" b="0"/>
              <wp:wrapNone/>
              <wp:docPr id="1492080831"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A28A880" w14:textId="77777777" w:rsidR="00D35568" w:rsidRPr="009612CC" w:rsidRDefault="00D35568" w:rsidP="00D35568">
                          <w:pPr>
                            <w:pStyle w:val="Piedepgina"/>
                            <w:tabs>
                              <w:tab w:val="right" w:pos="9638"/>
                            </w:tabs>
                            <w:rPr>
                              <w:b/>
                              <w:sz w:val="18"/>
                            </w:rPr>
                          </w:pPr>
                          <w:r>
                            <w:t>GE.24-22909</w:t>
                          </w:r>
                          <w:r>
                            <w:tab/>
                          </w:r>
                          <w:r w:rsidRPr="009612CC">
                            <w:rPr>
                              <w:b/>
                              <w:sz w:val="18"/>
                            </w:rPr>
                            <w:fldChar w:fldCharType="begin"/>
                          </w:r>
                          <w:r w:rsidRPr="009612CC">
                            <w:rPr>
                              <w:b/>
                              <w:sz w:val="18"/>
                            </w:rPr>
                            <w:instrText xml:space="preserve"> PAGE  \* MERGEFORMAT </w:instrText>
                          </w:r>
                          <w:r w:rsidRPr="009612CC">
                            <w:rPr>
                              <w:b/>
                              <w:sz w:val="18"/>
                            </w:rPr>
                            <w:fldChar w:fldCharType="separate"/>
                          </w:r>
                          <w:r>
                            <w:rPr>
                              <w:b/>
                              <w:sz w:val="18"/>
                            </w:rPr>
                            <w:t>67</w:t>
                          </w:r>
                          <w:r w:rsidRPr="009612CC">
                            <w:rPr>
                              <w:b/>
                              <w:sz w:val="18"/>
                            </w:rPr>
                            <w:fldChar w:fldCharType="end"/>
                          </w:r>
                        </w:p>
                        <w:p w14:paraId="0135B238" w14:textId="77777777" w:rsidR="00D35568" w:rsidRDefault="00D3556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5EB7D27" id="_x0000_t202" coordsize="21600,21600" o:spt="202" path="m,l,21600r21600,l21600,xe">
              <v:stroke joinstyle="miter"/>
              <v:path gradientshapeok="t" o:connecttype="rect"/>
            </v:shapetype>
            <v:shape id="Cuadro de texto 4" o:spid="_x0000_s1029"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A28A880" w14:textId="77777777" w:rsidR="00D35568" w:rsidRPr="009612CC" w:rsidRDefault="00D35568" w:rsidP="00D35568">
                    <w:pPr>
                      <w:pStyle w:val="Piedepgina"/>
                      <w:tabs>
                        <w:tab w:val="right" w:pos="9638"/>
                      </w:tabs>
                      <w:rPr>
                        <w:b/>
                        <w:sz w:val="18"/>
                      </w:rPr>
                    </w:pPr>
                    <w:r>
                      <w:t>GE.24-22909</w:t>
                    </w:r>
                    <w:r>
                      <w:tab/>
                    </w:r>
                    <w:r w:rsidRPr="009612CC">
                      <w:rPr>
                        <w:b/>
                        <w:sz w:val="18"/>
                      </w:rPr>
                      <w:fldChar w:fldCharType="begin"/>
                    </w:r>
                    <w:r w:rsidRPr="009612CC">
                      <w:rPr>
                        <w:b/>
                        <w:sz w:val="18"/>
                      </w:rPr>
                      <w:instrText xml:space="preserve"> PAGE  \* MERGEFORMAT </w:instrText>
                    </w:r>
                    <w:r w:rsidRPr="009612CC">
                      <w:rPr>
                        <w:b/>
                        <w:sz w:val="18"/>
                      </w:rPr>
                      <w:fldChar w:fldCharType="separate"/>
                    </w:r>
                    <w:r>
                      <w:rPr>
                        <w:b/>
                        <w:sz w:val="18"/>
                      </w:rPr>
                      <w:t>67</w:t>
                    </w:r>
                    <w:r w:rsidRPr="009612CC">
                      <w:rPr>
                        <w:b/>
                        <w:sz w:val="18"/>
                      </w:rPr>
                      <w:fldChar w:fldCharType="end"/>
                    </w:r>
                  </w:p>
                  <w:p w14:paraId="0135B238" w14:textId="77777777" w:rsidR="00D35568" w:rsidRDefault="00D35568"/>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4582B" w14:textId="4618B24C" w:rsidR="00E302A0" w:rsidRPr="00E302A0" w:rsidRDefault="00E302A0" w:rsidP="00E302A0">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66</w:t>
    </w:r>
    <w:r>
      <w:rPr>
        <w:b/>
        <w:sz w:val="18"/>
      </w:rPr>
      <w:fldChar w:fldCharType="end"/>
    </w:r>
    <w:r>
      <w:rPr>
        <w:b/>
        <w:sz w:val="18"/>
      </w:rPr>
      <w:tab/>
    </w:r>
    <w:r w:rsidRPr="00E302A0">
      <w:t>GE.24-22909</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4FD1A" w14:textId="3F554F84" w:rsidR="00E302A0" w:rsidRPr="00E302A0" w:rsidRDefault="00E302A0" w:rsidP="00E302A0">
    <w:pPr>
      <w:pStyle w:val="Piedepgina"/>
      <w:tabs>
        <w:tab w:val="right" w:pos="9638"/>
      </w:tabs>
      <w:rPr>
        <w:b/>
        <w:sz w:val="18"/>
      </w:rPr>
    </w:pPr>
    <w:r>
      <w:t>GE.</w:t>
    </w:r>
    <w:r w:rsidRPr="00E302A0">
      <w:t>24</w:t>
    </w:r>
    <w:r>
      <w:t>-</w:t>
    </w:r>
    <w:r w:rsidRPr="00E302A0">
      <w:t>22909</w:t>
    </w:r>
    <w:r>
      <w:tab/>
    </w:r>
    <w:r>
      <w:rPr>
        <w:b/>
        <w:sz w:val="18"/>
      </w:rPr>
      <w:fldChar w:fldCharType="begin"/>
    </w:r>
    <w:r>
      <w:rPr>
        <w:b/>
        <w:sz w:val="18"/>
      </w:rPr>
      <w:instrText xml:space="preserve"> PAGE  \* MERGEFORMAT </w:instrText>
    </w:r>
    <w:r>
      <w:rPr>
        <w:b/>
        <w:sz w:val="18"/>
      </w:rPr>
      <w:fldChar w:fldCharType="separate"/>
    </w:r>
    <w:r>
      <w:rPr>
        <w:b/>
        <w:noProof/>
        <w:sz w:val="18"/>
      </w:rPr>
      <w:t>67</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3D26C" w14:textId="77777777" w:rsidR="00D91483" w:rsidRPr="001075E9" w:rsidRDefault="00D91483" w:rsidP="001075E9">
      <w:pPr>
        <w:tabs>
          <w:tab w:val="right" w:pos="2155"/>
        </w:tabs>
        <w:spacing w:after="80" w:line="240" w:lineRule="auto"/>
        <w:ind w:left="680"/>
        <w:rPr>
          <w:u w:val="single"/>
        </w:rPr>
      </w:pPr>
      <w:r>
        <w:rPr>
          <w:u w:val="single"/>
        </w:rPr>
        <w:tab/>
      </w:r>
    </w:p>
  </w:footnote>
  <w:footnote w:type="continuationSeparator" w:id="0">
    <w:p w14:paraId="0BEADD25" w14:textId="77777777" w:rsidR="00D91483" w:rsidRDefault="00D91483" w:rsidP="00093664">
      <w:pPr>
        <w:tabs>
          <w:tab w:val="right" w:pos="2155"/>
        </w:tabs>
        <w:spacing w:after="80" w:line="240" w:lineRule="auto"/>
        <w:ind w:left="680"/>
        <w:rPr>
          <w:u w:val="single"/>
        </w:rPr>
      </w:pPr>
      <w:r>
        <w:rPr>
          <w:u w:val="single"/>
        </w:rPr>
        <w:tab/>
      </w:r>
    </w:p>
  </w:footnote>
  <w:footnote w:id="1">
    <w:p w14:paraId="664D6EA2" w14:textId="0B4503DB" w:rsidR="009612CC" w:rsidRPr="005B30A9" w:rsidRDefault="009612CC" w:rsidP="009612CC">
      <w:pPr>
        <w:pStyle w:val="Textonotapie"/>
        <w:rPr>
          <w:sz w:val="20"/>
        </w:rPr>
      </w:pPr>
      <w:r w:rsidRPr="005B30A9">
        <w:tab/>
      </w:r>
      <w:r w:rsidRPr="005B30A9">
        <w:rPr>
          <w:rStyle w:val="Refdenotaalpie"/>
          <w:sz w:val="20"/>
          <w:vertAlign w:val="baseline"/>
        </w:rPr>
        <w:t>*</w:t>
      </w:r>
      <w:r w:rsidRPr="005B30A9">
        <w:rPr>
          <w:rStyle w:val="Refdenotaalpie"/>
          <w:vertAlign w:val="baseline"/>
        </w:rPr>
        <w:tab/>
      </w:r>
      <w:r w:rsidRPr="005B30A9">
        <w:t>La versión original del presente documento no fue objeto de revisión editorial oficial.</w:t>
      </w:r>
    </w:p>
  </w:footnote>
  <w:footnote w:id="2">
    <w:p w14:paraId="650DDA32" w14:textId="2DAC05A6" w:rsidR="009612CC" w:rsidRPr="005B30A9" w:rsidRDefault="009612CC" w:rsidP="009612CC">
      <w:pPr>
        <w:pStyle w:val="Textonotapie"/>
        <w:rPr>
          <w:sz w:val="20"/>
        </w:rPr>
      </w:pPr>
      <w:r w:rsidRPr="005B30A9">
        <w:tab/>
      </w:r>
      <w:r w:rsidRPr="005B30A9">
        <w:rPr>
          <w:rStyle w:val="Refdenotaalpie"/>
          <w:sz w:val="20"/>
          <w:vertAlign w:val="baseline"/>
        </w:rPr>
        <w:t>**</w:t>
      </w:r>
      <w:r w:rsidRPr="005B30A9">
        <w:rPr>
          <w:rStyle w:val="Refdenotaalpie"/>
          <w:vertAlign w:val="baseline"/>
        </w:rPr>
        <w:tab/>
      </w:r>
      <w:r w:rsidRPr="005B30A9">
        <w:t>Este documento se presentó de conformidad con el procedimiento simplificado de presentación de informes. Contiene las respuestas del Estado parte a la lista de cuestiones previa a la presentación del informe preparada por el Comité (E/C.12/AUT/QPR/5).</w:t>
      </w:r>
    </w:p>
  </w:footnote>
  <w:footnote w:id="3">
    <w:p w14:paraId="286224B5" w14:textId="77777777" w:rsidR="009612CC" w:rsidRPr="005B30A9" w:rsidRDefault="009612CC" w:rsidP="001F207F">
      <w:pPr>
        <w:pStyle w:val="Textonotapie"/>
      </w:pPr>
      <w:r w:rsidRPr="005B30A9">
        <w:tab/>
      </w:r>
      <w:r w:rsidRPr="005B30A9">
        <w:rPr>
          <w:rStyle w:val="Refdenotaalpie"/>
        </w:rPr>
        <w:footnoteRef/>
      </w:r>
      <w:r w:rsidRPr="005B30A9">
        <w:tab/>
        <w:t>La ley de aplicación en Burgenland se está preparando actualmente.</w:t>
      </w:r>
    </w:p>
  </w:footnote>
  <w:footnote w:id="4">
    <w:p w14:paraId="5826F6BD" w14:textId="11D65A7D" w:rsidR="009612CC" w:rsidRPr="005B30A9" w:rsidRDefault="009612CC" w:rsidP="001F207F">
      <w:pPr>
        <w:pStyle w:val="Textonotapie"/>
      </w:pPr>
      <w:r w:rsidRPr="005B30A9">
        <w:tab/>
      </w:r>
      <w:r w:rsidRPr="005B30A9">
        <w:rPr>
          <w:rStyle w:val="Refdenotaalpie"/>
        </w:rPr>
        <w:footnoteRef/>
      </w:r>
      <w:r w:rsidRPr="005B30A9">
        <w:tab/>
      </w:r>
      <w:hyperlink r:id="rId1" w:history="1">
        <w:r w:rsidRPr="005B30A9">
          <w:rPr>
            <w:rStyle w:val="Hipervnculo"/>
          </w:rPr>
          <w:t>https://www.coordination-vaw.gv.at/daten.html</w:t>
        </w:r>
      </w:hyperlink>
      <w:r w:rsidRPr="005B30A9">
        <w:t>.</w:t>
      </w:r>
    </w:p>
  </w:footnote>
  <w:footnote w:id="5">
    <w:p w14:paraId="69D49955" w14:textId="5736CCED" w:rsidR="009612CC" w:rsidRPr="005B30A9" w:rsidRDefault="009612CC" w:rsidP="001F207F">
      <w:pPr>
        <w:pStyle w:val="Textonotapie"/>
      </w:pPr>
      <w:r w:rsidRPr="005B30A9">
        <w:tab/>
      </w:r>
      <w:r w:rsidRPr="005B30A9">
        <w:rPr>
          <w:rStyle w:val="Refdenotaalpie"/>
        </w:rPr>
        <w:footnoteRef/>
      </w:r>
      <w:r w:rsidRPr="005B30A9">
        <w:tab/>
        <w:t xml:space="preserve">Puede consultarse en </w:t>
      </w:r>
      <w:hyperlink r:id="rId2" w:history="1">
        <w:r w:rsidRPr="005B30A9">
          <w:rPr>
            <w:rStyle w:val="Hipervnculo"/>
          </w:rPr>
          <w:t>https://www.justiz.gv.at/prozessbegleitung</w:t>
        </w:r>
      </w:hyperlink>
      <w:r w:rsidRPr="005B30A9">
        <w:t>.</w:t>
      </w:r>
    </w:p>
  </w:footnote>
  <w:footnote w:id="6">
    <w:p w14:paraId="1C0B4891" w14:textId="60A97260" w:rsidR="009612CC" w:rsidRPr="005B30A9" w:rsidRDefault="009612CC" w:rsidP="001F207F">
      <w:pPr>
        <w:pStyle w:val="Textonotapie"/>
      </w:pPr>
      <w:r w:rsidRPr="005B30A9">
        <w:tab/>
      </w:r>
      <w:r w:rsidRPr="005B30A9">
        <w:rPr>
          <w:rStyle w:val="Refdenotaalpie"/>
        </w:rPr>
        <w:footnoteRef/>
      </w:r>
      <w:r w:rsidRPr="005B30A9">
        <w:tab/>
        <w:t xml:space="preserve">Puede consultarse en </w:t>
      </w:r>
      <w:hyperlink r:id="rId3" w:history="1">
        <w:r w:rsidRPr="005B30A9">
          <w:rPr>
            <w:rStyle w:val="Hipervnculo"/>
          </w:rPr>
          <w:t>https://www.justiz.gv.at/prozessbegleitung</w:t>
        </w:r>
      </w:hyperlink>
      <w:r w:rsidRPr="005B30A9">
        <w:t>.</w:t>
      </w:r>
    </w:p>
  </w:footnote>
  <w:footnote w:id="7">
    <w:p w14:paraId="77EBB1B9" w14:textId="1F002437" w:rsidR="009612CC" w:rsidRPr="005B30A9" w:rsidRDefault="009612CC" w:rsidP="001F207F">
      <w:pPr>
        <w:pStyle w:val="Textonotapie"/>
      </w:pPr>
      <w:r w:rsidRPr="005B30A9">
        <w:tab/>
      </w:r>
      <w:r w:rsidRPr="005B30A9">
        <w:rPr>
          <w:rStyle w:val="Refdenotaalpie"/>
        </w:rPr>
        <w:footnoteRef/>
      </w:r>
      <w:r w:rsidRPr="005B30A9">
        <w:tab/>
        <w:t xml:space="preserve">Puede consultarse en </w:t>
      </w:r>
      <w:hyperlink r:id="rId4" w:history="1">
        <w:r w:rsidRPr="005B30A9">
          <w:rPr>
            <w:rStyle w:val="Hipervnculo"/>
          </w:rPr>
          <w:t>https://ikf.ac.at/wp-content/uploads/2023/07/Untersuchung_Frauenmorde.pdf</w:t>
        </w:r>
      </w:hyperlink>
      <w:r w:rsidRPr="005B30A9">
        <w:t>.</w:t>
      </w:r>
    </w:p>
  </w:footnote>
  <w:footnote w:id="8">
    <w:p w14:paraId="280DF840" w14:textId="69B05204"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5" w:history="1">
        <w:r w:rsidR="00CA1EFE" w:rsidRPr="00FB4A49">
          <w:rPr>
            <w:rStyle w:val="Hipervnculo"/>
          </w:rPr>
          <w:t>https://www.bundeskanzleramt.gv.at/service/foerderungen-des-bundeskanzleramtes/</w:t>
        </w:r>
        <w:r w:rsidR="00CA1EFE" w:rsidRPr="00FB4A49">
          <w:rPr>
            <w:rStyle w:val="Hipervnculo"/>
          </w:rPr>
          <w:br/>
          <w:t>frauenprojektfoerderungen/foerderung-fuer-14-projekte-gegen-gewalt-und-staerkung-von-frauen-maedchen-in-ganz-oesterreich-mit-1-25-millionen-euro.html</w:t>
        </w:r>
      </w:hyperlink>
      <w:r w:rsidRPr="005B30A9">
        <w:t>.</w:t>
      </w:r>
    </w:p>
  </w:footnote>
  <w:footnote w:id="9">
    <w:p w14:paraId="3AF97469" w14:textId="402C267D"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6" w:history="1">
        <w:r w:rsidR="00CA1EFE" w:rsidRPr="00FB4A49">
          <w:rPr>
            <w:rStyle w:val="Hipervnculo"/>
          </w:rPr>
          <w:t>https://www.bundeskanzleramt.gv.at/service/foerderungen-des-bundeskanzleramtes/</w:t>
        </w:r>
        <w:r w:rsidR="00CA1EFE" w:rsidRPr="00FB4A49">
          <w:rPr>
            <w:rStyle w:val="Hipervnculo"/>
          </w:rPr>
          <w:br/>
          <w:t>frauenprojektfoerderungen/foerderaufruf_2021.html</w:t>
        </w:r>
      </w:hyperlink>
      <w:r w:rsidRPr="005B30A9">
        <w:t>.</w:t>
      </w:r>
    </w:p>
  </w:footnote>
  <w:footnote w:id="10">
    <w:p w14:paraId="0EF3ACB9" w14:textId="453307C0"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7" w:history="1">
        <w:r w:rsidRPr="005B30A9">
          <w:rPr>
            <w:rStyle w:val="Hipervnculo"/>
          </w:rPr>
          <w:t>https://www.bundeskanzleramt.gv.at/agenda/frauen-und-gleichstellung/gewalt-gegen-frauen/gewaltformen/gewalt-im-netz.html</w:t>
        </w:r>
      </w:hyperlink>
      <w:r w:rsidRPr="005B30A9">
        <w:t>.</w:t>
      </w:r>
    </w:p>
  </w:footnote>
  <w:footnote w:id="11">
    <w:p w14:paraId="3536011C" w14:textId="0D7D3A5A"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8" w:history="1">
        <w:r w:rsidRPr="005B30A9">
          <w:rPr>
            <w:rStyle w:val="Hipervnculo"/>
          </w:rPr>
          <w:t>https://www.hilfsangebote-bei-gewalt-gegen-frauen.at/hilfe-gegen-gewalt.html</w:t>
        </w:r>
      </w:hyperlink>
      <w:r w:rsidRPr="005B30A9">
        <w:t xml:space="preserve">. </w:t>
      </w:r>
    </w:p>
  </w:footnote>
  <w:footnote w:id="12">
    <w:p w14:paraId="73D56915" w14:textId="44E0535D" w:rsidR="009612CC" w:rsidRPr="005B30A9" w:rsidRDefault="009612CC" w:rsidP="001F207F">
      <w:pPr>
        <w:pStyle w:val="Textonotapie"/>
      </w:pPr>
      <w:r w:rsidRPr="005B30A9">
        <w:tab/>
      </w:r>
      <w:r w:rsidRPr="005B30A9">
        <w:rPr>
          <w:rStyle w:val="Refdenotaalpie"/>
        </w:rPr>
        <w:footnoteRef/>
      </w:r>
      <w:r w:rsidRPr="005B30A9">
        <w:tab/>
        <w:t xml:space="preserve">Estos proyectos financiados por el BMSGPK se presentaron en un seminario de la Unión Europea de aprendizaje mutuo orientado al intercambio de buenas prácticas que se celebró en Irlanda a principios de 2023. Véase </w:t>
      </w:r>
      <w:hyperlink r:id="rId9" w:history="1">
        <w:r w:rsidRPr="005B30A9">
          <w:rPr>
            <w:rStyle w:val="Hipervnculo"/>
          </w:rPr>
          <w:t>https://commission.europa.eu/publications/eu-mutual-learning-programme-gender-equality-role-men-and-boys-advancing-gender-equality-and_en</w:t>
        </w:r>
      </w:hyperlink>
      <w:r w:rsidRPr="005B30A9">
        <w:t>.</w:t>
      </w:r>
    </w:p>
  </w:footnote>
  <w:footnote w:id="13">
    <w:p w14:paraId="5D2D49A2" w14:textId="1E55FF89"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10" w:history="1">
        <w:r w:rsidRPr="005B30A9">
          <w:rPr>
            <w:rStyle w:val="Hipervnculo"/>
          </w:rPr>
          <w:t>https://www.ris.bka.gv.at/Jus/</w:t>
        </w:r>
      </w:hyperlink>
      <w:r w:rsidRPr="005B30A9">
        <w:t>.</w:t>
      </w:r>
    </w:p>
  </w:footnote>
  <w:footnote w:id="14">
    <w:p w14:paraId="2D6EA132" w14:textId="3BE47BCF"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11" w:history="1">
        <w:r w:rsidR="001F207F" w:rsidRPr="005B30A9">
          <w:rPr>
            <w:rStyle w:val="Hipervnculo"/>
          </w:rPr>
          <w:t>https:</w:t>
        </w:r>
        <w:r w:rsidRPr="005B30A9">
          <w:rPr>
            <w:rStyle w:val="Hipervnculo"/>
          </w:rPr>
          <w:t>//ganhri.org/membership/</w:t>
        </w:r>
      </w:hyperlink>
      <w:r w:rsidRPr="005B30A9">
        <w:t>.</w:t>
      </w:r>
    </w:p>
  </w:footnote>
  <w:footnote w:id="15">
    <w:p w14:paraId="082AD0BC" w14:textId="5FF5C1F2" w:rsidR="009612CC" w:rsidRPr="005B30A9" w:rsidRDefault="009612CC" w:rsidP="001F207F">
      <w:pPr>
        <w:pStyle w:val="Textonotapie"/>
      </w:pPr>
      <w:r w:rsidRPr="005B30A9">
        <w:tab/>
      </w:r>
      <w:r w:rsidRPr="005B30A9">
        <w:rPr>
          <w:rStyle w:val="Refdenotaalpie"/>
        </w:rPr>
        <w:footnoteRef/>
      </w:r>
      <w:r w:rsidRPr="005B30A9">
        <w:tab/>
        <w:t xml:space="preserve">Disponible en </w:t>
      </w:r>
      <w:hyperlink r:id="rId12" w:history="1">
        <w:r w:rsidRPr="005B30A9">
          <w:rPr>
            <w:rStyle w:val="Hipervnculo"/>
          </w:rPr>
          <w:t>https://service.bmf.gv.at/Budget/Budgets/2023/beilagen/Klima-_und_Umweltschutz_2023.pdf</w:t>
        </w:r>
      </w:hyperlink>
      <w:r w:rsidRPr="005B30A9">
        <w:t>.</w:t>
      </w:r>
    </w:p>
  </w:footnote>
  <w:footnote w:id="16">
    <w:p w14:paraId="6D968067" w14:textId="1847A988"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13" w:history="1">
        <w:r w:rsidRPr="005B30A9">
          <w:rPr>
            <w:rStyle w:val="Hipervnculo"/>
          </w:rPr>
          <w:t>https://www.bmk.gv.at/en/topics/climate-environment/climate-protection/austrian-strategy-adaptaion.html</w:t>
        </w:r>
      </w:hyperlink>
      <w:r w:rsidRPr="005B30A9">
        <w:t>.</w:t>
      </w:r>
    </w:p>
  </w:footnote>
  <w:footnote w:id="17">
    <w:p w14:paraId="41C8F3E4" w14:textId="10365FE8" w:rsidR="009612CC" w:rsidRPr="005B30A9" w:rsidRDefault="009612CC" w:rsidP="001F207F">
      <w:pPr>
        <w:pStyle w:val="Textonotapie"/>
      </w:pPr>
      <w:r w:rsidRPr="005B30A9">
        <w:tab/>
      </w:r>
      <w:r w:rsidRPr="005B30A9">
        <w:rPr>
          <w:rStyle w:val="Refdenotaalpie"/>
        </w:rPr>
        <w:footnoteRef/>
      </w:r>
      <w:r w:rsidRPr="005B30A9">
        <w:tab/>
        <w:t xml:space="preserve">Objetivos de Desarrollo Sostenible de las Naciones Unidas, Implementación de la Agenda 2030 en Austria; Auditoría de seguimiento, Viena, febrero de 2022; véase </w:t>
      </w:r>
      <w:hyperlink r:id="rId14" w:history="1">
        <w:r w:rsidR="00446ADF" w:rsidRPr="005B30A9">
          <w:rPr>
            <w:rStyle w:val="Hipervnculo"/>
          </w:rPr>
          <w:t>https://rechnungshof.gv.at/rh/</w:t>
        </w:r>
        <w:r w:rsidR="00446ADF" w:rsidRPr="005B30A9">
          <w:rPr>
            <w:rStyle w:val="Hipervnculo"/>
          </w:rPr>
          <w:br/>
          <w:t>home/home/home_7/Agenda_2030_FuP.pdf</w:t>
        </w:r>
      </w:hyperlink>
      <w:r w:rsidRPr="005B30A9">
        <w:t>.</w:t>
      </w:r>
    </w:p>
  </w:footnote>
  <w:footnote w:id="18">
    <w:p w14:paraId="55415110" w14:textId="377FAFFD"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15" w:history="1">
        <w:r w:rsidRPr="005B30A9">
          <w:rPr>
            <w:rStyle w:val="Hipervnculo"/>
          </w:rPr>
          <w:t>https://www.statistik.at/services/tools/services/publikationen/detail/855</w:t>
        </w:r>
      </w:hyperlink>
      <w:r w:rsidRPr="005B30A9">
        <w:t>.</w:t>
      </w:r>
    </w:p>
  </w:footnote>
  <w:footnote w:id="19">
    <w:p w14:paraId="45CFA77B" w14:textId="38BF6DB2"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16" w:history="1">
        <w:r w:rsidRPr="005B30A9">
          <w:rPr>
            <w:rStyle w:val="Hipervnculo"/>
          </w:rPr>
          <w:t>https://www.statistik.at/services/tools/services/publikationen/detail/952</w:t>
        </w:r>
      </w:hyperlink>
      <w:r w:rsidRPr="005B30A9">
        <w:t>.</w:t>
      </w:r>
    </w:p>
  </w:footnote>
  <w:footnote w:id="20">
    <w:p w14:paraId="4A58FD43" w14:textId="2B201019"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17" w:history="1">
        <w:r w:rsidRPr="005B30A9">
          <w:rPr>
            <w:rStyle w:val="Hipervnculo"/>
          </w:rPr>
          <w:t>https://www.bundeskanzleramt.gv.at/dam/jcr:3d56226c-868f-4b9d-b2bd-87ef7bb63afe/54_6_ber_NB.pdf</w:t>
        </w:r>
      </w:hyperlink>
      <w:r w:rsidRPr="005B30A9">
        <w:t>.</w:t>
      </w:r>
    </w:p>
  </w:footnote>
  <w:footnote w:id="21">
    <w:p w14:paraId="52F8DC8A" w14:textId="1D452DD4"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18" w:history="1">
        <w:r w:rsidRPr="005B30A9">
          <w:rPr>
            <w:rStyle w:val="Hipervnculo"/>
          </w:rPr>
          <w:t>https://www.statistik.at/services/tools/services/publikationen/detail/1494</w:t>
        </w:r>
      </w:hyperlink>
      <w:r w:rsidRPr="005B30A9">
        <w:t>.</w:t>
      </w:r>
    </w:p>
  </w:footnote>
  <w:footnote w:id="22">
    <w:p w14:paraId="303174DF" w14:textId="0ED87BB6"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19" w:history="1">
        <w:r w:rsidRPr="005B30A9">
          <w:rPr>
            <w:rStyle w:val="Hipervnculo"/>
          </w:rPr>
          <w:t>https://www.bundeskanzleramt.gv.at/themen/nachhaltige-entwicklung-agenda-2030.html</w:t>
        </w:r>
      </w:hyperlink>
      <w:r w:rsidRPr="005B30A9">
        <w:t xml:space="preserve">. </w:t>
      </w:r>
    </w:p>
  </w:footnote>
  <w:footnote w:id="23">
    <w:p w14:paraId="745D6793" w14:textId="7DBE3DBA" w:rsidR="009612CC" w:rsidRPr="005B30A9" w:rsidRDefault="009612CC" w:rsidP="001F207F">
      <w:pPr>
        <w:pStyle w:val="Textonotapie"/>
      </w:pPr>
      <w:r w:rsidRPr="005B30A9">
        <w:tab/>
      </w:r>
      <w:r w:rsidRPr="005B30A9">
        <w:rPr>
          <w:rStyle w:val="Refdenotaalpie"/>
        </w:rPr>
        <w:footnoteRef/>
      </w:r>
      <w:r w:rsidRPr="005B30A9">
        <w:tab/>
        <w:t xml:space="preserve">Disponible en </w:t>
      </w:r>
      <w:hyperlink r:id="rId20" w:history="1">
        <w:r w:rsidRPr="00A308F7">
          <w:rPr>
            <w:rStyle w:val="Hipervnculo"/>
          </w:rPr>
          <w:t>https://www.bundeskanzleramt.gv.at/agenda/integration/integrationsbericht.html</w:t>
        </w:r>
      </w:hyperlink>
      <w:r w:rsidRPr="005B30A9">
        <w:t>.</w:t>
      </w:r>
    </w:p>
  </w:footnote>
  <w:footnote w:id="24">
    <w:p w14:paraId="3E5B6711" w14:textId="0F9E6BA2"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21" w:history="1">
        <w:r w:rsidRPr="00A308F7">
          <w:rPr>
            <w:rStyle w:val="Hipervnculo"/>
          </w:rPr>
          <w:t>https://www.wien.gv.at/menschen/integration/daten-fakten/monitoring.html</w:t>
        </w:r>
      </w:hyperlink>
      <w:r w:rsidRPr="005B30A9">
        <w:t>.</w:t>
      </w:r>
    </w:p>
  </w:footnote>
  <w:footnote w:id="25">
    <w:p w14:paraId="538DC9F8" w14:textId="2D55EA0D"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22" w:history="1">
        <w:r w:rsidRPr="00A308F7">
          <w:rPr>
            <w:rStyle w:val="Hipervnculo"/>
          </w:rPr>
          <w:t>https://www.bundeskanzleramt.gv.at/themen/volksgruppen/roma-strategie.html</w:t>
        </w:r>
      </w:hyperlink>
      <w:r w:rsidRPr="005B30A9">
        <w:t>.</w:t>
      </w:r>
    </w:p>
  </w:footnote>
  <w:footnote w:id="26">
    <w:p w14:paraId="018A2449" w14:textId="6006C274"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23" w:history="1">
        <w:r w:rsidRPr="00D711B0">
          <w:rPr>
            <w:rStyle w:val="Hipervnculo"/>
          </w:rPr>
          <w:t>https://www.bundeskanzleramt.gv.at/themen/volksgruppen/roma-strategie.html</w:t>
        </w:r>
      </w:hyperlink>
      <w:r w:rsidRPr="005B30A9">
        <w:t>.</w:t>
      </w:r>
    </w:p>
  </w:footnote>
  <w:footnote w:id="27">
    <w:p w14:paraId="2B9EBB4B" w14:textId="7018E867" w:rsidR="009612CC" w:rsidRPr="005B30A9" w:rsidRDefault="009612CC" w:rsidP="001F207F">
      <w:pPr>
        <w:pStyle w:val="Textonotapie"/>
      </w:pPr>
      <w:r w:rsidRPr="005B30A9">
        <w:tab/>
      </w:r>
      <w:r w:rsidRPr="005B30A9">
        <w:rPr>
          <w:rStyle w:val="Refdenotaalpie"/>
        </w:rPr>
        <w:footnoteRef/>
      </w:r>
      <w:r w:rsidRPr="005B30A9">
        <w:tab/>
        <w:t xml:space="preserve">Los resultados de la evaluación pueden consultarse en: </w:t>
      </w:r>
      <w:hyperlink r:id="rId24" w:history="1">
        <w:r w:rsidR="00446ADF" w:rsidRPr="005B30A9">
          <w:rPr>
            <w:rStyle w:val="Hipervnculo"/>
          </w:rPr>
          <w:t>https://www.sozialministerium.at/dam/jcr:</w:t>
        </w:r>
        <w:r w:rsidR="00446ADF" w:rsidRPr="005B30A9">
          <w:rPr>
            <w:rStyle w:val="Hipervnculo"/>
          </w:rPr>
          <w:br/>
          <w:t>edab5ca1-4995-456a-820c-c414da78bc39/Evaluierung%20NAP%20Behinderung %202012-2020.pdf</w:t>
        </w:r>
      </w:hyperlink>
      <w:r w:rsidRPr="005B30A9">
        <w:t xml:space="preserve">. </w:t>
      </w:r>
    </w:p>
  </w:footnote>
  <w:footnote w:id="28">
    <w:p w14:paraId="0383FDA0" w14:textId="77777777" w:rsidR="009612CC" w:rsidRPr="005B30A9" w:rsidRDefault="009612CC" w:rsidP="001F207F">
      <w:pPr>
        <w:pStyle w:val="Textonotapie"/>
      </w:pPr>
      <w:r w:rsidRPr="005B30A9">
        <w:tab/>
      </w:r>
      <w:r w:rsidRPr="005B30A9">
        <w:rPr>
          <w:rStyle w:val="Refdenotaalpie"/>
        </w:rPr>
        <w:footnoteRef/>
      </w:r>
      <w:r w:rsidRPr="005B30A9">
        <w:tab/>
        <w:t>Excluidos los subsidios por jornada reducida o excedencia.</w:t>
      </w:r>
    </w:p>
  </w:footnote>
  <w:footnote w:id="29">
    <w:p w14:paraId="79A585C7" w14:textId="3C6B2D52"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25" w:history="1">
        <w:r w:rsidRPr="005B30A9">
          <w:rPr>
            <w:rStyle w:val="Hipervnculo"/>
          </w:rPr>
          <w:t>https://www.journey-integral.at</w:t>
        </w:r>
      </w:hyperlink>
      <w:r w:rsidRPr="005B30A9">
        <w:t>.</w:t>
      </w:r>
    </w:p>
  </w:footnote>
  <w:footnote w:id="30">
    <w:p w14:paraId="5E0A10A6" w14:textId="5D2203FB"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26" w:history="1">
        <w:r w:rsidRPr="005B30A9">
          <w:rPr>
            <w:rStyle w:val="Hipervnculo"/>
          </w:rPr>
          <w:t>https://www.gleichbehandlungsanwaltschaft.gv.at/unser-angebot/informationsmaterial.html</w:t>
        </w:r>
      </w:hyperlink>
      <w:r w:rsidRPr="005B30A9">
        <w:t>.</w:t>
      </w:r>
    </w:p>
  </w:footnote>
  <w:footnote w:id="31">
    <w:p w14:paraId="432DA15F" w14:textId="2E29FC96" w:rsidR="009612CC" w:rsidRPr="005B30A9" w:rsidRDefault="009612CC" w:rsidP="001F207F">
      <w:pPr>
        <w:pStyle w:val="Textonotapie"/>
      </w:pPr>
      <w:r w:rsidRPr="005B30A9">
        <w:tab/>
      </w:r>
      <w:r w:rsidRPr="005B30A9">
        <w:rPr>
          <w:rStyle w:val="Refdenotaalpie"/>
        </w:rPr>
        <w:footnoteRef/>
      </w:r>
      <w:r w:rsidRPr="005B30A9">
        <w:tab/>
        <w:t xml:space="preserve">Pueden consultarse los detalles de la convocatoria y una lista de 14 proyectos en </w:t>
      </w:r>
      <w:hyperlink r:id="rId27" w:history="1">
        <w:r w:rsidR="00871746" w:rsidRPr="00871746">
          <w:rPr>
            <w:rStyle w:val="Hipervnculo"/>
          </w:rPr>
          <w:t>https://www.bundeskanzleramt.gv.at/service/foerderungen-des-bundeskanzleramtes/frauenprojektfoerderungen/foerderaufruf_mint_finanzkompetenzen.html</w:t>
        </w:r>
      </w:hyperlink>
      <w:r w:rsidRPr="005B30A9">
        <w:t>.</w:t>
      </w:r>
    </w:p>
  </w:footnote>
  <w:footnote w:id="32">
    <w:p w14:paraId="48949706" w14:textId="2E5870A3" w:rsidR="009612CC" w:rsidRPr="005B30A9" w:rsidRDefault="009612CC" w:rsidP="001F207F">
      <w:pPr>
        <w:pStyle w:val="Textonotapie"/>
      </w:pPr>
      <w:r w:rsidRPr="005B30A9">
        <w:tab/>
      </w:r>
      <w:r w:rsidRPr="005B30A9">
        <w:rPr>
          <w:rStyle w:val="Refdenotaalpie"/>
        </w:rPr>
        <w:footnoteRef/>
      </w:r>
      <w:r w:rsidRPr="005B30A9">
        <w:tab/>
        <w:t xml:space="preserve">Pueden consultarse los detalles de la convocatoria y una lista de 17 proyectos en </w:t>
      </w:r>
      <w:hyperlink r:id="rId28" w:history="1">
        <w:r w:rsidR="00871746" w:rsidRPr="00FE267B">
          <w:rPr>
            <w:rStyle w:val="Hipervnculo"/>
          </w:rPr>
          <w:t>https://www.bundeskanzleramt.gv.at/service/foerderungen-des-bundeskanzleramtes/frauenprojektfoerderungen/foerderung-fuer-17-projekte-fuer-massnahmen-zur-staerkung-von-maedchen-und-frauen-in-der-digitalen-welt-und-diversifizierung-ihrer-ausbildungswege-und-berufswahl-mit-fokus-auf-mint.html</w:t>
        </w:r>
      </w:hyperlink>
      <w:r w:rsidRPr="005B30A9">
        <w:t>.</w:t>
      </w:r>
    </w:p>
  </w:footnote>
  <w:footnote w:id="33">
    <w:p w14:paraId="07728F09" w14:textId="79116B4B"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29" w:history="1">
        <w:r w:rsidRPr="005B30A9">
          <w:rPr>
            <w:rStyle w:val="Hipervnculo"/>
          </w:rPr>
          <w:t>https://www.bundeskanzleramt.gv.at/girlsinpolitics</w:t>
        </w:r>
      </w:hyperlink>
      <w:r w:rsidRPr="005B30A9">
        <w:t>.</w:t>
      </w:r>
    </w:p>
  </w:footnote>
  <w:footnote w:id="34">
    <w:p w14:paraId="50E5F52E" w14:textId="6E111360"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30" w:history="1">
        <w:r w:rsidRPr="007A3EDE">
          <w:rPr>
            <w:rStyle w:val="Hipervnculo"/>
          </w:rPr>
          <w:t>https://www.trapez-frauen-pen</w:t>
        </w:r>
        <w:r w:rsidRPr="007A3EDE">
          <w:rPr>
            <w:rStyle w:val="Hipervnculo"/>
          </w:rPr>
          <w:t>sionen.at/en/</w:t>
        </w:r>
      </w:hyperlink>
      <w:r w:rsidRPr="005B30A9">
        <w:t>.</w:t>
      </w:r>
    </w:p>
  </w:footnote>
  <w:footnote w:id="35">
    <w:p w14:paraId="20FBC64C" w14:textId="396681A2" w:rsidR="009612CC" w:rsidRPr="005B30A9" w:rsidRDefault="009612CC" w:rsidP="001F207F">
      <w:pPr>
        <w:pStyle w:val="Textonotapie"/>
      </w:pPr>
      <w:r w:rsidRPr="005B30A9">
        <w:tab/>
      </w:r>
      <w:r w:rsidRPr="005B30A9">
        <w:rPr>
          <w:rStyle w:val="Refdenotaalpie"/>
        </w:rPr>
        <w:footnoteRef/>
      </w:r>
      <w:r w:rsidRPr="005B30A9">
        <w:tab/>
        <w:t xml:space="preserve">Disponible en </w:t>
      </w:r>
      <w:hyperlink r:id="rId31" w:history="1">
        <w:r w:rsidRPr="007A3EDE">
          <w:rPr>
            <w:rStyle w:val="Hipervnculo"/>
          </w:rPr>
          <w:t>https://www.statistik.at/fileadmin/pages/362/VSE2018_GPG_06_2021_126258.pdf</w:t>
        </w:r>
      </w:hyperlink>
      <w:r w:rsidRPr="005B30A9">
        <w:t>.</w:t>
      </w:r>
    </w:p>
  </w:footnote>
  <w:footnote w:id="36">
    <w:p w14:paraId="75F30A41" w14:textId="1A71C60B"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32" w:history="1">
        <w:r w:rsidRPr="005B30A9">
          <w:rPr>
            <w:rStyle w:val="Hipervnculo"/>
          </w:rPr>
          <w:t>https://www.gehaltsrechner.gv.at</w:t>
        </w:r>
      </w:hyperlink>
      <w:r w:rsidRPr="005B30A9">
        <w:t>.</w:t>
      </w:r>
    </w:p>
  </w:footnote>
  <w:footnote w:id="37">
    <w:p w14:paraId="07DD45BF" w14:textId="1DA9A719"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33" w:history="1">
        <w:r w:rsidRPr="005B30A9">
          <w:rPr>
            <w:rStyle w:val="Hipervnculo"/>
          </w:rPr>
          <w:t>https://www.einkommensbericht.gv.at</w:t>
        </w:r>
      </w:hyperlink>
      <w:r w:rsidRPr="005B30A9">
        <w:t>.</w:t>
      </w:r>
    </w:p>
  </w:footnote>
  <w:footnote w:id="38">
    <w:p w14:paraId="4EC953AD" w14:textId="19E7978D"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34" w:history="1">
        <w:r w:rsidRPr="005B30A9">
          <w:rPr>
            <w:rStyle w:val="Hipervnculo"/>
          </w:rPr>
          <w:t>https://www.einkommensbe</w:t>
        </w:r>
        <w:r w:rsidRPr="005B30A9">
          <w:rPr>
            <w:rStyle w:val="Hipervnculo"/>
          </w:rPr>
          <w:t>richt.gv.at</w:t>
        </w:r>
      </w:hyperlink>
      <w:r w:rsidRPr="005B30A9">
        <w:t>.</w:t>
      </w:r>
    </w:p>
  </w:footnote>
  <w:footnote w:id="39">
    <w:p w14:paraId="1C9C02E5" w14:textId="6B8209EB" w:rsidR="009612CC" w:rsidRPr="005B30A9" w:rsidRDefault="009612CC" w:rsidP="001F207F">
      <w:pPr>
        <w:pStyle w:val="Textonotapie"/>
        <w:rPr>
          <w:rStyle w:val="TextonotapieCar"/>
        </w:rPr>
      </w:pPr>
      <w:r w:rsidRPr="005B30A9">
        <w:tab/>
      </w:r>
      <w:r w:rsidRPr="005B30A9">
        <w:rPr>
          <w:rStyle w:val="Refdenotaalpie"/>
        </w:rPr>
        <w:footnoteRef/>
      </w:r>
      <w:r w:rsidRPr="005B30A9">
        <w:tab/>
        <w:t xml:space="preserve">Disponible en </w:t>
      </w:r>
      <w:hyperlink r:id="rId35" w:history="1">
        <w:r w:rsidRPr="005B30A9">
          <w:rPr>
            <w:rStyle w:val="Hipervnculo"/>
          </w:rPr>
          <w:t>https://vorarlberg.at/documents/302033/472040/Rahmenplan+2016-21.pdf/74d87cfd-2fc5-eab2-3f4e-0d5c6ad39064?t=1616162963253</w:t>
        </w:r>
      </w:hyperlink>
      <w:r w:rsidRPr="005B30A9">
        <w:t>.</w:t>
      </w:r>
    </w:p>
  </w:footnote>
  <w:footnote w:id="40">
    <w:p w14:paraId="2827C603" w14:textId="67B18EFC"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36" w:history="1">
        <w:r w:rsidRPr="005B30A9">
          <w:rPr>
            <w:rStyle w:val="Hipervnculo"/>
          </w:rPr>
          <w:t>https://ueberregionale-vermittlung.ams.at/home.html</w:t>
        </w:r>
      </w:hyperlink>
      <w:r w:rsidRPr="005B30A9">
        <w:t>.</w:t>
      </w:r>
    </w:p>
  </w:footnote>
  <w:footnote w:id="41">
    <w:p w14:paraId="18E42B1F" w14:textId="095FAAA6" w:rsidR="009612CC" w:rsidRPr="005B30A9" w:rsidRDefault="009612CC" w:rsidP="001F207F">
      <w:pPr>
        <w:pStyle w:val="Textonotapie"/>
      </w:pPr>
      <w:r w:rsidRPr="005B30A9">
        <w:tab/>
      </w:r>
      <w:r w:rsidRPr="005B30A9">
        <w:rPr>
          <w:rStyle w:val="Refdenotaalpie"/>
        </w:rPr>
        <w:footnoteRef/>
      </w:r>
      <w:r w:rsidRPr="005B30A9">
        <w:tab/>
        <w:t xml:space="preserve">Disponible en </w:t>
      </w:r>
      <w:hyperlink r:id="rId37" w:history="1">
        <w:r w:rsidR="00B80B24" w:rsidRPr="005B30A9">
          <w:rPr>
            <w:rStyle w:val="Hipervnculo"/>
          </w:rPr>
          <w:t>https://www.bundeskanzle</w:t>
        </w:r>
        <w:r w:rsidR="00B80B24" w:rsidRPr="005B30A9">
          <w:rPr>
            <w:rStyle w:val="Hipervnculo"/>
          </w:rPr>
          <w:t>ramt.gv.at/agenda/familie/familienpolitik/Familien</w:t>
        </w:r>
        <w:r w:rsidR="00B80B24" w:rsidRPr="005B30A9">
          <w:rPr>
            <w:rStyle w:val="Hipervnculo"/>
          </w:rPr>
          <w:br/>
          <w:t>forschung/familienbericht.html</w:t>
        </w:r>
      </w:hyperlink>
      <w:r w:rsidRPr="005B30A9">
        <w:t>.</w:t>
      </w:r>
    </w:p>
  </w:footnote>
  <w:footnote w:id="42">
    <w:p w14:paraId="0457096D" w14:textId="335A9F13" w:rsidR="009612CC" w:rsidRPr="005B30A9" w:rsidRDefault="009612CC" w:rsidP="001F207F">
      <w:pPr>
        <w:pStyle w:val="Textonotapie"/>
      </w:pPr>
      <w:r w:rsidRPr="005B30A9">
        <w:tab/>
      </w:r>
      <w:r w:rsidRPr="005B30A9">
        <w:rPr>
          <w:rStyle w:val="Refdenotaalpie"/>
        </w:rPr>
        <w:footnoteRef/>
      </w:r>
      <w:r w:rsidRPr="005B30A9">
        <w:tab/>
        <w:t xml:space="preserve">Disponible en </w:t>
      </w:r>
      <w:hyperlink r:id="rId38" w:history="1">
        <w:r w:rsidR="00B80B24" w:rsidRPr="005B30A9">
          <w:rPr>
            <w:rStyle w:val="Hipervnculo"/>
          </w:rPr>
          <w:t>https://www.bundeskanzlera</w:t>
        </w:r>
        <w:r w:rsidR="00B80B24" w:rsidRPr="005B30A9">
          <w:rPr>
            <w:rStyle w:val="Hipervnculo"/>
          </w:rPr>
          <w:t>mt.gv.at/agenda/familie/familienpolitik/Familien</w:t>
        </w:r>
        <w:r w:rsidR="00B80B24" w:rsidRPr="005B30A9">
          <w:rPr>
            <w:rStyle w:val="Hipervnculo"/>
          </w:rPr>
          <w:br/>
          <w:t>forschung/analyse-oesterreichische-familienleistungen.html</w:t>
        </w:r>
      </w:hyperlink>
      <w:r w:rsidRPr="005B30A9">
        <w:t xml:space="preserve">. </w:t>
      </w:r>
    </w:p>
  </w:footnote>
  <w:footnote w:id="43">
    <w:p w14:paraId="1A1140D0" w14:textId="645635F9"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39" w:history="1">
        <w:r w:rsidRPr="005B30A9">
          <w:rPr>
            <w:rStyle w:val="Hipervnculo"/>
          </w:rPr>
          <w:t>https://www.weiterlernen.at</w:t>
        </w:r>
      </w:hyperlink>
      <w:r w:rsidRPr="005B30A9">
        <w:t>.</w:t>
      </w:r>
    </w:p>
  </w:footnote>
  <w:footnote w:id="44">
    <w:p w14:paraId="22F03778" w14:textId="1A67964A"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40" w:history="1">
        <w:r w:rsidRPr="005C4C50">
          <w:rPr>
            <w:rStyle w:val="Hipervnculo"/>
          </w:rPr>
          <w:t>https://www.trapez-frauen-pensionen.at/en/</w:t>
        </w:r>
      </w:hyperlink>
      <w:r w:rsidRPr="005B30A9">
        <w:t>.</w:t>
      </w:r>
    </w:p>
  </w:footnote>
  <w:footnote w:id="45">
    <w:p w14:paraId="748CAA24" w14:textId="36DCEB4F" w:rsidR="009612CC" w:rsidRPr="005B30A9" w:rsidRDefault="009612CC" w:rsidP="001F207F">
      <w:pPr>
        <w:pStyle w:val="Textonotapie"/>
      </w:pPr>
      <w:r w:rsidRPr="005B30A9">
        <w:tab/>
      </w:r>
      <w:r w:rsidRPr="005B30A9">
        <w:rPr>
          <w:rStyle w:val="Refdenotaalpie"/>
        </w:rPr>
        <w:footnoteRef/>
      </w:r>
      <w:r w:rsidRPr="005B30A9">
        <w:tab/>
        <w:t xml:space="preserve">Pueden consultarse los detalles de la convocatoria y una lista de 14 proyectos en </w:t>
      </w:r>
      <w:hyperlink r:id="rId41" w:history="1">
        <w:r w:rsidR="00091DE6" w:rsidRPr="005B30A9">
          <w:rPr>
            <w:rStyle w:val="Hipervnculo"/>
          </w:rPr>
          <w:t>https://www.bundes</w:t>
        </w:r>
        <w:r w:rsidR="00091DE6" w:rsidRPr="005B30A9">
          <w:rPr>
            <w:rStyle w:val="Hipervnculo"/>
          </w:rPr>
          <w:br/>
          <w:t>kanzleramt.gv.at/service/foerderungen-des-bundeskanzleramtes/frauenprojektfoerderungen/</w:t>
        </w:r>
        <w:r w:rsidR="00091DE6" w:rsidRPr="005B30A9">
          <w:rPr>
            <w:rStyle w:val="Hipervnculo"/>
          </w:rPr>
          <w:br/>
          <w:t>foerderung-fuer-14-projekte-fuer-massnahmen-zur-staerkung-von-frauen-und-maedchen.html</w:t>
        </w:r>
      </w:hyperlink>
      <w:r w:rsidRPr="005B30A9">
        <w:t>.</w:t>
      </w:r>
    </w:p>
  </w:footnote>
  <w:footnote w:id="46">
    <w:p w14:paraId="53682615" w14:textId="6AADFC7D"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42" w:history="1">
        <w:r w:rsidRPr="005B30A9">
          <w:rPr>
            <w:rStyle w:val="Hipervnculo"/>
          </w:rPr>
          <w:t>https://www.regio-v.at/lokale-entwicklungsstrategie-les-2020</w:t>
        </w:r>
      </w:hyperlink>
      <w:r w:rsidRPr="005B30A9">
        <w:t>.</w:t>
      </w:r>
    </w:p>
  </w:footnote>
  <w:footnote w:id="47">
    <w:p w14:paraId="5D89C8F9" w14:textId="1175622B"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43" w:history="1">
        <w:r w:rsidRPr="005B30A9">
          <w:rPr>
            <w:rStyle w:val="Hipervnculo"/>
          </w:rPr>
          <w:t>https://www.leader-vwb.at/die-leader-region/entwicklungsstrategie-les/lokale-entwicklungsstrategie</w:t>
        </w:r>
      </w:hyperlink>
      <w:r w:rsidRPr="005B30A9">
        <w:t>.</w:t>
      </w:r>
    </w:p>
  </w:footnote>
  <w:footnote w:id="48">
    <w:p w14:paraId="09EFCE07" w14:textId="6DD35854" w:rsidR="009612CC" w:rsidRPr="005B30A9" w:rsidRDefault="009612CC" w:rsidP="001F207F">
      <w:pPr>
        <w:pStyle w:val="Textonotapie"/>
      </w:pPr>
      <w:r w:rsidRPr="005B30A9">
        <w:tab/>
      </w:r>
      <w:r w:rsidRPr="005B30A9">
        <w:rPr>
          <w:rStyle w:val="Refdenotaalpie"/>
        </w:rPr>
        <w:footnoteRef/>
      </w:r>
      <w:r w:rsidRPr="005B30A9">
        <w:tab/>
        <w:t xml:space="preserve">Disponible en: </w:t>
      </w:r>
      <w:hyperlink r:id="rId44" w:history="1">
        <w:r w:rsidRPr="005B30A9">
          <w:rPr>
            <w:rStyle w:val="Hipervnculo"/>
          </w:rPr>
          <w:t>https://www.zukunftsraumland.at/seiten/185</w:t>
        </w:r>
      </w:hyperlink>
      <w:r w:rsidRPr="005B30A9">
        <w:t>.</w:t>
      </w:r>
    </w:p>
  </w:footnote>
  <w:footnote w:id="49">
    <w:p w14:paraId="4FBFA6A7" w14:textId="2D7146F7" w:rsidR="009612CC" w:rsidRPr="005B30A9" w:rsidRDefault="009612CC" w:rsidP="001F207F">
      <w:pPr>
        <w:pStyle w:val="Textonotapie"/>
      </w:pPr>
      <w:r w:rsidRPr="005B30A9">
        <w:tab/>
      </w:r>
      <w:r w:rsidRPr="005B30A9">
        <w:rPr>
          <w:rStyle w:val="Refdenotaalpie"/>
        </w:rPr>
        <w:footnoteRef/>
      </w:r>
      <w:r w:rsidRPr="005B30A9">
        <w:tab/>
        <w:t xml:space="preserve">Disponible en: </w:t>
      </w:r>
      <w:hyperlink r:id="rId45" w:history="1">
        <w:r w:rsidR="00091DE6" w:rsidRPr="005B30A9">
          <w:rPr>
            <w:rStyle w:val="Hipervnculo"/>
          </w:rPr>
          <w:t>https://stmk.lko.at/media.php?filename=download%3D%2F2018.11.06%2F1541</w:t>
        </w:r>
        <w:r w:rsidR="00091DE6" w:rsidRPr="005B30A9">
          <w:rPr>
            <w:rStyle w:val="Hipervnculo"/>
          </w:rPr>
          <w:br/>
          <w:t>496582022151.pdf&amp;rn=Charta%20Partnerschaftliche%20Interessenvertretung.pdf</w:t>
        </w:r>
      </w:hyperlink>
      <w:r w:rsidRPr="005B30A9">
        <w:t xml:space="preserve">. </w:t>
      </w:r>
    </w:p>
  </w:footnote>
  <w:footnote w:id="50">
    <w:p w14:paraId="066932C8" w14:textId="4B2B9600"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46" w:history="1">
        <w:r w:rsidRPr="005B30A9">
          <w:rPr>
            <w:rStyle w:val="Hipervnculo"/>
          </w:rPr>
          <w:t>https://ag</w:t>
        </w:r>
        <w:r w:rsidRPr="005B30A9">
          <w:rPr>
            <w:rStyle w:val="Hipervnculo"/>
          </w:rPr>
          <w:t>enda-gesundheitsfoerderung.at/</w:t>
        </w:r>
      </w:hyperlink>
      <w:r w:rsidRPr="005B30A9">
        <w:t>.</w:t>
      </w:r>
    </w:p>
  </w:footnote>
  <w:footnote w:id="51">
    <w:p w14:paraId="0CCDDB88" w14:textId="7EB59F6D" w:rsidR="009612CC" w:rsidRPr="005B30A9" w:rsidRDefault="009612CC" w:rsidP="001F207F">
      <w:pPr>
        <w:pStyle w:val="Textonotapie"/>
      </w:pPr>
      <w:r w:rsidRPr="005B30A9">
        <w:tab/>
      </w:r>
      <w:r w:rsidRPr="005B30A9">
        <w:rPr>
          <w:rStyle w:val="Refdenotaalpie"/>
        </w:rPr>
        <w:footnoteRef/>
      </w:r>
      <w:r w:rsidRPr="005B30A9">
        <w:tab/>
        <w:t xml:space="preserve">Disponible en </w:t>
      </w:r>
      <w:hyperlink r:id="rId47" w:history="1">
        <w:r w:rsidRPr="005B30A9">
          <w:rPr>
            <w:rStyle w:val="Hipervnculo"/>
          </w:rPr>
          <w:t>https://www.bundeskanzleramt.gv.at/themen/volksgruppen/roma-strategie.html</w:t>
        </w:r>
      </w:hyperlink>
      <w:r w:rsidRPr="005B30A9">
        <w:t>.</w:t>
      </w:r>
    </w:p>
  </w:footnote>
  <w:footnote w:id="52">
    <w:p w14:paraId="506B9EB6" w14:textId="692E54F0" w:rsidR="009612CC" w:rsidRPr="005B30A9" w:rsidRDefault="009612CC" w:rsidP="001F207F">
      <w:pPr>
        <w:pStyle w:val="Textonotapie"/>
      </w:pPr>
      <w:r w:rsidRPr="005B30A9">
        <w:tab/>
      </w:r>
      <w:r w:rsidRPr="005B30A9">
        <w:rPr>
          <w:rStyle w:val="Refdenotaalpie"/>
        </w:rPr>
        <w:footnoteRef/>
      </w:r>
      <w:r w:rsidRPr="005B30A9">
        <w:tab/>
        <w:t xml:space="preserve">Disponible en </w:t>
      </w:r>
      <w:hyperlink r:id="rId48" w:history="1">
        <w:r w:rsidRPr="005B30A9">
          <w:rPr>
            <w:rStyle w:val="Hipervnculo"/>
          </w:rPr>
          <w:t>https://www.sozialmi</w:t>
        </w:r>
        <w:r w:rsidRPr="005B30A9">
          <w:rPr>
            <w:rStyle w:val="Hipervnculo"/>
          </w:rPr>
          <w:t>nisterium.at/Themen/Gesundheit/Frauen--und-Gendergesundheit.html</w:t>
        </w:r>
      </w:hyperlink>
      <w:r w:rsidRPr="005B30A9">
        <w:t>.</w:t>
      </w:r>
    </w:p>
  </w:footnote>
  <w:footnote w:id="53">
    <w:p w14:paraId="4BB48FB2" w14:textId="77777777" w:rsidR="009612CC" w:rsidRPr="005B30A9" w:rsidRDefault="009612CC" w:rsidP="001F207F">
      <w:pPr>
        <w:pStyle w:val="Textonotapie"/>
      </w:pPr>
      <w:r w:rsidRPr="005B30A9">
        <w:tab/>
      </w:r>
      <w:r w:rsidRPr="005B30A9">
        <w:rPr>
          <w:rStyle w:val="Refdenotaalpie"/>
        </w:rPr>
        <w:footnoteRef/>
      </w:r>
      <w:r w:rsidRPr="005B30A9">
        <w:tab/>
        <w:t>En Estiria no se dispone de datos sobre el primer idioma.</w:t>
      </w:r>
    </w:p>
  </w:footnote>
  <w:footnote w:id="54">
    <w:p w14:paraId="68F988DC" w14:textId="2F59F537"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49" w:history="1">
        <w:r w:rsidRPr="005B0204">
          <w:rPr>
            <w:rStyle w:val="Hipervnculo"/>
          </w:rPr>
          <w:t>https://www.bundeskanzleramt.gv.at/themen/volksgruppen/roma-strategie/dialogplattform-roma-strategie/13-dialogplattform-25-februar-2015.html</w:t>
        </w:r>
      </w:hyperlink>
      <w:r w:rsidRPr="005B30A9">
        <w:t>.</w:t>
      </w:r>
    </w:p>
  </w:footnote>
  <w:footnote w:id="55">
    <w:p w14:paraId="48046106" w14:textId="55102093"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50" w:history="1">
        <w:r w:rsidRPr="005B30A9">
          <w:rPr>
            <w:rStyle w:val="Hipervnculo"/>
          </w:rPr>
          <w:t>https://www.schulpsychologie.at/15#&amp;gid=1&amp;pid=1</w:t>
        </w:r>
      </w:hyperlink>
      <w:r w:rsidRPr="005B30A9">
        <w:t>.</w:t>
      </w:r>
    </w:p>
  </w:footnote>
  <w:footnote w:id="56">
    <w:p w14:paraId="6B0AFBBE" w14:textId="59ACE106"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51" w:history="1">
        <w:r w:rsidRPr="005B30A9">
          <w:rPr>
            <w:rStyle w:val="Hipervnculo"/>
          </w:rPr>
          <w:t>https://www.bmbwf.gv.at/Themen/schule/schulpraxis/ba/bo.html</w:t>
        </w:r>
      </w:hyperlink>
      <w:r w:rsidRPr="005B30A9">
        <w:t>.</w:t>
      </w:r>
    </w:p>
  </w:footnote>
  <w:footnote w:id="57">
    <w:p w14:paraId="1F689CB0" w14:textId="0AF9426F" w:rsidR="009612CC" w:rsidRPr="005B30A9" w:rsidRDefault="009612CC" w:rsidP="001F207F">
      <w:pPr>
        <w:pStyle w:val="Textonotapie"/>
      </w:pPr>
      <w:r w:rsidRPr="005B30A9">
        <w:tab/>
      </w:r>
      <w:r w:rsidRPr="005B30A9">
        <w:rPr>
          <w:rStyle w:val="Refdenotaalpie"/>
        </w:rPr>
        <w:footnoteRef/>
      </w:r>
      <w:r w:rsidRPr="005B30A9">
        <w:tab/>
        <w:t xml:space="preserve">Véase </w:t>
      </w:r>
      <w:hyperlink r:id="rId52" w:history="1">
        <w:r w:rsidRPr="005B30A9">
          <w:rPr>
            <w:rStyle w:val="Hipervnculo"/>
          </w:rPr>
          <w:t>https://www.gleichstellungsmonitor.at</w:t>
        </w:r>
      </w:hyperlink>
      <w:r w:rsidRPr="005B30A9">
        <w:t>.</w:t>
      </w:r>
    </w:p>
  </w:footnote>
  <w:footnote w:id="58">
    <w:p w14:paraId="0B4FDEBD" w14:textId="77777777" w:rsidR="009612CC" w:rsidRPr="005B30A9" w:rsidRDefault="009612CC" w:rsidP="001F207F">
      <w:pPr>
        <w:pStyle w:val="Textonotapie"/>
      </w:pPr>
      <w:r w:rsidRPr="005B30A9">
        <w:tab/>
      </w:r>
      <w:r w:rsidRPr="005B30A9">
        <w:rPr>
          <w:rStyle w:val="Refdenotaalpie"/>
        </w:rPr>
        <w:footnoteRef/>
      </w:r>
      <w:r w:rsidRPr="005B30A9">
        <w:tab/>
        <w:t>La lengua que hablan los estudiantes en su vida cotidiana sirve de parámetro para determinar el origen migratorio.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B0C71" w14:textId="1F49A3CF" w:rsidR="009612CC" w:rsidRPr="009612CC" w:rsidRDefault="009612CC">
    <w:pPr>
      <w:pStyle w:val="Encabezado"/>
    </w:pPr>
    <w:fldSimple w:instr=" TITLE  \* MERGEFORMAT ">
      <w:r w:rsidR="00D939FA">
        <w:t>E/C.12/AUT/5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FA659" w14:textId="05B0ECCB" w:rsidR="009612CC" w:rsidRPr="009612CC" w:rsidRDefault="009612CC" w:rsidP="009612CC">
    <w:pPr>
      <w:pStyle w:val="Encabezado"/>
      <w:jc w:val="right"/>
    </w:pPr>
    <w:fldSimple w:instr=" TITLE  \* MERGEFORMAT ">
      <w:r w:rsidR="00D939FA">
        <w:t>E/C.12/AUT/5</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AF079" w14:textId="2D17D1E7" w:rsidR="00D35568" w:rsidRPr="00D35568" w:rsidRDefault="00D35568" w:rsidP="00D35568">
    <w:r>
      <w:rPr>
        <w:noProof/>
      </w:rPr>
      <mc:AlternateContent>
        <mc:Choice Requires="wps">
          <w:drawing>
            <wp:anchor distT="0" distB="0" distL="114300" distR="114300" simplePos="0" relativeHeight="251659776" behindDoc="0" locked="0" layoutInCell="1" allowOverlap="1" wp14:anchorId="05DC66DC" wp14:editId="5BF25678">
              <wp:simplePos x="0" y="0"/>
              <wp:positionH relativeFrom="page">
                <wp:posOffset>9935845</wp:posOffset>
              </wp:positionH>
              <wp:positionV relativeFrom="margin">
                <wp:posOffset>0</wp:posOffset>
              </wp:positionV>
              <wp:extent cx="215900" cy="6120130"/>
              <wp:effectExtent l="0" t="0" r="0" b="0"/>
              <wp:wrapNone/>
              <wp:docPr id="155756614" name="Cuadro de texto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8F1A191" w14:textId="5D3F0FD5" w:rsidR="00D35568" w:rsidRPr="009612CC" w:rsidRDefault="00CA7965" w:rsidP="00D35568">
                          <w:pPr>
                            <w:pStyle w:val="Encabezado"/>
                          </w:pPr>
                          <w:fldSimple w:instr=" TITLE  \* MERGEFORMAT ">
                            <w:r w:rsidR="00D939FA">
                              <w:t>E/C.12/AUT/5</w:t>
                            </w:r>
                          </w:fldSimple>
                        </w:p>
                        <w:p w14:paraId="78A70D48" w14:textId="77777777" w:rsidR="00D35568" w:rsidRDefault="00D3556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5DC66DC" id="_x0000_t202" coordsize="21600,21600" o:spt="202" path="m,l,21600r21600,l21600,xe">
              <v:stroke joinstyle="miter"/>
              <v:path gradientshapeok="t" o:connecttype="rect"/>
            </v:shapetype>
            <v:shape id="Cuadro de texto 1" o:spid="_x0000_s1026"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78F1A191" w14:textId="5D3F0FD5" w:rsidR="00D35568" w:rsidRPr="009612CC" w:rsidRDefault="00CA7965" w:rsidP="00D35568">
                    <w:pPr>
                      <w:pStyle w:val="Encabezado"/>
                    </w:pPr>
                    <w:fldSimple w:instr=" TITLE  \* MERGEFORMAT ">
                      <w:r w:rsidR="00D939FA">
                        <w:t>E/C.12/AUT/5</w:t>
                      </w:r>
                    </w:fldSimple>
                  </w:p>
                  <w:p w14:paraId="78A70D48" w14:textId="77777777" w:rsidR="00D35568" w:rsidRDefault="00D35568"/>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0E6B7" w14:textId="61259E99" w:rsidR="00D35568" w:rsidRPr="00D35568" w:rsidRDefault="00D35568" w:rsidP="00D35568">
    <w:r>
      <w:rPr>
        <w:noProof/>
      </w:rPr>
      <mc:AlternateContent>
        <mc:Choice Requires="wps">
          <w:drawing>
            <wp:anchor distT="0" distB="0" distL="114300" distR="114300" simplePos="0" relativeHeight="251661824" behindDoc="0" locked="0" layoutInCell="1" allowOverlap="1" wp14:anchorId="7B423B48" wp14:editId="32B44BE9">
              <wp:simplePos x="0" y="0"/>
              <wp:positionH relativeFrom="page">
                <wp:posOffset>9935845</wp:posOffset>
              </wp:positionH>
              <wp:positionV relativeFrom="margin">
                <wp:posOffset>0</wp:posOffset>
              </wp:positionV>
              <wp:extent cx="215900" cy="6120130"/>
              <wp:effectExtent l="0" t="0" r="0" b="0"/>
              <wp:wrapNone/>
              <wp:docPr id="13326878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6B1C74F2" w14:textId="175A34EE" w:rsidR="00D35568" w:rsidRPr="009612CC" w:rsidRDefault="00CA7965" w:rsidP="00D35568">
                          <w:pPr>
                            <w:pStyle w:val="Encabezado"/>
                            <w:jc w:val="right"/>
                          </w:pPr>
                          <w:fldSimple w:instr=" TITLE  \* MERGEFORMAT ">
                            <w:r w:rsidR="00D939FA">
                              <w:t>E/C.12/AUT/5</w:t>
                            </w:r>
                          </w:fldSimple>
                        </w:p>
                        <w:p w14:paraId="54215417" w14:textId="77777777" w:rsidR="00D35568" w:rsidRDefault="00D3556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B423B48" id="_x0000_t202" coordsize="21600,21600" o:spt="202" path="m,l,21600r21600,l21600,xe">
              <v:stroke joinstyle="miter"/>
              <v:path gradientshapeok="t" o:connecttype="rect"/>
            </v:shapetype>
            <v:shape id="Cuadro de texto 3" o:spid="_x0000_s1027"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JrPw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" fillcolor="#4f81bd [3204]" stroked="f" strokeweight=".5pt">
              <v:fill opacity="0"/>
              <v:path arrowok="t"/>
              <v:textbox style="layout-flow:vertical" inset="0,0,0,0">
                <w:txbxContent>
                  <w:p w14:paraId="6B1C74F2" w14:textId="175A34EE" w:rsidR="00D35568" w:rsidRPr="009612CC" w:rsidRDefault="00CA7965" w:rsidP="00D35568">
                    <w:pPr>
                      <w:pStyle w:val="Encabezado"/>
                      <w:jc w:val="right"/>
                    </w:pPr>
                    <w:fldSimple w:instr=" TITLE  \* MERGEFORMAT ">
                      <w:r w:rsidR="00D939FA">
                        <w:t>E/C.12/AUT/5</w:t>
                      </w:r>
                    </w:fldSimple>
                  </w:p>
                  <w:p w14:paraId="54215417" w14:textId="77777777" w:rsidR="00D35568" w:rsidRDefault="00D35568"/>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EE293" w14:textId="0D420B91" w:rsidR="00E302A0" w:rsidRPr="00E302A0" w:rsidRDefault="00E302A0" w:rsidP="00E302A0">
    <w:pPr>
      <w:pStyle w:val="Encabezado"/>
    </w:pPr>
    <w:fldSimple w:instr=" TITLE  \* MERGEFORMAT ">
      <w:r w:rsidR="00D939FA">
        <w:t>E/C.12/AUT/5</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F4B24" w14:textId="761E1D97" w:rsidR="00E302A0" w:rsidRPr="00E302A0" w:rsidRDefault="00E302A0" w:rsidP="00E302A0">
    <w:pPr>
      <w:pStyle w:val="Encabezado"/>
      <w:jc w:val="right"/>
    </w:pPr>
    <w:fldSimple w:instr=" TITLE  \* MERGEFORMAT ">
      <w:r w:rsidR="00D939FA">
        <w:t>E/C.12/AUT/5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84681616">
    <w:abstractNumId w:val="16"/>
  </w:num>
  <w:num w:numId="2" w16cid:durableId="426658884">
    <w:abstractNumId w:val="15"/>
  </w:num>
  <w:num w:numId="3" w16cid:durableId="1254322852">
    <w:abstractNumId w:val="13"/>
  </w:num>
  <w:num w:numId="4" w16cid:durableId="1255475591">
    <w:abstractNumId w:val="14"/>
  </w:num>
  <w:num w:numId="5" w16cid:durableId="1330794172">
    <w:abstractNumId w:val="11"/>
  </w:num>
  <w:num w:numId="6" w16cid:durableId="1533108328">
    <w:abstractNumId w:val="10"/>
  </w:num>
  <w:num w:numId="7" w16cid:durableId="97218447">
    <w:abstractNumId w:val="12"/>
  </w:num>
  <w:num w:numId="8" w16cid:durableId="1950703177">
    <w:abstractNumId w:val="9"/>
  </w:num>
  <w:num w:numId="9" w16cid:durableId="1303077613">
    <w:abstractNumId w:val="7"/>
  </w:num>
  <w:num w:numId="10" w16cid:durableId="903490842">
    <w:abstractNumId w:val="6"/>
  </w:num>
  <w:num w:numId="11" w16cid:durableId="1381442132">
    <w:abstractNumId w:val="5"/>
  </w:num>
  <w:num w:numId="12" w16cid:durableId="1987777900">
    <w:abstractNumId w:val="4"/>
  </w:num>
  <w:num w:numId="13" w16cid:durableId="930357883">
    <w:abstractNumId w:val="8"/>
  </w:num>
  <w:num w:numId="14" w16cid:durableId="1663969700">
    <w:abstractNumId w:val="3"/>
  </w:num>
  <w:num w:numId="15" w16cid:durableId="316761804">
    <w:abstractNumId w:val="2"/>
  </w:num>
  <w:num w:numId="16" w16cid:durableId="390080879">
    <w:abstractNumId w:val="1"/>
  </w:num>
  <w:num w:numId="17" w16cid:durableId="1642224939">
    <w:abstractNumId w:val="0"/>
  </w:num>
  <w:num w:numId="18" w16cid:durableId="1848246835">
    <w:abstractNumId w:val="11"/>
  </w:num>
  <w:num w:numId="19" w16cid:durableId="322467567">
    <w:abstractNumId w:val="11"/>
  </w:num>
  <w:num w:numId="20" w16cid:durableId="939488471">
    <w:abstractNumId w:val="11"/>
  </w:num>
  <w:num w:numId="21" w16cid:durableId="1642346243">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483"/>
    <w:rsid w:val="00002695"/>
    <w:rsid w:val="00010F3B"/>
    <w:rsid w:val="00014A07"/>
    <w:rsid w:val="0003209E"/>
    <w:rsid w:val="00032D03"/>
    <w:rsid w:val="00037355"/>
    <w:rsid w:val="00045B2A"/>
    <w:rsid w:val="00054DC9"/>
    <w:rsid w:val="00060246"/>
    <w:rsid w:val="00070BAA"/>
    <w:rsid w:val="00083348"/>
    <w:rsid w:val="0008650D"/>
    <w:rsid w:val="00091DE6"/>
    <w:rsid w:val="00093664"/>
    <w:rsid w:val="000B57E7"/>
    <w:rsid w:val="000D359E"/>
    <w:rsid w:val="000F09DF"/>
    <w:rsid w:val="000F61B2"/>
    <w:rsid w:val="00102B96"/>
    <w:rsid w:val="0010481D"/>
    <w:rsid w:val="00104DCB"/>
    <w:rsid w:val="001075E9"/>
    <w:rsid w:val="001416AC"/>
    <w:rsid w:val="0014218E"/>
    <w:rsid w:val="00143FE5"/>
    <w:rsid w:val="001641EF"/>
    <w:rsid w:val="0016522F"/>
    <w:rsid w:val="00180183"/>
    <w:rsid w:val="00196389"/>
    <w:rsid w:val="001C7A89"/>
    <w:rsid w:val="001F207F"/>
    <w:rsid w:val="001F3EC3"/>
    <w:rsid w:val="00205748"/>
    <w:rsid w:val="0022056C"/>
    <w:rsid w:val="00233C8D"/>
    <w:rsid w:val="00260C15"/>
    <w:rsid w:val="002967E3"/>
    <w:rsid w:val="002A1FCA"/>
    <w:rsid w:val="002A2EFC"/>
    <w:rsid w:val="002B3E3F"/>
    <w:rsid w:val="002D16F0"/>
    <w:rsid w:val="002D5AAC"/>
    <w:rsid w:val="002E6691"/>
    <w:rsid w:val="00301299"/>
    <w:rsid w:val="00313431"/>
    <w:rsid w:val="00322004"/>
    <w:rsid w:val="0032667F"/>
    <w:rsid w:val="003402C2"/>
    <w:rsid w:val="003502D0"/>
    <w:rsid w:val="003538EB"/>
    <w:rsid w:val="00362F2A"/>
    <w:rsid w:val="0037392E"/>
    <w:rsid w:val="003770A4"/>
    <w:rsid w:val="00377C85"/>
    <w:rsid w:val="00381C24"/>
    <w:rsid w:val="00386A06"/>
    <w:rsid w:val="003958D0"/>
    <w:rsid w:val="003C0339"/>
    <w:rsid w:val="003D064D"/>
    <w:rsid w:val="003F4824"/>
    <w:rsid w:val="0041031F"/>
    <w:rsid w:val="00446ADF"/>
    <w:rsid w:val="00452F92"/>
    <w:rsid w:val="00454E07"/>
    <w:rsid w:val="00472BAA"/>
    <w:rsid w:val="004943F9"/>
    <w:rsid w:val="004B19F2"/>
    <w:rsid w:val="004B4B7F"/>
    <w:rsid w:val="004D438A"/>
    <w:rsid w:val="0050108D"/>
    <w:rsid w:val="005016AF"/>
    <w:rsid w:val="00502A03"/>
    <w:rsid w:val="0050571F"/>
    <w:rsid w:val="005076AF"/>
    <w:rsid w:val="00510257"/>
    <w:rsid w:val="0052159C"/>
    <w:rsid w:val="00537D42"/>
    <w:rsid w:val="00547DB5"/>
    <w:rsid w:val="00563492"/>
    <w:rsid w:val="00572E19"/>
    <w:rsid w:val="00581F67"/>
    <w:rsid w:val="005A41EA"/>
    <w:rsid w:val="005B0204"/>
    <w:rsid w:val="005B30A9"/>
    <w:rsid w:val="005C4C50"/>
    <w:rsid w:val="005C7EA1"/>
    <w:rsid w:val="005E78D7"/>
    <w:rsid w:val="005E7F77"/>
    <w:rsid w:val="005F0B42"/>
    <w:rsid w:val="00612701"/>
    <w:rsid w:val="00616FCD"/>
    <w:rsid w:val="00632A31"/>
    <w:rsid w:val="006379E7"/>
    <w:rsid w:val="0064421C"/>
    <w:rsid w:val="00666E63"/>
    <w:rsid w:val="00695B1A"/>
    <w:rsid w:val="00695F62"/>
    <w:rsid w:val="00696E37"/>
    <w:rsid w:val="006B1071"/>
    <w:rsid w:val="006C283E"/>
    <w:rsid w:val="006C7AE8"/>
    <w:rsid w:val="006E0BC0"/>
    <w:rsid w:val="006E27AD"/>
    <w:rsid w:val="006F35EE"/>
    <w:rsid w:val="006F43E4"/>
    <w:rsid w:val="006F4860"/>
    <w:rsid w:val="007103B9"/>
    <w:rsid w:val="00710CF8"/>
    <w:rsid w:val="00716C6F"/>
    <w:rsid w:val="007464CC"/>
    <w:rsid w:val="00757321"/>
    <w:rsid w:val="00772A82"/>
    <w:rsid w:val="0077421A"/>
    <w:rsid w:val="00785651"/>
    <w:rsid w:val="007A1A09"/>
    <w:rsid w:val="007A3EDE"/>
    <w:rsid w:val="007A4626"/>
    <w:rsid w:val="007A4BD8"/>
    <w:rsid w:val="007B1CE8"/>
    <w:rsid w:val="007D6339"/>
    <w:rsid w:val="00802199"/>
    <w:rsid w:val="00830923"/>
    <w:rsid w:val="00831A55"/>
    <w:rsid w:val="00834B71"/>
    <w:rsid w:val="0083657C"/>
    <w:rsid w:val="00845925"/>
    <w:rsid w:val="00846E07"/>
    <w:rsid w:val="0085447F"/>
    <w:rsid w:val="0086445C"/>
    <w:rsid w:val="00871746"/>
    <w:rsid w:val="00876109"/>
    <w:rsid w:val="008A08D7"/>
    <w:rsid w:val="008E418A"/>
    <w:rsid w:val="008E647F"/>
    <w:rsid w:val="00902205"/>
    <w:rsid w:val="00906890"/>
    <w:rsid w:val="009179A3"/>
    <w:rsid w:val="0094271E"/>
    <w:rsid w:val="00951972"/>
    <w:rsid w:val="009612CC"/>
    <w:rsid w:val="009703AD"/>
    <w:rsid w:val="009856D8"/>
    <w:rsid w:val="00987051"/>
    <w:rsid w:val="009E78C4"/>
    <w:rsid w:val="009F5C9E"/>
    <w:rsid w:val="00A00CB2"/>
    <w:rsid w:val="00A02D99"/>
    <w:rsid w:val="00A308F7"/>
    <w:rsid w:val="00A45123"/>
    <w:rsid w:val="00A500CE"/>
    <w:rsid w:val="00A56E0C"/>
    <w:rsid w:val="00A62046"/>
    <w:rsid w:val="00A645FF"/>
    <w:rsid w:val="00A70EA6"/>
    <w:rsid w:val="00A76D0A"/>
    <w:rsid w:val="00A917B3"/>
    <w:rsid w:val="00A971CF"/>
    <w:rsid w:val="00AB4B51"/>
    <w:rsid w:val="00AB4EB2"/>
    <w:rsid w:val="00AC58DC"/>
    <w:rsid w:val="00AF0918"/>
    <w:rsid w:val="00AF6220"/>
    <w:rsid w:val="00B05775"/>
    <w:rsid w:val="00B10CC7"/>
    <w:rsid w:val="00B316CF"/>
    <w:rsid w:val="00B329C9"/>
    <w:rsid w:val="00B401A9"/>
    <w:rsid w:val="00B42666"/>
    <w:rsid w:val="00B62458"/>
    <w:rsid w:val="00B6350A"/>
    <w:rsid w:val="00B771DD"/>
    <w:rsid w:val="00B80B24"/>
    <w:rsid w:val="00B82270"/>
    <w:rsid w:val="00BC161C"/>
    <w:rsid w:val="00BD33EE"/>
    <w:rsid w:val="00BE5E26"/>
    <w:rsid w:val="00C377E3"/>
    <w:rsid w:val="00C579C2"/>
    <w:rsid w:val="00C57EED"/>
    <w:rsid w:val="00C60F0C"/>
    <w:rsid w:val="00C805C9"/>
    <w:rsid w:val="00C912F0"/>
    <w:rsid w:val="00CA1679"/>
    <w:rsid w:val="00CA1EFE"/>
    <w:rsid w:val="00CA7965"/>
    <w:rsid w:val="00CB0234"/>
    <w:rsid w:val="00CB0E35"/>
    <w:rsid w:val="00CC7D4B"/>
    <w:rsid w:val="00CE34F5"/>
    <w:rsid w:val="00D22B9F"/>
    <w:rsid w:val="00D2556C"/>
    <w:rsid w:val="00D339D7"/>
    <w:rsid w:val="00D35568"/>
    <w:rsid w:val="00D42DAE"/>
    <w:rsid w:val="00D56130"/>
    <w:rsid w:val="00D63EE0"/>
    <w:rsid w:val="00D711B0"/>
    <w:rsid w:val="00D738F9"/>
    <w:rsid w:val="00D759B3"/>
    <w:rsid w:val="00D90138"/>
    <w:rsid w:val="00D91483"/>
    <w:rsid w:val="00D939FA"/>
    <w:rsid w:val="00D97076"/>
    <w:rsid w:val="00DB5063"/>
    <w:rsid w:val="00DC6544"/>
    <w:rsid w:val="00DC70B9"/>
    <w:rsid w:val="00E05740"/>
    <w:rsid w:val="00E302A0"/>
    <w:rsid w:val="00E3587C"/>
    <w:rsid w:val="00E65091"/>
    <w:rsid w:val="00E73F76"/>
    <w:rsid w:val="00E8050D"/>
    <w:rsid w:val="00ED36E4"/>
    <w:rsid w:val="00EE35CB"/>
    <w:rsid w:val="00EF1360"/>
    <w:rsid w:val="00EF3220"/>
    <w:rsid w:val="00F12E80"/>
    <w:rsid w:val="00F1381C"/>
    <w:rsid w:val="00F13E49"/>
    <w:rsid w:val="00F16571"/>
    <w:rsid w:val="00F30A35"/>
    <w:rsid w:val="00F33585"/>
    <w:rsid w:val="00F5247F"/>
    <w:rsid w:val="00F6125F"/>
    <w:rsid w:val="00F67715"/>
    <w:rsid w:val="00FB462F"/>
    <w:rsid w:val="00FB6CD8"/>
    <w:rsid w:val="00FC5458"/>
    <w:rsid w:val="00FD107B"/>
    <w:rsid w:val="00FD2EF7"/>
    <w:rsid w:val="00FE01B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61FFD"/>
  <w15:docId w15:val="{870EB814-25C2-4313-A708-7D2C8B52D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91483"/>
    <w:rPr>
      <w:lang w:val="es-ES" w:eastAsia="es-ES"/>
    </w:rPr>
  </w:style>
  <w:style w:type="paragraph" w:styleId="Cita">
    <w:name w:val="Quote"/>
    <w:basedOn w:val="Normal"/>
    <w:next w:val="Normal"/>
    <w:link w:val="CitaCar"/>
    <w:uiPriority w:val="29"/>
    <w:rsid w:val="009612C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612CC"/>
    <w:rPr>
      <w:i/>
      <w:iCs/>
      <w:color w:val="404040" w:themeColor="text1" w:themeTint="BF"/>
      <w:lang w:val="es-ES" w:eastAsia="es-ES"/>
    </w:rPr>
  </w:style>
  <w:style w:type="paragraph" w:styleId="Prrafodelista">
    <w:name w:val="List Paragraph"/>
    <w:basedOn w:val="Normal"/>
    <w:uiPriority w:val="34"/>
    <w:rsid w:val="009612CC"/>
    <w:pPr>
      <w:ind w:left="720"/>
      <w:contextualSpacing/>
    </w:pPr>
  </w:style>
  <w:style w:type="character" w:styleId="Referenciaintensa">
    <w:name w:val="Intense Reference"/>
    <w:basedOn w:val="Fuentedeprrafopredeter"/>
    <w:uiPriority w:val="32"/>
    <w:semiHidden/>
    <w:rsid w:val="009612CC"/>
    <w:rPr>
      <w:b/>
      <w:bCs/>
      <w:smallCaps/>
      <w:color w:val="365F91" w:themeColor="accent1" w:themeShade="BF"/>
      <w:spacing w:val="5"/>
    </w:rPr>
  </w:style>
  <w:style w:type="character" w:customStyle="1" w:styleId="Ttulo2Car">
    <w:name w:val="Título 2 Car"/>
    <w:basedOn w:val="Fuentedeprrafopredeter"/>
    <w:link w:val="Ttulo2"/>
    <w:semiHidden/>
    <w:rsid w:val="009612CC"/>
    <w:rPr>
      <w:rFonts w:cs="Arial"/>
      <w:bCs/>
      <w:iCs/>
      <w:szCs w:val="28"/>
      <w:lang w:val="es-ES" w:eastAsia="es-ES"/>
    </w:rPr>
  </w:style>
  <w:style w:type="character" w:customStyle="1" w:styleId="Ttulo3Car">
    <w:name w:val="Título 3 Car"/>
    <w:basedOn w:val="Fuentedeprrafopredeter"/>
    <w:link w:val="Ttulo3"/>
    <w:semiHidden/>
    <w:rsid w:val="009612CC"/>
    <w:rPr>
      <w:rFonts w:ascii="Arial" w:hAnsi="Arial" w:cs="Arial"/>
      <w:b/>
      <w:bCs/>
      <w:sz w:val="26"/>
      <w:szCs w:val="26"/>
      <w:lang w:val="es-ES" w:eastAsia="es-ES"/>
    </w:rPr>
  </w:style>
  <w:style w:type="character" w:customStyle="1" w:styleId="Ttulo4Car">
    <w:name w:val="Título 4 Car"/>
    <w:basedOn w:val="Fuentedeprrafopredeter"/>
    <w:link w:val="Ttulo4"/>
    <w:semiHidden/>
    <w:rsid w:val="009612CC"/>
    <w:rPr>
      <w:b/>
      <w:bCs/>
      <w:sz w:val="28"/>
      <w:szCs w:val="28"/>
      <w:lang w:val="es-ES" w:eastAsia="es-ES"/>
    </w:rPr>
  </w:style>
  <w:style w:type="character" w:customStyle="1" w:styleId="Ttulo5Car">
    <w:name w:val="Título 5 Car"/>
    <w:basedOn w:val="Fuentedeprrafopredeter"/>
    <w:link w:val="Ttulo5"/>
    <w:semiHidden/>
    <w:rsid w:val="009612CC"/>
    <w:rPr>
      <w:b/>
      <w:bCs/>
      <w:i/>
      <w:iCs/>
      <w:sz w:val="26"/>
      <w:szCs w:val="26"/>
      <w:lang w:val="es-ES" w:eastAsia="es-ES"/>
    </w:rPr>
  </w:style>
  <w:style w:type="character" w:customStyle="1" w:styleId="Ttulo6Car">
    <w:name w:val="Título 6 Car"/>
    <w:basedOn w:val="Fuentedeprrafopredeter"/>
    <w:link w:val="Ttulo6"/>
    <w:semiHidden/>
    <w:rsid w:val="009612CC"/>
    <w:rPr>
      <w:b/>
      <w:bCs/>
      <w:sz w:val="22"/>
      <w:szCs w:val="22"/>
      <w:lang w:val="es-ES" w:eastAsia="es-ES"/>
    </w:rPr>
  </w:style>
  <w:style w:type="character" w:customStyle="1" w:styleId="Ttulo7Car">
    <w:name w:val="Título 7 Car"/>
    <w:basedOn w:val="Fuentedeprrafopredeter"/>
    <w:link w:val="Ttulo7"/>
    <w:semiHidden/>
    <w:rsid w:val="009612CC"/>
    <w:rPr>
      <w:sz w:val="24"/>
      <w:szCs w:val="24"/>
      <w:lang w:val="es-ES" w:eastAsia="es-ES"/>
    </w:rPr>
  </w:style>
  <w:style w:type="character" w:customStyle="1" w:styleId="Ttulo8Car">
    <w:name w:val="Título 8 Car"/>
    <w:basedOn w:val="Fuentedeprrafopredeter"/>
    <w:link w:val="Ttulo8"/>
    <w:semiHidden/>
    <w:rsid w:val="009612CC"/>
    <w:rPr>
      <w:i/>
      <w:iCs/>
      <w:sz w:val="24"/>
      <w:szCs w:val="24"/>
      <w:lang w:val="es-ES" w:eastAsia="es-ES"/>
    </w:rPr>
  </w:style>
  <w:style w:type="character" w:customStyle="1" w:styleId="Ttulo9Car">
    <w:name w:val="Título 9 Car"/>
    <w:basedOn w:val="Fuentedeprrafopredeter"/>
    <w:link w:val="Ttulo9"/>
    <w:semiHidden/>
    <w:rsid w:val="009612CC"/>
    <w:rPr>
      <w:rFonts w:ascii="Arial" w:hAnsi="Arial" w:cs="Arial"/>
      <w:sz w:val="22"/>
      <w:szCs w:val="22"/>
      <w:lang w:val="es-ES" w:eastAsia="es-ES"/>
    </w:rPr>
  </w:style>
  <w:style w:type="character" w:styleId="Ttulodellibro">
    <w:name w:val="Book Title"/>
    <w:basedOn w:val="Fuentedeprrafopredeter"/>
    <w:uiPriority w:val="33"/>
    <w:semiHidden/>
    <w:rsid w:val="009612CC"/>
    <w:rPr>
      <w:b/>
      <w:bCs/>
      <w:smallCaps/>
      <w:spacing w:val="5"/>
    </w:rPr>
  </w:style>
  <w:style w:type="character" w:styleId="Refdecomentario">
    <w:name w:val="annotation reference"/>
    <w:basedOn w:val="Fuentedeprrafopredeter"/>
    <w:uiPriority w:val="99"/>
    <w:semiHidden/>
    <w:unhideWhenUsed/>
    <w:rsid w:val="009612CC"/>
    <w:rPr>
      <w:sz w:val="16"/>
      <w:szCs w:val="16"/>
    </w:rPr>
  </w:style>
  <w:style w:type="paragraph" w:styleId="Textocomentario">
    <w:name w:val="annotation text"/>
    <w:basedOn w:val="Normal"/>
    <w:link w:val="TextocomentarioCar"/>
    <w:uiPriority w:val="99"/>
    <w:semiHidden/>
    <w:unhideWhenUsed/>
    <w:rsid w:val="009612CC"/>
    <w:pPr>
      <w:spacing w:line="240" w:lineRule="auto"/>
    </w:pPr>
  </w:style>
  <w:style w:type="character" w:customStyle="1" w:styleId="TextocomentarioCar">
    <w:name w:val="Texto comentario Car"/>
    <w:basedOn w:val="Fuentedeprrafopredeter"/>
    <w:link w:val="Textocomentario"/>
    <w:uiPriority w:val="99"/>
    <w:semiHidden/>
    <w:rsid w:val="009612CC"/>
    <w:rPr>
      <w:lang w:val="es-ES" w:eastAsia="es-ES"/>
    </w:rPr>
  </w:style>
  <w:style w:type="paragraph" w:styleId="Asuntodelcomentario">
    <w:name w:val="annotation subject"/>
    <w:basedOn w:val="Normal"/>
    <w:next w:val="Normal"/>
    <w:link w:val="AsuntodelcomentarioCar"/>
    <w:uiPriority w:val="99"/>
    <w:semiHidden/>
    <w:unhideWhenUsed/>
    <w:rsid w:val="009612CC"/>
    <w:pPr>
      <w:suppressAutoHyphens/>
      <w:spacing w:line="240" w:lineRule="auto"/>
    </w:pPr>
    <w:rPr>
      <w:b/>
      <w:bCs/>
      <w:lang w:val="en-GB" w:eastAsia="en-US"/>
    </w:rPr>
  </w:style>
  <w:style w:type="character" w:customStyle="1" w:styleId="AsuntodelcomentarioCar">
    <w:name w:val="Asunto del comentario Car"/>
    <w:basedOn w:val="TextocomentarioCar"/>
    <w:link w:val="Asuntodelcomentario"/>
    <w:uiPriority w:val="99"/>
    <w:semiHidden/>
    <w:rsid w:val="009612CC"/>
    <w:rPr>
      <w:b/>
      <w:bCs/>
      <w:lang w:val="en-GB" w:eastAsia="en-US"/>
    </w:rPr>
  </w:style>
  <w:style w:type="character" w:styleId="Mencinsinresolver">
    <w:name w:val="Unresolved Mention"/>
    <w:basedOn w:val="Fuentedeprrafopredeter"/>
    <w:uiPriority w:val="99"/>
    <w:semiHidden/>
    <w:unhideWhenUsed/>
    <w:rsid w:val="00961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is.bka.gv.at/Dokument.wxe?ResultFunctionToken=0770cdea-85a8-4f58-8bbb-9d47085fa4db&amp;Position=1&amp;Abfrage=Erv&amp;Titel=&amp;Quelle=I+68%2f2017&amp;ImRisSeit=Undefined&amp;ResultPageSize=100&amp;Suchworte=&amp;Dokumentnummer=ERV_2017_1_68_a" TargetMode="External"/><Relationship Id="rId18" Type="http://schemas.openxmlformats.org/officeDocument/2006/relationships/hyperlink" Target="https://www.ris.bka.gv.at/Dokumente/BgblAuth/BGBLA_2020_I_148/BGBLA_2020_I_148.html" TargetMode="External"/><Relationship Id="rId26" Type="http://schemas.openxmlformats.org/officeDocument/2006/relationships/hyperlink" Target="https://ris.bka.gv.at/GeltendeFassung.wxe?Abfrage=Bundesnormen&amp;Gesetzesnummer=10004569" TargetMode="External"/><Relationship Id="rId39" Type="http://schemas.openxmlformats.org/officeDocument/2006/relationships/hyperlink" Target="https://www.ris.bka.gv.at/Dokumente/BgblAuth/BGBLA_2023_I_106/BGBLA_2023_I_106.pdfsig" TargetMode="External"/><Relationship Id="rId21" Type="http://schemas.openxmlformats.org/officeDocument/2006/relationships/hyperlink" Target="https://ris.bka.gv.at/eli/bgbl/I/2021/86" TargetMode="External"/><Relationship Id="rId34" Type="http://schemas.openxmlformats.org/officeDocument/2006/relationships/hyperlink" Target="https://www.ris.bka.gv.at/Dokumente/BgblAuth/BGBLA_2019_I_91/BGBLA_2019_I_91.html" TargetMode="External"/><Relationship Id="rId42" Type="http://schemas.openxmlformats.org/officeDocument/2006/relationships/hyperlink" Target="https://www.ris.bka.gv.at/GeltendeFassung.wxe?Abfrage=Bundesnormen&amp;Gesetzesnummer=20007500" TargetMode="External"/><Relationship Id="rId47" Type="http://schemas.openxmlformats.org/officeDocument/2006/relationships/hyperlink" Target="https://www.ris.bka.gv.at/eli/bgbl/I/2015/78" TargetMode="External"/><Relationship Id="rId50" Type="http://schemas.openxmlformats.org/officeDocument/2006/relationships/hyperlink" Target="https://www.ris.bka.gv.at/GeltendeFassung.wxe?Abfrage=Bundesnormen&amp;Gesetzesnummer=20003395" TargetMode="External"/><Relationship Id="rId55" Type="http://schemas.openxmlformats.org/officeDocument/2006/relationships/hyperlink" Target="https://ris.bka.gv.at/GeltendeFassung.wxe?Abfrage=Bundesnormen&amp;Gesetzesnummer=20011950" TargetMode="External"/><Relationship Id="rId63" Type="http://schemas.openxmlformats.org/officeDocument/2006/relationships/hyperlink" Target="https://data.oecd.org/inequality/income-inequality.htm." TargetMode="External"/><Relationship Id="rId68" Type="http://schemas.openxmlformats.org/officeDocument/2006/relationships/footer" Target="footer3.xml"/><Relationship Id="rId76" Type="http://schemas.openxmlformats.org/officeDocument/2006/relationships/footer" Target="footer7.xml"/><Relationship Id="rId7" Type="http://schemas.openxmlformats.org/officeDocument/2006/relationships/endnotes" Target="endnotes.xml"/><Relationship Id="rId71"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ris.bka.gv.at/GeltendeFassung.wxe?Abfrage=Bundesnormen&amp;Gesetzesnummer=10005792" TargetMode="External"/><Relationship Id="rId29" Type="http://schemas.openxmlformats.org/officeDocument/2006/relationships/hyperlink" Target="https://ris.bka.gv.at/GeltendeFassung.wxe?Abfrage=Bundesnormen&amp;Gesetzesnummer=20008121" TargetMode="External"/><Relationship Id="rId11" Type="http://schemas.openxmlformats.org/officeDocument/2006/relationships/hyperlink" Target="https://ris.bka.gv.at/GeltendeFassung.wxe?Abfrage=Bundesnormen&amp;Gesetzesnummer=20010649" TargetMode="External"/><Relationship Id="rId24" Type="http://schemas.openxmlformats.org/officeDocument/2006/relationships/hyperlink" Target="https://ris.bka.gv.at/eli/bgbl/I/2021/202" TargetMode="External"/><Relationship Id="rId32" Type="http://schemas.openxmlformats.org/officeDocument/2006/relationships/hyperlink" Target="https://www.ris.bka.gv.at/Dokumente/BgblAuth/BGBLA_2019_I_103/BGBLA_2019_I_103.html" TargetMode="External"/><Relationship Id="rId37" Type="http://schemas.openxmlformats.org/officeDocument/2006/relationships/hyperlink" Target="https://www.ris.bka.gv.at/GeltendeFassung.wxe?Abfrage=Bundesnormen&amp;Gesetzesnummer=20010221" TargetMode="External"/><Relationship Id="rId40" Type="http://schemas.openxmlformats.org/officeDocument/2006/relationships/hyperlink" Target="https://www.ris.bka.gv.at/Dokumente/BgblAuth/BGBLA_2023_I_110/BGBLA_2023_I_110.pdfsig" TargetMode="External"/><Relationship Id="rId45" Type="http://schemas.openxmlformats.org/officeDocument/2006/relationships/hyperlink" Target="https://www.ris.bka.gv.at/eli/bgbl/I/2017/155" TargetMode="External"/><Relationship Id="rId53" Type="http://schemas.openxmlformats.org/officeDocument/2006/relationships/hyperlink" Target="https://ris.bka.gv.at/GeltendeFassung.wxe?Abfrage=Bundesnormen&amp;Gesetzesnummer=10008253" TargetMode="External"/><Relationship Id="rId58" Type="http://schemas.openxmlformats.org/officeDocument/2006/relationships/hyperlink" Target="https://ris.bka.gv.at/GeltendeFassung.wxe?Abfrage=Bundesnormen&amp;Gesetzesnummer=20007045" TargetMode="External"/><Relationship Id="rId66" Type="http://schemas.openxmlformats.org/officeDocument/2006/relationships/footer" Target="footer1.xml"/><Relationship Id="rId7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www.ris.bka.gv.at/Dokumente/BgblAuth/BGBLA_2019_I_105/BGBLA_2019_I_105.html" TargetMode="External"/><Relationship Id="rId23" Type="http://schemas.openxmlformats.org/officeDocument/2006/relationships/hyperlink" Target="https://www.ris.bka.gv.at/eli/bgbl/I/2021/211" TargetMode="External"/><Relationship Id="rId28" Type="http://schemas.openxmlformats.org/officeDocument/2006/relationships/hyperlink" Target="https://www.ris.bka.gv.at/GeltendeFassung.wxe?Abfrage=Bundesnormen&amp;Gesetzesnummer=20009250" TargetMode="External"/><Relationship Id="rId36" Type="http://schemas.openxmlformats.org/officeDocument/2006/relationships/hyperlink" Target="https://www.ris.bka.gv.at/eli/bgbl/I/2021/3" TargetMode="External"/><Relationship Id="rId49" Type="http://schemas.openxmlformats.org/officeDocument/2006/relationships/hyperlink" Target="https://www.esf.at/wp-content/uploads/2019/06/ESF-insight-Ausgabe-4_druck.pdf" TargetMode="External"/><Relationship Id="rId57" Type="http://schemas.openxmlformats.org/officeDocument/2006/relationships/hyperlink" Target="https://www.ris.bka.gv.at/eli/bgbl/I/2019/85" TargetMode="External"/><Relationship Id="rId61" Type="http://schemas.openxmlformats.org/officeDocument/2006/relationships/hyperlink" Target="https://ris.bka.gv.at/GeltendeFassung.wxe?Abfrage=Bundesnormen&amp;Gesetzesnummer=10009576" TargetMode="External"/><Relationship Id="rId10" Type="http://schemas.openxmlformats.org/officeDocument/2006/relationships/hyperlink" Target="https://ris.bka.gv.at/GeltendeFassung.wxe?Abfrage=Bundesnormen&amp;Gesetzesnummer=20004425" TargetMode="External"/><Relationship Id="rId19" Type="http://schemas.openxmlformats.org/officeDocument/2006/relationships/hyperlink" Target="https://www.ris.bka.gv.at/GeltendeFassung.wxe?Abfrage=Bundesnormen&amp;Gesetzesnummer=10002326" TargetMode="External"/><Relationship Id="rId31" Type="http://schemas.openxmlformats.org/officeDocument/2006/relationships/hyperlink" Target="https://ris.bka.gv.at/GeltendeFassung.wxe?Abfrage=Bundesnormen&amp;Gesetzesnummer=20010781" TargetMode="External"/><Relationship Id="rId44" Type="http://schemas.openxmlformats.org/officeDocument/2006/relationships/hyperlink" Target="https://www.ris.bka.gv.at/Dokument.wxe?Abfrage=BgblAuth&amp;Dokumentnummer=BGBLA_2017_I_59" TargetMode="External"/><Relationship Id="rId52" Type="http://schemas.openxmlformats.org/officeDocument/2006/relationships/hyperlink" Target="https://ris.bka.gv.at/GeltendeFassung.wxe?Abfrage=Bundesnormen&amp;Gesetzesnummer=10009265" TargetMode="External"/><Relationship Id="rId60" Type="http://schemas.openxmlformats.org/officeDocument/2006/relationships/hyperlink" Target="https://www.ris.bka.gv.at/GeltendeFassung.wxe?Abfrage=Bundesnormen&amp;Gesetzesnummer=10009600" TargetMode="External"/><Relationship Id="rId65" Type="http://schemas.openxmlformats.org/officeDocument/2006/relationships/header" Target="header2.xml"/><Relationship Id="rId73" Type="http://schemas.openxmlformats.org/officeDocument/2006/relationships/header" Target="header5.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is.bka.gv.at/GeltendeFassung.wxe?Abfrage=Bundesnormen&amp;Gesetzesnummer=10002296" TargetMode="External"/><Relationship Id="rId14" Type="http://schemas.openxmlformats.org/officeDocument/2006/relationships/hyperlink" Target="https://www.ris.bka.gv.at/Dokument.wxe?Abfrage=Erv&amp;Dokumentnummer=ERV_2005_1_100&amp;ResultFunctionToken=9fcfaf95-ec4a-4b8c-9013-50c77443fed3&amp;Titel=&amp;Quelle=&amp;ImRisSeit=Undefined&amp;ResultPageSize=50&amp;Suchworte=asylum*" TargetMode="External"/><Relationship Id="rId22" Type="http://schemas.openxmlformats.org/officeDocument/2006/relationships/hyperlink" Target="https://www.ris.bka.gv.at/eli/bgbl/I/2021/124" TargetMode="External"/><Relationship Id="rId27" Type="http://schemas.openxmlformats.org/officeDocument/2006/relationships/hyperlink" Target="https://www.ris.bka.gv.at/eli/bgbl/I/2018/62" TargetMode="External"/><Relationship Id="rId30" Type="http://schemas.openxmlformats.org/officeDocument/2006/relationships/hyperlink" Target="https://ris.bka.gv.at/GeltendeFassung.wxe?Abfrage=Bundesnormen&amp;Gesetzesnummer=20009608" TargetMode="External"/><Relationship Id="rId35" Type="http://schemas.openxmlformats.org/officeDocument/2006/relationships/hyperlink" Target="https://www.ris.bka.gv.at/GeltendeFassung.wxe?Abfrage=Bundesnormen&amp;Gesetzesnummer=10004873" TargetMode="External"/><Relationship Id="rId43" Type="http://schemas.openxmlformats.org/officeDocument/2006/relationships/hyperlink" Target="https://www.ris.bka.gv.at/Dokument.wxe?Abfrage=Erv&amp;Dokumentnummer=ERV_1986_76" TargetMode="External"/><Relationship Id="rId48" Type="http://schemas.openxmlformats.org/officeDocument/2006/relationships/hyperlink" Target="https://www.ris.bka.gv.at/eli/bgbl/I/2020/18" TargetMode="External"/><Relationship Id="rId56" Type="http://schemas.openxmlformats.org/officeDocument/2006/relationships/hyperlink" Target="https://www.ris.bka.gv.at/eli/bgbl/I/2023/36" TargetMode="External"/><Relationship Id="rId64" Type="http://schemas.openxmlformats.org/officeDocument/2006/relationships/header" Target="header1.xml"/><Relationship Id="rId69" Type="http://schemas.openxmlformats.org/officeDocument/2006/relationships/header" Target="header3.xml"/><Relationship Id="rId77"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s://www.ris.bka.gv.at/GeltendeFassung.wxe?Abfrage=Bundesnormen&amp;Gesetzesnummer=10008858" TargetMode="External"/><Relationship Id="rId72" Type="http://schemas.openxmlformats.org/officeDocument/2006/relationships/footer" Target="footer5.xml"/><Relationship Id="rId3" Type="http://schemas.openxmlformats.org/officeDocument/2006/relationships/styles" Target="styles.xml"/><Relationship Id="rId12" Type="http://schemas.openxmlformats.org/officeDocument/2006/relationships/hyperlink" Target="https://www.vfgh.gv.at/downloads/VfGH_Erkenntnis_G_164_G_171_2019_12._Dezember_2019.pdf" TargetMode="External"/><Relationship Id="rId17" Type="http://schemas.openxmlformats.org/officeDocument/2006/relationships/hyperlink" Target="https://www.ris.bka.gv.at/GeltendeFassung.wxe?Abfrage=Bundesnormen&amp;Gesetzesnummer=10001700" TargetMode="External"/><Relationship Id="rId25" Type="http://schemas.openxmlformats.org/officeDocument/2006/relationships/hyperlink" Target="https://ris.bka.gv.at/GeltendeFassung.wxe?Abfrage=Bundesnormen&amp;Gesetzesnummer=10002135" TargetMode="External"/><Relationship Id="rId33" Type="http://schemas.openxmlformats.org/officeDocument/2006/relationships/hyperlink" Target="https://www.ris.bka.gv.at/eli/bgbl/I/2021/227/20211230?Sort=0%7cAsc&amp;Abfrage=BgblAuth&amp;Bgblnummer=&amp;SucheNachGesetzen=False&amp;SucheNachKundmachungen=False&amp;SucheNachVerordnungen=False&amp;SucheNachSonstiges=False&amp;SucheNachTeil3=False&amp;Einbringer=&amp;ImRisSeitVonDatum=30.12.2021&amp;ImRisSeitBisDatum=31.12.2021" TargetMode="External"/><Relationship Id="rId38" Type="http://schemas.openxmlformats.org/officeDocument/2006/relationships/hyperlink" Target="https://ris.bka.gv.at/GeltendeFassung.wxe?Abfrage=Bundesnormen&amp;Gesetzesnummer=20011970" TargetMode="External"/><Relationship Id="rId46" Type="http://schemas.openxmlformats.org/officeDocument/2006/relationships/hyperlink" Target="https://www.ris.bka.gv.at/GeltendeFassung.wxe?Abfrage=Bundesnormen&amp;Gesetzesnummer=10006276" TargetMode="External"/><Relationship Id="rId59" Type="http://schemas.openxmlformats.org/officeDocument/2006/relationships/hyperlink" Target="https://www.ris.bka.gv.at/GeltendeFassung.wxe?Abfrage=Bundesnormen&amp;Gesetzesnummer=20007523" TargetMode="External"/><Relationship Id="rId67" Type="http://schemas.openxmlformats.org/officeDocument/2006/relationships/footer" Target="footer2.xml"/><Relationship Id="rId20" Type="http://schemas.openxmlformats.org/officeDocument/2006/relationships/hyperlink" Target="https://ris.bka.gv.at/GeltendeFassung.wxe?Abfrage=Bundesnormen&amp;Gesetzesnummer=10001699" TargetMode="External"/><Relationship Id="rId41" Type="http://schemas.openxmlformats.org/officeDocument/2006/relationships/hyperlink" Target="https://www.ris.bka.gv.at/GeltendeFassung.wxe?Abfrage=Bundesnormen&amp;Gesetzesnummer=20012474" TargetMode="External"/><Relationship Id="rId54" Type="http://schemas.openxmlformats.org/officeDocument/2006/relationships/hyperlink" Target="https://www.ris.bka.gv.at/GeltendeFassung.wxe?Abfrage=Bundesnormen&amp;Gesetzesnummer=20011401" TargetMode="External"/><Relationship Id="rId62" Type="http://schemas.openxmlformats.org/officeDocument/2006/relationships/hyperlink" Target="https://www.ris.bka.gv.at/GeltendeFassung.wxe?Abfrage=Bundesnormen&amp;Gesetzesnummer=10009948" TargetMode="External"/><Relationship Id="rId70" Type="http://schemas.openxmlformats.org/officeDocument/2006/relationships/header" Target="header4.xml"/><Relationship Id="rId75"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mk.gv.at/en/topics/climate-environment/climate-protection/austrian-strategy-adaptaion.html" TargetMode="External"/><Relationship Id="rId18" Type="http://schemas.openxmlformats.org/officeDocument/2006/relationships/hyperlink" Target="https://www.statistik.at/services/tools/services/publikationen/detail/1494" TargetMode="External"/><Relationship Id="rId26" Type="http://schemas.openxmlformats.org/officeDocument/2006/relationships/hyperlink" Target="https://www.gleichbehandlungsanwaltschaft.gv.at/unser-angebot/informationsmaterial.html" TargetMode="External"/><Relationship Id="rId39" Type="http://schemas.openxmlformats.org/officeDocument/2006/relationships/hyperlink" Target="https://www.weiterlernen.at" TargetMode="External"/><Relationship Id="rId3" Type="http://schemas.openxmlformats.org/officeDocument/2006/relationships/hyperlink" Target="https://www.justiz.gv.at/prozessbegleitung" TargetMode="External"/><Relationship Id="rId21" Type="http://schemas.openxmlformats.org/officeDocument/2006/relationships/hyperlink" Target="https://www.wien.gv.at/menschen/integration/daten-fakten/monitoring.html" TargetMode="External"/><Relationship Id="rId34" Type="http://schemas.openxmlformats.org/officeDocument/2006/relationships/hyperlink" Target="https://www.einkommensbericht.gv.at" TargetMode="External"/><Relationship Id="rId42" Type="http://schemas.openxmlformats.org/officeDocument/2006/relationships/hyperlink" Target="https://www.regio-v.at/lokale-entwicklungsstrategie-les-2020" TargetMode="External"/><Relationship Id="rId47" Type="http://schemas.openxmlformats.org/officeDocument/2006/relationships/hyperlink" Target="https://www.bundeskanzleramt.gv.at/themen/volksgruppen/roma-strategie.html" TargetMode="External"/><Relationship Id="rId50" Type="http://schemas.openxmlformats.org/officeDocument/2006/relationships/hyperlink" Target="https://www.schulpsychologie.at/15%23&amp;gid=1&amp;pid=1" TargetMode="External"/><Relationship Id="rId7" Type="http://schemas.openxmlformats.org/officeDocument/2006/relationships/hyperlink" Target="https://www.bundeskanzleramt.gv.at/agenda/frauen-und-gleichstellung/gewalt-gegen-frauen/gewaltformen/gewalt-im-netz.html" TargetMode="External"/><Relationship Id="rId12" Type="http://schemas.openxmlformats.org/officeDocument/2006/relationships/hyperlink" Target="https://service.bmf.gv.at/Budget/Budgets/2023/beilagen/Klima-_und_Umweltschutz_2023.pdf" TargetMode="External"/><Relationship Id="rId17" Type="http://schemas.openxmlformats.org/officeDocument/2006/relationships/hyperlink" Target="https://www.bundeskanzleramt.gv.at/dam/jcr:3d56226c-868f-4b9d-b2bd-87ef7bb63afe/54_6_ber_NB.pdf" TargetMode="External"/><Relationship Id="rId25" Type="http://schemas.openxmlformats.org/officeDocument/2006/relationships/hyperlink" Target="https://www.journey-integral.at" TargetMode="External"/><Relationship Id="rId33" Type="http://schemas.openxmlformats.org/officeDocument/2006/relationships/hyperlink" Target="https://www.einkommensbericht.gv.at" TargetMode="External"/><Relationship Id="rId38" Type="http://schemas.openxmlformats.org/officeDocument/2006/relationships/hyperlink" Target="https://www.bundeskanzleramt.gv.at/agenda/familie/familienpolitik/Familienforschung/analyse-oesterreichische-familienleistungen.html" TargetMode="External"/><Relationship Id="rId46" Type="http://schemas.openxmlformats.org/officeDocument/2006/relationships/hyperlink" Target="https://agenda-gesundheitsfoerderung.at/" TargetMode="External"/><Relationship Id="rId2" Type="http://schemas.openxmlformats.org/officeDocument/2006/relationships/hyperlink" Target="https://www.justiz.gv.at/prozessbegleitung" TargetMode="External"/><Relationship Id="rId16" Type="http://schemas.openxmlformats.org/officeDocument/2006/relationships/hyperlink" Target="https://www.statistik.at/services/tools/services/publikationen/detail/952" TargetMode="External"/><Relationship Id="rId20" Type="http://schemas.openxmlformats.org/officeDocument/2006/relationships/hyperlink" Target="https://www.bundeskanzleramt.gv.at/agenda/integration/integrationsbericht.html" TargetMode="External"/><Relationship Id="rId29" Type="http://schemas.openxmlformats.org/officeDocument/2006/relationships/hyperlink" Target="https://www.bundeskanzleramt.gv.at/girlsinpolitics" TargetMode="External"/><Relationship Id="rId41" Type="http://schemas.openxmlformats.org/officeDocument/2006/relationships/hyperlink" Target="https://www.bundeskanzleramt.gv.at/service/foerderungen-des-bundeskanzleramtes/frauenprojektfoerderungen/foerderung-fuer-14-projekte-fuer-massnahmen-zur-staerkung-von-frauen-und-maedchen.html" TargetMode="External"/><Relationship Id="rId1" Type="http://schemas.openxmlformats.org/officeDocument/2006/relationships/hyperlink" Target="https://www.coordination-vaw.gv.at/daten.html" TargetMode="External"/><Relationship Id="rId6" Type="http://schemas.openxmlformats.org/officeDocument/2006/relationships/hyperlink" Target="https://www.bundeskanzleramt.gv.at/service/foerderungen-des-bundeskanzleramtes/frauenprojektfoerderungen/foerderaufruf_2021.html" TargetMode="External"/><Relationship Id="rId11" Type="http://schemas.openxmlformats.org/officeDocument/2006/relationships/hyperlink" Target="https://ganhri.org/membership/" TargetMode="External"/><Relationship Id="rId24" Type="http://schemas.openxmlformats.org/officeDocument/2006/relationships/hyperlink" Target="https://www.sozialministerium.at/dam/jcr:edab5ca1-4995-456a-820c-c414da78bc39/Evaluierung%20NAP%20Behinderung%20%202012-2020.pdf" TargetMode="External"/><Relationship Id="rId32" Type="http://schemas.openxmlformats.org/officeDocument/2006/relationships/hyperlink" Target="https://www.gehaltsrechner.gv.at" TargetMode="External"/><Relationship Id="rId37" Type="http://schemas.openxmlformats.org/officeDocument/2006/relationships/hyperlink" Target="https://www.bundeskanzleramt.gv.at/agenda/familie/familienpolitik/Familienforschung/familienbericht.html" TargetMode="External"/><Relationship Id="rId40" Type="http://schemas.openxmlformats.org/officeDocument/2006/relationships/hyperlink" Target="https://www.trapez-frauen-pensionen.at/en/" TargetMode="External"/><Relationship Id="rId45" Type="http://schemas.openxmlformats.org/officeDocument/2006/relationships/hyperlink" Target="https://stmk.lko.at/media.php?filename=download%3D%2F2018.11.06%2F1541496582022151.pdf&amp;rn=Charta%20Partnerschaftliche%20Interessenvertretung.pdf" TargetMode="External"/><Relationship Id="rId5" Type="http://schemas.openxmlformats.org/officeDocument/2006/relationships/hyperlink" Target="https://www.bundeskanzleramt.gv.at/service/foerderungen-des-bundeskanzleramtes/frauenprojektfoerderungen/foerderung-fuer-14-projekte-gegen-gewalt-und-staerkung-von-frauen-maedchen-in-ganz-oesterreich-mit-1-25-millionen-euro.html" TargetMode="External"/><Relationship Id="rId15" Type="http://schemas.openxmlformats.org/officeDocument/2006/relationships/hyperlink" Target="https://www.statistik.at/services/tools/services/publikationen/detail/855" TargetMode="External"/><Relationship Id="rId23" Type="http://schemas.openxmlformats.org/officeDocument/2006/relationships/hyperlink" Target="https://www.bundeskanzleramt.gv.at/themen/volksgruppen/roma-strategie.html" TargetMode="External"/><Relationship Id="rId28" Type="http://schemas.openxmlformats.org/officeDocument/2006/relationships/hyperlink" Target="https://www.bundeskanzleramt.gv.at/service/foerderungen-des-bundeskanzleramtes/frauenprojektfoerderungen/foerderung-fuer-17-projekte-fuer-massnahmen-zur-staerkung-von-maedchen-und-frauen-in-der-digitalen-welt-und-diversifizierung-ihrer-ausbildungswege-und-berufswahl-mit-fokus-auf-mint.html" TargetMode="External"/><Relationship Id="rId36" Type="http://schemas.openxmlformats.org/officeDocument/2006/relationships/hyperlink" Target="https://ueberregionale-vermittlung.ams.at/home.html" TargetMode="External"/><Relationship Id="rId49" Type="http://schemas.openxmlformats.org/officeDocument/2006/relationships/hyperlink" Target="https://www.bundeskanzleramt.gv.at/themen/volksgruppen/roma-strategie/dialogplattform-roma-strategie/13-dialogplattform-25-februar-2015.html" TargetMode="External"/><Relationship Id="rId10" Type="http://schemas.openxmlformats.org/officeDocument/2006/relationships/hyperlink" Target="https://www.ris.bka.gv.at/Jus/" TargetMode="External"/><Relationship Id="rId19" Type="http://schemas.openxmlformats.org/officeDocument/2006/relationships/hyperlink" Target="https://www.bundeskanzleramt.gv.at/themen/nachhaltige-entwicklung-agenda-2030.html" TargetMode="External"/><Relationship Id="rId31" Type="http://schemas.openxmlformats.org/officeDocument/2006/relationships/hyperlink" Target="https://www.statistik.at/fileadmin/pages/362/VSE2018_GPG_06_2021_126258.pdf" TargetMode="External"/><Relationship Id="rId44" Type="http://schemas.openxmlformats.org/officeDocument/2006/relationships/hyperlink" Target="https://www.zukunftsraumland.at/seiten/185" TargetMode="External"/><Relationship Id="rId52" Type="http://schemas.openxmlformats.org/officeDocument/2006/relationships/hyperlink" Target="https://www.gleichstellungsmonitor.at" TargetMode="External"/><Relationship Id="rId4" Type="http://schemas.openxmlformats.org/officeDocument/2006/relationships/hyperlink" Target="https://ikf.ac.at/wp-content/uploads/2023/07/Untersuchung_Frauenmorde.pdf" TargetMode="External"/><Relationship Id="rId9" Type="http://schemas.openxmlformats.org/officeDocument/2006/relationships/hyperlink" Target="https://commission.europa.eu/publications/eu-mutual-learning-programme-gender-equality-role-men-and-boys-advancing-gender-equality-and_en" TargetMode="External"/><Relationship Id="rId14" Type="http://schemas.openxmlformats.org/officeDocument/2006/relationships/hyperlink" Target="https://rechnungshof.gv.at/rh/home/home/home_7/Agenda_2030_FuP.pdf" TargetMode="External"/><Relationship Id="rId22" Type="http://schemas.openxmlformats.org/officeDocument/2006/relationships/hyperlink" Target="https://www.bundeskanzleramt.gv.at/themen/volksgruppen/roma-strategie.html" TargetMode="External"/><Relationship Id="rId27" Type="http://schemas.openxmlformats.org/officeDocument/2006/relationships/hyperlink" Target="https://www.bundeskanzleramt.gv.at/service/foerderungen-des-bundeskanzleramtes/frauenprojektfoerderungen/foerderaufruf_mint_finanzkompetenzen.html" TargetMode="External"/><Relationship Id="rId30" Type="http://schemas.openxmlformats.org/officeDocument/2006/relationships/hyperlink" Target="https://www.trapez-frauen-pensionen.at/en/" TargetMode="External"/><Relationship Id="rId35" Type="http://schemas.openxmlformats.org/officeDocument/2006/relationships/hyperlink" Target="https://vorarlberg.at/documents/302033/472040/Rahmenplan+2016-21.pdf/74d87cfd-2fc5-eab2-3f4e-0d5c6ad39064?t=1616162963253" TargetMode="External"/><Relationship Id="rId43" Type="http://schemas.openxmlformats.org/officeDocument/2006/relationships/hyperlink" Target="https://www.leader-vwb.at/die-leader-region/entwicklungsstrategie-les/lokale-entwicklungsstrategie" TargetMode="External"/><Relationship Id="rId48" Type="http://schemas.openxmlformats.org/officeDocument/2006/relationships/hyperlink" Target="https://www.sozialministerium.at/Themen/Gesundheit/Frauen--und-Gendergesundheit.html" TargetMode="External"/><Relationship Id="rId8" Type="http://schemas.openxmlformats.org/officeDocument/2006/relationships/hyperlink" Target="https://www.hilfsangebote-bei-gewalt-gegen-frauen.at/hilfe-gegen-gewalt.html" TargetMode="External"/><Relationship Id="rId51" Type="http://schemas.openxmlformats.org/officeDocument/2006/relationships/hyperlink" Target="https://www.bmbwf.gv.at/Themen/schule/schulpraxis/ba/bo.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45FE1-ABA9-415B-BBE6-81DA4992D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66</Pages>
  <Words>28994</Words>
  <Characters>165270</Characters>
  <Application>Microsoft Office Word</Application>
  <DocSecurity>0</DocSecurity>
  <Lines>1377</Lines>
  <Paragraphs>387</Paragraphs>
  <ScaleCrop>false</ScaleCrop>
  <HeadingPairs>
    <vt:vector size="2" baseType="variant">
      <vt:variant>
        <vt:lpstr>Título</vt:lpstr>
      </vt:variant>
      <vt:variant>
        <vt:i4>1</vt:i4>
      </vt:variant>
    </vt:vector>
  </HeadingPairs>
  <TitlesOfParts>
    <vt:vector size="1" baseType="lpstr">
      <vt:lpstr>E/C.12/AUT/5</vt:lpstr>
    </vt:vector>
  </TitlesOfParts>
  <Company/>
  <LinksUpToDate>false</LinksUpToDate>
  <CharactersWithSpaces>193877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E/C.12/AUT/5</dc:title>
  <dc:subject/>
  <dc:creator>Marcel GONZALEZ-PEREZ</dc:creator>
  <cp:keywords/>
  <cp:lastModifiedBy>Marcel Gonzalez Perez</cp:lastModifiedBy>
  <cp:revision>3</cp:revision>
  <cp:lastPrinted>2025-04-11T09:27:00Z</cp:lastPrinted>
  <dcterms:created xsi:type="dcterms:W3CDTF">2025-04-11T09:27:00Z</dcterms:created>
  <dcterms:modified xsi:type="dcterms:W3CDTF">2025-04-11T09:28:00Z</dcterms:modified>
</cp:coreProperties>
</file>