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2777745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34E4D99" w14:textId="77777777" w:rsidR="002D5AAC" w:rsidRDefault="002D5AAC" w:rsidP="00224A3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E03C211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138FE0F" w14:textId="7B2B288F" w:rsidR="002D5AAC" w:rsidRDefault="00224A33" w:rsidP="00224A33">
            <w:pPr>
              <w:jc w:val="right"/>
            </w:pPr>
            <w:r w:rsidRPr="00224A33">
              <w:rPr>
                <w:sz w:val="40"/>
              </w:rPr>
              <w:t>CCPR</w:t>
            </w:r>
            <w:r>
              <w:t>/C/BOL/CO/4</w:t>
            </w:r>
          </w:p>
        </w:tc>
      </w:tr>
      <w:tr w:rsidR="002D5AAC" w14:paraId="026D1632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C27422D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A49A7E7" wp14:editId="06BB12E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9225CFD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F08D8EF" w14:textId="77777777" w:rsidR="002D5AAC" w:rsidRDefault="00224A33" w:rsidP="00BC3629">
            <w:pPr>
              <w:spacing w:before="240"/>
            </w:pPr>
            <w:r>
              <w:t>Distr.: General</w:t>
            </w:r>
          </w:p>
          <w:p w14:paraId="2D115648" w14:textId="77777777" w:rsidR="00224A33" w:rsidRDefault="00224A33" w:rsidP="00224A33">
            <w:pPr>
              <w:spacing w:line="240" w:lineRule="exact"/>
            </w:pPr>
            <w:r>
              <w:t>2 June 2022</w:t>
            </w:r>
          </w:p>
          <w:p w14:paraId="4C4914EC" w14:textId="77777777" w:rsidR="00224A33" w:rsidRDefault="00224A33" w:rsidP="00224A33">
            <w:pPr>
              <w:spacing w:line="240" w:lineRule="exact"/>
            </w:pPr>
            <w:r>
              <w:t>Russian</w:t>
            </w:r>
          </w:p>
          <w:p w14:paraId="165628EF" w14:textId="6C3A0270" w:rsidR="00224A33" w:rsidRPr="00375F01" w:rsidRDefault="00224A33" w:rsidP="00224A33">
            <w:pPr>
              <w:spacing w:line="240" w:lineRule="exact"/>
            </w:pPr>
            <w:r>
              <w:t>Original: Spanish</w:t>
            </w:r>
          </w:p>
        </w:tc>
      </w:tr>
    </w:tbl>
    <w:p w14:paraId="4B2C1AA3" w14:textId="77777777" w:rsidR="00224A33" w:rsidRPr="00224A33" w:rsidRDefault="00224A33" w:rsidP="00224A33">
      <w:pPr>
        <w:spacing w:before="120"/>
        <w:rPr>
          <w:b/>
          <w:sz w:val="24"/>
          <w:szCs w:val="24"/>
        </w:rPr>
      </w:pPr>
      <w:r w:rsidRPr="00224A33">
        <w:rPr>
          <w:b/>
          <w:bCs/>
          <w:sz w:val="24"/>
          <w:szCs w:val="24"/>
        </w:rPr>
        <w:t>Комитет по правам человека</w:t>
      </w:r>
    </w:p>
    <w:p w14:paraId="7606B228" w14:textId="77777777" w:rsidR="00224A33" w:rsidRPr="001403FB" w:rsidRDefault="00224A33" w:rsidP="00224A33">
      <w:pPr>
        <w:pStyle w:val="H1G"/>
      </w:pPr>
      <w:r>
        <w:tab/>
      </w:r>
      <w:r>
        <w:tab/>
      </w:r>
      <w:r>
        <w:rPr>
          <w:bCs/>
        </w:rPr>
        <w:t>Заключительные замечания по четвертому периодическому докладу Многонационального Государства Боливия</w:t>
      </w:r>
      <w:r w:rsidRPr="00224A33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79EDABA7" w14:textId="4D8CD81C" w:rsidR="00224A33" w:rsidRPr="001403FB" w:rsidRDefault="00224A33" w:rsidP="00224A33">
      <w:pPr>
        <w:spacing w:after="120"/>
        <w:ind w:left="1134" w:right="1134"/>
        <w:jc w:val="both"/>
      </w:pPr>
      <w:r>
        <w:t>1.</w:t>
      </w:r>
      <w:r>
        <w:tab/>
        <w:t>Комитет рассмотрел четвертый периодический доклад Многонационального Государства Боливия</w:t>
      </w:r>
      <w:r w:rsidRPr="00926329">
        <w:rPr>
          <w:rStyle w:val="aa"/>
        </w:rPr>
        <w:footnoteReference w:id="2"/>
      </w:r>
      <w:r>
        <w:t xml:space="preserve"> на своих 3849-м, 3851-м и 3853-м заседаниях</w:t>
      </w:r>
      <w:r w:rsidRPr="00926329">
        <w:rPr>
          <w:rStyle w:val="aa"/>
        </w:rPr>
        <w:footnoteReference w:id="3"/>
      </w:r>
      <w:r>
        <w:t>, состоявшихся 8,</w:t>
      </w:r>
      <w:r>
        <w:rPr>
          <w:lang w:val="en-US"/>
        </w:rPr>
        <w:t> </w:t>
      </w:r>
      <w:r>
        <w:t>9 и 10 марта 2022 года в смешанном формате. На своем 3869-м заседании</w:t>
      </w:r>
      <w:r w:rsidRPr="00926329">
        <w:rPr>
          <w:rStyle w:val="aa"/>
        </w:rPr>
        <w:footnoteReference w:id="4"/>
      </w:r>
      <w:r>
        <w:t>, состоявшемся 22 марта 2022 года, Комитет принял настоящие заключительные замечания.</w:t>
      </w:r>
    </w:p>
    <w:p w14:paraId="2DDF2114" w14:textId="7E39C296" w:rsidR="00224A33" w:rsidRPr="001403FB" w:rsidRDefault="00224A33" w:rsidP="00224A33">
      <w:pPr>
        <w:pStyle w:val="H1G"/>
      </w:pPr>
      <w:r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6404B609" w14:textId="01868549" w:rsidR="00224A33" w:rsidRPr="001403FB" w:rsidRDefault="00224A33" w:rsidP="00224A33">
      <w:pPr>
        <w:spacing w:after="120"/>
        <w:ind w:left="1134" w:right="1134"/>
        <w:jc w:val="both"/>
      </w:pPr>
      <w:r>
        <w:t>2.</w:t>
      </w:r>
      <w:r>
        <w:tab/>
        <w:t>Комитет приветствует представление четвертого периодического доклада Многонационального Государства Боливия и содержащуюся в нем информацию. Он</w:t>
      </w:r>
      <w:r>
        <w:rPr>
          <w:lang w:val="en-US"/>
        </w:rPr>
        <w:t> </w:t>
      </w:r>
      <w:r>
        <w:t>выражает признательность за возможность возобновить конструктивный и открытый диалог с высокопоставленной делегацией государства-участника. Комитет признателен за представленную информацию о мерах, принятых в рассматриваемый период для осуществления положений Пакта. Комитет также благодарит государство-участник за его письменные ответы</w:t>
      </w:r>
      <w:r w:rsidRPr="00926329">
        <w:rPr>
          <w:rStyle w:val="aa"/>
        </w:rPr>
        <w:footnoteReference w:id="5"/>
      </w:r>
      <w:r>
        <w:t xml:space="preserve"> на перечень вопросов</w:t>
      </w:r>
      <w:r w:rsidRPr="00926329">
        <w:rPr>
          <w:rStyle w:val="aa"/>
        </w:rPr>
        <w:footnoteReference w:id="6"/>
      </w:r>
      <w:r>
        <w:t>, которые были дополнены устными ответами членов делегации, а также за представленную ему в письменном виде дополнительную информацию.</w:t>
      </w:r>
    </w:p>
    <w:p w14:paraId="23C852D5" w14:textId="30DF226D" w:rsidR="00224A33" w:rsidRPr="001403FB" w:rsidRDefault="00224A33" w:rsidP="00224A33">
      <w:pPr>
        <w:pStyle w:val="H1G"/>
      </w:pPr>
      <w:r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571E8DDE" w14:textId="77777777" w:rsidR="00224A33" w:rsidRPr="001403FB" w:rsidRDefault="00224A33" w:rsidP="00224A33">
      <w:pPr>
        <w:spacing w:after="120"/>
        <w:ind w:left="1134" w:right="1134"/>
        <w:jc w:val="both"/>
      </w:pPr>
      <w:r>
        <w:t>3.</w:t>
      </w:r>
      <w:r>
        <w:tab/>
        <w:t xml:space="preserve">Комитет с удовлетворением отмечает следующие законодательные и институциональные меры, принятые государством-участником в рассматриваемый период в области гражданских и политических прав: </w:t>
      </w:r>
    </w:p>
    <w:p w14:paraId="4A356B58" w14:textId="2EB79116" w:rsidR="00224A33" w:rsidRPr="001403FB" w:rsidRDefault="00224A33" w:rsidP="00224A33">
      <w:pPr>
        <w:spacing w:after="120"/>
        <w:ind w:left="1134" w:right="1134" w:firstLine="567"/>
        <w:jc w:val="both"/>
      </w:pPr>
      <w:r>
        <w:t>a)</w:t>
      </w:r>
      <w:r>
        <w:tab/>
        <w:t>Единый протокол оказания специализированной помощи жертвам торговли людьми и их контрабанды, утвержденный резолюцией FGE/JLP/DAJ/2017/2020 от 27 ноября 2020 года;</w:t>
      </w:r>
    </w:p>
    <w:p w14:paraId="7E63E5CF" w14:textId="1445A838" w:rsidR="00224A33" w:rsidRPr="001403FB" w:rsidRDefault="00224A33" w:rsidP="00224A33">
      <w:pPr>
        <w:pStyle w:val="SingleTxtG"/>
      </w:pPr>
      <w:r>
        <w:tab/>
      </w:r>
      <w:r>
        <w:t>b)</w:t>
      </w:r>
      <w:r>
        <w:tab/>
        <w:t xml:space="preserve">Верховный указ № 3774 от 16 января 2019 года о создании Многонациональной службы по делам женщин и депатриархализации </w:t>
      </w:r>
      <w:r>
        <w:t>«</w:t>
      </w:r>
      <w:r>
        <w:t>Ана Мария Ромеро</w:t>
      </w:r>
      <w:r>
        <w:t>»</w:t>
      </w:r>
      <w:r>
        <w:t>;</w:t>
      </w:r>
    </w:p>
    <w:p w14:paraId="5974240B" w14:textId="4104E60E" w:rsidR="00224A33" w:rsidRPr="001403FB" w:rsidRDefault="00224A33" w:rsidP="00224A33">
      <w:pPr>
        <w:pStyle w:val="SingleTxtG"/>
      </w:pPr>
      <w:r>
        <w:tab/>
      </w:r>
      <w:r>
        <w:t>c)</w:t>
      </w:r>
      <w:r>
        <w:tab/>
        <w:t>Закон № 879 от 23 декабря 2016 года о Комиссии по установлению истины;</w:t>
      </w:r>
    </w:p>
    <w:p w14:paraId="57979EEC" w14:textId="02E2DD26" w:rsidR="00224A33" w:rsidRPr="001403FB" w:rsidRDefault="00224A33" w:rsidP="00224A33">
      <w:pPr>
        <w:pStyle w:val="SingleTxtG"/>
      </w:pPr>
      <w:r>
        <w:lastRenderedPageBreak/>
        <w:tab/>
      </w:r>
      <w:r>
        <w:t>d)</w:t>
      </w:r>
      <w:r>
        <w:tab/>
        <w:t>Закон № 870 от 13 декабря 2016 года о Народном защитнике;</w:t>
      </w:r>
    </w:p>
    <w:p w14:paraId="6EB8B745" w14:textId="544AB074" w:rsidR="00224A33" w:rsidRPr="001403FB" w:rsidRDefault="00224A33" w:rsidP="00224A33">
      <w:pPr>
        <w:pStyle w:val="SingleTxtG"/>
      </w:pPr>
      <w:r>
        <w:tab/>
      </w:r>
      <w:r>
        <w:t>e)</w:t>
      </w:r>
      <w:r>
        <w:tab/>
        <w:t>Закон № 848 от 27 октября 2016 года о провозглашении «Десятилетия боливийцев африканского происхождения»;</w:t>
      </w:r>
    </w:p>
    <w:p w14:paraId="3F5BD5B7" w14:textId="50602E14" w:rsidR="00224A33" w:rsidRPr="001403FB" w:rsidRDefault="00224A33" w:rsidP="00224A33">
      <w:pPr>
        <w:pStyle w:val="SingleTxtG"/>
      </w:pPr>
      <w:r>
        <w:tab/>
      </w:r>
      <w:r>
        <w:t>f)</w:t>
      </w:r>
      <w:r>
        <w:tab/>
        <w:t xml:space="preserve">Закон № 807 от 21 мая 2016 года о гендерной идентичности; </w:t>
      </w:r>
    </w:p>
    <w:p w14:paraId="4122ACDD" w14:textId="14D4A13E" w:rsidR="00224A33" w:rsidRPr="001403FB" w:rsidRDefault="00224A33" w:rsidP="00224A33">
      <w:pPr>
        <w:pStyle w:val="SingleTxtG"/>
      </w:pPr>
      <w:r>
        <w:tab/>
      </w:r>
      <w:r>
        <w:t>g)</w:t>
      </w:r>
      <w:r>
        <w:tab/>
        <w:t>Закон № 586 от 30 октября 2014 года о решении проблемы переполненности тюрем и обеспечении эффективного функционирования системы уголовного судопроизводства;</w:t>
      </w:r>
    </w:p>
    <w:p w14:paraId="6A4E7CE3" w14:textId="3C3A712F" w:rsidR="00224A33" w:rsidRPr="001403FB" w:rsidRDefault="00224A33" w:rsidP="00224A33">
      <w:pPr>
        <w:pStyle w:val="SingleTxtG"/>
      </w:pPr>
      <w:r>
        <w:tab/>
      </w:r>
      <w:r>
        <w:t>h)</w:t>
      </w:r>
      <w:r>
        <w:tab/>
        <w:t>Закон № 548 от 17 июля 2014 года, Кодекс о детях и подростках;</w:t>
      </w:r>
    </w:p>
    <w:p w14:paraId="601A122A" w14:textId="2914F19E" w:rsidR="00224A33" w:rsidRPr="001403FB" w:rsidRDefault="00224A33" w:rsidP="00224A33">
      <w:pPr>
        <w:pStyle w:val="SingleTxtG"/>
      </w:pPr>
      <w:r>
        <w:tab/>
      </w:r>
      <w:r>
        <w:t>i)</w:t>
      </w:r>
      <w:r>
        <w:tab/>
        <w:t>Закон № 464 от 19 декабря 2013 года о Многонациональной службе оказания помощи жертвам;</w:t>
      </w:r>
    </w:p>
    <w:p w14:paraId="6337BF34" w14:textId="2385F033" w:rsidR="00224A33" w:rsidRPr="001403FB" w:rsidRDefault="00224A33" w:rsidP="00224A33">
      <w:pPr>
        <w:pStyle w:val="SingleTxtG"/>
      </w:pPr>
      <w:r>
        <w:tab/>
      </w:r>
      <w:r>
        <w:t>j)</w:t>
      </w:r>
      <w:r>
        <w:tab/>
        <w:t>Закон № 463 от 19 декабря 2013 года о Многонациональной службе государственных защитников.</w:t>
      </w:r>
    </w:p>
    <w:p w14:paraId="6CAF27F2" w14:textId="1F7F9743" w:rsidR="00224A33" w:rsidRPr="001403FB" w:rsidRDefault="00224A33" w:rsidP="00224A33">
      <w:pPr>
        <w:pStyle w:val="H1G"/>
      </w:pPr>
      <w:r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</w:rPr>
        <w:t> </w:t>
      </w:r>
      <w:r>
        <w:rPr>
          <w:bCs/>
        </w:rPr>
        <w:t>рекомендации</w:t>
      </w:r>
    </w:p>
    <w:p w14:paraId="169C6B00" w14:textId="77777777" w:rsidR="00224A33" w:rsidRPr="001403FB" w:rsidRDefault="00224A33" w:rsidP="00224A33">
      <w:pPr>
        <w:pStyle w:val="H23G"/>
      </w:pPr>
      <w:r>
        <w:tab/>
      </w:r>
      <w:r>
        <w:tab/>
      </w:r>
      <w:r>
        <w:rPr>
          <w:bCs/>
        </w:rPr>
        <w:t>Выполнение соображений, принятых Комитетом согласно Факультативному протоколу</w:t>
      </w:r>
      <w:r>
        <w:t xml:space="preserve"> </w:t>
      </w:r>
    </w:p>
    <w:p w14:paraId="09C18AB0" w14:textId="606643D1" w:rsidR="00224A33" w:rsidRPr="001403FB" w:rsidRDefault="00224A33" w:rsidP="00224A33">
      <w:pPr>
        <w:spacing w:after="120"/>
        <w:ind w:left="1134" w:right="1134"/>
        <w:jc w:val="both"/>
      </w:pPr>
      <w:r>
        <w:t>4.</w:t>
      </w:r>
      <w:r>
        <w:tab/>
        <w:t>Комитет выражает сожаление, что государство-участник еще не установило конкретную процедуру для обеспечения реализации всех соображений, принятых согласно Факультативному протоколу. Он также с обеспокоенностью отмечает, что три соображения, в которых было установлено нарушение Пакта, все еще не выполнены в полном объеме, хотя с момента их принятия прошло много времени, в частности, речь идет о сообщениях № 176/1984 (</w:t>
      </w:r>
      <w:r>
        <w:rPr>
          <w:i/>
          <w:iCs/>
        </w:rPr>
        <w:t>Пеньяриетта и др.</w:t>
      </w:r>
      <w:r>
        <w:t>),</w:t>
      </w:r>
      <w:r>
        <w:br/>
      </w:r>
      <w:r>
        <w:t>№ 2628/2015 (</w:t>
      </w:r>
      <w:r>
        <w:rPr>
          <w:i/>
          <w:iCs/>
        </w:rPr>
        <w:t>Дельгадо Бургоа</w:t>
      </w:r>
      <w:r>
        <w:t>) и № 2629/2015 (</w:t>
      </w:r>
      <w:r>
        <w:rPr>
          <w:i/>
          <w:iCs/>
        </w:rPr>
        <w:t>Мальдонадо Ипорре</w:t>
      </w:r>
      <w:r>
        <w:t xml:space="preserve">). Комитет приветствует заявление о том, что Конституционный суд </w:t>
      </w:r>
      <w:r>
        <w:t>«</w:t>
      </w:r>
      <w:r>
        <w:t>признал обязательный характер решений договорных органов по правам человека, в том числе Комитета по правам человека</w:t>
      </w:r>
      <w:r>
        <w:t>»</w:t>
      </w:r>
      <w:r w:rsidRPr="00926329">
        <w:rPr>
          <w:rStyle w:val="aa"/>
        </w:rPr>
        <w:footnoteReference w:id="7"/>
      </w:r>
      <w:r>
        <w:t xml:space="preserve">, и принимает к сведению представленную государством-участником в ходе диалога информацию о трудностях, с которыми оно сталкивается при выполнении соображений (статья 2). </w:t>
      </w:r>
      <w:bookmarkStart w:id="0" w:name="_Hlk101869107"/>
      <w:bookmarkEnd w:id="0"/>
    </w:p>
    <w:p w14:paraId="60F23171" w14:textId="77777777" w:rsidR="00224A33" w:rsidRPr="001403FB" w:rsidRDefault="00224A33" w:rsidP="00224A33">
      <w:pPr>
        <w:spacing w:after="120"/>
        <w:ind w:left="1134" w:right="1134"/>
        <w:jc w:val="both"/>
      </w:pPr>
      <w:r>
        <w:t>5.</w:t>
      </w:r>
      <w:r>
        <w:tab/>
      </w:r>
      <w:r>
        <w:rPr>
          <w:b/>
          <w:bCs/>
        </w:rPr>
        <w:t>Комитет напоминает о своей рекомендации государству-участнику создать механизм для выполнения соображений Комитета</w:t>
      </w:r>
      <w:r w:rsidRPr="00926329">
        <w:rPr>
          <w:rStyle w:val="aa"/>
        </w:rPr>
        <w:footnoteReference w:id="8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Он также рекомендует государству-участнику принять необходимые меры для незамедлительного и полного выполнения трех соображений, в которых Комитет установил нарушение Пакта и которые все еще не выполнены.</w:t>
      </w:r>
      <w:r>
        <w:t xml:space="preserve"> </w:t>
      </w:r>
    </w:p>
    <w:p w14:paraId="465F9C09" w14:textId="4B0E5ADB" w:rsidR="00224A33" w:rsidRPr="001403FB" w:rsidRDefault="00224A33" w:rsidP="00224A33">
      <w:pPr>
        <w:pStyle w:val="H23G"/>
      </w:pPr>
      <w:r>
        <w:tab/>
      </w:r>
      <w:r>
        <w:tab/>
      </w:r>
      <w:r>
        <w:rPr>
          <w:bCs/>
        </w:rPr>
        <w:t>Нарушения прав человека, совершенные в период 1964</w:t>
      </w:r>
      <w:r w:rsidRPr="00224A33">
        <w:rPr>
          <w:bCs/>
        </w:rPr>
        <w:t>‒</w:t>
      </w:r>
      <w:r>
        <w:rPr>
          <w:bCs/>
        </w:rPr>
        <w:t>1982 годов</w:t>
      </w:r>
    </w:p>
    <w:p w14:paraId="5CF1D2E5" w14:textId="590D6556" w:rsidR="00224A33" w:rsidRPr="001403FB" w:rsidRDefault="00224A33" w:rsidP="00050341">
      <w:pPr>
        <w:spacing w:after="120"/>
        <w:ind w:left="1134" w:right="1134"/>
        <w:jc w:val="both"/>
      </w:pPr>
      <w:r>
        <w:t>6.</w:t>
      </w:r>
      <w:r>
        <w:tab/>
        <w:t>Комитет приветствует создание в 2016 году Комиссии по установлению истины и ее заключительный доклад о грубых нарушениях прав человека, совершенных в период 1964</w:t>
      </w:r>
      <w:r w:rsidRPr="00224A33">
        <w:rPr>
          <w:bCs/>
        </w:rPr>
        <w:t>‒</w:t>
      </w:r>
      <w:r>
        <w:t>1982 годов. Комитет с интересом отмечает меры, принятые для расследования случаев насильственных исчезновений, но сожалеет, что не получил достаточной информации о количестве текущих расследований этих и других нарушений прав человека, а также о мерах наказания, назначенных виновным. Он</w:t>
      </w:r>
      <w:r>
        <w:t> </w:t>
      </w:r>
      <w:r>
        <w:t>обеспокоен тем, что, несмотря на истекший период времени, 147 из 1714 жертв, признанных таковыми в Верховном указе № 1211 от 2012 года, до сих пор не получили никакой компенсации, а остальные жертвы получили лишь 20</w:t>
      </w:r>
      <w:r>
        <w:t xml:space="preserve"> </w:t>
      </w:r>
      <w:r>
        <w:t>% от начисленных им сумм. В этой связи он отмечает, что государство-участник находится в процессе разработки законодательства, которое позволит решить проблему задолженности по компенсации, и приветствует создание трех постоянных межведомственных советов с целью, в частности, разработки государственной политики и норм для гарантирования права на полное возмещение ущерба всем жертвам нарушений прав человека, в том числе тех, которые были совершены в период 1964</w:t>
      </w:r>
      <w:r w:rsidR="00050341" w:rsidRPr="00050341">
        <w:t>‒</w:t>
      </w:r>
      <w:r>
        <w:t>1982 годов (статьи 2, 6 и 7).</w:t>
      </w:r>
    </w:p>
    <w:p w14:paraId="44347BED" w14:textId="25602C2C" w:rsidR="00224A33" w:rsidRPr="00224A33" w:rsidRDefault="00224A33" w:rsidP="00224A33">
      <w:pPr>
        <w:spacing w:after="120"/>
        <w:ind w:left="1134" w:right="1134"/>
        <w:jc w:val="both"/>
        <w:rPr>
          <w:b/>
          <w:bCs/>
        </w:rPr>
      </w:pPr>
      <w:r>
        <w:t>7.</w:t>
      </w:r>
      <w:r>
        <w:tab/>
      </w:r>
      <w:r>
        <w:rPr>
          <w:b/>
          <w:bCs/>
        </w:rPr>
        <w:t>Государству-участнику следует активизировать усилия по реализации прав жертв серьезных нарушений прав человека, совершенных в период</w:t>
      </w:r>
      <w:r>
        <w:rPr>
          <w:b/>
          <w:bCs/>
        </w:rPr>
        <w:br/>
      </w:r>
      <w:r>
        <w:rPr>
          <w:b/>
          <w:bCs/>
        </w:rPr>
        <w:t>1964</w:t>
      </w:r>
      <w:r w:rsidRPr="00224A33">
        <w:rPr>
          <w:bCs/>
        </w:rPr>
        <w:t>‒</w:t>
      </w:r>
      <w:r>
        <w:rPr>
          <w:b/>
          <w:bCs/>
        </w:rPr>
        <w:t>1982 годов, на установление истины, отправление правосудия и полноценное возмещение.</w:t>
      </w:r>
      <w:r>
        <w:t xml:space="preserve"> </w:t>
      </w:r>
      <w:r>
        <w:rPr>
          <w:b/>
          <w:bCs/>
        </w:rPr>
        <w:t>В частности, ему следует как можно скорее обеспечить:</w:t>
      </w:r>
    </w:p>
    <w:p w14:paraId="2C82F9AE" w14:textId="758B620F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более широкое распространение заключительного доклада Комиссии по установлению истины и полное выполнение всех содержащихся в нем рекомендаций;</w:t>
      </w:r>
    </w:p>
    <w:p w14:paraId="37B16619" w14:textId="79DE11DC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прогресс в расследовании всех утверждений о нарушениях прав человека, совершенных в период 1964</w:t>
      </w:r>
      <w:r w:rsidRPr="00224A33">
        <w:rPr>
          <w:bCs/>
        </w:rPr>
        <w:t>‒</w:t>
      </w:r>
      <w:r>
        <w:rPr>
          <w:b/>
          <w:bCs/>
        </w:rPr>
        <w:t>1982 годов, привлечение виновных к ответственности и назначение им надлежащих мер наказания;</w:t>
      </w:r>
    </w:p>
    <w:p w14:paraId="2BA6976A" w14:textId="7EA09DC7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осуществление права всех жертв, включая тех, кто не указан в Верховном указе № 1211, на полное возмещение должно стать эффективным, гарантировав при этом принятие всех мер, предусмотренных международными стандартами в этой области.</w:t>
      </w:r>
    </w:p>
    <w:p w14:paraId="310B782E" w14:textId="77777777" w:rsidR="00224A33" w:rsidRPr="001403FB" w:rsidRDefault="00224A33" w:rsidP="00224A33">
      <w:pPr>
        <w:pStyle w:val="H23G"/>
        <w:ind w:left="0" w:firstLine="0"/>
      </w:pPr>
      <w:r>
        <w:tab/>
      </w:r>
      <w:r>
        <w:tab/>
      </w:r>
      <w:r>
        <w:rPr>
          <w:bCs/>
        </w:rPr>
        <w:t>Равенство мужчин и женщин</w:t>
      </w:r>
    </w:p>
    <w:p w14:paraId="200E38CE" w14:textId="77777777" w:rsidR="00224A33" w:rsidRPr="001403FB" w:rsidRDefault="00224A33" w:rsidP="00224A33">
      <w:pPr>
        <w:spacing w:after="120"/>
        <w:ind w:left="1134" w:right="1134"/>
        <w:jc w:val="both"/>
        <w:rPr>
          <w:color w:val="000000"/>
        </w:rPr>
      </w:pPr>
      <w:r>
        <w:t>8.</w:t>
      </w:r>
      <w:r>
        <w:tab/>
        <w:t>Комитет с удовлетворением отмечает меры, принятые в области обеспечения гендерного равенства, и результаты, достигнутые на уровне законодательной власти. Однако он обеспокоен тем, что женщины по-прежнему недостаточно представлены на руководящих должностях в органах исполнительной и судебной власти на всех уровнях, и сожалеет, что не получил информации о мерах, принятых для повышения уровня представленности женщин на руководящих постах в частном секторе. Кроме того, он с озабоченностью отмечает зарегистрированные в рассматриваемый период многочисленные случаи преследования по политическим мотивам и политического насилия в отношении женщин, а также тот факт, что в этой связи был вынесен только один обвинительный приговор (статьи 2, 3, 25 и 26).</w:t>
      </w:r>
    </w:p>
    <w:p w14:paraId="5CA6043C" w14:textId="77777777" w:rsidR="00224A33" w:rsidRPr="001403FB" w:rsidRDefault="00224A33" w:rsidP="00224A33">
      <w:pPr>
        <w:spacing w:after="120"/>
        <w:ind w:left="1134" w:right="1134"/>
        <w:jc w:val="both"/>
        <w:rPr>
          <w:b/>
        </w:rPr>
      </w:pPr>
      <w:r>
        <w:t>9.</w:t>
      </w:r>
      <w:r>
        <w:tab/>
      </w:r>
      <w:r>
        <w:rPr>
          <w:b/>
          <w:bCs/>
        </w:rPr>
        <w:t>Государству-участнику следует:</w:t>
      </w:r>
    </w:p>
    <w:p w14:paraId="67FD63FC" w14:textId="57602712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активизировать усилия по обеспечению действительного равенства между мужчинами и женщинами во всех областях и на всей территории страны.</w:t>
      </w:r>
      <w:r>
        <w:t xml:space="preserve"> </w:t>
      </w:r>
      <w:r>
        <w:rPr>
          <w:b/>
          <w:bCs/>
        </w:rPr>
        <w:t>В частности, ему следует принять конкретные меры по повышению уровня представленности женщин, включая женщин из числа коренных народов и женщин африканского происхождения, на руководящих должностях в органах исполнительной и судебной власти на всех уровнях, а также на руководящих постах в частном секторе;</w:t>
      </w:r>
    </w:p>
    <w:p w14:paraId="7EF1B3DA" w14:textId="1EC7CB03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активизировать усилия по искоренению гендерных стереотипов относительно роли и обязанностей мужчин и женщин в семье и обществе;</w:t>
      </w:r>
    </w:p>
    <w:p w14:paraId="198DB553" w14:textId="71C3F406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ускорить процесс оценки осуществления Межсекторального плана действий по депатриархализации и обеспечению прав женщин на достойную жизнь на 2017–2020 годы и как можно скорее разработать новый план, обеспечив при этом выделение достаточных ресурсов для его надлежащей реализации;</w:t>
      </w:r>
      <w:r>
        <w:t xml:space="preserve"> </w:t>
      </w:r>
    </w:p>
    <w:p w14:paraId="6C71DFD5" w14:textId="3BD9FEA1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приложить больше усилий для обеспечения полного соблюдения Закона о борьбе с политическими преследованиям</w:t>
      </w:r>
      <w:r w:rsidR="00050341">
        <w:rPr>
          <w:b/>
          <w:bCs/>
        </w:rPr>
        <w:t>и</w:t>
      </w:r>
      <w:r>
        <w:rPr>
          <w:b/>
          <w:bCs/>
        </w:rPr>
        <w:t xml:space="preserve"> и насилием в отношении женщин;</w:t>
      </w:r>
      <w:r>
        <w:t xml:space="preserve"> </w:t>
      </w:r>
      <w:r>
        <w:rPr>
          <w:b/>
          <w:bCs/>
        </w:rPr>
        <w:t>предотвращать случаи преследования по политическим мотивам и политического насилия;</w:t>
      </w:r>
      <w:r>
        <w:t xml:space="preserve"> </w:t>
      </w:r>
      <w:r>
        <w:rPr>
          <w:b/>
          <w:bCs/>
        </w:rPr>
        <w:t>обеспечивать предоставление быстрой и надлежащей помощи жертвам, а также средства для их защиты на всей территории страны;</w:t>
      </w:r>
      <w:r>
        <w:t xml:space="preserve"> </w:t>
      </w:r>
      <w:r>
        <w:rPr>
          <w:b/>
          <w:bCs/>
        </w:rPr>
        <w:t>оперативное, тщательное и беспристрастное расследование жалоб;</w:t>
      </w:r>
      <w:r>
        <w:t xml:space="preserve"> </w:t>
      </w:r>
      <w:r>
        <w:rPr>
          <w:b/>
          <w:bCs/>
        </w:rPr>
        <w:t>привлечение виновных к ответственности и назначение им надлежащих мер наказани</w:t>
      </w:r>
      <w:r w:rsidR="00050341">
        <w:rPr>
          <w:b/>
          <w:bCs/>
        </w:rPr>
        <w:t>я</w:t>
      </w:r>
      <w:r>
        <w:rPr>
          <w:b/>
          <w:bCs/>
        </w:rPr>
        <w:t>;</w:t>
      </w:r>
      <w:r>
        <w:t xml:space="preserve"> </w:t>
      </w:r>
      <w:r>
        <w:rPr>
          <w:b/>
          <w:bCs/>
        </w:rPr>
        <w:t>а также предоставление жертвам полного возмещения.</w:t>
      </w:r>
    </w:p>
    <w:p w14:paraId="67A4CE6F" w14:textId="77777777" w:rsidR="00224A33" w:rsidRPr="001403FB" w:rsidRDefault="00224A33" w:rsidP="00224A33">
      <w:pPr>
        <w:pStyle w:val="H23G"/>
        <w:ind w:left="0" w:firstLine="0"/>
      </w:pPr>
      <w:r>
        <w:tab/>
      </w:r>
      <w:r>
        <w:tab/>
      </w:r>
      <w:r>
        <w:rPr>
          <w:bCs/>
        </w:rPr>
        <w:t>Недискриминация</w:t>
      </w:r>
    </w:p>
    <w:p w14:paraId="3890736F" w14:textId="77777777" w:rsidR="00224A33" w:rsidRPr="001403FB" w:rsidRDefault="00224A33" w:rsidP="00224A33">
      <w:pPr>
        <w:spacing w:after="120"/>
        <w:ind w:left="1134" w:right="1134"/>
        <w:jc w:val="both"/>
      </w:pPr>
      <w:r>
        <w:t>10.</w:t>
      </w:r>
      <w:r>
        <w:tab/>
        <w:t xml:space="preserve">Комитет высоко оценивает усилия государства-участника по борьбе с дискриминацией. Однако он обеспокоен сообщениями о недостаточном объеме </w:t>
      </w:r>
      <w:r>
        <w:lastRenderedPageBreak/>
        <w:t>ресурсов, выделяемых для обеспечения соблюдения Закона № 45 о борьбе с расизмом и всеми формами дискриминации, а также небольшим числом обвинительных приговоров за совершение преступлений, указанных в этом законе. Кроме того, он обеспокоен утверждениями о случаях дискриминации, особенно расовой дискриминации, включая насилие, которые, по сообщениям, имели место в контексте кризиса после выборов 2019 года. Комитет также обеспокоен тем, что до сих пор не завершено разбирательство в связи со случаями расового насилия, которые предположительно имели место в городах Пандо и Сукре в 2008 году (статьи 2, 3, 6, 7, 17, 25 и 26).</w:t>
      </w:r>
    </w:p>
    <w:p w14:paraId="18A92D83" w14:textId="77777777" w:rsidR="00224A33" w:rsidRPr="001403FB" w:rsidRDefault="00224A33" w:rsidP="00224A33">
      <w:pPr>
        <w:spacing w:after="120"/>
        <w:ind w:left="1134" w:right="1134"/>
        <w:jc w:val="both"/>
        <w:rPr>
          <w:b/>
        </w:rPr>
      </w:pPr>
      <w:r>
        <w:t>11.</w:t>
      </w:r>
      <w:r>
        <w:tab/>
      </w:r>
      <w:r>
        <w:rPr>
          <w:b/>
          <w:bCs/>
        </w:rPr>
        <w:t>Государству-участнику следует:</w:t>
      </w:r>
    </w:p>
    <w:p w14:paraId="2D43B94E" w14:textId="0864ADB3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активизировать усилия по предотвращению, борьбе и искоренению всех форм дискриминации, в том числе путем обеспечения выделения достаточных ресурсов для осуществления в полном объеме законодательства в области борьбы с дискриминацией, а также путем расширения информационно-просветительских кампаний среди населения и подготовки государственных служащих в целях поощрения терпимости и уважительного отношения к разнообразию;</w:t>
      </w:r>
    </w:p>
    <w:p w14:paraId="1A28C074" w14:textId="19685670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обеспечить, чтобы по жалобам на правонарушения, указанные в Законе № 45, а также по административным жалобам на дискриминацию проводились оперативные, тщательные и беспристрастные расследования, а виновные привлекались к ответственности;</w:t>
      </w:r>
      <w:r>
        <w:t xml:space="preserve"> </w:t>
      </w:r>
    </w:p>
    <w:p w14:paraId="286BD0D3" w14:textId="52C8D92F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принять необходимые меры для ускорения разбирательства в связи с предполагаемыми актами расового насилия, имевшими место в городах Пандо и Сукре в 2008 году, и обеспечить преследование и наказание виновных в соответствии с тяжестью совершенных ими деяний;</w:t>
      </w:r>
    </w:p>
    <w:p w14:paraId="4B36E859" w14:textId="1414F897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гарантировать предоставление жертвам полного возмещения;</w:t>
      </w:r>
    </w:p>
    <w:p w14:paraId="147C72EE" w14:textId="2019C30C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e)</w:t>
      </w:r>
      <w:r>
        <w:tab/>
      </w:r>
      <w:r>
        <w:rPr>
          <w:b/>
          <w:bCs/>
        </w:rPr>
        <w:t>принять как можно скорее новый Многосекторальный план по борьбе с расизмом и всеми формами дискриминации на 2021</w:t>
      </w:r>
      <w:r w:rsidRPr="00224A33">
        <w:rPr>
          <w:bCs/>
        </w:rPr>
        <w:t>‒</w:t>
      </w:r>
      <w:r>
        <w:rPr>
          <w:b/>
          <w:bCs/>
        </w:rPr>
        <w:t>2025 годы.</w:t>
      </w:r>
    </w:p>
    <w:p w14:paraId="0551CAB7" w14:textId="4ED7C641" w:rsidR="00224A33" w:rsidRPr="00224A33" w:rsidRDefault="00224A33" w:rsidP="00224A33">
      <w:pPr>
        <w:pStyle w:val="H23G"/>
      </w:pPr>
      <w:r w:rsidRPr="00224A33">
        <w:tab/>
      </w:r>
      <w:r w:rsidRPr="00224A33">
        <w:tab/>
        <w:t>Дискриминация и насилие по признакам сексуальной ориентации или</w:t>
      </w:r>
      <w:r>
        <w:t> </w:t>
      </w:r>
      <w:r w:rsidRPr="00224A33">
        <w:t>гендерной идентичности</w:t>
      </w:r>
    </w:p>
    <w:p w14:paraId="2DDA6F13" w14:textId="64E84CF8" w:rsidR="00224A33" w:rsidRPr="001403FB" w:rsidRDefault="00224A33" w:rsidP="00224A33">
      <w:pPr>
        <w:spacing w:after="120"/>
        <w:ind w:left="1134" w:right="1134"/>
        <w:jc w:val="both"/>
      </w:pPr>
      <w:r>
        <w:t>12.</w:t>
      </w:r>
      <w:r>
        <w:tab/>
        <w:t>Комитет обеспокоен сообщениями о том, что лесбиянки, гомосексуалисты, бисексуалы, трансгендеры и интерсексуалы продолжают подвергаться дискриминации и насилию, в том числе становятся жертвами убийств. Комитет приветствует принятие Закона № 807 о гендерной идентичности, но с обеспокоенностью отмечает информацию о решении № 0076/17 и</w:t>
      </w:r>
      <w:r>
        <w:br/>
      </w:r>
      <w:r>
        <w:t xml:space="preserve">постановлении № 0028/17, на основании которых Многонациональный Конституционный суд объявил неконституционным пункт II статьи 11 закона из-за содержащейся в нем фразы </w:t>
      </w:r>
      <w:r>
        <w:t>«</w:t>
      </w:r>
      <w:r>
        <w:t>позволит лицу, изменившему имя, пол и образ, осуществлять все основные политические, трудовые, гражданские, экономические и социальные права...</w:t>
      </w:r>
      <w:r>
        <w:t>»</w:t>
      </w:r>
      <w:r>
        <w:t>. В этой связи Комитет также обеспокоен информацией о препятствиях на пути регистрации рождения детей мужчин-трансгендеров. С другой стороны, он с интересом отмечает, что в 2020 и 2021 годах двум однополым парам благодаря подаче ходатайства о применении конституционной процедуры ампаро было разрешено зарегистрировать свободный брачный союз или брачный союз</w:t>
      </w:r>
      <w:r w:rsidR="00050341">
        <w:br/>
      </w:r>
      <w:r>
        <w:t>де-факто. Однако он отмечает, что подобные решения все еще принимаются Конституционным судом, и выражает сожаление по поводу информации о том, что другим однополым парам было отказано в регистрации (статьи 2, 6, 7, 17, 24 и 26).</w:t>
      </w:r>
    </w:p>
    <w:p w14:paraId="2FE40644" w14:textId="77777777" w:rsidR="00224A33" w:rsidRPr="001403FB" w:rsidRDefault="00224A33" w:rsidP="00224A33">
      <w:pPr>
        <w:spacing w:after="120"/>
        <w:ind w:left="1134" w:right="1134"/>
        <w:jc w:val="both"/>
        <w:rPr>
          <w:b/>
        </w:rPr>
      </w:pPr>
      <w:r>
        <w:t>13.</w:t>
      </w:r>
      <w:r>
        <w:tab/>
      </w:r>
      <w:r>
        <w:rPr>
          <w:b/>
          <w:bCs/>
        </w:rPr>
        <w:t>Государству-участнику следует активизировать усилия по борьбе со стереотипами и предрассудками в отношении лесбиянок, гомосексуалистов, бисексуалов, трансгендеров и интерсексуалов, а также:</w:t>
      </w:r>
    </w:p>
    <w:p w14:paraId="59D13ACA" w14:textId="0C2CA0C5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обеспечить безотлагательное расследование преступлений, мотивированных сексуальной ориентацией или гендерной идентичностью жертвы;</w:t>
      </w:r>
      <w:r>
        <w:t xml:space="preserve"> </w:t>
      </w:r>
      <w:r>
        <w:rPr>
          <w:b/>
          <w:bCs/>
        </w:rPr>
        <w:t>привлечение виновных к ответственности и назначение им надлежащих наказаний;</w:t>
      </w:r>
      <w:r>
        <w:t xml:space="preserve"> </w:t>
      </w:r>
      <w:r>
        <w:rPr>
          <w:b/>
          <w:bCs/>
        </w:rPr>
        <w:t>а также предоставление жертвам полного возмещения;</w:t>
      </w:r>
    </w:p>
    <w:p w14:paraId="4AC93A4A" w14:textId="27205AEB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принять как можно скорее необходимые меры для обеспечения того, чтобы трансгендеры могли в полной мере пользоваться всеми правами, признаваемыми в Пакте;</w:t>
      </w:r>
    </w:p>
    <w:p w14:paraId="24CDF9BC" w14:textId="1F4CA970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принять необходимые меры для обеспечения того, чтобы все дети, родившиеся в государстве-участнике, независимо от гендерной идентичности их родителей, регистрировались сразу после рождения и получали официальное свидетельство о рождении;</w:t>
      </w:r>
    </w:p>
    <w:p w14:paraId="0CF25467" w14:textId="5B0CECC7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принять необходимые меры, с тем чтобы гарантировать однополым парам права, признаваемые в Пакте.</w:t>
      </w:r>
    </w:p>
    <w:p w14:paraId="479CA23F" w14:textId="77777777" w:rsidR="00224A33" w:rsidRPr="001403FB" w:rsidRDefault="00224A33" w:rsidP="00224A33">
      <w:pPr>
        <w:pStyle w:val="H23G"/>
      </w:pPr>
      <w:r>
        <w:tab/>
      </w:r>
      <w:r>
        <w:tab/>
      </w:r>
      <w:r>
        <w:rPr>
          <w:bCs/>
        </w:rPr>
        <w:t>Насилие в отношении женщин</w:t>
      </w:r>
    </w:p>
    <w:p w14:paraId="5F0938E1" w14:textId="1DF2C857" w:rsidR="00224A33" w:rsidRPr="001403FB" w:rsidRDefault="00224A33" w:rsidP="00224A33">
      <w:pPr>
        <w:spacing w:after="120"/>
        <w:ind w:left="1134" w:right="1134"/>
        <w:jc w:val="both"/>
      </w:pPr>
      <w:r>
        <w:t>14.</w:t>
      </w:r>
      <w:r>
        <w:tab/>
        <w:t>Комитет принимает к сведению меры, принятые государством-участником в целях предотвращения насилия в отношении женщин и борьбы с ним. Однако он обеспокоен сообщениями о том, что это явление по-прежнему широко распространено в государстве-участнике, включая фемициды и сексуальное насилие, в том числе в отношении девочек и подростков. Отмечая прогресс в расследовании 113 фемицидов, совершенных после ноября 2020 года, о котором было сообщено в ходе диалога, Комитет обеспокоен небольшим числом обвинительных приговоров, вынесенных по делам о насилии в отношении женщин. Кроме того, он обеспокоен тем, что определение преступления изнасилования, равно как и преступления статутного изнасилования, не соответствует международным стандартам, что, согласно имеющейся информации, на практике означает безнаказанность в случаях изнасилования несовершеннолетних и сексуального надругательства над ними. С</w:t>
      </w:r>
      <w:r>
        <w:t> </w:t>
      </w:r>
      <w:r>
        <w:t xml:space="preserve">другой стороны, он обеспокоен информацией о том, что меры по борьбе с насилием в отношении женщин не охватывают трансгендерных женщин, хотя он приветствует представленную государством-участником информацию, согласно которой в рамках процесса внесения поправок в Комплексный закон об обеспечении женщинам гарантий на жизнь, свободную от насилия (Закон № 348), </w:t>
      </w:r>
      <w:r>
        <w:t>«</w:t>
      </w:r>
      <w:r>
        <w:t>трансгендерные женщины и женщины-транссексуалы будут охвачены мерами защиты</w:t>
      </w:r>
      <w:r>
        <w:t>»</w:t>
      </w:r>
      <w:r>
        <w:t xml:space="preserve"> (статьи 2, 3, 6, 7, 14, 24 и</w:t>
      </w:r>
      <w:r>
        <w:t> </w:t>
      </w:r>
      <w:r>
        <w:t xml:space="preserve">26). </w:t>
      </w:r>
    </w:p>
    <w:p w14:paraId="7FD80273" w14:textId="77777777" w:rsidR="00224A33" w:rsidRPr="001403FB" w:rsidRDefault="00224A33" w:rsidP="00224A33">
      <w:pPr>
        <w:spacing w:after="120"/>
        <w:ind w:left="1134" w:right="1134"/>
        <w:jc w:val="both"/>
        <w:rPr>
          <w:b/>
        </w:rPr>
      </w:pPr>
      <w:r>
        <w:t>15.</w:t>
      </w:r>
      <w:r>
        <w:tab/>
      </w:r>
      <w:r>
        <w:rPr>
          <w:b/>
          <w:bCs/>
        </w:rPr>
        <w:t>Государству-участнику следует активизировать свои усилия по предупреждению всех форм насилия в отношении женщин и девочек, борьбе с ними и их искоренению.</w:t>
      </w:r>
      <w:r>
        <w:t xml:space="preserve"> </w:t>
      </w:r>
      <w:r>
        <w:rPr>
          <w:b/>
          <w:bCs/>
        </w:rPr>
        <w:t>В частности, ему следует принять необходимые меры в целях:</w:t>
      </w:r>
    </w:p>
    <w:p w14:paraId="1CE2F981" w14:textId="4FF0034E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выделения необходимы</w:t>
      </w:r>
      <w:r w:rsidR="00050341">
        <w:rPr>
          <w:b/>
          <w:bCs/>
        </w:rPr>
        <w:t>х</w:t>
      </w:r>
      <w:r>
        <w:rPr>
          <w:b/>
          <w:bCs/>
        </w:rPr>
        <w:t xml:space="preserve"> финансовы</w:t>
      </w:r>
      <w:r w:rsidR="00050341">
        <w:rPr>
          <w:b/>
          <w:bCs/>
        </w:rPr>
        <w:t>х</w:t>
      </w:r>
      <w:r>
        <w:rPr>
          <w:b/>
          <w:bCs/>
        </w:rPr>
        <w:t>, технически</w:t>
      </w:r>
      <w:r w:rsidR="00050341">
        <w:rPr>
          <w:b/>
          <w:bCs/>
        </w:rPr>
        <w:t>х</w:t>
      </w:r>
      <w:r>
        <w:rPr>
          <w:b/>
          <w:bCs/>
        </w:rPr>
        <w:t xml:space="preserve"> и людски</w:t>
      </w:r>
      <w:r w:rsidR="00050341">
        <w:rPr>
          <w:b/>
          <w:bCs/>
        </w:rPr>
        <w:t>х</w:t>
      </w:r>
      <w:r>
        <w:rPr>
          <w:b/>
          <w:bCs/>
        </w:rPr>
        <w:t xml:space="preserve"> ресурс</w:t>
      </w:r>
      <w:r w:rsidR="00EB2CEA">
        <w:rPr>
          <w:b/>
          <w:bCs/>
        </w:rPr>
        <w:t>ов</w:t>
      </w:r>
      <w:r>
        <w:rPr>
          <w:b/>
          <w:bCs/>
        </w:rPr>
        <w:t xml:space="preserve"> для предотвращения насилия в отношении женщин, защиты пострадавших, наказания виновных и предоставления возмещения;</w:t>
      </w:r>
    </w:p>
    <w:p w14:paraId="4A8A89ED" w14:textId="3E5CECB3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обеспечения того, чтобы все меры по борьбе с насилием в отношении женщин также гарантировали защиту трансгендерных женщин;</w:t>
      </w:r>
    </w:p>
    <w:p w14:paraId="3FDA2E8D" w14:textId="0DF15B15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облегчения процедур и поощрения подачи жалоб жертвами;</w:t>
      </w:r>
      <w:r>
        <w:t xml:space="preserve"> </w:t>
      </w:r>
      <w:r>
        <w:rPr>
          <w:b/>
          <w:bCs/>
        </w:rPr>
        <w:t>обеспечения оперативного, тщательного и беспристрастного расследования всех случаев насилия в отношении женщин и девочек;</w:t>
      </w:r>
      <w:r>
        <w:t xml:space="preserve"> </w:t>
      </w:r>
      <w:r>
        <w:rPr>
          <w:b/>
          <w:bCs/>
        </w:rPr>
        <w:t>недопущения повторной виктимизации жертв в ходе расследования;</w:t>
      </w:r>
      <w:r>
        <w:t xml:space="preserve"> </w:t>
      </w:r>
      <w:r>
        <w:rPr>
          <w:b/>
          <w:bCs/>
        </w:rPr>
        <w:t>привлечения виновных к ответственности и их наказания;</w:t>
      </w:r>
      <w:r>
        <w:t xml:space="preserve"> </w:t>
      </w:r>
      <w:r>
        <w:rPr>
          <w:b/>
          <w:bCs/>
        </w:rPr>
        <w:t>и предоставления жертвам полного возмещения;</w:t>
      </w:r>
      <w:r>
        <w:t xml:space="preserve"> </w:t>
      </w:r>
    </w:p>
    <w:p w14:paraId="3038AED1" w14:textId="3AC451EB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пересмотреть как можно скорее в свете соответствующих международных стандартов определения уголовных преступлений изнасилования (статья 308 Уголовного кодекса) и статутного изнасилования</w:t>
      </w:r>
      <w:r>
        <w:rPr>
          <w:b/>
          <w:bCs/>
        </w:rPr>
        <w:t> </w:t>
      </w:r>
      <w:r>
        <w:rPr>
          <w:b/>
          <w:bCs/>
        </w:rPr>
        <w:t>(статья 309 Уголовного кодекса);</w:t>
      </w:r>
      <w:r>
        <w:t xml:space="preserve"> </w:t>
      </w:r>
    </w:p>
    <w:p w14:paraId="0997485E" w14:textId="53D1AD4C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e)</w:t>
      </w:r>
      <w:r>
        <w:tab/>
      </w:r>
      <w:r>
        <w:rPr>
          <w:b/>
          <w:bCs/>
        </w:rPr>
        <w:t>обеспечивать предоставление быстрой и надлежащей помощи жертвам, а также средства для их защиты на всей территории страны.</w:t>
      </w:r>
    </w:p>
    <w:p w14:paraId="0BBFF9B8" w14:textId="77777777" w:rsidR="00224A33" w:rsidRPr="001403FB" w:rsidRDefault="00224A33" w:rsidP="00224A33">
      <w:pPr>
        <w:pStyle w:val="H23G"/>
      </w:pPr>
      <w:r>
        <w:lastRenderedPageBreak/>
        <w:tab/>
      </w:r>
      <w:r>
        <w:tab/>
      </w:r>
      <w:r>
        <w:rPr>
          <w:bCs/>
        </w:rPr>
        <w:t>Добровольное прерывание беременности и репродуктивные права</w:t>
      </w:r>
    </w:p>
    <w:p w14:paraId="5EDBCAD4" w14:textId="31F0A281" w:rsidR="00224A33" w:rsidRPr="001403FB" w:rsidRDefault="00224A33" w:rsidP="00224A33">
      <w:pPr>
        <w:spacing w:after="120"/>
        <w:ind w:left="1134" w:right="1134"/>
        <w:jc w:val="both"/>
      </w:pPr>
      <w:r>
        <w:t>16.</w:t>
      </w:r>
      <w:r>
        <w:tab/>
        <w:t>Комитет приветствует решение Конституционного суда № 0206/2014 от 5</w:t>
      </w:r>
      <w:r>
        <w:t> </w:t>
      </w:r>
      <w:r>
        <w:t>февраля 2014 года, в котором он объявил неконституционным требование о наличии предварительного разрешения суда для получения доступа к законному прерыванию беременности, когда она является следствием изнасилования, инцеста или статутного изнасилования или когда существует риск для жизни или здоровья беременной женщины. Тем не менее он обеспокоен сообщениями о препятствиях, с которыми на практике сталкиваются женщины в части получения доступа к законному прерыванию беременности, включая отказ медицинского персонала предоставлять такие услуги по соображениям совести и разглашение врачебной тайны. Он также обеспокоен полученными сообщениями о судебном преследовании приблизительно 200 женщин за совершение преступления аборта после того, как о них сообщили медицинские работники. В этом контексте Комитет обеспокоен информацией о том, что препятствия, с которыми сталкиваются женщины при получении доступа к легальным абортам, и криминализация абортов, если для них отсутствуют вышеупомянутые основания, заставляют женщин прибегать к подпольным услугам, что создает риск для их жизни и здоровья. Он также обеспокоен информацией о по-прежнему высоком уровне подростковой беременности</w:t>
      </w:r>
      <w:r w:rsidR="00EB2CEA">
        <w:t>,</w:t>
      </w:r>
      <w:r>
        <w:t xml:space="preserve"> несмотря на меры, принимаемые государством-участником для ее предотвращения (статьи 2, 3, 6, 7, 17 и 24). </w:t>
      </w:r>
    </w:p>
    <w:p w14:paraId="31010FB1" w14:textId="77777777" w:rsidR="00224A33" w:rsidRPr="001403FB" w:rsidRDefault="00224A33" w:rsidP="00224A33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следует:</w:t>
      </w:r>
    </w:p>
    <w:p w14:paraId="10C3C9A1" w14:textId="0E76D723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активизировать усилия по обеспечению женщинам и девочкам эффективного и своевременного доступа к законному прерыванию беременности и пересмотреть положения нормативно-правовой базы для обеспечения того, чтобы женщины не прибегали к подпольным абортам, которые создают риск для их жизни и здоровья;</w:t>
      </w:r>
      <w:r>
        <w:t xml:space="preserve"> </w:t>
      </w:r>
    </w:p>
    <w:p w14:paraId="421ACE2D" w14:textId="00282027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обеспечить на практике, чтобы отказ предоставлять соответствующие услуги по соображениям совести не являлся препятствием для законного, своевременного и безопасного добровольного прерывания беременности и чтобы соблюдалась конфиденциальность медицинского обслуживания женщин;</w:t>
      </w:r>
    </w:p>
    <w:p w14:paraId="19646007" w14:textId="1E6621C1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активизировать усилия по предотвращению нежелательной беременности, особенно среди девочек-подростков, и обеспечению полного доступа к надлежащим услугам по охране сексуального и репродуктивного здоровья на всей территории страны, особенно в сельской местности;</w:t>
      </w:r>
      <w:r>
        <w:t xml:space="preserve"> </w:t>
      </w:r>
    </w:p>
    <w:p w14:paraId="3AC4B18D" w14:textId="4F29BBAF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активизировать информационно-просветительскую работу по правам в области сексуального и репродуктивного здоровья.</w:t>
      </w:r>
    </w:p>
    <w:p w14:paraId="26DC533A" w14:textId="77777777" w:rsidR="00224A33" w:rsidRPr="001403FB" w:rsidRDefault="00224A33" w:rsidP="00224A33">
      <w:pPr>
        <w:pStyle w:val="H23G"/>
      </w:pPr>
      <w:r>
        <w:tab/>
      </w:r>
      <w:r>
        <w:tab/>
      </w:r>
      <w:r>
        <w:rPr>
          <w:bCs/>
        </w:rPr>
        <w:t>Запрещение пыток и других жестоких, бесчеловечных или унижающих достоинство видов обращения и наказания</w:t>
      </w:r>
    </w:p>
    <w:p w14:paraId="6D71AC36" w14:textId="7796F538" w:rsidR="00224A33" w:rsidRPr="001403FB" w:rsidRDefault="00224A33" w:rsidP="00224A33">
      <w:pPr>
        <w:spacing w:after="120"/>
        <w:ind w:left="1134" w:right="1134"/>
        <w:jc w:val="both"/>
      </w:pPr>
      <w:r>
        <w:t>18.</w:t>
      </w:r>
      <w:r>
        <w:tab/>
        <w:t>Комитет обеспокоен тем, что определение преступления пытки еще не приведено в соответствие с международными стандартами, хотя и отмечает, что государство-участник работает над соответствующим законопроектом. Он также обеспокоен информацией о более чем 3000 случаев применения пыток или жестокого обращения, в основном в полицейских участках, зарегистрированных Службой по предупреждению пыток в период с 2013 года по август 2021 года. В этой связи он принимает к сведению представленную государством-участником информацию о том, что служба внутренних расследований задержала 70 сотрудников полиции, из которых 21 сотрудник передан в распоряжение прокуратуры, но сожалеет, что не получил точной информации обо всех проведенных уголовных расследованиях и их результатах. Комитет отмечает меры, принятые для предотвращения линчевания, но обеспокоен тем, что в период с 2018 года по август 2021 года было зарегистрировано 28 случаев (статьи 7, 9 и 14).</w:t>
      </w:r>
    </w:p>
    <w:p w14:paraId="3CE89325" w14:textId="77777777" w:rsidR="00224A33" w:rsidRPr="001403FB" w:rsidRDefault="00224A33" w:rsidP="00224A33">
      <w:pPr>
        <w:pStyle w:val="SingleTxtG"/>
        <w:pageBreakBefore/>
        <w:rPr>
          <w:b/>
          <w:bCs/>
        </w:rPr>
      </w:pPr>
      <w:r>
        <w:lastRenderedPageBreak/>
        <w:t>19.</w:t>
      </w:r>
      <w:r>
        <w:tab/>
      </w:r>
      <w:r>
        <w:rPr>
          <w:b/>
          <w:bCs/>
        </w:rPr>
        <w:t>Государству-участнику следует:</w:t>
      </w:r>
    </w:p>
    <w:p w14:paraId="4161D246" w14:textId="51EACDD1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принять как можно скорее определение преступления пытки, которое бы отвечало международным стандартам, и предусмотреть за это преступление наказание, которое бы отражало его особо тяжкий характер;</w:t>
      </w:r>
    </w:p>
    <w:p w14:paraId="60CCAD7B" w14:textId="754A54AF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активизировать усилия с целью обеспечения эффективного предупреждения актов пыток и жестокого обращения, например путем усиления подготовки по правам человека для должностных лиц или других лиц, имеющих отношение к обращению с лицами, лишенными свободы;</w:t>
      </w:r>
      <w:r>
        <w:t xml:space="preserve"> </w:t>
      </w:r>
      <w:r>
        <w:rPr>
          <w:b/>
          <w:bCs/>
        </w:rPr>
        <w:t>продолжать содействовать созданию условий, в которых можно было бы безопасно сообщать о случаях применения пыток и жестоком обращении, в частности в местах лишения свободы;</w:t>
      </w:r>
      <w:r>
        <w:t xml:space="preserve"> </w:t>
      </w:r>
      <w:r>
        <w:rPr>
          <w:b/>
          <w:bCs/>
        </w:rPr>
        <w:t>и обеспечивать оперативное, тщательное и беспристрастное расследование любых актов насилия, привлечение виновных к ответственности и их наказание, а также предоставление жертвам полного возмещения;</w:t>
      </w:r>
    </w:p>
    <w:p w14:paraId="272830A9" w14:textId="28260F8A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принять меры в целях предотвращения линчевания, включая проведение масштабных кампаний по повышению уровня осведомленности об этом явлении и устранению его причин, а также надлежащего наказания за попытки линчевания или его совершение.</w:t>
      </w:r>
      <w:r>
        <w:t xml:space="preserve"> </w:t>
      </w:r>
    </w:p>
    <w:p w14:paraId="4BDF893A" w14:textId="77777777" w:rsidR="00224A33" w:rsidRPr="001403FB" w:rsidRDefault="00224A33" w:rsidP="00224A33">
      <w:pPr>
        <w:pStyle w:val="H23G"/>
      </w:pPr>
      <w:r>
        <w:tab/>
      </w:r>
      <w:r>
        <w:tab/>
      </w:r>
      <w:r>
        <w:rPr>
          <w:bCs/>
        </w:rPr>
        <w:t>Торговля людьми и принудительный труд</w:t>
      </w:r>
    </w:p>
    <w:p w14:paraId="59A05AFF" w14:textId="77777777" w:rsidR="00224A33" w:rsidRPr="001403FB" w:rsidRDefault="00224A33" w:rsidP="00224A33">
      <w:pPr>
        <w:spacing w:after="120"/>
        <w:ind w:left="1134" w:right="1134"/>
        <w:jc w:val="both"/>
      </w:pPr>
      <w:r>
        <w:t>20.</w:t>
      </w:r>
      <w:r>
        <w:tab/>
        <w:t xml:space="preserve">Комитет приветствует меры, принятые государством-участником в целях предотвращения торговли людьми и принудительного труда и борьбы с ними. Однако он обеспокоен информацией о том, что явление торговли людьми сохраняется и что количество приговоров за торговлю людьми и связанные с ней преступления весьма незначительно, несмотря на большое количество жалоб. Он также сожалеет, что не получил информации о количестве жалоб на принудительный или подневольный труд, по итогам рассмотрения которых были вынесены обвинительные приговоры (статьи 8 и 24). </w:t>
      </w:r>
    </w:p>
    <w:p w14:paraId="77CFDC2C" w14:textId="77777777" w:rsidR="00224A33" w:rsidRPr="001403FB" w:rsidRDefault="00224A33" w:rsidP="00224A33">
      <w:pPr>
        <w:spacing w:after="120"/>
        <w:ind w:left="1134" w:right="1134"/>
        <w:jc w:val="both"/>
        <w:rPr>
          <w:b/>
        </w:rPr>
      </w:pPr>
      <w:r>
        <w:t>21.</w:t>
      </w:r>
      <w:r>
        <w:tab/>
      </w:r>
      <w:r>
        <w:rPr>
          <w:b/>
          <w:bCs/>
        </w:rPr>
        <w:t>Государству-участнику следует:</w:t>
      </w:r>
    </w:p>
    <w:p w14:paraId="7C3E87A1" w14:textId="572EDEB9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активизировать усилия по предупреждению торговли людьми, принудительного или подневольного труда, борьбе с ними и наказании за них;</w:t>
      </w:r>
    </w:p>
    <w:p w14:paraId="05E6313D" w14:textId="3C2344E3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обеспечивать оперативное, тщательное и беспристрастное расследование случаев торговли людьми и принудительного или подневольного труда;</w:t>
      </w:r>
      <w:r>
        <w:t xml:space="preserve"> </w:t>
      </w:r>
      <w:r>
        <w:rPr>
          <w:b/>
          <w:bCs/>
        </w:rPr>
        <w:t>надлежащее наказание виновных;</w:t>
      </w:r>
      <w:r>
        <w:t xml:space="preserve"> </w:t>
      </w:r>
      <w:r>
        <w:rPr>
          <w:b/>
          <w:bCs/>
        </w:rPr>
        <w:t>и предоставление жертвам полного возмещения;</w:t>
      </w:r>
    </w:p>
    <w:p w14:paraId="6AFBAD7A" w14:textId="30167E99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продолжать и укреплять профилактические и информационно-просветительские кампании с целью повышения осведомленности населения о негативных последствиях торговли людьми, а также меры по подготовке, специальному обучению и повышению осведомленности должностных лиц и других лиц, отвечающих за расследование таких преступлений, обеспечение защиты и оказание помощи, а также выявление жертв, в частности, в пограничных контрольно-пропускных пунктах;</w:t>
      </w:r>
    </w:p>
    <w:p w14:paraId="543B03A0" w14:textId="6A038E05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обеспечить выделение надлежащих финансовых, технических и людских ресурсов всем учреждениям, отвечающим за предупреждение торговли людьми и принудительного труда, борьбу с ними и наказание за них, а также за предоставление защиты и помощи жертвам;</w:t>
      </w:r>
    </w:p>
    <w:p w14:paraId="7706F6F3" w14:textId="256C38E0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e)</w:t>
      </w:r>
      <w:r>
        <w:tab/>
      </w:r>
      <w:r>
        <w:rPr>
          <w:b/>
          <w:bCs/>
        </w:rPr>
        <w:t>активизировать усилия по выявлению жертв торговли людьми и предоставлять им надлежащие средства защиты и помощь, обеспечив достаточный географический охват приютов, предоставляющих комплексные услуги, в частности в приграничных районах;</w:t>
      </w:r>
      <w:r>
        <w:t xml:space="preserve"> </w:t>
      </w:r>
      <w:r>
        <w:rPr>
          <w:b/>
          <w:bCs/>
        </w:rPr>
        <w:t>и оказывать поддержку семьям, которые в силу своего уязвимого положения могут стать жертвами принудительного или подневольного труда;</w:t>
      </w:r>
    </w:p>
    <w:p w14:paraId="613CC2B5" w14:textId="43CEA1CC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f)</w:t>
      </w:r>
      <w:r>
        <w:tab/>
      </w:r>
      <w:r>
        <w:rPr>
          <w:b/>
          <w:bCs/>
        </w:rPr>
        <w:t>ускорить принятие новой многонациональной политики борьбы с торговлей людьми и их контрабандой, а также нового многосекторального плана по борьбе с торговлей людьми и их контрабандой.</w:t>
      </w:r>
    </w:p>
    <w:p w14:paraId="73069276" w14:textId="77777777" w:rsidR="00224A33" w:rsidRPr="001403FB" w:rsidRDefault="00224A33" w:rsidP="00224A33">
      <w:pPr>
        <w:pStyle w:val="H23G"/>
      </w:pPr>
      <w:r>
        <w:lastRenderedPageBreak/>
        <w:tab/>
      </w:r>
      <w:r>
        <w:tab/>
      </w:r>
      <w:r>
        <w:rPr>
          <w:bCs/>
        </w:rPr>
        <w:t>Применение силы в ходе демонстраций</w:t>
      </w:r>
    </w:p>
    <w:p w14:paraId="5E2DAA9B" w14:textId="53A7F2D2" w:rsidR="00224A33" w:rsidRPr="001403FB" w:rsidRDefault="00224A33" w:rsidP="00224A33">
      <w:pPr>
        <w:spacing w:after="120"/>
        <w:ind w:left="1134" w:right="1134"/>
        <w:jc w:val="both"/>
        <w:rPr>
          <w:b/>
          <w:bCs/>
        </w:rPr>
      </w:pPr>
      <w:r>
        <w:t>22.</w:t>
      </w:r>
      <w:r>
        <w:tab/>
        <w:t>Комитет обеспокоен сообщениями о нарушениях прав человека, предположительно совершенных в контексте кризиса после выборов 2019 года, в том числе случаями чрезмерного и непропорционального применения силы; нарушениями права на жизнь, а также случаями насилия с ярко выраженным расистским компонентом. Он принимает к сведению представленную государством-участником информацию о проводимых расследованиях, но с обеспокоенностью отмечает имеющуюся информацию об ограниченном прогрессе, достигнутом в ходе этих расследований, и тот факт, что на сегодняшний день не было вынесено ни одного обвинительного приговора. Комитет хотел бы обратить внимание государства-участника на свое замечание общего порядка № 37 (2020) о праве на мирные собрания</w:t>
      </w:r>
      <w:r>
        <w:t> </w:t>
      </w:r>
      <w:r>
        <w:t>(статья 21) (статьи 2, 6, 7, 14, 19 и 21).</w:t>
      </w:r>
    </w:p>
    <w:p w14:paraId="18F6F253" w14:textId="77777777" w:rsidR="00224A33" w:rsidRPr="001403FB" w:rsidRDefault="00224A33" w:rsidP="00224A33">
      <w:pPr>
        <w:spacing w:after="120"/>
        <w:ind w:left="1134" w:right="1134"/>
        <w:jc w:val="both"/>
        <w:rPr>
          <w:b/>
          <w:bCs/>
        </w:rPr>
      </w:pPr>
      <w:r>
        <w:t>23.</w:t>
      </w:r>
      <w:r>
        <w:tab/>
      </w:r>
      <w:r>
        <w:rPr>
          <w:b/>
          <w:bCs/>
        </w:rPr>
        <w:t>Государству-участнику следует обеспечить оперативное, тщательное, независимое и беспристрастное расследование всех нарушений прав человека, совершаемых в ходе демонстраций, в том числе тех, которые имели место в контексте кризиса после выборов 2019 года;</w:t>
      </w:r>
      <w:r>
        <w:t xml:space="preserve"> </w:t>
      </w:r>
      <w:r>
        <w:rPr>
          <w:b/>
          <w:bCs/>
        </w:rPr>
        <w:t>привлечение предполагаемых правонарушителей к суду и надлежащее наказание виновных;</w:t>
      </w:r>
      <w:r>
        <w:t xml:space="preserve"> </w:t>
      </w:r>
      <w:r>
        <w:rPr>
          <w:b/>
          <w:bCs/>
        </w:rPr>
        <w:t>а также предоставление жертвам полного возмещения.</w:t>
      </w:r>
      <w:r>
        <w:t xml:space="preserve"> </w:t>
      </w:r>
      <w:r>
        <w:rPr>
          <w:b/>
          <w:bCs/>
        </w:rPr>
        <w:t>Ему следует также продолжать принимать меры в целях эффективного предотвращения и прекращения чрезмерного применения силы сотрудниками правоохранительных органов, особенно в контексте демонстраций, в том числе путем усиления их подготовки;</w:t>
      </w:r>
      <w:r>
        <w:t xml:space="preserve"> </w:t>
      </w:r>
      <w:r>
        <w:rPr>
          <w:b/>
          <w:bCs/>
        </w:rPr>
        <w:t>и приступить, в свете единственного дополнительного положения Закона № 1341 от 29 октября 2020 года, к незамедлительному рассмотрению нормативных актов о применении полицией и вооруженными силами смертоносной силы и оружия и приведению их в соответствие с Конституцией и соответствующими международными стандартами.</w:t>
      </w:r>
    </w:p>
    <w:p w14:paraId="54BB10D9" w14:textId="77777777" w:rsidR="00224A33" w:rsidRPr="001403FB" w:rsidRDefault="00224A33" w:rsidP="00224A33">
      <w:pPr>
        <w:pStyle w:val="H23G"/>
      </w:pPr>
      <w:r>
        <w:tab/>
      </w:r>
      <w:r>
        <w:tab/>
      </w:r>
      <w:r>
        <w:rPr>
          <w:bCs/>
        </w:rPr>
        <w:t>Лица, лишенные свободы</w:t>
      </w:r>
    </w:p>
    <w:p w14:paraId="2782459A" w14:textId="1B0FE39A" w:rsidR="00224A33" w:rsidRPr="001403FB" w:rsidRDefault="00224A33" w:rsidP="00224A33">
      <w:pPr>
        <w:spacing w:after="120"/>
        <w:ind w:left="1134" w:right="1134"/>
        <w:jc w:val="both"/>
      </w:pPr>
      <w:r>
        <w:t>24.</w:t>
      </w:r>
      <w:r>
        <w:tab/>
        <w:t>Комитет отмечает меры, принятые для снижения переполненности тюрем и улучшения условий содержания под стражей. Несмотря на прогресс в сокращении переполненности тюрем, о котором говорилось в ходе диалога, Комитет обеспокоен тем, что уровень переполненности, согласно информации государства-участника,</w:t>
      </w:r>
      <w:r>
        <w:br/>
      </w:r>
      <w:r>
        <w:t>по-прежнему составляет 148</w:t>
      </w:r>
      <w:r>
        <w:t xml:space="preserve"> </w:t>
      </w:r>
      <w:r>
        <w:t>% и что приблизительно 65</w:t>
      </w:r>
      <w:r>
        <w:t xml:space="preserve"> </w:t>
      </w:r>
      <w:r>
        <w:t>% лиц, лишенных свободы, находятся в предварительном заключении. Комитет также обеспокоен информацией о недостаточных бюджетных ассигнованиях, выделяемых на управление пенитенциарной системой, совместном содержании следственно-арестованных и осужденных, а также о мерах по организации самоуправления некоторыми заключенными (статьи 6, 7, 9, 10 и 14).</w:t>
      </w:r>
    </w:p>
    <w:p w14:paraId="4BB4E695" w14:textId="77777777" w:rsidR="00224A33" w:rsidRPr="001403FB" w:rsidRDefault="00224A33" w:rsidP="00224A33">
      <w:pPr>
        <w:spacing w:after="120"/>
        <w:ind w:left="1134" w:right="1134"/>
        <w:jc w:val="both"/>
        <w:rPr>
          <w:b/>
        </w:rPr>
      </w:pPr>
      <w:r>
        <w:t>25.</w:t>
      </w:r>
      <w:r>
        <w:tab/>
      </w:r>
      <w:r>
        <w:rPr>
          <w:b/>
          <w:bCs/>
        </w:rPr>
        <w:t>Государству-участнику следует активизировать усилия в целях:</w:t>
      </w:r>
      <w:r>
        <w:t xml:space="preserve"> </w:t>
      </w:r>
    </w:p>
    <w:p w14:paraId="75FEC076" w14:textId="4B9B501B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эффективного сокращения переполненности тюрем и высокой доли лиц, содержащихся под стражей до суда, и уделения приоритетного внимания применению мер, альтернативных лишению свободы;</w:t>
      </w:r>
    </w:p>
    <w:p w14:paraId="492A6301" w14:textId="78D7CD5C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улучшения условий содержания под стражей для обеспечения их соответствия Минимальным стандартным правилам Организации Объединенных Наций в отношении обращения с заключенными (Правила Нельсона Манделы), а также уважения достоинства лиц, лишенных свободы, в соответствии со статьей 10 Пакта, выделив для этого больший объем финансовых и людских ресурс</w:t>
      </w:r>
      <w:r w:rsidR="00EB2CEA">
        <w:rPr>
          <w:b/>
          <w:bCs/>
        </w:rPr>
        <w:t>ов</w:t>
      </w:r>
      <w:r>
        <w:rPr>
          <w:b/>
          <w:bCs/>
        </w:rPr>
        <w:t>;</w:t>
      </w:r>
    </w:p>
    <w:p w14:paraId="7A250C2E" w14:textId="274BE9DE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обеспечения раздельного содержания следственно-арестованных и осужденных;</w:t>
      </w:r>
    </w:p>
    <w:p w14:paraId="7A513359" w14:textId="2657C390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осуществления во всех местах содержания под стражей эффективного контроля для недопущения организации заключенными самоуправления;</w:t>
      </w:r>
      <w:r>
        <w:t xml:space="preserve"> </w:t>
      </w:r>
      <w:r>
        <w:rPr>
          <w:b/>
          <w:bCs/>
        </w:rPr>
        <w:t>обеспечения расследования всех случаев насилия или вымогательства среди заключенных;</w:t>
      </w:r>
      <w:r>
        <w:t xml:space="preserve"> </w:t>
      </w:r>
      <w:r>
        <w:rPr>
          <w:b/>
          <w:bCs/>
        </w:rPr>
        <w:t>а также судебного преследования и надлежащего наказания виновных.</w:t>
      </w:r>
    </w:p>
    <w:p w14:paraId="182BDA3E" w14:textId="77777777" w:rsidR="00224A33" w:rsidRPr="001403FB" w:rsidRDefault="00224A33" w:rsidP="00224A33">
      <w:pPr>
        <w:pStyle w:val="H23G"/>
      </w:pPr>
      <w:r>
        <w:lastRenderedPageBreak/>
        <w:tab/>
      </w:r>
      <w:r>
        <w:tab/>
      </w:r>
      <w:r>
        <w:rPr>
          <w:bCs/>
        </w:rPr>
        <w:t>Отправление правосудия</w:t>
      </w:r>
      <w:r>
        <w:t xml:space="preserve"> </w:t>
      </w:r>
    </w:p>
    <w:p w14:paraId="65602834" w14:textId="2652C6CA" w:rsidR="00224A33" w:rsidRPr="001403FB" w:rsidRDefault="00224A33" w:rsidP="00224A33">
      <w:pPr>
        <w:spacing w:after="120"/>
        <w:ind w:left="1134" w:right="1134"/>
        <w:jc w:val="both"/>
      </w:pPr>
      <w:r>
        <w:t>26.</w:t>
      </w:r>
      <w:r>
        <w:tab/>
        <w:t>Комитет с удовлетворением отмечает, что государство-участник работает над процессом реформирования судебной системы. Тем не менее он по-прежнему обеспокоен состоянием системы отправления правосудия в государстве-участнике, особенно в связи с сообщениями о том, что в рассматриваемый период, несмотря на принятые меры, охват территории страны услугами в области правосудия оставался недостаточным, а в судебных органах и прокуратуре продолжали иметь место случаи политического вмешательства и коррупции, что негативно сказывается на их независимости. Он также обеспокоен информацией о высоких показателях назначения временных судей и прокуроров, что влияет на их несменяемость; выделением на отправление правосудия весьма ограниченных бюджетных ассигнований, объем которых не увеличивался в последние годы; и недостаточным количеством государственных защитников и охватом ими территории страны, даже если существуют другие инстанции, предоставляющие бесплатные услуги по</w:t>
      </w:r>
      <w:r>
        <w:br/>
      </w:r>
      <w:r>
        <w:t>защите</w:t>
      </w:r>
      <w:r>
        <w:t xml:space="preserve"> </w:t>
      </w:r>
      <w:r>
        <w:t xml:space="preserve">(статьи 2 и 14). </w:t>
      </w:r>
    </w:p>
    <w:p w14:paraId="34F34F1F" w14:textId="77777777" w:rsidR="00224A33" w:rsidRPr="001403FB" w:rsidRDefault="00224A33" w:rsidP="00224A33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Государству-участнику следует:</w:t>
      </w:r>
    </w:p>
    <w:p w14:paraId="752F383E" w14:textId="15A9B86D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активизировать усилия по обеспечению и защите полной самостоятельности, независимости и беспристрастности судей и прокуроров и гарантировать, чтобы они могли исполнять свои обязанности без какого-либо давления и вмешательства</w:t>
      </w:r>
      <w:r w:rsidR="00EB2CEA">
        <w:rPr>
          <w:b/>
          <w:bCs/>
        </w:rPr>
        <w:t>.</w:t>
      </w:r>
      <w:r>
        <w:t xml:space="preserve"> </w:t>
      </w:r>
      <w:r>
        <w:rPr>
          <w:b/>
          <w:bCs/>
        </w:rPr>
        <w:t>В этой связи ему следует ускорить процесс реформирования системы правосудия, обеспечив его полное соответствие обязательствам по Пакту и эффективное участие всех соответствующих субъектов, включая гражданское общество;</w:t>
      </w:r>
    </w:p>
    <w:p w14:paraId="2F8D9684" w14:textId="486C1018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принимать оперативные и решительные меры в целях предотвращения коррупции, особенно среди сотрудников судебных органов и полиции, борьбы с нею и наказания за нее;</w:t>
      </w:r>
    </w:p>
    <w:p w14:paraId="65D40052" w14:textId="74B23944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принять необходимые меры для скорейшего исправления высоких показателей назначения временных судей и прокуроров, а также обеспечения того, чтобы процессы отбора, оценки, дисциплинарного наказания и отстранения от должности осуществлялись прозрачным образом независимым органом и основывались на законе и опубликованных и объективных критериях пригодности, заслуг и профессиональной квалификации;</w:t>
      </w:r>
    </w:p>
    <w:p w14:paraId="111D36BD" w14:textId="744BC9A8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обеспечить охват системой правосудия всей территории страны, в частности сельских районов, и выделение ей достаточных финансовых, технических и людских ресурсов;</w:t>
      </w:r>
    </w:p>
    <w:p w14:paraId="28C9A82F" w14:textId="60C928C4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e)</w:t>
      </w:r>
      <w:r>
        <w:tab/>
      </w:r>
      <w:r>
        <w:rPr>
          <w:b/>
          <w:bCs/>
        </w:rPr>
        <w:t>гарантировать, чтобы Многонациональная служба государственных защитников располагала достаточными финансовыми, техническими и кадровыми ресурс</w:t>
      </w:r>
      <w:r w:rsidR="00EB2CEA">
        <w:rPr>
          <w:b/>
          <w:bCs/>
        </w:rPr>
        <w:t>ами</w:t>
      </w:r>
      <w:r>
        <w:rPr>
          <w:b/>
          <w:bCs/>
        </w:rPr>
        <w:t xml:space="preserve"> для своевременного, надлежащего и квалифицированного выполнения своих функций на всей территории страны.</w:t>
      </w:r>
    </w:p>
    <w:p w14:paraId="5B45DD67" w14:textId="77777777" w:rsidR="00224A33" w:rsidRPr="001403FB" w:rsidRDefault="00224A33" w:rsidP="00224A33">
      <w:pPr>
        <w:pStyle w:val="H23G"/>
      </w:pPr>
      <w:r>
        <w:tab/>
      </w:r>
      <w:r>
        <w:tab/>
      </w:r>
      <w:r>
        <w:rPr>
          <w:bCs/>
        </w:rPr>
        <w:t>Мигранты, просители убежища и беженцы</w:t>
      </w:r>
    </w:p>
    <w:p w14:paraId="224B9974" w14:textId="77777777" w:rsidR="00224A33" w:rsidRPr="001403FB" w:rsidRDefault="00224A33" w:rsidP="00224A33">
      <w:pPr>
        <w:spacing w:after="120"/>
        <w:ind w:left="1134" w:right="1134"/>
        <w:jc w:val="both"/>
      </w:pPr>
      <w:r>
        <w:t>28.</w:t>
      </w:r>
      <w:r>
        <w:tab/>
        <w:t xml:space="preserve">Комитет принимает к сведению полученную информацию о действующих нормах, которые касаются предоставления убежища и недопустимости принудительного возвращения, а также о постоянной программе подготовки для сотрудников миграционных и пограничных служб. Однако он обеспокоен утверждениями о том, что: a) в пограничных контрольно-пропускных пунктах и аэропортах имели место случаи принудительного возвращения лиц, желавших подать заявления о предоставлении убежища; b) на практике лица, прибывающие в пограничные контрольно-пропускные пункты и аэропорты, не информируются о процедуре предоставления убежища и порядке подачи заявления в Национальную комиссию по делам беженцев; и c) Национальная комиссия по делам беженцев принимает заявления о предоставлении убежища только в своем центральном управлении в Ла-Пасе (статьи 2, 7, 12, 13 и 14). </w:t>
      </w:r>
    </w:p>
    <w:p w14:paraId="494AB33C" w14:textId="77777777" w:rsidR="00224A33" w:rsidRPr="001403FB" w:rsidRDefault="00224A33" w:rsidP="00224A33">
      <w:pPr>
        <w:pStyle w:val="SingleTxtG"/>
        <w:keepNext/>
        <w:keepLines/>
        <w:rPr>
          <w:b/>
          <w:bCs/>
        </w:rPr>
      </w:pPr>
      <w:r>
        <w:lastRenderedPageBreak/>
        <w:t>29.</w:t>
      </w:r>
      <w:r>
        <w:tab/>
      </w:r>
      <w:r>
        <w:rPr>
          <w:b/>
          <w:bCs/>
        </w:rPr>
        <w:t>Государству-участнику следует активизировать усилия в целях:</w:t>
      </w:r>
      <w:r>
        <w:t xml:space="preserve"> </w:t>
      </w:r>
    </w:p>
    <w:p w14:paraId="51CAD232" w14:textId="58942711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ускорения процедуры установления статуса беженца;</w:t>
      </w:r>
      <w:r>
        <w:t xml:space="preserve"> </w:t>
      </w:r>
    </w:p>
    <w:p w14:paraId="6CEEBA5A" w14:textId="46AB9057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обеспечения того, чтобы все заявления о предоставлении международной защиты, поданные в любом месте на территории страны, в том числе в пограничных контрольно-пропускных пунктах и аэропортах, эффективно принимались, регистрировались и без задержек направлялись в органы, отвечающие за их рассмотрение;</w:t>
      </w:r>
    </w:p>
    <w:p w14:paraId="1D700802" w14:textId="3ECD394A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продолжения и укрепления подготовки сотрудников миграционных и пограничных служб в части выявления лиц, нуждающихся в международной защите, для их информирования о процедурах, которым необходимо следовать при подаче ходатайства о предоставлении убежища;</w:t>
      </w:r>
      <w:r>
        <w:t xml:space="preserve"> </w:t>
      </w:r>
    </w:p>
    <w:p w14:paraId="6DEFEB32" w14:textId="621BA3FF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обеспечения на практике полного соблюдения принципа недопустимости принудительного возвращения.</w:t>
      </w:r>
    </w:p>
    <w:p w14:paraId="281EDF64" w14:textId="77777777" w:rsidR="00224A33" w:rsidRPr="001403FB" w:rsidRDefault="00224A33" w:rsidP="00224A33">
      <w:pPr>
        <w:pStyle w:val="H23G"/>
      </w:pPr>
      <w:r>
        <w:tab/>
      </w:r>
      <w:r>
        <w:tab/>
      </w:r>
      <w:r>
        <w:rPr>
          <w:bCs/>
        </w:rPr>
        <w:t>Свобода выражения мнений и свобода ассоциации</w:t>
      </w:r>
    </w:p>
    <w:p w14:paraId="436CCD7A" w14:textId="65E0A7A8" w:rsidR="00224A33" w:rsidRPr="001403FB" w:rsidRDefault="00224A33" w:rsidP="00224A33">
      <w:pPr>
        <w:spacing w:after="120"/>
        <w:ind w:left="1134" w:right="1134"/>
        <w:jc w:val="both"/>
      </w:pPr>
      <w:r>
        <w:t>30.</w:t>
      </w:r>
      <w:r>
        <w:tab/>
        <w:t>Комитет обеспокоен относящимися к рассматриваемому периоду утверждениями о преследовании и запугивании правозащитников и журналистов, в том числе о случаях произвольного задержания некоторых журналистов, освещавших демонстрации в 2019</w:t>
      </w:r>
      <w:r w:rsidRPr="00224A33">
        <w:rPr>
          <w:bCs/>
        </w:rPr>
        <w:t>‒</w:t>
      </w:r>
      <w:r>
        <w:t>2021 годах. Он также обеспокоен тем, что диффамация, клевета и оскорбление по-прежнему квалифицируются в качестве преступлений, что представляет собой угрозу для осуществления свободы выражения мнений и доступа к информации. Комитет отмечает отмену Верховного указа № 1597 от 2013 года, но сожалеет, что в Закон № 351 не были внесены изменения в соответствии с предыдущими заключительными замечаниями Комитета</w:t>
      </w:r>
      <w:r w:rsidR="00EB2CEA" w:rsidRPr="00926329">
        <w:rPr>
          <w:rStyle w:val="aa"/>
        </w:rPr>
        <w:footnoteReference w:id="9"/>
      </w:r>
      <w:r>
        <w:t>, поскольку он по-прежнему предусматривает лишение коллективных лиц правосубъектности, если, среди прочего, они занимаются деятельностью, отличной от целей, указанных в их уставе (статьи 9, 19 и 22).</w:t>
      </w:r>
    </w:p>
    <w:p w14:paraId="4013AC78" w14:textId="77777777" w:rsidR="00224A33" w:rsidRPr="001403FB" w:rsidRDefault="00224A33" w:rsidP="00224A33">
      <w:pPr>
        <w:spacing w:after="120"/>
        <w:ind w:left="1134" w:right="1134"/>
        <w:jc w:val="both"/>
        <w:rPr>
          <w:b/>
        </w:rPr>
      </w:pPr>
      <w:r>
        <w:t>31.</w:t>
      </w:r>
      <w:r>
        <w:tab/>
      </w:r>
      <w:r>
        <w:rPr>
          <w:b/>
          <w:bCs/>
        </w:rPr>
        <w:t>Государству-участнику следует принять необходимые меры, с тем чтобы гарантировать всем лицам полное осуществление права на свободу выражения мнений и свободу мирных собраний, приняв при этом во внимание замечание общего порядка № 34 (2011) Комитета о свободе мнений и их выражения.</w:t>
      </w:r>
      <w:r>
        <w:t xml:space="preserve"> </w:t>
      </w:r>
      <w:r>
        <w:rPr>
          <w:b/>
          <w:bCs/>
        </w:rPr>
        <w:t>Комитет, в частности, настоятельно призывает государство-участник:</w:t>
      </w:r>
    </w:p>
    <w:p w14:paraId="4DCC47B1" w14:textId="51CFCB8D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активизировать усилия по предотвращению актов преследования и запугивания в отношении правозащитников и журналистов, а также обеспечивать их своевременную и эффективную защиту;</w:t>
      </w:r>
    </w:p>
    <w:p w14:paraId="30E731CF" w14:textId="2BC0B03F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обеспечивать оперативное, тщательное, независимое и беспристрастное расследование всех заявлений о преследовании и запугивании;</w:t>
      </w:r>
      <w:r>
        <w:t xml:space="preserve"> </w:t>
      </w:r>
      <w:r>
        <w:rPr>
          <w:b/>
          <w:bCs/>
        </w:rPr>
        <w:t>судебное преследование и надлежащее наказание виновных;</w:t>
      </w:r>
      <w:r>
        <w:t xml:space="preserve"> </w:t>
      </w:r>
      <w:r>
        <w:rPr>
          <w:b/>
          <w:bCs/>
        </w:rPr>
        <w:t>и предоставление жертвам полного возмещения;</w:t>
      </w:r>
    </w:p>
    <w:p w14:paraId="306EAA3E" w14:textId="1A363A6E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рассмотреть возможность декриминализации диффамации, клеветы и оскорбления и в любом случае ограничить сферу применения уголовного законодательства наиболее серьезными правонарушениями, памятуя о том, что лишение свободы никоим образом не является надлежащей мерой наказания в таких случаях;</w:t>
      </w:r>
    </w:p>
    <w:p w14:paraId="2085D069" w14:textId="2D6C43C3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пересмотреть Закон № 351 с целью исключения из него любых положений, которые могут непропорционально ограничивать способность неправительственных организаций свободно, независимо и эффективно осуществлять свою деятельность при широком участии гражданского общества.</w:t>
      </w:r>
      <w:r>
        <w:t xml:space="preserve"> </w:t>
      </w:r>
    </w:p>
    <w:p w14:paraId="48991559" w14:textId="77777777" w:rsidR="00224A33" w:rsidRPr="001403FB" w:rsidRDefault="00224A33" w:rsidP="00224A33">
      <w:pPr>
        <w:pStyle w:val="H23G"/>
      </w:pPr>
      <w:r>
        <w:lastRenderedPageBreak/>
        <w:tab/>
      </w:r>
      <w:r>
        <w:tab/>
      </w:r>
      <w:r>
        <w:rPr>
          <w:bCs/>
        </w:rPr>
        <w:t>Права коренных народов</w:t>
      </w:r>
    </w:p>
    <w:p w14:paraId="33D4E2EE" w14:textId="07CCA97D" w:rsidR="00224A33" w:rsidRPr="001403FB" w:rsidRDefault="00224A33" w:rsidP="00224A33">
      <w:pPr>
        <w:spacing w:after="120"/>
        <w:ind w:left="1134" w:right="1134"/>
        <w:jc w:val="both"/>
      </w:pPr>
      <w:r>
        <w:t>32.</w:t>
      </w:r>
      <w:r>
        <w:tab/>
        <w:t xml:space="preserve">Комитет с обеспокоенностью отмечает отсутствие базового закона, который бы гарантировал проведение предварительных, свободных и информированных консультаций с целью получения согласия первопоселенческих крестьянских коренных наций и народов в отношении решений по проектам, которые могут повлиять на их образ жизни и/или культуру. Комитет отмечает усилия государства-участника по обеспечению прав коренных народов, но обеспокоен полученными сообщениями о ситуациях, когда не был в полной мере соблюден принцип проведения предварительных, свободных и информированных консультаций или были предоставлены концессии на добычу полезных ископаемых, которая может привести к загрязнению ртутью охраняемых районов и территорий коренных народов. Он также обеспокоен сообщениями о том, что исполнение Закона № 450 от 2013 года </w:t>
      </w:r>
      <w:r>
        <w:t>«</w:t>
      </w:r>
      <w:r>
        <w:t>О защите коренных исконных наций и народов в ситуации повышенной уязвимости</w:t>
      </w:r>
      <w:r>
        <w:t>»</w:t>
      </w:r>
      <w:r>
        <w:t xml:space="preserve"> не регламентировано, что может влиять на его применение (статьи 2, 14 и 27). </w:t>
      </w:r>
    </w:p>
    <w:p w14:paraId="09129802" w14:textId="77777777" w:rsidR="00224A33" w:rsidRPr="001403FB" w:rsidRDefault="00224A33" w:rsidP="00224A33">
      <w:pPr>
        <w:spacing w:after="120"/>
        <w:ind w:left="1134" w:right="1134"/>
        <w:jc w:val="both"/>
        <w:rPr>
          <w:b/>
        </w:rPr>
      </w:pPr>
      <w:r>
        <w:t>33.</w:t>
      </w:r>
      <w:r>
        <w:tab/>
      </w:r>
      <w:r>
        <w:rPr>
          <w:b/>
          <w:bCs/>
        </w:rPr>
        <w:t>Государству-участнику следует:</w:t>
      </w:r>
    </w:p>
    <w:p w14:paraId="295E4C82" w14:textId="518EDB4E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принять как можно скорее базовый закон о проведении консультаций с соответствующими первопоселенческими крестьянскими коренными нациями и народами для получения их свободного, предварительного и осознанного согласия до принятия и осуществления каких бы то ни было мер, которые могут затрагивать их образ жизни и/или культуру;</w:t>
      </w:r>
      <w:r>
        <w:t xml:space="preserve"> </w:t>
      </w:r>
      <w:r>
        <w:rPr>
          <w:b/>
          <w:bCs/>
        </w:rPr>
        <w:t>обеспечить полное соответствие этого закона положениям Пакта и другим международным нормам;</w:t>
      </w:r>
      <w:r>
        <w:t xml:space="preserve"> </w:t>
      </w:r>
      <w:r>
        <w:rPr>
          <w:b/>
          <w:bCs/>
        </w:rPr>
        <w:t>и гарантировать активное участие первопоселенческих крестьянских коренных наций и народов в его разработке;</w:t>
      </w:r>
    </w:p>
    <w:p w14:paraId="21A9F184" w14:textId="70801055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обеспечивать эффективное проведение добросовестных консультаций с соответствующими первопоселенческими крестьянскими коренными нациями и народами для получения их свободного, предварительного и осознанного согласия до принятия и осуществления каких бы то ни было мер, которые могут затрагивать их образ жизни и/или культуру;</w:t>
      </w:r>
    </w:p>
    <w:p w14:paraId="0FA32A13" w14:textId="7BFF7447" w:rsidR="00224A33" w:rsidRPr="001403FB" w:rsidRDefault="00224A33" w:rsidP="00224A33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активизировать усилия для обеспечения того, чтобы не принималось никаких мер, которые могут затронуть охраняемые районы и территории коренных народов, а также для защиты коренных народов в ситуации повышенной уязвимости, в том числе путем скорейшего регламентирования исполнения Закона № 450 от 2013 года и обеспечения его применения.</w:t>
      </w:r>
    </w:p>
    <w:p w14:paraId="0191DB92" w14:textId="121CBB1C" w:rsidR="00224A33" w:rsidRPr="001403FB" w:rsidRDefault="00224A33" w:rsidP="00224A33">
      <w:pPr>
        <w:pStyle w:val="H1G"/>
      </w:pPr>
      <w:r>
        <w:rPr>
          <w:bCs/>
        </w:rPr>
        <w:tab/>
      </w:r>
      <w:r>
        <w:rPr>
          <w:bCs/>
        </w:rPr>
        <w:t>D.</w:t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53A11A26" w14:textId="77777777" w:rsidR="00224A33" w:rsidRPr="001403FB" w:rsidRDefault="00224A33" w:rsidP="00224A33">
      <w:pPr>
        <w:spacing w:after="120"/>
        <w:ind w:left="1134" w:right="1134"/>
        <w:jc w:val="both"/>
      </w:pPr>
      <w:r>
        <w:t>34.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 и двух Факультативных протоколов к нему, своего четвертого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судебных, законодательных и административных органов, гражданского общества, действующих в стране неправительственных организаций и населения в целом, включая представителей меньшинств и коренных народов.</w:t>
      </w:r>
      <w:r>
        <w:t xml:space="preserve"> </w:t>
      </w:r>
    </w:p>
    <w:p w14:paraId="667500CA" w14:textId="77777777" w:rsidR="00224A33" w:rsidRPr="001403FB" w:rsidRDefault="00224A33" w:rsidP="00224A33">
      <w:pPr>
        <w:spacing w:after="120"/>
        <w:ind w:left="1134" w:right="1134"/>
        <w:jc w:val="both"/>
        <w:rPr>
          <w:b/>
        </w:rPr>
      </w:pPr>
      <w:r>
        <w:t>35.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25 марта 2025 года информацию о выполнении рекомендаций, сформулированных Комитетом в пунктах 15 (насилие в отношении женщин), 21 (торговля людьми и принудительный труд) и 27 (отправление правосудия).</w:t>
      </w:r>
      <w:r>
        <w:t xml:space="preserve"> </w:t>
      </w:r>
    </w:p>
    <w:p w14:paraId="31AC3AA6" w14:textId="77777777" w:rsidR="00224A33" w:rsidRPr="001403FB" w:rsidRDefault="00224A33" w:rsidP="00224A33">
      <w:pPr>
        <w:spacing w:after="120"/>
        <w:ind w:left="1134" w:right="1134"/>
        <w:jc w:val="both"/>
        <w:rPr>
          <w:b/>
        </w:rPr>
      </w:pPr>
      <w:r>
        <w:t>36.</w:t>
      </w:r>
      <w:r>
        <w:tab/>
      </w:r>
      <w:r>
        <w:rPr>
          <w:b/>
          <w:bCs/>
        </w:rPr>
        <w:t>В соответствии с намеченным Комитетом календарным графиком представления докладов государство-участник получит от Комитета в 2028 году перечень вопросов, предваряющий представление доклада, и, как ожидается, представит в течение года ответы на этот перечень вопросов, которые и будут представлять собой его пятый периодический доклад.</w:t>
      </w:r>
      <w:r>
        <w:t xml:space="preserve"> </w:t>
      </w:r>
      <w:r>
        <w:rPr>
          <w:b/>
          <w:bCs/>
        </w:rPr>
        <w:t xml:space="preserve">Комитет также просит </w:t>
      </w:r>
      <w:r>
        <w:rPr>
          <w:b/>
          <w:bCs/>
        </w:rPr>
        <w:lastRenderedPageBreak/>
        <w:t>государство-участник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2030 год у в Женеве.</w:t>
      </w:r>
    </w:p>
    <w:p w14:paraId="2903FEB0" w14:textId="3E021934" w:rsidR="00381C24" w:rsidRPr="00224A33" w:rsidRDefault="00224A33" w:rsidP="00224A33">
      <w:pPr>
        <w:spacing w:before="240"/>
        <w:ind w:left="1134" w:right="1134"/>
        <w:jc w:val="center"/>
        <w:rPr>
          <w:b/>
        </w:rPr>
      </w:pPr>
      <w:r w:rsidRPr="001403FB">
        <w:rPr>
          <w:u w:val="single"/>
        </w:rPr>
        <w:tab/>
      </w:r>
      <w:r w:rsidRPr="001403FB">
        <w:rPr>
          <w:u w:val="single"/>
        </w:rPr>
        <w:tab/>
      </w:r>
      <w:r w:rsidRPr="001403FB">
        <w:rPr>
          <w:u w:val="single"/>
        </w:rPr>
        <w:tab/>
      </w:r>
      <w:r w:rsidRPr="001403FB">
        <w:rPr>
          <w:u w:val="single"/>
        </w:rPr>
        <w:tab/>
      </w:r>
    </w:p>
    <w:sectPr w:rsidR="00381C24" w:rsidRPr="00224A33" w:rsidSect="00224A3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E3270" w14:textId="77777777" w:rsidR="00344E34" w:rsidRPr="00A312BC" w:rsidRDefault="00344E34" w:rsidP="00A312BC"/>
  </w:endnote>
  <w:endnote w:type="continuationSeparator" w:id="0">
    <w:p w14:paraId="7108B1B2" w14:textId="77777777" w:rsidR="00344E34" w:rsidRPr="00A312BC" w:rsidRDefault="00344E3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E81D2" w14:textId="6FEB56E0" w:rsidR="00224A33" w:rsidRPr="00224A33" w:rsidRDefault="00224A33">
    <w:pPr>
      <w:pStyle w:val="a8"/>
    </w:pPr>
    <w:r w:rsidRPr="00224A33">
      <w:rPr>
        <w:b/>
        <w:sz w:val="18"/>
      </w:rPr>
      <w:fldChar w:fldCharType="begin"/>
    </w:r>
    <w:r w:rsidRPr="00224A33">
      <w:rPr>
        <w:b/>
        <w:sz w:val="18"/>
      </w:rPr>
      <w:instrText xml:space="preserve"> PAGE  \* MERGEFORMAT </w:instrText>
    </w:r>
    <w:r w:rsidRPr="00224A33">
      <w:rPr>
        <w:b/>
        <w:sz w:val="18"/>
      </w:rPr>
      <w:fldChar w:fldCharType="separate"/>
    </w:r>
    <w:r w:rsidRPr="00224A33">
      <w:rPr>
        <w:b/>
        <w:noProof/>
        <w:sz w:val="18"/>
      </w:rPr>
      <w:t>2</w:t>
    </w:r>
    <w:r w:rsidRPr="00224A33">
      <w:rPr>
        <w:b/>
        <w:sz w:val="18"/>
      </w:rPr>
      <w:fldChar w:fldCharType="end"/>
    </w:r>
    <w:r>
      <w:rPr>
        <w:b/>
        <w:sz w:val="18"/>
      </w:rPr>
      <w:tab/>
    </w:r>
    <w:r>
      <w:t>GE.22-08331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C5425" w14:textId="49B97862" w:rsidR="00224A33" w:rsidRPr="00224A33" w:rsidRDefault="00224A33" w:rsidP="00224A33">
    <w:pPr>
      <w:pStyle w:val="a8"/>
      <w:tabs>
        <w:tab w:val="clear" w:pos="9639"/>
        <w:tab w:val="right" w:pos="9638"/>
      </w:tabs>
      <w:rPr>
        <w:b/>
        <w:sz w:val="18"/>
      </w:rPr>
    </w:pPr>
    <w:r>
      <w:t>GE.22-08331</w:t>
    </w:r>
    <w:r>
      <w:tab/>
    </w:r>
    <w:r w:rsidRPr="00224A33">
      <w:rPr>
        <w:b/>
        <w:sz w:val="18"/>
      </w:rPr>
      <w:fldChar w:fldCharType="begin"/>
    </w:r>
    <w:r w:rsidRPr="00224A33">
      <w:rPr>
        <w:b/>
        <w:sz w:val="18"/>
      </w:rPr>
      <w:instrText xml:space="preserve"> PAGE  \* MERGEFORMAT </w:instrText>
    </w:r>
    <w:r w:rsidRPr="00224A33">
      <w:rPr>
        <w:b/>
        <w:sz w:val="18"/>
      </w:rPr>
      <w:fldChar w:fldCharType="separate"/>
    </w:r>
    <w:r w:rsidRPr="00224A33">
      <w:rPr>
        <w:b/>
        <w:noProof/>
        <w:sz w:val="18"/>
      </w:rPr>
      <w:t>3</w:t>
    </w:r>
    <w:r w:rsidRPr="00224A3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89282" w14:textId="69261AEB" w:rsidR="00042B72" w:rsidRPr="00224A33" w:rsidRDefault="00224A33" w:rsidP="00224A3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7F52007" wp14:editId="41D1A25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22-08331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4C76A34" wp14:editId="219D445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240822  181122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FD991" w14:textId="77777777" w:rsidR="00344E34" w:rsidRPr="001075E9" w:rsidRDefault="00344E3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DB00E67" w14:textId="77777777" w:rsidR="00344E34" w:rsidRDefault="00344E3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60409ED" w14:textId="67C20138" w:rsidR="00224A33" w:rsidRPr="009B5F93" w:rsidRDefault="00224A33" w:rsidP="00224A33">
      <w:pPr>
        <w:pStyle w:val="ad"/>
      </w:pPr>
      <w:r>
        <w:tab/>
      </w:r>
      <w:r w:rsidRPr="00224A33">
        <w:rPr>
          <w:sz w:val="20"/>
        </w:rPr>
        <w:t>*</w:t>
      </w:r>
      <w:r>
        <w:tab/>
        <w:t xml:space="preserve">Приняты Комитетом на его </w:t>
      </w:r>
      <w:r w:rsidR="00050341">
        <w:t>сто тридцать четвертой</w:t>
      </w:r>
      <w:r>
        <w:t xml:space="preserve"> сессии (28 февраля </w:t>
      </w:r>
      <w:r>
        <w:t>—</w:t>
      </w:r>
      <w:r>
        <w:t xml:space="preserve"> 25 марта 2022 года).</w:t>
      </w:r>
    </w:p>
  </w:footnote>
  <w:footnote w:id="2">
    <w:p w14:paraId="43FDA46F" w14:textId="4F13F366" w:rsidR="00224A33" w:rsidRPr="009B5F93" w:rsidRDefault="00224A33" w:rsidP="00224A33">
      <w:pPr>
        <w:pStyle w:val="ad"/>
      </w:pPr>
      <w:r w:rsidRPr="00AC0B00">
        <w:tab/>
      </w:r>
      <w:r w:rsidRPr="00926329">
        <w:rPr>
          <w:rStyle w:val="aa"/>
        </w:rPr>
        <w:footnoteRef/>
      </w:r>
      <w:r>
        <w:tab/>
      </w:r>
      <w:hyperlink r:id="rId1" w:history="1">
        <w:r w:rsidR="00EB2CEA" w:rsidRPr="004A7E6E">
          <w:rPr>
            <w:rStyle w:val="af1"/>
          </w:rPr>
          <w:t>CCPR/C/BOL/4</w:t>
        </w:r>
      </w:hyperlink>
      <w:r>
        <w:t>.</w:t>
      </w:r>
    </w:p>
  </w:footnote>
  <w:footnote w:id="3">
    <w:p w14:paraId="22763247" w14:textId="61631FF7" w:rsidR="00224A33" w:rsidRPr="00EB2CEA" w:rsidRDefault="00224A33" w:rsidP="00224A33">
      <w:pPr>
        <w:pStyle w:val="ad"/>
        <w:rPr>
          <w:lang w:val="de-CH"/>
        </w:rPr>
      </w:pPr>
      <w:r w:rsidRPr="00926329">
        <w:tab/>
      </w:r>
      <w:r w:rsidRPr="00926329">
        <w:rPr>
          <w:rStyle w:val="aa"/>
        </w:rPr>
        <w:footnoteRef/>
      </w:r>
      <w:r w:rsidRPr="00EB2CEA">
        <w:rPr>
          <w:lang w:val="de-CH"/>
        </w:rPr>
        <w:tab/>
      </w:r>
      <w:hyperlink r:id="rId2" w:history="1">
        <w:r w:rsidR="00EB2CEA" w:rsidRPr="00EB2CEA">
          <w:rPr>
            <w:rStyle w:val="af1"/>
            <w:lang w:val="de-CH"/>
          </w:rPr>
          <w:t>CCPR/C/SR.3849</w:t>
        </w:r>
      </w:hyperlink>
      <w:r w:rsidRPr="00EB2CEA">
        <w:rPr>
          <w:lang w:val="de-CH"/>
        </w:rPr>
        <w:t xml:space="preserve">, </w:t>
      </w:r>
      <w:hyperlink r:id="rId3" w:history="1">
        <w:r w:rsidR="00EB2CEA" w:rsidRPr="00EB2CEA">
          <w:rPr>
            <w:rStyle w:val="af1"/>
            <w:lang w:val="de-CH"/>
          </w:rPr>
          <w:t>CCPR/C/SR.3851</w:t>
        </w:r>
      </w:hyperlink>
      <w:r w:rsidRPr="00EB2CEA">
        <w:rPr>
          <w:lang w:val="de-CH"/>
        </w:rPr>
        <w:t xml:space="preserve"> </w:t>
      </w:r>
      <w:r>
        <w:t>и</w:t>
      </w:r>
      <w:r w:rsidRPr="00EB2CEA">
        <w:rPr>
          <w:lang w:val="de-CH"/>
        </w:rPr>
        <w:t xml:space="preserve"> </w:t>
      </w:r>
      <w:hyperlink r:id="rId4" w:history="1">
        <w:r w:rsidR="00EB2CEA" w:rsidRPr="00EB2CEA">
          <w:rPr>
            <w:rStyle w:val="af1"/>
            <w:lang w:val="de-CH"/>
          </w:rPr>
          <w:t>CCPR/C/SR.3853</w:t>
        </w:r>
      </w:hyperlink>
      <w:r w:rsidRPr="00EB2CEA">
        <w:rPr>
          <w:lang w:val="de-CH"/>
        </w:rPr>
        <w:t>.</w:t>
      </w:r>
    </w:p>
  </w:footnote>
  <w:footnote w:id="4">
    <w:p w14:paraId="2F4B7E51" w14:textId="0FB3E2AE" w:rsidR="00224A33" w:rsidRPr="004245F7" w:rsidRDefault="00224A33" w:rsidP="00224A33">
      <w:pPr>
        <w:pStyle w:val="ad"/>
        <w:rPr>
          <w:lang w:val="de-CH"/>
        </w:rPr>
      </w:pPr>
      <w:r w:rsidRPr="00EB2CEA">
        <w:rPr>
          <w:lang w:val="de-CH"/>
        </w:rPr>
        <w:tab/>
      </w:r>
      <w:r w:rsidRPr="00926329">
        <w:rPr>
          <w:rStyle w:val="aa"/>
        </w:rPr>
        <w:footnoteRef/>
      </w:r>
      <w:r w:rsidRPr="004245F7">
        <w:rPr>
          <w:lang w:val="de-CH"/>
        </w:rPr>
        <w:tab/>
      </w:r>
      <w:hyperlink r:id="rId5" w:history="1">
        <w:r w:rsidR="00EB2CEA" w:rsidRPr="00EB2CEA">
          <w:rPr>
            <w:rStyle w:val="af1"/>
            <w:lang w:val="de-CH"/>
          </w:rPr>
          <w:t>CCPR/C/SR.3869</w:t>
        </w:r>
      </w:hyperlink>
      <w:r w:rsidRPr="004245F7">
        <w:rPr>
          <w:lang w:val="de-CH"/>
        </w:rPr>
        <w:t>.</w:t>
      </w:r>
    </w:p>
  </w:footnote>
  <w:footnote w:id="5">
    <w:p w14:paraId="1F332E6C" w14:textId="519F4BA0" w:rsidR="00224A33" w:rsidRPr="004245F7" w:rsidRDefault="00224A33" w:rsidP="00224A33">
      <w:pPr>
        <w:pStyle w:val="ad"/>
        <w:rPr>
          <w:lang w:val="de-CH"/>
        </w:rPr>
      </w:pPr>
      <w:r w:rsidRPr="004245F7">
        <w:rPr>
          <w:lang w:val="de-CH"/>
        </w:rPr>
        <w:tab/>
      </w:r>
      <w:r w:rsidRPr="00926329">
        <w:rPr>
          <w:rStyle w:val="aa"/>
        </w:rPr>
        <w:footnoteRef/>
      </w:r>
      <w:r w:rsidRPr="004245F7">
        <w:rPr>
          <w:lang w:val="de-CH"/>
        </w:rPr>
        <w:tab/>
      </w:r>
      <w:hyperlink r:id="rId6" w:history="1">
        <w:r w:rsidR="00EB2CEA" w:rsidRPr="00EB2CEA">
          <w:rPr>
            <w:rStyle w:val="af1"/>
            <w:lang w:val="de-CH"/>
          </w:rPr>
          <w:t>CCPR/C/BOL/RQ/4</w:t>
        </w:r>
      </w:hyperlink>
      <w:r w:rsidRPr="004245F7">
        <w:rPr>
          <w:lang w:val="de-CH"/>
        </w:rPr>
        <w:t>.</w:t>
      </w:r>
    </w:p>
  </w:footnote>
  <w:footnote w:id="6">
    <w:p w14:paraId="20B3E82F" w14:textId="0C887B43" w:rsidR="00224A33" w:rsidRPr="004245F7" w:rsidRDefault="00224A33" w:rsidP="00224A33">
      <w:pPr>
        <w:pStyle w:val="ad"/>
        <w:rPr>
          <w:lang w:val="es-ES"/>
        </w:rPr>
      </w:pPr>
      <w:r w:rsidRPr="004245F7">
        <w:rPr>
          <w:lang w:val="de-CH"/>
        </w:rPr>
        <w:tab/>
      </w:r>
      <w:r w:rsidRPr="00926329">
        <w:rPr>
          <w:rStyle w:val="aa"/>
        </w:rPr>
        <w:footnoteRef/>
      </w:r>
      <w:r w:rsidRPr="004245F7">
        <w:rPr>
          <w:lang w:val="es-ES"/>
        </w:rPr>
        <w:tab/>
      </w:r>
      <w:hyperlink r:id="rId7" w:history="1">
        <w:r w:rsidR="00EB2CEA" w:rsidRPr="00EB2CEA">
          <w:rPr>
            <w:rStyle w:val="af1"/>
            <w:lang w:val="es-ES"/>
          </w:rPr>
          <w:t>CCPR/C/BOL/Q/4</w:t>
        </w:r>
      </w:hyperlink>
      <w:r w:rsidRPr="004245F7">
        <w:rPr>
          <w:lang w:val="es-ES"/>
        </w:rPr>
        <w:t>.</w:t>
      </w:r>
    </w:p>
  </w:footnote>
  <w:footnote w:id="7">
    <w:p w14:paraId="6F42FA80" w14:textId="3DB11836" w:rsidR="00224A33" w:rsidRPr="002974EB" w:rsidRDefault="00224A33" w:rsidP="00224A33">
      <w:pPr>
        <w:pStyle w:val="ad"/>
        <w:rPr>
          <w:lang w:val="es-ES"/>
        </w:rPr>
      </w:pPr>
      <w:r w:rsidRPr="004245F7">
        <w:rPr>
          <w:lang w:val="es-ES"/>
        </w:rPr>
        <w:tab/>
      </w:r>
      <w:r w:rsidRPr="00926329">
        <w:rPr>
          <w:rStyle w:val="aa"/>
        </w:rPr>
        <w:footnoteRef/>
      </w:r>
      <w:r w:rsidRPr="002974EB">
        <w:rPr>
          <w:lang w:val="es-ES"/>
        </w:rPr>
        <w:tab/>
      </w:r>
      <w:hyperlink r:id="rId8" w:history="1">
        <w:r w:rsidR="00EB2CEA" w:rsidRPr="00EB2CEA">
          <w:rPr>
            <w:rStyle w:val="af1"/>
            <w:lang w:val="es-ES"/>
          </w:rPr>
          <w:t>CCPR/C/BOL/RQ/4</w:t>
        </w:r>
      </w:hyperlink>
      <w:r w:rsidRPr="002974EB">
        <w:rPr>
          <w:lang w:val="es-ES"/>
        </w:rPr>
        <w:t xml:space="preserve">, </w:t>
      </w:r>
      <w:r>
        <w:t>п</w:t>
      </w:r>
      <w:r w:rsidR="002974EB" w:rsidRPr="002974EB">
        <w:rPr>
          <w:lang w:val="es-ES"/>
        </w:rPr>
        <w:t>.</w:t>
      </w:r>
      <w:r w:rsidRPr="002974EB">
        <w:rPr>
          <w:lang w:val="es-ES"/>
        </w:rPr>
        <w:t xml:space="preserve"> 7.</w:t>
      </w:r>
    </w:p>
  </w:footnote>
  <w:footnote w:id="8">
    <w:p w14:paraId="6B9644F9" w14:textId="166C9168" w:rsidR="00224A33" w:rsidRPr="009B5F93" w:rsidRDefault="00224A33" w:rsidP="00224A33">
      <w:pPr>
        <w:pStyle w:val="ad"/>
        <w:rPr>
          <w:lang w:val="en-US"/>
        </w:rPr>
      </w:pPr>
      <w:r w:rsidRPr="002974EB">
        <w:rPr>
          <w:lang w:val="es-ES"/>
        </w:rPr>
        <w:tab/>
      </w:r>
      <w:r w:rsidRPr="00926329">
        <w:rPr>
          <w:rStyle w:val="aa"/>
        </w:rPr>
        <w:footnoteRef/>
      </w:r>
      <w:r w:rsidRPr="009B5F93">
        <w:rPr>
          <w:lang w:val="en-US"/>
        </w:rPr>
        <w:tab/>
      </w:r>
      <w:hyperlink r:id="rId9" w:history="1">
        <w:r w:rsidR="00E54552">
          <w:rPr>
            <w:rStyle w:val="af1"/>
            <w:lang w:val="en-US"/>
          </w:rPr>
          <w:t>CCPR/C/BOL/CO/3</w:t>
        </w:r>
      </w:hyperlink>
      <w:r w:rsidRPr="009B5F93">
        <w:rPr>
          <w:lang w:val="en-US"/>
        </w:rPr>
        <w:t xml:space="preserve">, </w:t>
      </w:r>
      <w:r>
        <w:t>п</w:t>
      </w:r>
      <w:r w:rsidR="002974EB" w:rsidRPr="002974EB">
        <w:rPr>
          <w:lang w:val="en-US"/>
        </w:rPr>
        <w:t>.</w:t>
      </w:r>
      <w:r w:rsidRPr="009B5F93">
        <w:rPr>
          <w:lang w:val="en-US"/>
        </w:rPr>
        <w:t xml:space="preserve"> 5.</w:t>
      </w:r>
    </w:p>
  </w:footnote>
  <w:footnote w:id="9">
    <w:p w14:paraId="768CBF0E" w14:textId="77777777" w:rsidR="00EB2CEA" w:rsidRPr="009B5F93" w:rsidRDefault="00EB2CEA" w:rsidP="00EB2CEA">
      <w:pPr>
        <w:pStyle w:val="ad"/>
        <w:rPr>
          <w:lang w:val="en-US"/>
        </w:rPr>
      </w:pPr>
      <w:r w:rsidRPr="009B5F93">
        <w:rPr>
          <w:lang w:val="en-US"/>
        </w:rPr>
        <w:tab/>
      </w:r>
      <w:r w:rsidRPr="00926329">
        <w:rPr>
          <w:rStyle w:val="aa"/>
        </w:rPr>
        <w:footnoteRef/>
      </w:r>
      <w:r w:rsidRPr="009B5F93">
        <w:rPr>
          <w:lang w:val="en-US"/>
        </w:rPr>
        <w:tab/>
      </w:r>
      <w:hyperlink r:id="rId10" w:history="1">
        <w:r>
          <w:rPr>
            <w:rStyle w:val="af1"/>
            <w:lang w:val="en-US"/>
          </w:rPr>
          <w:t>CCPR/C/BOL/CO/3</w:t>
        </w:r>
      </w:hyperlink>
      <w:r w:rsidRPr="009B5F93">
        <w:rPr>
          <w:lang w:val="en-US"/>
        </w:rPr>
        <w:t xml:space="preserve">, </w:t>
      </w:r>
      <w:r>
        <w:t>п</w:t>
      </w:r>
      <w:r w:rsidRPr="002974EB">
        <w:rPr>
          <w:lang w:val="en-US"/>
        </w:rPr>
        <w:t>.</w:t>
      </w:r>
      <w:r w:rsidRPr="009B5F93">
        <w:rPr>
          <w:lang w:val="en-US"/>
        </w:rPr>
        <w:t xml:space="preserve"> 24.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82FED" w14:textId="16AD174C" w:rsidR="00224A33" w:rsidRPr="00224A33" w:rsidRDefault="00224A33">
    <w:pPr>
      <w:pStyle w:val="a5"/>
    </w:pPr>
    <w:fldSimple w:instr=" TITLE  \* MERGEFORMAT ">
      <w:r w:rsidR="008A1551">
        <w:t>CCPR/C/BOL/CO/4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E820" w14:textId="471C87AA" w:rsidR="00224A33" w:rsidRPr="00224A33" w:rsidRDefault="00224A33" w:rsidP="00224A33">
    <w:pPr>
      <w:pStyle w:val="a5"/>
      <w:jc w:val="right"/>
    </w:pPr>
    <w:fldSimple w:instr=" TITLE  \* MERGEFORMAT ">
      <w:r w:rsidR="008A1551">
        <w:t>CCPR/C/BOL/CO/4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E34"/>
    <w:rsid w:val="00033EE1"/>
    <w:rsid w:val="000358F2"/>
    <w:rsid w:val="00042B72"/>
    <w:rsid w:val="00050341"/>
    <w:rsid w:val="000558BD"/>
    <w:rsid w:val="000B57E7"/>
    <w:rsid w:val="000B6373"/>
    <w:rsid w:val="000F09DF"/>
    <w:rsid w:val="000F32AF"/>
    <w:rsid w:val="000F61B2"/>
    <w:rsid w:val="001075E9"/>
    <w:rsid w:val="00180183"/>
    <w:rsid w:val="0018024D"/>
    <w:rsid w:val="0018649F"/>
    <w:rsid w:val="00196389"/>
    <w:rsid w:val="001B3EF6"/>
    <w:rsid w:val="001C7A89"/>
    <w:rsid w:val="00224A33"/>
    <w:rsid w:val="00254812"/>
    <w:rsid w:val="002974EB"/>
    <w:rsid w:val="002A2EFC"/>
    <w:rsid w:val="002B7875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44E34"/>
    <w:rsid w:val="00375F01"/>
    <w:rsid w:val="00381C24"/>
    <w:rsid w:val="003958D0"/>
    <w:rsid w:val="003B00E5"/>
    <w:rsid w:val="00407B78"/>
    <w:rsid w:val="00424203"/>
    <w:rsid w:val="004245F7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A1551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54552"/>
    <w:rsid w:val="00E73F76"/>
    <w:rsid w:val="00EA2C9F"/>
    <w:rsid w:val="00EA420E"/>
    <w:rsid w:val="00EB2CEA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31C5D3"/>
  <w15:docId w15:val="{B5490515-428F-4895-985A-18EA4C99A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numbering" w:styleId="111111">
    <w:name w:val="Outline List 2"/>
    <w:basedOn w:val="a2"/>
    <w:rsid w:val="00224A33"/>
    <w:pPr>
      <w:numPr>
        <w:numId w:val="1"/>
      </w:numPr>
    </w:pPr>
  </w:style>
  <w:style w:type="character" w:customStyle="1" w:styleId="SingleTxtGChar">
    <w:name w:val="_ Single Txt_G Char"/>
    <w:link w:val="SingleTxtG"/>
    <w:rsid w:val="00224A33"/>
    <w:rPr>
      <w:lang w:val="ru-RU" w:eastAsia="en-US"/>
    </w:rPr>
  </w:style>
  <w:style w:type="character" w:customStyle="1" w:styleId="H23GChar">
    <w:name w:val="_ H_2/3_G Char"/>
    <w:link w:val="H23G"/>
    <w:locked/>
    <w:rsid w:val="00224A33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4245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CPR/C/BOL/RQ/4" TargetMode="External"/><Relationship Id="rId3" Type="http://schemas.openxmlformats.org/officeDocument/2006/relationships/hyperlink" Target="http://undocs.org/en/CCPR/C/SR.3851" TargetMode="External"/><Relationship Id="rId7" Type="http://schemas.openxmlformats.org/officeDocument/2006/relationships/hyperlink" Target="http://undocs.org/en/CCPR/C/BOL/Q/4" TargetMode="External"/><Relationship Id="rId2" Type="http://schemas.openxmlformats.org/officeDocument/2006/relationships/hyperlink" Target="http://undocs.org/en/CCPR/C/SR.3849" TargetMode="External"/><Relationship Id="rId1" Type="http://schemas.openxmlformats.org/officeDocument/2006/relationships/hyperlink" Target="http://undocs.org/en/CCPR/C/BOL/4" TargetMode="External"/><Relationship Id="rId6" Type="http://schemas.openxmlformats.org/officeDocument/2006/relationships/hyperlink" Target="http://undocs.org/en/CCPR/C/BOL/RQ/4" TargetMode="External"/><Relationship Id="rId5" Type="http://schemas.openxmlformats.org/officeDocument/2006/relationships/hyperlink" Target="http://undocs.org/en/CCPR/C/SR.3869" TargetMode="External"/><Relationship Id="rId10" Type="http://schemas.openxmlformats.org/officeDocument/2006/relationships/hyperlink" Target="http://undocs.org/ru/CCPR/C/BOL/CO/3" TargetMode="External"/><Relationship Id="rId4" Type="http://schemas.openxmlformats.org/officeDocument/2006/relationships/hyperlink" Target="http://undocs.org/en/CCPR/C/SR.3853" TargetMode="External"/><Relationship Id="rId9" Type="http://schemas.openxmlformats.org/officeDocument/2006/relationships/hyperlink" Target="http://undocs.org/ru/CCPR/C/BOL/CO/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12</Pages>
  <Words>4548</Words>
  <Characters>31022</Characters>
  <Application>Microsoft Office Word</Application>
  <DocSecurity>0</DocSecurity>
  <Lines>564</Lines>
  <Paragraphs>146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CCPR/C/BOL/CO/4</vt:lpstr>
      <vt:lpstr>A/</vt:lpstr>
      <vt:lpstr>A/</vt:lpstr>
    </vt:vector>
  </TitlesOfParts>
  <Company>DCM</Company>
  <LinksUpToDate>false</LinksUpToDate>
  <CharactersWithSpaces>35424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CCPR/C/BOL/CO/4</dc:title>
  <dc:subject/>
  <dc:creator>Uliana ANTIPOVA</dc:creator>
  <cp:keywords/>
  <cp:lastModifiedBy>Uliana Antipova</cp:lastModifiedBy>
  <cp:revision>3</cp:revision>
  <cp:lastPrinted>2022-11-18T12:03:00Z</cp:lastPrinted>
  <dcterms:created xsi:type="dcterms:W3CDTF">2022-11-18T12:03:00Z</dcterms:created>
  <dcterms:modified xsi:type="dcterms:W3CDTF">2022-11-18T12:08:00Z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