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BCE17" w14:textId="77777777" w:rsidR="00943033" w:rsidRPr="00BC7AA5" w:rsidRDefault="00943033" w:rsidP="00943033">
      <w:pPr>
        <w:pStyle w:val="XLarge"/>
        <w:spacing w:before="120" w:after="780"/>
        <w:ind w:left="1267"/>
      </w:pPr>
      <w:r w:rsidRPr="00BC7AA5">
        <w:t>Naciones Unidas</w:t>
      </w:r>
    </w:p>
    <w:p w14:paraId="12FE23D9" w14:textId="23E2C4D5" w:rsidR="00943033" w:rsidRPr="00BC7AA5" w:rsidRDefault="004812A1" w:rsidP="00E63251">
      <w:pPr>
        <w:pStyle w:val="STitleL"/>
      </w:pPr>
      <w:r w:rsidRPr="00BC7AA5">
        <w:t>Informe del Comité para la Eliminación de la Discriminación contra la Mujer</w:t>
      </w:r>
    </w:p>
    <w:p w14:paraId="3AB1E6FE" w14:textId="77777777" w:rsidR="00943033" w:rsidRPr="00BC7AA5" w:rsidRDefault="00943033" w:rsidP="00943033">
      <w:pPr>
        <w:spacing w:line="240" w:lineRule="auto"/>
        <w:ind w:left="1267"/>
        <w:rPr>
          <w:sz w:val="12"/>
        </w:rPr>
      </w:pPr>
    </w:p>
    <w:p w14:paraId="55F769BA" w14:textId="77777777" w:rsidR="00943033" w:rsidRPr="00BC7AA5" w:rsidRDefault="00943033" w:rsidP="00943033">
      <w:pPr>
        <w:spacing w:line="240" w:lineRule="auto"/>
        <w:ind w:left="1267"/>
        <w:rPr>
          <w:sz w:val="12"/>
        </w:rPr>
      </w:pPr>
    </w:p>
    <w:p w14:paraId="0F9FDB0A" w14:textId="77777777" w:rsidR="00943033" w:rsidRPr="00BC7AA5" w:rsidRDefault="00943033" w:rsidP="00943033">
      <w:pPr>
        <w:spacing w:line="240" w:lineRule="auto"/>
        <w:ind w:left="1267"/>
        <w:rPr>
          <w:sz w:val="12"/>
        </w:rPr>
      </w:pPr>
    </w:p>
    <w:p w14:paraId="7E0202B6" w14:textId="77777777" w:rsidR="004812A1" w:rsidRPr="00BC7AA5" w:rsidRDefault="004812A1" w:rsidP="00E63251">
      <w:pPr>
        <w:pStyle w:val="STitleM"/>
      </w:pPr>
      <w:r w:rsidRPr="00BC7AA5">
        <w:t>85º período de sesiones</w:t>
      </w:r>
    </w:p>
    <w:p w14:paraId="02A2D9A4" w14:textId="2E2F051E" w:rsidR="00943033" w:rsidRPr="00BC7AA5" w:rsidRDefault="004812A1" w:rsidP="00E63251">
      <w:pPr>
        <w:pStyle w:val="STitleM"/>
      </w:pPr>
      <w:r w:rsidRPr="00BC7AA5">
        <w:t>8 a 26 de mayo de 2023</w:t>
      </w:r>
    </w:p>
    <w:p w14:paraId="3C84153C" w14:textId="77777777" w:rsidR="00943033" w:rsidRPr="00BC7AA5" w:rsidRDefault="00943033" w:rsidP="00943033">
      <w:pPr>
        <w:spacing w:line="240" w:lineRule="auto"/>
        <w:ind w:left="1267"/>
        <w:rPr>
          <w:sz w:val="12"/>
        </w:rPr>
      </w:pPr>
    </w:p>
    <w:p w14:paraId="322F8288" w14:textId="77777777" w:rsidR="00943033" w:rsidRPr="00BC7AA5" w:rsidRDefault="00943033" w:rsidP="00943033">
      <w:pPr>
        <w:spacing w:line="240" w:lineRule="auto"/>
        <w:ind w:left="1267"/>
        <w:rPr>
          <w:sz w:val="12"/>
        </w:rPr>
      </w:pPr>
    </w:p>
    <w:p w14:paraId="63AF5CD1" w14:textId="77777777" w:rsidR="00943033" w:rsidRPr="00BC7AA5" w:rsidRDefault="00943033" w:rsidP="00943033">
      <w:pPr>
        <w:spacing w:line="240" w:lineRule="auto"/>
        <w:ind w:left="1267"/>
        <w:rPr>
          <w:sz w:val="12"/>
        </w:rPr>
      </w:pPr>
    </w:p>
    <w:p w14:paraId="2EADAA2C" w14:textId="77777777" w:rsidR="004812A1" w:rsidRPr="00BC7AA5" w:rsidRDefault="004812A1" w:rsidP="00E63251">
      <w:pPr>
        <w:pStyle w:val="STitleM"/>
      </w:pPr>
      <w:r w:rsidRPr="00BC7AA5">
        <w:t>86º período de sesiones</w:t>
      </w:r>
    </w:p>
    <w:p w14:paraId="5988ADB8" w14:textId="576637F1" w:rsidR="00943033" w:rsidRPr="00BC7AA5" w:rsidRDefault="004812A1" w:rsidP="00E63251">
      <w:pPr>
        <w:pStyle w:val="STitleM"/>
      </w:pPr>
      <w:r w:rsidRPr="00BC7AA5">
        <w:t>9 a 27 de octubre de 2023</w:t>
      </w:r>
    </w:p>
    <w:p w14:paraId="642EB17C" w14:textId="77777777" w:rsidR="004812A1" w:rsidRPr="00BC7AA5" w:rsidRDefault="004812A1" w:rsidP="004812A1">
      <w:pPr>
        <w:spacing w:line="240" w:lineRule="auto"/>
        <w:ind w:left="1267"/>
        <w:rPr>
          <w:sz w:val="12"/>
        </w:rPr>
      </w:pPr>
    </w:p>
    <w:p w14:paraId="6E5BC300" w14:textId="77777777" w:rsidR="004812A1" w:rsidRPr="00BC7AA5" w:rsidRDefault="004812A1" w:rsidP="004812A1">
      <w:pPr>
        <w:spacing w:line="240" w:lineRule="auto"/>
        <w:ind w:left="1267"/>
        <w:rPr>
          <w:sz w:val="12"/>
        </w:rPr>
      </w:pPr>
    </w:p>
    <w:p w14:paraId="5154D8DA" w14:textId="77777777" w:rsidR="004812A1" w:rsidRPr="00BC7AA5" w:rsidRDefault="004812A1" w:rsidP="004812A1">
      <w:pPr>
        <w:spacing w:line="240" w:lineRule="auto"/>
        <w:ind w:left="1267"/>
        <w:rPr>
          <w:sz w:val="12"/>
        </w:rPr>
      </w:pPr>
    </w:p>
    <w:p w14:paraId="6BCF0FC0" w14:textId="77777777" w:rsidR="004812A1" w:rsidRPr="00BC7AA5" w:rsidRDefault="004812A1" w:rsidP="00E63251">
      <w:pPr>
        <w:pStyle w:val="STitleM"/>
      </w:pPr>
      <w:r w:rsidRPr="00BC7AA5">
        <w:t>87º período de sesiones</w:t>
      </w:r>
    </w:p>
    <w:p w14:paraId="40FDD059" w14:textId="019C25A0" w:rsidR="004812A1" w:rsidRPr="00BC7AA5" w:rsidRDefault="004812A1" w:rsidP="00E63251">
      <w:pPr>
        <w:pStyle w:val="STitleM"/>
      </w:pPr>
      <w:r w:rsidRPr="00BC7AA5">
        <w:t>29 de enero a 16 de febrero de 2024</w:t>
      </w:r>
    </w:p>
    <w:p w14:paraId="6B7D45FB" w14:textId="77777777" w:rsidR="00943033" w:rsidRPr="00BC7AA5" w:rsidRDefault="00943033" w:rsidP="00943033">
      <w:pPr>
        <w:pStyle w:val="XLarge"/>
        <w:spacing w:before="640"/>
        <w:ind w:left="1267"/>
      </w:pPr>
      <w:r w:rsidRPr="00BC7AA5">
        <w:t>Asamblea General</w:t>
      </w:r>
    </w:p>
    <w:p w14:paraId="3FF29BBB" w14:textId="77777777" w:rsidR="00943033" w:rsidRPr="00BC7AA5" w:rsidRDefault="00943033" w:rsidP="00943033">
      <w:pPr>
        <w:pStyle w:val="HCh"/>
        <w:spacing w:line="240" w:lineRule="auto"/>
        <w:ind w:left="1267"/>
      </w:pPr>
      <w:r w:rsidRPr="00BC7AA5">
        <w:t>Documentos Oficiales</w:t>
      </w:r>
      <w:r w:rsidRPr="00BC7AA5">
        <w:br/>
        <w:t>Septuagésimo noveno período de sesiones</w:t>
      </w:r>
      <w:r w:rsidRPr="00BC7AA5">
        <w:br/>
        <w:t>Suplemento núm. 38</w:t>
      </w:r>
    </w:p>
    <w:p w14:paraId="594D1DFD" w14:textId="77777777" w:rsidR="00943033" w:rsidRPr="00BC7AA5" w:rsidRDefault="00943033" w:rsidP="00943033">
      <w:pPr>
        <w:rPr>
          <w:spacing w:val="-2"/>
          <w:kern w:val="14"/>
          <w:sz w:val="28"/>
        </w:rPr>
      </w:pPr>
      <w:r w:rsidRPr="00BC7AA5">
        <w:br w:type="page"/>
      </w:r>
    </w:p>
    <w:p w14:paraId="7E845091" w14:textId="46677B37" w:rsidR="00943033" w:rsidRPr="00BC7AA5" w:rsidRDefault="00943033" w:rsidP="002B2D9E">
      <w:pPr>
        <w:framePr w:w="547" w:h="2880" w:hSpace="180" w:wrap="notBeside" w:vAnchor="page" w:hAnchor="page" w:x="11221" w:y="1458" w:anchorLock="1"/>
        <w:spacing w:line="240" w:lineRule="auto"/>
        <w:textDirection w:val="tbRl"/>
        <w:rPr>
          <w:sz w:val="17"/>
        </w:rPr>
      </w:pPr>
      <w:r w:rsidRPr="00BC7AA5">
        <w:rPr>
          <w:sz w:val="17"/>
        </w:rPr>
        <w:lastRenderedPageBreak/>
        <w:t>A/79/38</w:t>
      </w:r>
    </w:p>
    <w:p w14:paraId="3513CCD4" w14:textId="77777777" w:rsidR="00943033" w:rsidRPr="00BC7AA5" w:rsidRDefault="00943033">
      <w:pPr>
        <w:suppressAutoHyphens w:val="0"/>
        <w:spacing w:after="160" w:line="259" w:lineRule="auto"/>
      </w:pPr>
      <w:r w:rsidRPr="00BC7AA5">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1"/>
        <w:gridCol w:w="4919"/>
      </w:tblGrid>
      <w:tr w:rsidR="004051C9" w:rsidRPr="00BC7AA5" w14:paraId="47315185" w14:textId="77777777" w:rsidTr="00943033">
        <w:tc>
          <w:tcPr>
            <w:tcW w:w="4927" w:type="dxa"/>
            <w:shd w:val="clear" w:color="auto" w:fill="auto"/>
          </w:tcPr>
          <w:p w14:paraId="67174F33" w14:textId="77777777" w:rsidR="00943033" w:rsidRPr="00BC7AA5" w:rsidRDefault="00943033" w:rsidP="00943033">
            <w:pPr>
              <w:framePr w:hSpace="180" w:wrap="around" w:vAnchor="page" w:hAnchor="page" w:x="1210" w:y="1455" w:anchorLock="1"/>
              <w:spacing w:line="270" w:lineRule="exact"/>
              <w:rPr>
                <w:sz w:val="24"/>
              </w:rPr>
            </w:pPr>
            <w:r w:rsidRPr="00BC7AA5">
              <w:rPr>
                <w:b/>
                <w:sz w:val="24"/>
              </w:rPr>
              <w:lastRenderedPageBreak/>
              <w:t>Asamblea General</w:t>
            </w:r>
            <w:r w:rsidRPr="00BC7AA5">
              <w:rPr>
                <w:b/>
                <w:sz w:val="24"/>
              </w:rPr>
              <w:br/>
            </w:r>
            <w:r w:rsidRPr="00BC7AA5">
              <w:rPr>
                <w:sz w:val="24"/>
              </w:rPr>
              <w:t>Documentos Oficiales</w:t>
            </w:r>
            <w:r w:rsidRPr="00BC7AA5">
              <w:rPr>
                <w:sz w:val="24"/>
              </w:rPr>
              <w:br/>
              <w:t>Septuagésimo noveno período de sesiones</w:t>
            </w:r>
            <w:r w:rsidRPr="00BC7AA5">
              <w:rPr>
                <w:sz w:val="24"/>
              </w:rPr>
              <w:br/>
              <w:t>Suplemento núm. 38</w:t>
            </w:r>
          </w:p>
          <w:p w14:paraId="251BF311" w14:textId="2482270A" w:rsidR="00943033" w:rsidRPr="00BC7AA5" w:rsidRDefault="00943033" w:rsidP="00943033">
            <w:pPr>
              <w:framePr w:hSpace="180" w:wrap="around" w:vAnchor="page" w:hAnchor="page" w:x="1210" w:y="1455" w:anchorLock="1"/>
              <w:spacing w:line="270" w:lineRule="exact"/>
              <w:rPr>
                <w:sz w:val="24"/>
              </w:rPr>
            </w:pPr>
          </w:p>
        </w:tc>
        <w:tc>
          <w:tcPr>
            <w:tcW w:w="4927" w:type="dxa"/>
            <w:shd w:val="clear" w:color="auto" w:fill="auto"/>
          </w:tcPr>
          <w:p w14:paraId="3C4892B7" w14:textId="70BB5079" w:rsidR="00943033" w:rsidRPr="00BC7AA5" w:rsidRDefault="00943033" w:rsidP="00943033">
            <w:pPr>
              <w:framePr w:hSpace="180" w:wrap="around" w:vAnchor="page" w:hAnchor="page" w:x="1210" w:y="1455" w:anchorLock="1"/>
              <w:spacing w:line="270" w:lineRule="exact"/>
              <w:jc w:val="right"/>
            </w:pPr>
            <w:r w:rsidRPr="00BC7AA5">
              <w:t>A/79/38</w:t>
            </w:r>
          </w:p>
        </w:tc>
      </w:tr>
    </w:tbl>
    <w:p w14:paraId="5FE6F2AA" w14:textId="7804499F" w:rsidR="00943033" w:rsidRPr="00BC7AA5" w:rsidRDefault="00943033" w:rsidP="00943033">
      <w:pPr>
        <w:framePr w:w="9864" w:h="1440" w:hSpace="180" w:wrap="around" w:vAnchor="page" w:hAnchor="page" w:x="1210" w:y="11808" w:anchorLock="1"/>
        <w:spacing w:before="600"/>
        <w:ind w:left="1267"/>
        <w:rPr>
          <w:sz w:val="28"/>
        </w:rPr>
      </w:pPr>
      <w:r w:rsidRPr="00BC7AA5">
        <w:rPr>
          <w:noProof/>
        </w:rPr>
        <w:drawing>
          <wp:inline distT="0" distB="0" distL="0" distR="0" wp14:anchorId="3EB0D6DD" wp14:editId="6624CA99">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BC7AA5">
        <w:br/>
      </w:r>
      <w:r w:rsidRPr="00BC7AA5">
        <w:rPr>
          <w:sz w:val="28"/>
        </w:rPr>
        <w:t xml:space="preserve">Naciones Unidas </w:t>
      </w:r>
      <w:r w:rsidRPr="00BC7AA5">
        <w:rPr>
          <w:sz w:val="28"/>
        </w:rPr>
        <w:sym w:font="Symbol" w:char="F0B7"/>
      </w:r>
      <w:r w:rsidRPr="00BC7AA5">
        <w:rPr>
          <w:sz w:val="28"/>
        </w:rPr>
        <w:t xml:space="preserve"> Nueva York, 2024</w:t>
      </w:r>
    </w:p>
    <w:p w14:paraId="53A5A81F" w14:textId="77777777" w:rsidR="0054211F" w:rsidRPr="00BC7AA5" w:rsidRDefault="00943033" w:rsidP="00943033">
      <w:pPr>
        <w:spacing w:after="800"/>
      </w:pPr>
      <w:commentRangeStart w:id="0"/>
      <w:commentRangeEnd w:id="0"/>
      <w:r w:rsidRPr="00BC7AA5">
        <w:rPr>
          <w:rStyle w:val="CommentReference"/>
          <w:szCs w:val="20"/>
        </w:rPr>
        <w:commentReference w:id="0"/>
      </w:r>
    </w:p>
    <w:p w14:paraId="05C17BA8" w14:textId="3982DE67" w:rsidR="00943033" w:rsidRPr="00BC7AA5" w:rsidRDefault="00BD1CBA" w:rsidP="00BD1CBA">
      <w:pPr>
        <w:pStyle w:val="SM"/>
        <w:ind w:right="1650"/>
      </w:pPr>
      <w:r w:rsidRPr="00BC7AA5">
        <w:t>Informe del Comité para la Eliminación de la Discriminación contra la Mujer</w:t>
      </w:r>
    </w:p>
    <w:p w14:paraId="3A3FAFDD" w14:textId="77777777" w:rsidR="00943033" w:rsidRPr="00BC7AA5" w:rsidRDefault="00943033" w:rsidP="00943033">
      <w:pPr>
        <w:spacing w:line="240" w:lineRule="auto"/>
        <w:ind w:left="1260"/>
        <w:rPr>
          <w:sz w:val="12"/>
        </w:rPr>
      </w:pPr>
    </w:p>
    <w:p w14:paraId="1CDF7249" w14:textId="77777777" w:rsidR="00943033" w:rsidRPr="00BC7AA5" w:rsidRDefault="00943033" w:rsidP="00943033">
      <w:pPr>
        <w:spacing w:line="240" w:lineRule="auto"/>
        <w:ind w:left="1260"/>
        <w:rPr>
          <w:sz w:val="12"/>
        </w:rPr>
      </w:pPr>
    </w:p>
    <w:p w14:paraId="2705B0C2" w14:textId="77777777" w:rsidR="00943033" w:rsidRPr="00BC7AA5" w:rsidRDefault="00943033" w:rsidP="00943033">
      <w:pPr>
        <w:spacing w:line="240" w:lineRule="auto"/>
        <w:ind w:left="1260"/>
        <w:rPr>
          <w:sz w:val="12"/>
        </w:rPr>
      </w:pPr>
    </w:p>
    <w:p w14:paraId="0A41AA0B" w14:textId="77777777" w:rsidR="00BD1CBA" w:rsidRPr="00BC7AA5" w:rsidRDefault="00BD1CBA" w:rsidP="00BD1CBA">
      <w:pPr>
        <w:pStyle w:val="SS"/>
      </w:pPr>
      <w:r w:rsidRPr="00BC7AA5">
        <w:t>85º período de sesiones</w:t>
      </w:r>
    </w:p>
    <w:p w14:paraId="5461D389" w14:textId="70B82A50" w:rsidR="00943033" w:rsidRPr="00BC7AA5" w:rsidRDefault="00BD1CBA" w:rsidP="00BD1CBA">
      <w:pPr>
        <w:pStyle w:val="SS"/>
      </w:pPr>
      <w:r w:rsidRPr="00BC7AA5">
        <w:t>8 a 26 de mayo de 2023</w:t>
      </w:r>
    </w:p>
    <w:p w14:paraId="5093A21A" w14:textId="77777777" w:rsidR="00943033" w:rsidRPr="00BC7AA5" w:rsidRDefault="00943033" w:rsidP="00943033">
      <w:pPr>
        <w:spacing w:line="240" w:lineRule="auto"/>
        <w:ind w:left="1260"/>
        <w:rPr>
          <w:sz w:val="12"/>
        </w:rPr>
      </w:pPr>
    </w:p>
    <w:p w14:paraId="0F897A7C" w14:textId="77777777" w:rsidR="00943033" w:rsidRPr="00BC7AA5" w:rsidRDefault="00943033" w:rsidP="00943033">
      <w:pPr>
        <w:spacing w:line="240" w:lineRule="auto"/>
        <w:ind w:left="1260"/>
        <w:rPr>
          <w:sz w:val="12"/>
        </w:rPr>
      </w:pPr>
    </w:p>
    <w:p w14:paraId="52FFCF0A" w14:textId="77777777" w:rsidR="00943033" w:rsidRPr="00BC7AA5" w:rsidRDefault="00943033" w:rsidP="00943033">
      <w:pPr>
        <w:spacing w:line="240" w:lineRule="auto"/>
        <w:ind w:left="1260"/>
        <w:rPr>
          <w:sz w:val="12"/>
        </w:rPr>
      </w:pPr>
    </w:p>
    <w:p w14:paraId="720B9C72" w14:textId="77777777" w:rsidR="00BD1CBA" w:rsidRPr="00BC7AA5" w:rsidRDefault="00BD1CBA" w:rsidP="00BD1CBA">
      <w:pPr>
        <w:pStyle w:val="SS"/>
      </w:pPr>
      <w:r w:rsidRPr="00BC7AA5">
        <w:t>86º período de sesiones</w:t>
      </w:r>
    </w:p>
    <w:p w14:paraId="09AD7ED2" w14:textId="427DC1C4" w:rsidR="00943033" w:rsidRPr="00BC7AA5" w:rsidRDefault="00BD1CBA" w:rsidP="00BD1CBA">
      <w:pPr>
        <w:pStyle w:val="SS"/>
      </w:pPr>
      <w:r w:rsidRPr="00BC7AA5">
        <w:t>9 a 27 de octubre de 2023</w:t>
      </w:r>
    </w:p>
    <w:p w14:paraId="5CEC8740" w14:textId="77777777" w:rsidR="00BD1CBA" w:rsidRPr="00BC7AA5" w:rsidRDefault="00BD1CBA" w:rsidP="00BD1CBA">
      <w:pPr>
        <w:spacing w:line="240" w:lineRule="auto"/>
        <w:ind w:left="1260"/>
        <w:rPr>
          <w:sz w:val="12"/>
        </w:rPr>
      </w:pPr>
    </w:p>
    <w:p w14:paraId="790D7F28" w14:textId="77777777" w:rsidR="00BD1CBA" w:rsidRPr="00BC7AA5" w:rsidRDefault="00BD1CBA" w:rsidP="00BD1CBA">
      <w:pPr>
        <w:spacing w:line="240" w:lineRule="auto"/>
        <w:ind w:left="1260"/>
        <w:rPr>
          <w:sz w:val="12"/>
        </w:rPr>
      </w:pPr>
    </w:p>
    <w:p w14:paraId="15D42ABA" w14:textId="77777777" w:rsidR="00BD1CBA" w:rsidRPr="00BC7AA5" w:rsidRDefault="00BD1CBA" w:rsidP="00BD1CBA">
      <w:pPr>
        <w:spacing w:line="240" w:lineRule="auto"/>
        <w:ind w:left="1260"/>
        <w:rPr>
          <w:sz w:val="12"/>
        </w:rPr>
      </w:pPr>
    </w:p>
    <w:p w14:paraId="5C0D9530" w14:textId="77777777" w:rsidR="00BD1CBA" w:rsidRPr="00BC7AA5" w:rsidRDefault="00BD1CBA" w:rsidP="00BD1CBA">
      <w:pPr>
        <w:pStyle w:val="SS"/>
      </w:pPr>
      <w:r w:rsidRPr="00BC7AA5">
        <w:t>87º período de sesiones</w:t>
      </w:r>
    </w:p>
    <w:p w14:paraId="0777EB87" w14:textId="10213E90" w:rsidR="00BD1CBA" w:rsidRPr="00BC7AA5" w:rsidRDefault="00BD1CBA" w:rsidP="00BD1CBA">
      <w:pPr>
        <w:pStyle w:val="SS"/>
      </w:pPr>
      <w:r w:rsidRPr="00BC7AA5">
        <w:t>29 de enero a 16 de febrero de 2024</w:t>
      </w:r>
    </w:p>
    <w:p w14:paraId="18D17BEB" w14:textId="57894748" w:rsidR="00943033" w:rsidRPr="00BC7AA5" w:rsidRDefault="00943033">
      <w:pPr>
        <w:suppressAutoHyphens w:val="0"/>
        <w:spacing w:after="160" w:line="259" w:lineRule="auto"/>
      </w:pPr>
      <w:r w:rsidRPr="00BC7AA5">
        <w:br w:type="page"/>
      </w:r>
    </w:p>
    <w:p w14:paraId="48806BFF" w14:textId="77777777" w:rsidR="00943033" w:rsidRPr="00BC7AA5" w:rsidRDefault="00943033" w:rsidP="00943033">
      <w:pPr>
        <w:spacing w:line="240" w:lineRule="auto"/>
        <w:ind w:left="1260"/>
      </w:pPr>
    </w:p>
    <w:p w14:paraId="7F4B22A5" w14:textId="05EEC864" w:rsidR="00943033" w:rsidRPr="00BC7AA5" w:rsidRDefault="00943033" w:rsidP="0032512E">
      <w:pPr>
        <w:framePr w:w="2880" w:h="288" w:hSpace="180" w:wrap="notBeside" w:vAnchor="page" w:hAnchor="margin" w:x="1268" w:y="13393" w:anchorLock="1"/>
      </w:pPr>
      <w:r w:rsidRPr="00BC7AA5">
        <w:t xml:space="preserve">ISSN </w:t>
      </w:r>
      <w:r w:rsidR="0032512E" w:rsidRPr="00BC7AA5">
        <w:t>0255-09</w:t>
      </w:r>
      <w:r w:rsidR="00CD292D">
        <w:t>97</w:t>
      </w:r>
    </w:p>
    <w:p w14:paraId="3C15F620" w14:textId="77777777" w:rsidR="00943033" w:rsidRPr="00BC7AA5" w:rsidRDefault="00943033" w:rsidP="00943033">
      <w:pPr>
        <w:spacing w:before="1400" w:line="240" w:lineRule="auto"/>
        <w:ind w:left="1260"/>
        <w:rPr>
          <w:i/>
        </w:rPr>
      </w:pPr>
      <w:r w:rsidRPr="00BC7AA5">
        <w:rPr>
          <w:i/>
        </w:rPr>
        <w:t>Nota</w:t>
      </w:r>
    </w:p>
    <w:p w14:paraId="7C3B0566" w14:textId="77777777" w:rsidR="00943033" w:rsidRPr="00BC7AA5" w:rsidRDefault="00943033" w:rsidP="00943033">
      <w:pPr>
        <w:spacing w:before="240" w:line="240" w:lineRule="auto"/>
        <w:ind w:left="1260" w:right="1260" w:firstLine="475"/>
        <w:jc w:val="both"/>
      </w:pPr>
      <w:r w:rsidRPr="00BC7AA5">
        <w:t>Las signaturas de los documentos de las Naciones Unidas se componen de letras y cifras. La mención de una de tales signaturas indica que se hace referencia a un documento de las Naciones Unidas.</w:t>
      </w:r>
    </w:p>
    <w:p w14:paraId="5A3E1865" w14:textId="77777777" w:rsidR="00943033" w:rsidRPr="00BC7AA5" w:rsidRDefault="00943033" w:rsidP="00943033">
      <w:pPr>
        <w:spacing w:before="240" w:line="240" w:lineRule="auto"/>
        <w:ind w:left="1260" w:right="1260" w:firstLine="475"/>
        <w:jc w:val="both"/>
        <w:sectPr w:rsidR="00943033" w:rsidRPr="00BC7AA5" w:rsidSect="001C2FAD">
          <w:headerReference w:type="first" r:id="rId16"/>
          <w:footerReference w:type="first" r:id="rId17"/>
          <w:footnotePr>
            <w:numRestart w:val="eachSect"/>
          </w:footnotePr>
          <w:endnotePr>
            <w:numFmt w:val="decimal"/>
          </w:endnotePr>
          <w:pgSz w:w="12240" w:h="15840"/>
          <w:pgMar w:top="1440" w:right="1200" w:bottom="1728" w:left="1200" w:header="432" w:footer="504" w:gutter="0"/>
          <w:cols w:space="720"/>
          <w:titlePg/>
          <w:docGrid w:linePitch="360"/>
        </w:sectPr>
      </w:pPr>
    </w:p>
    <w:p w14:paraId="24DE6A77" w14:textId="318FFF1F" w:rsidR="00943033" w:rsidRPr="00BC7AA5" w:rsidRDefault="00943033" w:rsidP="00943033">
      <w:pPr>
        <w:spacing w:before="240" w:line="240" w:lineRule="auto"/>
        <w:ind w:left="1260" w:right="1260" w:firstLine="475"/>
        <w:jc w:val="both"/>
      </w:pPr>
    </w:p>
    <w:p w14:paraId="49CCA84D" w14:textId="577A555D" w:rsidR="00943033" w:rsidRPr="00BC7AA5" w:rsidRDefault="00943033" w:rsidP="0032512E">
      <w:pPr>
        <w:jc w:val="right"/>
      </w:pPr>
      <w:r w:rsidRPr="00BC7AA5">
        <w:t>[</w:t>
      </w:r>
      <w:r w:rsidR="0032512E" w:rsidRPr="00BC7AA5">
        <w:t>4 de abril de 2024</w:t>
      </w:r>
      <w:r w:rsidRPr="00BC7AA5">
        <w:t>]</w:t>
      </w:r>
    </w:p>
    <w:p w14:paraId="71A3110E" w14:textId="77777777" w:rsidR="00943033" w:rsidRPr="00BC7AA5" w:rsidRDefault="00943033" w:rsidP="00943033">
      <w:pPr>
        <w:pStyle w:val="HCh"/>
        <w:spacing w:before="880" w:after="100"/>
        <w:rPr>
          <w:b w:val="0"/>
        </w:rPr>
      </w:pPr>
      <w:r w:rsidRPr="00BC7AA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43033" w:rsidRPr="00BC7AA5" w14:paraId="5DF07EF9" w14:textId="77777777" w:rsidTr="00943033">
        <w:tc>
          <w:tcPr>
            <w:tcW w:w="1060" w:type="dxa"/>
            <w:shd w:val="clear" w:color="auto" w:fill="auto"/>
          </w:tcPr>
          <w:p w14:paraId="0AF8766F" w14:textId="6E43F4A4" w:rsidR="00943033" w:rsidRPr="00BC7AA5" w:rsidRDefault="00943033" w:rsidP="00943033">
            <w:pPr>
              <w:spacing w:after="120"/>
              <w:jc w:val="right"/>
              <w:rPr>
                <w:i/>
                <w:sz w:val="14"/>
              </w:rPr>
            </w:pPr>
            <w:r w:rsidRPr="00BC7AA5">
              <w:rPr>
                <w:i/>
                <w:sz w:val="14"/>
              </w:rPr>
              <w:t>Capítulo</w:t>
            </w:r>
          </w:p>
        </w:tc>
        <w:tc>
          <w:tcPr>
            <w:tcW w:w="7056" w:type="dxa"/>
            <w:shd w:val="clear" w:color="auto" w:fill="auto"/>
          </w:tcPr>
          <w:p w14:paraId="78E448A0" w14:textId="77777777" w:rsidR="00943033" w:rsidRPr="00BC7AA5" w:rsidRDefault="00943033" w:rsidP="00943033">
            <w:pPr>
              <w:spacing w:after="120"/>
              <w:rPr>
                <w:i/>
                <w:sz w:val="14"/>
              </w:rPr>
            </w:pPr>
          </w:p>
        </w:tc>
        <w:tc>
          <w:tcPr>
            <w:tcW w:w="994" w:type="dxa"/>
            <w:shd w:val="clear" w:color="auto" w:fill="auto"/>
          </w:tcPr>
          <w:p w14:paraId="68C32D31" w14:textId="5D0B34D1" w:rsidR="00943033" w:rsidRPr="00BC7AA5" w:rsidRDefault="00943033" w:rsidP="00943033">
            <w:pPr>
              <w:spacing w:after="120"/>
              <w:ind w:right="40"/>
              <w:jc w:val="right"/>
              <w:rPr>
                <w:i/>
                <w:sz w:val="14"/>
              </w:rPr>
            </w:pPr>
          </w:p>
        </w:tc>
        <w:tc>
          <w:tcPr>
            <w:tcW w:w="792" w:type="dxa"/>
            <w:shd w:val="clear" w:color="auto" w:fill="auto"/>
          </w:tcPr>
          <w:p w14:paraId="22A98F70" w14:textId="523C5234" w:rsidR="00943033" w:rsidRPr="00BC7AA5" w:rsidRDefault="00943033" w:rsidP="00943033">
            <w:pPr>
              <w:spacing w:after="120"/>
              <w:ind w:right="40"/>
              <w:jc w:val="right"/>
              <w:rPr>
                <w:i/>
                <w:sz w:val="14"/>
              </w:rPr>
            </w:pPr>
            <w:r w:rsidRPr="00BC7AA5">
              <w:rPr>
                <w:i/>
                <w:sz w:val="14"/>
              </w:rPr>
              <w:t>Página</w:t>
            </w:r>
          </w:p>
        </w:tc>
      </w:tr>
      <w:tr w:rsidR="004051C9" w:rsidRPr="00BC7AA5" w14:paraId="20896F2C" w14:textId="77777777" w:rsidTr="0032512E">
        <w:tc>
          <w:tcPr>
            <w:tcW w:w="9110" w:type="dxa"/>
            <w:gridSpan w:val="3"/>
            <w:shd w:val="clear" w:color="auto" w:fill="auto"/>
          </w:tcPr>
          <w:p w14:paraId="7AABD498" w14:textId="1D3D63B4" w:rsidR="004051C9" w:rsidRPr="00B212E1" w:rsidRDefault="004051C9" w:rsidP="00B212E1">
            <w:pPr>
              <w:tabs>
                <w:tab w:val="right" w:pos="1080"/>
                <w:tab w:val="left" w:pos="1300"/>
                <w:tab w:val="left" w:pos="1740"/>
                <w:tab w:val="left" w:pos="2180"/>
                <w:tab w:val="right" w:leader="dot" w:pos="9245"/>
              </w:tabs>
              <w:spacing w:after="120"/>
              <w:rPr>
                <w:spacing w:val="60"/>
                <w:sz w:val="17"/>
              </w:rPr>
            </w:pPr>
            <w:r>
              <w:tab/>
            </w:r>
            <w:r>
              <w:tab/>
            </w:r>
            <w:r w:rsidRPr="007F564F">
              <w:t>Carta de envío</w:t>
            </w:r>
            <w:r>
              <w:rPr>
                <w:spacing w:val="60"/>
                <w:sz w:val="17"/>
              </w:rPr>
              <w:tab/>
            </w:r>
          </w:p>
        </w:tc>
        <w:tc>
          <w:tcPr>
            <w:tcW w:w="792" w:type="dxa"/>
            <w:shd w:val="clear" w:color="auto" w:fill="auto"/>
            <w:vAlign w:val="bottom"/>
          </w:tcPr>
          <w:p w14:paraId="2D07D52A" w14:textId="1D1A358D" w:rsidR="004051C9" w:rsidRPr="00BC7AA5" w:rsidRDefault="004051C9" w:rsidP="004051C9">
            <w:pPr>
              <w:spacing w:after="120"/>
              <w:jc w:val="right"/>
            </w:pPr>
            <w:r>
              <w:t>6</w:t>
            </w:r>
          </w:p>
        </w:tc>
      </w:tr>
      <w:tr w:rsidR="004051C9" w:rsidRPr="00BC7AA5" w14:paraId="4AC90419" w14:textId="77777777" w:rsidTr="0032512E">
        <w:tc>
          <w:tcPr>
            <w:tcW w:w="9110" w:type="dxa"/>
            <w:gridSpan w:val="3"/>
            <w:shd w:val="clear" w:color="auto" w:fill="auto"/>
          </w:tcPr>
          <w:p w14:paraId="4066F594" w14:textId="77777777" w:rsidR="004051C9" w:rsidRPr="00B212E1" w:rsidRDefault="004051C9" w:rsidP="00B212E1">
            <w:pPr>
              <w:tabs>
                <w:tab w:val="right" w:pos="1080"/>
                <w:tab w:val="left" w:pos="1296"/>
                <w:tab w:val="right" w:pos="1714"/>
                <w:tab w:val="left" w:pos="2160"/>
                <w:tab w:val="left" w:pos="2592"/>
                <w:tab w:val="left" w:pos="3024"/>
                <w:tab w:val="left" w:pos="3456"/>
              </w:tabs>
              <w:ind w:left="1296" w:hanging="1296"/>
              <w:rPr>
                <w:b/>
              </w:rPr>
            </w:pPr>
            <w:r>
              <w:tab/>
            </w:r>
            <w:r w:rsidRPr="00B212E1">
              <w:rPr>
                <w:b/>
              </w:rPr>
              <w:tab/>
              <w:t>Primera parte</w:t>
            </w:r>
          </w:p>
          <w:p w14:paraId="1F2FA535" w14:textId="1CE85178" w:rsidR="004051C9" w:rsidRPr="00B212E1" w:rsidRDefault="004051C9" w:rsidP="00B212E1">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rsidRPr="00B212E1">
              <w:rPr>
                <w:b/>
              </w:rPr>
              <w:tab/>
            </w:r>
            <w:r w:rsidRPr="00B212E1">
              <w:rPr>
                <w:b/>
              </w:rPr>
              <w:tab/>
              <w:t xml:space="preserve">Informe del Comité para la Eliminación de la Discriminación contra la Mujer </w:t>
            </w:r>
            <w:r>
              <w:rPr>
                <w:b/>
              </w:rPr>
              <w:br/>
            </w:r>
            <w:r w:rsidRPr="00B212E1">
              <w:rPr>
                <w:b/>
              </w:rPr>
              <w:t>en su 85º período de sesiones</w:t>
            </w:r>
            <w:r w:rsidRPr="00B212E1">
              <w:rPr>
                <w:bCs/>
                <w:spacing w:val="60"/>
                <w:sz w:val="17"/>
              </w:rPr>
              <w:tab/>
            </w:r>
          </w:p>
        </w:tc>
        <w:tc>
          <w:tcPr>
            <w:tcW w:w="792" w:type="dxa"/>
            <w:shd w:val="clear" w:color="auto" w:fill="auto"/>
            <w:vAlign w:val="bottom"/>
          </w:tcPr>
          <w:p w14:paraId="01E1B428" w14:textId="11853279" w:rsidR="004051C9" w:rsidRPr="00BC7AA5" w:rsidRDefault="004051C9" w:rsidP="004051C9">
            <w:pPr>
              <w:spacing w:after="120"/>
              <w:jc w:val="right"/>
            </w:pPr>
            <w:r>
              <w:t>7</w:t>
            </w:r>
          </w:p>
        </w:tc>
      </w:tr>
      <w:tr w:rsidR="004051C9" w:rsidRPr="00BC7AA5" w14:paraId="1A168478" w14:textId="77777777" w:rsidTr="0032512E">
        <w:tc>
          <w:tcPr>
            <w:tcW w:w="9110" w:type="dxa"/>
            <w:gridSpan w:val="3"/>
            <w:shd w:val="clear" w:color="auto" w:fill="auto"/>
          </w:tcPr>
          <w:p w14:paraId="1025D17A" w14:textId="79381D57"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7F564F">
              <w:rPr>
                <w:bCs/>
              </w:rPr>
              <w:t>Decisiones adoptadas por el Comité</w:t>
            </w:r>
            <w:r>
              <w:rPr>
                <w:bCs/>
                <w:spacing w:val="60"/>
                <w:sz w:val="17"/>
              </w:rPr>
              <w:tab/>
            </w:r>
          </w:p>
        </w:tc>
        <w:tc>
          <w:tcPr>
            <w:tcW w:w="792" w:type="dxa"/>
            <w:shd w:val="clear" w:color="auto" w:fill="auto"/>
            <w:vAlign w:val="bottom"/>
          </w:tcPr>
          <w:p w14:paraId="15E1FF94" w14:textId="3DEE140A" w:rsidR="004051C9" w:rsidRPr="00BC7AA5" w:rsidRDefault="004051C9" w:rsidP="004051C9">
            <w:pPr>
              <w:spacing w:after="120"/>
              <w:jc w:val="right"/>
            </w:pPr>
            <w:r>
              <w:t>8</w:t>
            </w:r>
          </w:p>
        </w:tc>
      </w:tr>
      <w:tr w:rsidR="004051C9" w:rsidRPr="00BC7AA5" w14:paraId="5BA0AFD2" w14:textId="77777777" w:rsidTr="0032512E">
        <w:tc>
          <w:tcPr>
            <w:tcW w:w="9110" w:type="dxa"/>
            <w:gridSpan w:val="3"/>
            <w:shd w:val="clear" w:color="auto" w:fill="auto"/>
          </w:tcPr>
          <w:p w14:paraId="1B467CF8" w14:textId="5A8D3465"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7F564F">
              <w:rPr>
                <w:bCs/>
              </w:rPr>
              <w:t>Cuestiones de organización y otros asuntos</w:t>
            </w:r>
            <w:r>
              <w:rPr>
                <w:bCs/>
                <w:spacing w:val="60"/>
                <w:sz w:val="17"/>
              </w:rPr>
              <w:tab/>
            </w:r>
          </w:p>
        </w:tc>
        <w:tc>
          <w:tcPr>
            <w:tcW w:w="792" w:type="dxa"/>
            <w:shd w:val="clear" w:color="auto" w:fill="auto"/>
            <w:vAlign w:val="bottom"/>
          </w:tcPr>
          <w:p w14:paraId="7A34EE23" w14:textId="7183936E" w:rsidR="004051C9" w:rsidRPr="00BC7AA5" w:rsidRDefault="004051C9" w:rsidP="004051C9">
            <w:pPr>
              <w:spacing w:after="120"/>
              <w:jc w:val="right"/>
            </w:pPr>
            <w:r>
              <w:t>10</w:t>
            </w:r>
          </w:p>
        </w:tc>
      </w:tr>
      <w:tr w:rsidR="004051C9" w:rsidRPr="00BC7AA5" w14:paraId="2431184C" w14:textId="77777777" w:rsidTr="00B212E1">
        <w:tc>
          <w:tcPr>
            <w:tcW w:w="9110" w:type="dxa"/>
            <w:gridSpan w:val="3"/>
            <w:shd w:val="clear" w:color="auto" w:fill="auto"/>
          </w:tcPr>
          <w:p w14:paraId="5D5A784B" w14:textId="1B4BE30D"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7F564F">
              <w:rPr>
                <w:bCs/>
              </w:rPr>
              <w:t>Estados partes en la Convención y en el Protocolo Facultativo</w:t>
            </w:r>
            <w:r>
              <w:rPr>
                <w:bCs/>
                <w:spacing w:val="60"/>
                <w:sz w:val="17"/>
              </w:rPr>
              <w:tab/>
            </w:r>
          </w:p>
        </w:tc>
        <w:tc>
          <w:tcPr>
            <w:tcW w:w="792" w:type="dxa"/>
            <w:shd w:val="clear" w:color="auto" w:fill="auto"/>
          </w:tcPr>
          <w:p w14:paraId="72C5AAA9" w14:textId="5FBBCDF5" w:rsidR="004051C9" w:rsidRPr="00BC7AA5" w:rsidRDefault="004051C9" w:rsidP="004051C9">
            <w:pPr>
              <w:spacing w:after="120"/>
              <w:jc w:val="right"/>
            </w:pPr>
            <w:r w:rsidRPr="00343D98">
              <w:t>10</w:t>
            </w:r>
          </w:p>
        </w:tc>
      </w:tr>
      <w:tr w:rsidR="004051C9" w:rsidRPr="00BC7AA5" w14:paraId="26A98FA7" w14:textId="77777777" w:rsidTr="00B212E1">
        <w:tc>
          <w:tcPr>
            <w:tcW w:w="9110" w:type="dxa"/>
            <w:gridSpan w:val="3"/>
            <w:shd w:val="clear" w:color="auto" w:fill="auto"/>
          </w:tcPr>
          <w:p w14:paraId="421EE0C7" w14:textId="3797D584"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7F564F">
              <w:rPr>
                <w:bCs/>
              </w:rPr>
              <w:t>Apertura del período de sesiones</w:t>
            </w:r>
            <w:r>
              <w:rPr>
                <w:bCs/>
                <w:spacing w:val="60"/>
                <w:sz w:val="17"/>
              </w:rPr>
              <w:tab/>
            </w:r>
          </w:p>
        </w:tc>
        <w:tc>
          <w:tcPr>
            <w:tcW w:w="792" w:type="dxa"/>
            <w:shd w:val="clear" w:color="auto" w:fill="auto"/>
          </w:tcPr>
          <w:p w14:paraId="35A21918" w14:textId="42D91887" w:rsidR="004051C9" w:rsidRPr="00BC7AA5" w:rsidRDefault="004051C9" w:rsidP="004051C9">
            <w:pPr>
              <w:spacing w:after="120"/>
              <w:jc w:val="right"/>
            </w:pPr>
            <w:r w:rsidRPr="00343D98">
              <w:t>10</w:t>
            </w:r>
          </w:p>
        </w:tc>
      </w:tr>
      <w:tr w:rsidR="004051C9" w:rsidRPr="00BC7AA5" w14:paraId="2531B24A" w14:textId="77777777" w:rsidTr="00B212E1">
        <w:tc>
          <w:tcPr>
            <w:tcW w:w="9110" w:type="dxa"/>
            <w:gridSpan w:val="3"/>
            <w:shd w:val="clear" w:color="auto" w:fill="auto"/>
          </w:tcPr>
          <w:p w14:paraId="5C736F4A" w14:textId="693D366A"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right" w:leader="dot" w:pos="9245"/>
              </w:tabs>
              <w:spacing w:after="120"/>
            </w:pPr>
            <w:r w:rsidRPr="007F564F">
              <w:rPr>
                <w:bCs/>
              </w:rPr>
              <w:t>Aprobación del programa</w:t>
            </w:r>
            <w:r>
              <w:rPr>
                <w:bCs/>
                <w:spacing w:val="60"/>
                <w:sz w:val="17"/>
              </w:rPr>
              <w:tab/>
            </w:r>
          </w:p>
        </w:tc>
        <w:tc>
          <w:tcPr>
            <w:tcW w:w="792" w:type="dxa"/>
            <w:shd w:val="clear" w:color="auto" w:fill="auto"/>
          </w:tcPr>
          <w:p w14:paraId="53815F4B" w14:textId="1D8EDBCC" w:rsidR="004051C9" w:rsidRPr="00BC7AA5" w:rsidRDefault="004051C9" w:rsidP="004051C9">
            <w:pPr>
              <w:spacing w:after="120"/>
              <w:jc w:val="right"/>
            </w:pPr>
            <w:r w:rsidRPr="00343D98">
              <w:t>10</w:t>
            </w:r>
          </w:p>
        </w:tc>
      </w:tr>
      <w:tr w:rsidR="004051C9" w:rsidRPr="00BC7AA5" w14:paraId="636A2E27" w14:textId="77777777" w:rsidTr="00B212E1">
        <w:tc>
          <w:tcPr>
            <w:tcW w:w="9110" w:type="dxa"/>
            <w:gridSpan w:val="3"/>
            <w:shd w:val="clear" w:color="auto" w:fill="auto"/>
          </w:tcPr>
          <w:p w14:paraId="01F19F87" w14:textId="448AF9E2"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7F564F">
              <w:rPr>
                <w:bCs/>
              </w:rPr>
              <w:t>Informe del grupo de trabajo anterior al período de sesiones</w:t>
            </w:r>
            <w:r>
              <w:rPr>
                <w:bCs/>
                <w:spacing w:val="60"/>
                <w:sz w:val="17"/>
              </w:rPr>
              <w:tab/>
            </w:r>
          </w:p>
        </w:tc>
        <w:tc>
          <w:tcPr>
            <w:tcW w:w="792" w:type="dxa"/>
            <w:shd w:val="clear" w:color="auto" w:fill="auto"/>
          </w:tcPr>
          <w:p w14:paraId="2D81B0D9" w14:textId="0C92D20B" w:rsidR="004051C9" w:rsidRPr="00BC7AA5" w:rsidRDefault="004051C9" w:rsidP="004051C9">
            <w:pPr>
              <w:spacing w:after="120"/>
              <w:jc w:val="right"/>
            </w:pPr>
            <w:r w:rsidRPr="00343D98">
              <w:t>10</w:t>
            </w:r>
          </w:p>
        </w:tc>
      </w:tr>
      <w:tr w:rsidR="004051C9" w:rsidRPr="00BC7AA5" w14:paraId="2F89A6C7" w14:textId="77777777" w:rsidTr="00B212E1">
        <w:tc>
          <w:tcPr>
            <w:tcW w:w="9110" w:type="dxa"/>
            <w:gridSpan w:val="3"/>
            <w:shd w:val="clear" w:color="auto" w:fill="auto"/>
          </w:tcPr>
          <w:p w14:paraId="638C298A" w14:textId="1A4608FA"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7F564F">
              <w:rPr>
                <w:bCs/>
              </w:rPr>
              <w:t>Organización de los trabajos</w:t>
            </w:r>
            <w:r>
              <w:rPr>
                <w:bCs/>
                <w:spacing w:val="60"/>
                <w:sz w:val="17"/>
              </w:rPr>
              <w:tab/>
            </w:r>
          </w:p>
        </w:tc>
        <w:tc>
          <w:tcPr>
            <w:tcW w:w="792" w:type="dxa"/>
            <w:shd w:val="clear" w:color="auto" w:fill="auto"/>
          </w:tcPr>
          <w:p w14:paraId="13228D0B" w14:textId="7790948F" w:rsidR="004051C9" w:rsidRPr="00BC7AA5" w:rsidRDefault="004051C9" w:rsidP="004051C9">
            <w:pPr>
              <w:spacing w:after="120"/>
              <w:jc w:val="right"/>
            </w:pPr>
            <w:r w:rsidRPr="00343D98">
              <w:t>10</w:t>
            </w:r>
          </w:p>
        </w:tc>
      </w:tr>
      <w:tr w:rsidR="004051C9" w:rsidRPr="00BC7AA5" w14:paraId="52C83EAB" w14:textId="77777777" w:rsidTr="0032512E">
        <w:tc>
          <w:tcPr>
            <w:tcW w:w="9110" w:type="dxa"/>
            <w:gridSpan w:val="3"/>
            <w:shd w:val="clear" w:color="auto" w:fill="auto"/>
          </w:tcPr>
          <w:p w14:paraId="21CF86EA" w14:textId="5E118AB6"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right" w:leader="dot" w:pos="9245"/>
              </w:tabs>
              <w:spacing w:after="120"/>
            </w:pPr>
            <w:r w:rsidRPr="007F564F">
              <w:rPr>
                <w:bCs/>
              </w:rPr>
              <w:t>Composición del Comité</w:t>
            </w:r>
            <w:r>
              <w:rPr>
                <w:bCs/>
                <w:spacing w:val="60"/>
                <w:sz w:val="17"/>
              </w:rPr>
              <w:tab/>
            </w:r>
          </w:p>
        </w:tc>
        <w:tc>
          <w:tcPr>
            <w:tcW w:w="792" w:type="dxa"/>
            <w:shd w:val="clear" w:color="auto" w:fill="auto"/>
            <w:vAlign w:val="bottom"/>
          </w:tcPr>
          <w:p w14:paraId="31778F7B" w14:textId="00A0245E" w:rsidR="004051C9" w:rsidRPr="00BC7AA5" w:rsidRDefault="004051C9" w:rsidP="004051C9">
            <w:pPr>
              <w:spacing w:after="120"/>
              <w:jc w:val="right"/>
            </w:pPr>
            <w:r>
              <w:t>11</w:t>
            </w:r>
          </w:p>
        </w:tc>
      </w:tr>
      <w:tr w:rsidR="004051C9" w:rsidRPr="00BC7AA5" w14:paraId="684C7221" w14:textId="77777777" w:rsidTr="0032512E">
        <w:tc>
          <w:tcPr>
            <w:tcW w:w="9110" w:type="dxa"/>
            <w:gridSpan w:val="3"/>
            <w:shd w:val="clear" w:color="auto" w:fill="auto"/>
          </w:tcPr>
          <w:p w14:paraId="448E3DBC" w14:textId="1ABE1DF9"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ab/>
            </w:r>
            <w:r w:rsidRPr="007F564F">
              <w:rPr>
                <w:bCs/>
              </w:rPr>
              <w:t>Informe de la Presidencia sobre las actividades realizadas entre períodos de sesiones</w:t>
            </w:r>
            <w:r>
              <w:rPr>
                <w:bCs/>
                <w:spacing w:val="60"/>
                <w:sz w:val="17"/>
              </w:rPr>
              <w:tab/>
            </w:r>
          </w:p>
        </w:tc>
        <w:tc>
          <w:tcPr>
            <w:tcW w:w="792" w:type="dxa"/>
            <w:shd w:val="clear" w:color="auto" w:fill="auto"/>
            <w:vAlign w:val="bottom"/>
          </w:tcPr>
          <w:p w14:paraId="1FE32699" w14:textId="1A9FEBB7" w:rsidR="004051C9" w:rsidRPr="00BC7AA5" w:rsidRDefault="004051C9" w:rsidP="004051C9">
            <w:pPr>
              <w:spacing w:after="120"/>
              <w:jc w:val="right"/>
            </w:pPr>
            <w:r>
              <w:t>12</w:t>
            </w:r>
          </w:p>
        </w:tc>
      </w:tr>
      <w:tr w:rsidR="004051C9" w:rsidRPr="00BC7AA5" w14:paraId="7C00EF04" w14:textId="77777777" w:rsidTr="0032512E">
        <w:tc>
          <w:tcPr>
            <w:tcW w:w="9110" w:type="dxa"/>
            <w:gridSpan w:val="3"/>
            <w:shd w:val="clear" w:color="auto" w:fill="auto"/>
          </w:tcPr>
          <w:p w14:paraId="494477BF" w14:textId="129D10E2" w:rsidR="004051C9" w:rsidRPr="00BC7AA5" w:rsidRDefault="004051C9" w:rsidP="00B212E1">
            <w:pPr>
              <w:pStyle w:val="ListParagraph"/>
              <w:numPr>
                <w:ilvl w:val="0"/>
                <w:numId w:val="27"/>
              </w:numPr>
              <w:tabs>
                <w:tab w:val="clear" w:pos="1296"/>
                <w:tab w:val="right" w:pos="1080"/>
                <w:tab w:val="left" w:pos="1300"/>
                <w:tab w:val="left" w:pos="1740"/>
                <w:tab w:val="left" w:pos="2180"/>
                <w:tab w:val="right" w:leader="dot" w:pos="9245"/>
              </w:tabs>
              <w:spacing w:after="120"/>
            </w:pPr>
            <w:r>
              <w:tab/>
            </w:r>
            <w:r w:rsidRPr="007F564F">
              <w:rPr>
                <w:bCs/>
              </w:rPr>
              <w:t>Examen de los informes presentados por los Estados partes en virtud del artículo 18 de la Convención</w:t>
            </w:r>
            <w:r>
              <w:rPr>
                <w:bCs/>
                <w:spacing w:val="60"/>
                <w:sz w:val="17"/>
              </w:rPr>
              <w:tab/>
            </w:r>
          </w:p>
        </w:tc>
        <w:tc>
          <w:tcPr>
            <w:tcW w:w="792" w:type="dxa"/>
            <w:shd w:val="clear" w:color="auto" w:fill="auto"/>
            <w:vAlign w:val="bottom"/>
          </w:tcPr>
          <w:p w14:paraId="62B2AF6E" w14:textId="04227C7D" w:rsidR="004051C9" w:rsidRPr="00BC7AA5" w:rsidRDefault="004051C9" w:rsidP="004051C9">
            <w:pPr>
              <w:spacing w:after="120"/>
              <w:jc w:val="right"/>
            </w:pPr>
            <w:r>
              <w:t>13</w:t>
            </w:r>
          </w:p>
        </w:tc>
      </w:tr>
      <w:tr w:rsidR="004051C9" w:rsidRPr="00BC7AA5" w14:paraId="19F4083B" w14:textId="77777777" w:rsidTr="0032512E">
        <w:tc>
          <w:tcPr>
            <w:tcW w:w="9110" w:type="dxa"/>
            <w:gridSpan w:val="3"/>
            <w:shd w:val="clear" w:color="auto" w:fill="auto"/>
          </w:tcPr>
          <w:p w14:paraId="06C9D04F" w14:textId="7CB76EBC"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7F564F">
              <w:rPr>
                <w:bCs/>
              </w:rPr>
              <w:t>Actividades llevadas a cabo en virtud del Protocolo Facultativo</w:t>
            </w:r>
            <w:r>
              <w:rPr>
                <w:bCs/>
                <w:spacing w:val="60"/>
                <w:sz w:val="17"/>
              </w:rPr>
              <w:tab/>
            </w:r>
          </w:p>
        </w:tc>
        <w:tc>
          <w:tcPr>
            <w:tcW w:w="792" w:type="dxa"/>
            <w:shd w:val="clear" w:color="auto" w:fill="auto"/>
            <w:vAlign w:val="bottom"/>
          </w:tcPr>
          <w:p w14:paraId="07491695" w14:textId="3A0E7E72" w:rsidR="004051C9" w:rsidRPr="00BC7AA5" w:rsidRDefault="004051C9" w:rsidP="004051C9">
            <w:pPr>
              <w:spacing w:after="120"/>
              <w:jc w:val="right"/>
            </w:pPr>
            <w:r>
              <w:t>14</w:t>
            </w:r>
          </w:p>
        </w:tc>
      </w:tr>
      <w:tr w:rsidR="004051C9" w:rsidRPr="00BC7AA5" w14:paraId="1CDB5E34" w14:textId="77777777" w:rsidTr="0032512E">
        <w:tc>
          <w:tcPr>
            <w:tcW w:w="9110" w:type="dxa"/>
            <w:gridSpan w:val="3"/>
            <w:shd w:val="clear" w:color="auto" w:fill="auto"/>
          </w:tcPr>
          <w:p w14:paraId="2C56FC4D" w14:textId="2DD97BBD"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7F564F">
              <w:rPr>
                <w:bCs/>
              </w:rPr>
              <w:t>Medidas adoptadas por el Comité con respecto a las cuestiones previstas en el artículo 2 del Protocolo Facultativo</w:t>
            </w:r>
            <w:r>
              <w:rPr>
                <w:bCs/>
                <w:spacing w:val="60"/>
                <w:sz w:val="17"/>
              </w:rPr>
              <w:tab/>
            </w:r>
          </w:p>
        </w:tc>
        <w:tc>
          <w:tcPr>
            <w:tcW w:w="792" w:type="dxa"/>
            <w:shd w:val="clear" w:color="auto" w:fill="auto"/>
            <w:vAlign w:val="bottom"/>
          </w:tcPr>
          <w:p w14:paraId="2019E7B9" w14:textId="5915B1FE" w:rsidR="004051C9" w:rsidRPr="00BC7AA5" w:rsidRDefault="004051C9" w:rsidP="004051C9">
            <w:pPr>
              <w:spacing w:after="120"/>
              <w:jc w:val="right"/>
            </w:pPr>
            <w:r>
              <w:t>14</w:t>
            </w:r>
          </w:p>
        </w:tc>
      </w:tr>
      <w:tr w:rsidR="004051C9" w:rsidRPr="00BC7AA5" w14:paraId="4B8362E0" w14:textId="77777777" w:rsidTr="0032512E">
        <w:tc>
          <w:tcPr>
            <w:tcW w:w="9110" w:type="dxa"/>
            <w:gridSpan w:val="3"/>
            <w:shd w:val="clear" w:color="auto" w:fill="auto"/>
          </w:tcPr>
          <w:p w14:paraId="5B22EBA8" w14:textId="32A558C7"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7F564F">
              <w:rPr>
                <w:bCs/>
              </w:rPr>
              <w:t>Seguimiento de los dictámenes del Comité sobre comunicaciones individuales</w:t>
            </w:r>
            <w:r>
              <w:rPr>
                <w:bCs/>
                <w:spacing w:val="60"/>
                <w:sz w:val="17"/>
              </w:rPr>
              <w:tab/>
            </w:r>
          </w:p>
        </w:tc>
        <w:tc>
          <w:tcPr>
            <w:tcW w:w="792" w:type="dxa"/>
            <w:shd w:val="clear" w:color="auto" w:fill="auto"/>
            <w:vAlign w:val="bottom"/>
          </w:tcPr>
          <w:p w14:paraId="65B77EAB" w14:textId="305A45E0" w:rsidR="004051C9" w:rsidRPr="00BC7AA5" w:rsidRDefault="004051C9" w:rsidP="004051C9">
            <w:pPr>
              <w:spacing w:after="120"/>
              <w:jc w:val="right"/>
            </w:pPr>
            <w:r>
              <w:t>14</w:t>
            </w:r>
          </w:p>
        </w:tc>
      </w:tr>
      <w:tr w:rsidR="004051C9" w:rsidRPr="00BC7AA5" w14:paraId="62309E25" w14:textId="77777777" w:rsidTr="0032512E">
        <w:tc>
          <w:tcPr>
            <w:tcW w:w="9110" w:type="dxa"/>
            <w:gridSpan w:val="3"/>
            <w:shd w:val="clear" w:color="auto" w:fill="auto"/>
          </w:tcPr>
          <w:p w14:paraId="1A61A9E6" w14:textId="4A71E3BB" w:rsidR="004051C9" w:rsidRPr="00BC7AA5" w:rsidRDefault="004051C9" w:rsidP="00B212E1">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7F564F">
              <w:rPr>
                <w:bCs/>
              </w:rPr>
              <w:t>Medidas adoptadas por el Comité con respecto a las cuestiones previstas en el artículo 8 del Protocolo Facultativo</w:t>
            </w:r>
            <w:r>
              <w:rPr>
                <w:bCs/>
                <w:spacing w:val="60"/>
                <w:sz w:val="17"/>
              </w:rPr>
              <w:tab/>
            </w:r>
          </w:p>
        </w:tc>
        <w:tc>
          <w:tcPr>
            <w:tcW w:w="792" w:type="dxa"/>
            <w:shd w:val="clear" w:color="auto" w:fill="auto"/>
            <w:vAlign w:val="bottom"/>
          </w:tcPr>
          <w:p w14:paraId="2FBF8A7D" w14:textId="12376BBC" w:rsidR="004051C9" w:rsidRPr="00BC7AA5" w:rsidRDefault="004051C9" w:rsidP="004051C9">
            <w:pPr>
              <w:spacing w:after="120"/>
              <w:jc w:val="right"/>
            </w:pPr>
            <w:r>
              <w:t>14</w:t>
            </w:r>
          </w:p>
        </w:tc>
      </w:tr>
      <w:tr w:rsidR="004051C9" w:rsidRPr="00BC7AA5" w14:paraId="7743E160" w14:textId="77777777" w:rsidTr="0032512E">
        <w:tc>
          <w:tcPr>
            <w:tcW w:w="9110" w:type="dxa"/>
            <w:gridSpan w:val="3"/>
            <w:shd w:val="clear" w:color="auto" w:fill="auto"/>
          </w:tcPr>
          <w:p w14:paraId="092DDC14" w14:textId="75C722F8"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7F564F">
              <w:rPr>
                <w:bCs/>
              </w:rPr>
              <w:t>Medios de agilizar los trabajos del Comité</w:t>
            </w:r>
            <w:r>
              <w:rPr>
                <w:bCs/>
                <w:spacing w:val="60"/>
                <w:sz w:val="17"/>
              </w:rPr>
              <w:tab/>
            </w:r>
          </w:p>
        </w:tc>
        <w:tc>
          <w:tcPr>
            <w:tcW w:w="792" w:type="dxa"/>
            <w:shd w:val="clear" w:color="auto" w:fill="auto"/>
            <w:vAlign w:val="bottom"/>
          </w:tcPr>
          <w:p w14:paraId="3F609513" w14:textId="732CB81A" w:rsidR="004051C9" w:rsidRPr="00BC7AA5" w:rsidRDefault="004051C9" w:rsidP="004051C9">
            <w:pPr>
              <w:spacing w:after="120"/>
              <w:jc w:val="right"/>
            </w:pPr>
            <w:r>
              <w:t>16</w:t>
            </w:r>
          </w:p>
        </w:tc>
      </w:tr>
      <w:tr w:rsidR="004051C9" w:rsidRPr="00BC7AA5" w14:paraId="3BF08D2C" w14:textId="77777777" w:rsidTr="0032512E">
        <w:tc>
          <w:tcPr>
            <w:tcW w:w="9110" w:type="dxa"/>
            <w:gridSpan w:val="3"/>
            <w:shd w:val="clear" w:color="auto" w:fill="auto"/>
          </w:tcPr>
          <w:p w14:paraId="6DC7D337" w14:textId="11394A37"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7F564F">
              <w:rPr>
                <w:bCs/>
              </w:rPr>
              <w:t>Información sobre la aplicación del artículo 21 de la Convención</w:t>
            </w:r>
            <w:r>
              <w:rPr>
                <w:bCs/>
                <w:spacing w:val="60"/>
                <w:sz w:val="17"/>
              </w:rPr>
              <w:tab/>
            </w:r>
          </w:p>
        </w:tc>
        <w:tc>
          <w:tcPr>
            <w:tcW w:w="792" w:type="dxa"/>
            <w:shd w:val="clear" w:color="auto" w:fill="auto"/>
            <w:vAlign w:val="bottom"/>
          </w:tcPr>
          <w:p w14:paraId="25FED2FA" w14:textId="159FAF1D" w:rsidR="004051C9" w:rsidRPr="00BC7AA5" w:rsidRDefault="004051C9" w:rsidP="004051C9">
            <w:pPr>
              <w:spacing w:after="120"/>
              <w:jc w:val="right"/>
            </w:pPr>
            <w:r>
              <w:t>17</w:t>
            </w:r>
          </w:p>
        </w:tc>
      </w:tr>
      <w:tr w:rsidR="004051C9" w:rsidRPr="00BC7AA5" w14:paraId="2CA6344E" w14:textId="77777777" w:rsidTr="0032512E">
        <w:tc>
          <w:tcPr>
            <w:tcW w:w="9110" w:type="dxa"/>
            <w:gridSpan w:val="3"/>
            <w:shd w:val="clear" w:color="auto" w:fill="auto"/>
          </w:tcPr>
          <w:p w14:paraId="0E56E468" w14:textId="661150E0"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7F564F">
              <w:rPr>
                <w:bCs/>
              </w:rPr>
              <w:t>Programa provisional del 86º período de sesiones</w:t>
            </w:r>
            <w:r>
              <w:rPr>
                <w:bCs/>
                <w:spacing w:val="60"/>
                <w:sz w:val="17"/>
              </w:rPr>
              <w:tab/>
            </w:r>
          </w:p>
        </w:tc>
        <w:tc>
          <w:tcPr>
            <w:tcW w:w="792" w:type="dxa"/>
            <w:shd w:val="clear" w:color="auto" w:fill="auto"/>
            <w:vAlign w:val="bottom"/>
          </w:tcPr>
          <w:p w14:paraId="36852341" w14:textId="2A0DB424" w:rsidR="004051C9" w:rsidRPr="00BC7AA5" w:rsidRDefault="004051C9" w:rsidP="004051C9">
            <w:pPr>
              <w:spacing w:after="120"/>
              <w:jc w:val="right"/>
            </w:pPr>
            <w:r>
              <w:t>19</w:t>
            </w:r>
          </w:p>
        </w:tc>
      </w:tr>
      <w:tr w:rsidR="004051C9" w:rsidRPr="00BC7AA5" w14:paraId="685E900C" w14:textId="77777777" w:rsidTr="0032512E">
        <w:tc>
          <w:tcPr>
            <w:tcW w:w="9110" w:type="dxa"/>
            <w:gridSpan w:val="3"/>
            <w:shd w:val="clear" w:color="auto" w:fill="auto"/>
          </w:tcPr>
          <w:p w14:paraId="3D4A0D1A" w14:textId="785FFBCC" w:rsidR="004051C9" w:rsidRPr="00BC7AA5" w:rsidRDefault="004051C9" w:rsidP="00B212E1">
            <w:pPr>
              <w:pStyle w:val="ListParagraph"/>
              <w:numPr>
                <w:ilvl w:val="0"/>
                <w:numId w:val="27"/>
              </w:numPr>
              <w:tabs>
                <w:tab w:val="clear" w:pos="1296"/>
                <w:tab w:val="right" w:pos="1080"/>
                <w:tab w:val="left" w:pos="1300"/>
                <w:tab w:val="left" w:pos="1740"/>
                <w:tab w:val="left" w:pos="2180"/>
                <w:tab w:val="left" w:pos="2620"/>
                <w:tab w:val="left" w:pos="3060"/>
                <w:tab w:val="right" w:leader="dot" w:pos="9245"/>
              </w:tabs>
              <w:spacing w:after="120"/>
            </w:pPr>
            <w:r>
              <w:tab/>
            </w:r>
            <w:r w:rsidRPr="007F564F">
              <w:rPr>
                <w:bCs/>
              </w:rPr>
              <w:t>Aprobación del programa</w:t>
            </w:r>
            <w:r>
              <w:rPr>
                <w:bCs/>
                <w:spacing w:val="60"/>
                <w:sz w:val="17"/>
              </w:rPr>
              <w:tab/>
            </w:r>
          </w:p>
        </w:tc>
        <w:tc>
          <w:tcPr>
            <w:tcW w:w="792" w:type="dxa"/>
            <w:shd w:val="clear" w:color="auto" w:fill="auto"/>
            <w:vAlign w:val="bottom"/>
          </w:tcPr>
          <w:p w14:paraId="5CE56B9F" w14:textId="6AC4A34A" w:rsidR="004051C9" w:rsidRPr="00BC7AA5" w:rsidRDefault="004051C9" w:rsidP="004051C9">
            <w:pPr>
              <w:spacing w:after="120"/>
              <w:jc w:val="right"/>
            </w:pPr>
            <w:r>
              <w:t>20</w:t>
            </w:r>
          </w:p>
        </w:tc>
      </w:tr>
      <w:tr w:rsidR="004051C9" w:rsidRPr="00BC7AA5" w14:paraId="19313D59" w14:textId="77777777" w:rsidTr="0032512E">
        <w:tc>
          <w:tcPr>
            <w:tcW w:w="9110" w:type="dxa"/>
            <w:gridSpan w:val="3"/>
            <w:shd w:val="clear" w:color="auto" w:fill="auto"/>
          </w:tcPr>
          <w:p w14:paraId="7082B3EF" w14:textId="070EFC07" w:rsidR="004051C9" w:rsidRPr="00BC7AA5" w:rsidRDefault="004051C9" w:rsidP="00B212E1">
            <w:pPr>
              <w:tabs>
                <w:tab w:val="right" w:pos="1080"/>
                <w:tab w:val="left" w:pos="1296"/>
                <w:tab w:val="right" w:pos="1714"/>
                <w:tab w:val="left" w:pos="2160"/>
                <w:tab w:val="left" w:pos="2592"/>
                <w:tab w:val="left" w:pos="3024"/>
                <w:tab w:val="left" w:pos="3456"/>
              </w:tabs>
              <w:spacing w:after="120"/>
            </w:pPr>
            <w:r>
              <w:tab/>
              <w:t>Anexo</w:t>
            </w:r>
          </w:p>
        </w:tc>
        <w:tc>
          <w:tcPr>
            <w:tcW w:w="792" w:type="dxa"/>
            <w:shd w:val="clear" w:color="auto" w:fill="auto"/>
            <w:vAlign w:val="bottom"/>
          </w:tcPr>
          <w:p w14:paraId="613DC166" w14:textId="77777777" w:rsidR="004051C9" w:rsidRPr="00BC7AA5" w:rsidRDefault="004051C9" w:rsidP="004051C9">
            <w:pPr>
              <w:spacing w:after="120"/>
              <w:jc w:val="right"/>
            </w:pPr>
          </w:p>
        </w:tc>
      </w:tr>
      <w:tr w:rsidR="004051C9" w:rsidRPr="00BC7AA5" w14:paraId="4FF724EE" w14:textId="77777777" w:rsidTr="0032512E">
        <w:tc>
          <w:tcPr>
            <w:tcW w:w="9110" w:type="dxa"/>
            <w:gridSpan w:val="3"/>
            <w:shd w:val="clear" w:color="auto" w:fill="auto"/>
          </w:tcPr>
          <w:p w14:paraId="43AABC2E" w14:textId="77209FF9" w:rsidR="004051C9" w:rsidRPr="00B212E1" w:rsidRDefault="004051C9" w:rsidP="00B212E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spacing w:val="60"/>
                <w:sz w:val="17"/>
              </w:rPr>
            </w:pPr>
            <w:r>
              <w:rPr>
                <w:bCs/>
              </w:rPr>
              <w:tab/>
            </w:r>
            <w:r>
              <w:rPr>
                <w:bCs/>
              </w:rPr>
              <w:tab/>
            </w:r>
            <w:r w:rsidRPr="007F564F">
              <w:rPr>
                <w:bCs/>
              </w:rPr>
              <w:t>Documentos que el Comité tuvo ante sí en su 85º período de sesiones</w:t>
            </w:r>
            <w:r>
              <w:rPr>
                <w:bCs/>
                <w:spacing w:val="60"/>
                <w:sz w:val="17"/>
              </w:rPr>
              <w:tab/>
            </w:r>
          </w:p>
        </w:tc>
        <w:tc>
          <w:tcPr>
            <w:tcW w:w="792" w:type="dxa"/>
            <w:shd w:val="clear" w:color="auto" w:fill="auto"/>
            <w:vAlign w:val="bottom"/>
          </w:tcPr>
          <w:p w14:paraId="08020143" w14:textId="14B94266" w:rsidR="004051C9" w:rsidRPr="00BC7AA5" w:rsidRDefault="004051C9" w:rsidP="004051C9">
            <w:pPr>
              <w:spacing w:after="120"/>
              <w:jc w:val="right"/>
            </w:pPr>
            <w:r>
              <w:t>21</w:t>
            </w:r>
          </w:p>
        </w:tc>
      </w:tr>
      <w:tr w:rsidR="004051C9" w:rsidRPr="00BC7AA5" w14:paraId="55CC8CDD" w14:textId="77777777" w:rsidTr="0032512E">
        <w:tc>
          <w:tcPr>
            <w:tcW w:w="9110" w:type="dxa"/>
            <w:gridSpan w:val="3"/>
            <w:shd w:val="clear" w:color="auto" w:fill="auto"/>
          </w:tcPr>
          <w:p w14:paraId="4FD713B5" w14:textId="1CC27694" w:rsidR="004051C9" w:rsidRPr="007F564F" w:rsidRDefault="004051C9" w:rsidP="00B212E1">
            <w:pPr>
              <w:keepNext/>
              <w:tabs>
                <w:tab w:val="right" w:pos="1080"/>
                <w:tab w:val="left" w:pos="1296"/>
                <w:tab w:val="right" w:pos="1714"/>
                <w:tab w:val="left" w:pos="2160"/>
                <w:tab w:val="left" w:pos="2592"/>
                <w:tab w:val="left" w:pos="3024"/>
                <w:tab w:val="left" w:pos="3456"/>
              </w:tabs>
              <w:rPr>
                <w:b/>
              </w:rPr>
            </w:pPr>
            <w:r>
              <w:rPr>
                <w:b/>
                <w:bCs/>
              </w:rPr>
              <w:tab/>
            </w:r>
            <w:r>
              <w:rPr>
                <w:b/>
                <w:bCs/>
              </w:rPr>
              <w:tab/>
            </w:r>
            <w:r w:rsidRPr="007F564F">
              <w:rPr>
                <w:b/>
                <w:bCs/>
              </w:rPr>
              <w:t>Segunda Parte</w:t>
            </w:r>
          </w:p>
          <w:p w14:paraId="1675550F" w14:textId="316CAD4B" w:rsidR="004051C9" w:rsidRPr="00B212E1" w:rsidRDefault="004051C9" w:rsidP="00B212E1">
            <w:pPr>
              <w:keepNext/>
              <w:tabs>
                <w:tab w:val="right" w:pos="1080"/>
                <w:tab w:val="left" w:pos="1300"/>
                <w:tab w:val="left" w:pos="1740"/>
                <w:tab w:val="left" w:pos="2180"/>
                <w:tab w:val="left" w:pos="2620"/>
                <w:tab w:val="right" w:leader="dot" w:pos="9245"/>
              </w:tabs>
              <w:spacing w:after="120"/>
              <w:ind w:left="1296" w:hanging="1296"/>
              <w:rPr>
                <w:b/>
                <w:spacing w:val="60"/>
                <w:sz w:val="17"/>
              </w:rPr>
            </w:pPr>
            <w:r w:rsidRPr="007F564F">
              <w:tab/>
            </w:r>
            <w:r w:rsidRPr="007F564F">
              <w:tab/>
            </w:r>
            <w:r w:rsidRPr="00B212E1">
              <w:rPr>
                <w:b/>
              </w:rPr>
              <w:tab/>
              <w:t xml:space="preserve">Informe del Comité para la Eliminación de la Discriminación contra la Mujer </w:t>
            </w:r>
            <w:r>
              <w:rPr>
                <w:b/>
              </w:rPr>
              <w:br/>
            </w:r>
            <w:r w:rsidRPr="00B212E1">
              <w:rPr>
                <w:b/>
              </w:rPr>
              <w:t>en su 86º período de sesiones</w:t>
            </w:r>
            <w:r w:rsidRPr="000B5BE0">
              <w:rPr>
                <w:bCs/>
                <w:spacing w:val="60"/>
                <w:sz w:val="17"/>
              </w:rPr>
              <w:tab/>
            </w:r>
          </w:p>
        </w:tc>
        <w:tc>
          <w:tcPr>
            <w:tcW w:w="792" w:type="dxa"/>
            <w:shd w:val="clear" w:color="auto" w:fill="auto"/>
            <w:vAlign w:val="bottom"/>
          </w:tcPr>
          <w:p w14:paraId="2E4CDD24" w14:textId="223507EA" w:rsidR="004051C9" w:rsidRPr="00BC7AA5" w:rsidRDefault="004051C9" w:rsidP="00B212E1">
            <w:pPr>
              <w:keepNext/>
              <w:spacing w:after="120"/>
              <w:jc w:val="right"/>
            </w:pPr>
            <w:r>
              <w:t>22</w:t>
            </w:r>
          </w:p>
        </w:tc>
      </w:tr>
      <w:tr w:rsidR="004051C9" w:rsidRPr="00BC7AA5" w14:paraId="369D9D64" w14:textId="77777777" w:rsidTr="0032512E">
        <w:tc>
          <w:tcPr>
            <w:tcW w:w="9110" w:type="dxa"/>
            <w:gridSpan w:val="3"/>
            <w:shd w:val="clear" w:color="auto" w:fill="auto"/>
          </w:tcPr>
          <w:p w14:paraId="31B92893" w14:textId="34548B0E" w:rsidR="004051C9" w:rsidRPr="00BC7AA5" w:rsidRDefault="004051C9" w:rsidP="00B212E1">
            <w:pPr>
              <w:pStyle w:val="ListParagraph"/>
              <w:keepNext/>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280FD1">
              <w:rPr>
                <w:bCs/>
              </w:rPr>
              <w:t>Decisiones adoptadas por el Comité</w:t>
            </w:r>
            <w:r>
              <w:rPr>
                <w:bCs/>
                <w:spacing w:val="60"/>
                <w:sz w:val="17"/>
              </w:rPr>
              <w:tab/>
            </w:r>
          </w:p>
        </w:tc>
        <w:tc>
          <w:tcPr>
            <w:tcW w:w="792" w:type="dxa"/>
            <w:shd w:val="clear" w:color="auto" w:fill="auto"/>
            <w:vAlign w:val="bottom"/>
          </w:tcPr>
          <w:p w14:paraId="275658E9" w14:textId="677D7313" w:rsidR="004051C9" w:rsidRPr="00BC7AA5" w:rsidRDefault="004051C9" w:rsidP="00B212E1">
            <w:pPr>
              <w:keepNext/>
              <w:spacing w:after="120"/>
              <w:jc w:val="right"/>
            </w:pPr>
            <w:r>
              <w:t>23</w:t>
            </w:r>
          </w:p>
        </w:tc>
      </w:tr>
      <w:tr w:rsidR="004051C9" w:rsidRPr="00BC7AA5" w14:paraId="6A97E1A3" w14:textId="77777777" w:rsidTr="0032512E">
        <w:tc>
          <w:tcPr>
            <w:tcW w:w="9110" w:type="dxa"/>
            <w:gridSpan w:val="3"/>
            <w:shd w:val="clear" w:color="auto" w:fill="auto"/>
          </w:tcPr>
          <w:p w14:paraId="41A6FDC8" w14:textId="7C2337B9" w:rsidR="004051C9" w:rsidRPr="00BC7AA5" w:rsidRDefault="004051C9" w:rsidP="00B212E1">
            <w:pPr>
              <w:pStyle w:val="ListParagraph"/>
              <w:keepNext/>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280FD1">
              <w:rPr>
                <w:bCs/>
              </w:rPr>
              <w:t>Cuestiones de organización y otros asuntos</w:t>
            </w:r>
            <w:r>
              <w:rPr>
                <w:bCs/>
                <w:spacing w:val="60"/>
                <w:sz w:val="17"/>
              </w:rPr>
              <w:tab/>
            </w:r>
          </w:p>
        </w:tc>
        <w:tc>
          <w:tcPr>
            <w:tcW w:w="792" w:type="dxa"/>
            <w:shd w:val="clear" w:color="auto" w:fill="auto"/>
            <w:vAlign w:val="bottom"/>
          </w:tcPr>
          <w:p w14:paraId="3E62AD1C" w14:textId="52B47C4A" w:rsidR="004051C9" w:rsidRPr="00BC7AA5" w:rsidRDefault="004051C9" w:rsidP="00B212E1">
            <w:pPr>
              <w:keepNext/>
              <w:spacing w:after="120"/>
              <w:jc w:val="right"/>
            </w:pPr>
            <w:r>
              <w:t>25</w:t>
            </w:r>
          </w:p>
        </w:tc>
      </w:tr>
      <w:tr w:rsidR="004051C9" w:rsidRPr="00BC7AA5" w14:paraId="493969FE" w14:textId="77777777" w:rsidTr="00B212E1">
        <w:tc>
          <w:tcPr>
            <w:tcW w:w="9110" w:type="dxa"/>
            <w:gridSpan w:val="3"/>
            <w:shd w:val="clear" w:color="auto" w:fill="auto"/>
          </w:tcPr>
          <w:p w14:paraId="671DF388" w14:textId="2C7CB85A"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280FD1">
              <w:rPr>
                <w:bCs/>
              </w:rPr>
              <w:t>Estados partes en la Convención y en el Protocolo Facultativo</w:t>
            </w:r>
            <w:r>
              <w:rPr>
                <w:bCs/>
                <w:spacing w:val="60"/>
                <w:sz w:val="17"/>
              </w:rPr>
              <w:tab/>
            </w:r>
          </w:p>
        </w:tc>
        <w:tc>
          <w:tcPr>
            <w:tcW w:w="792" w:type="dxa"/>
            <w:shd w:val="clear" w:color="auto" w:fill="auto"/>
          </w:tcPr>
          <w:p w14:paraId="03149F8C" w14:textId="7110FB4C" w:rsidR="004051C9" w:rsidRPr="00BC7AA5" w:rsidRDefault="004051C9" w:rsidP="004051C9">
            <w:pPr>
              <w:spacing w:after="120"/>
              <w:jc w:val="right"/>
            </w:pPr>
            <w:r w:rsidRPr="007B2BA6">
              <w:t>25</w:t>
            </w:r>
          </w:p>
        </w:tc>
      </w:tr>
      <w:tr w:rsidR="004051C9" w:rsidRPr="00BC7AA5" w14:paraId="72979B0A" w14:textId="77777777" w:rsidTr="00B212E1">
        <w:tc>
          <w:tcPr>
            <w:tcW w:w="9110" w:type="dxa"/>
            <w:gridSpan w:val="3"/>
            <w:shd w:val="clear" w:color="auto" w:fill="auto"/>
          </w:tcPr>
          <w:p w14:paraId="56F566B4" w14:textId="23361225"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280FD1">
              <w:rPr>
                <w:bCs/>
              </w:rPr>
              <w:t>Apertura del período de sesiones</w:t>
            </w:r>
            <w:r>
              <w:rPr>
                <w:bCs/>
                <w:spacing w:val="60"/>
                <w:sz w:val="17"/>
              </w:rPr>
              <w:tab/>
            </w:r>
          </w:p>
        </w:tc>
        <w:tc>
          <w:tcPr>
            <w:tcW w:w="792" w:type="dxa"/>
            <w:shd w:val="clear" w:color="auto" w:fill="auto"/>
          </w:tcPr>
          <w:p w14:paraId="1F71FA2F" w14:textId="33857956" w:rsidR="004051C9" w:rsidRPr="00BC7AA5" w:rsidRDefault="004051C9" w:rsidP="004051C9">
            <w:pPr>
              <w:spacing w:after="120"/>
              <w:jc w:val="right"/>
            </w:pPr>
            <w:r w:rsidRPr="007B2BA6">
              <w:t>25</w:t>
            </w:r>
          </w:p>
        </w:tc>
      </w:tr>
      <w:tr w:rsidR="004051C9" w:rsidRPr="00BC7AA5" w14:paraId="6D2F8AD8" w14:textId="77777777" w:rsidTr="00B212E1">
        <w:tc>
          <w:tcPr>
            <w:tcW w:w="9110" w:type="dxa"/>
            <w:gridSpan w:val="3"/>
            <w:shd w:val="clear" w:color="auto" w:fill="auto"/>
          </w:tcPr>
          <w:p w14:paraId="0A09D27C" w14:textId="1BAEDAC6"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right" w:leader="dot" w:pos="9245"/>
              </w:tabs>
              <w:spacing w:after="120"/>
            </w:pPr>
            <w:r w:rsidRPr="00280FD1">
              <w:rPr>
                <w:bCs/>
              </w:rPr>
              <w:t>Aprobación del programa</w:t>
            </w:r>
            <w:r>
              <w:rPr>
                <w:bCs/>
                <w:spacing w:val="60"/>
                <w:sz w:val="17"/>
              </w:rPr>
              <w:tab/>
            </w:r>
          </w:p>
        </w:tc>
        <w:tc>
          <w:tcPr>
            <w:tcW w:w="792" w:type="dxa"/>
            <w:shd w:val="clear" w:color="auto" w:fill="auto"/>
          </w:tcPr>
          <w:p w14:paraId="35DCA841" w14:textId="228CB348" w:rsidR="004051C9" w:rsidRPr="00BC7AA5" w:rsidRDefault="004051C9" w:rsidP="004051C9">
            <w:pPr>
              <w:spacing w:after="120"/>
              <w:jc w:val="right"/>
            </w:pPr>
            <w:r w:rsidRPr="007B2BA6">
              <w:t>25</w:t>
            </w:r>
          </w:p>
        </w:tc>
      </w:tr>
      <w:tr w:rsidR="004051C9" w:rsidRPr="00BC7AA5" w14:paraId="7DDBF424" w14:textId="77777777" w:rsidTr="00B212E1">
        <w:tc>
          <w:tcPr>
            <w:tcW w:w="9110" w:type="dxa"/>
            <w:gridSpan w:val="3"/>
            <w:shd w:val="clear" w:color="auto" w:fill="auto"/>
          </w:tcPr>
          <w:p w14:paraId="7E52B0F9" w14:textId="77421520"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280FD1">
              <w:rPr>
                <w:bCs/>
              </w:rPr>
              <w:t>Informe del grupo de trabajo anterior al período de sesiones</w:t>
            </w:r>
            <w:r>
              <w:rPr>
                <w:bCs/>
                <w:spacing w:val="60"/>
                <w:sz w:val="17"/>
              </w:rPr>
              <w:tab/>
            </w:r>
          </w:p>
        </w:tc>
        <w:tc>
          <w:tcPr>
            <w:tcW w:w="792" w:type="dxa"/>
            <w:shd w:val="clear" w:color="auto" w:fill="auto"/>
          </w:tcPr>
          <w:p w14:paraId="455C37F8" w14:textId="0AC69F3C" w:rsidR="004051C9" w:rsidRPr="00BC7AA5" w:rsidRDefault="004051C9" w:rsidP="004051C9">
            <w:pPr>
              <w:spacing w:after="120"/>
              <w:jc w:val="right"/>
            </w:pPr>
            <w:r w:rsidRPr="007B2BA6">
              <w:t>25</w:t>
            </w:r>
          </w:p>
        </w:tc>
      </w:tr>
      <w:tr w:rsidR="004051C9" w:rsidRPr="00BC7AA5" w14:paraId="2209E40A" w14:textId="77777777" w:rsidTr="00B212E1">
        <w:tc>
          <w:tcPr>
            <w:tcW w:w="9110" w:type="dxa"/>
            <w:gridSpan w:val="3"/>
            <w:shd w:val="clear" w:color="auto" w:fill="auto"/>
          </w:tcPr>
          <w:p w14:paraId="22B990E3" w14:textId="53995F38"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280FD1">
              <w:rPr>
                <w:bCs/>
              </w:rPr>
              <w:t>Organización de los trabajos</w:t>
            </w:r>
            <w:r>
              <w:rPr>
                <w:bCs/>
                <w:spacing w:val="60"/>
                <w:sz w:val="17"/>
              </w:rPr>
              <w:tab/>
            </w:r>
          </w:p>
        </w:tc>
        <w:tc>
          <w:tcPr>
            <w:tcW w:w="792" w:type="dxa"/>
            <w:shd w:val="clear" w:color="auto" w:fill="auto"/>
          </w:tcPr>
          <w:p w14:paraId="43F82756" w14:textId="00D77E9E" w:rsidR="004051C9" w:rsidRPr="00BC7AA5" w:rsidRDefault="004051C9" w:rsidP="004051C9">
            <w:pPr>
              <w:spacing w:after="120"/>
              <w:jc w:val="right"/>
            </w:pPr>
            <w:r w:rsidRPr="007B2BA6">
              <w:t>25</w:t>
            </w:r>
          </w:p>
        </w:tc>
      </w:tr>
      <w:tr w:rsidR="004051C9" w:rsidRPr="00BC7AA5" w14:paraId="62F18963" w14:textId="77777777" w:rsidTr="0032512E">
        <w:tc>
          <w:tcPr>
            <w:tcW w:w="9110" w:type="dxa"/>
            <w:gridSpan w:val="3"/>
            <w:shd w:val="clear" w:color="auto" w:fill="auto"/>
          </w:tcPr>
          <w:p w14:paraId="50E54123" w14:textId="7B9C243F"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right" w:leader="dot" w:pos="9245"/>
              </w:tabs>
              <w:spacing w:after="120"/>
            </w:pPr>
            <w:r w:rsidRPr="00280FD1">
              <w:rPr>
                <w:bCs/>
              </w:rPr>
              <w:t>Composición del Comité</w:t>
            </w:r>
            <w:r>
              <w:rPr>
                <w:bCs/>
                <w:spacing w:val="60"/>
                <w:sz w:val="17"/>
              </w:rPr>
              <w:tab/>
            </w:r>
          </w:p>
        </w:tc>
        <w:tc>
          <w:tcPr>
            <w:tcW w:w="792" w:type="dxa"/>
            <w:shd w:val="clear" w:color="auto" w:fill="auto"/>
            <w:vAlign w:val="bottom"/>
          </w:tcPr>
          <w:p w14:paraId="0600ACCB" w14:textId="66212141" w:rsidR="004051C9" w:rsidRPr="00BC7AA5" w:rsidRDefault="004051C9" w:rsidP="004051C9">
            <w:pPr>
              <w:spacing w:after="120"/>
              <w:jc w:val="right"/>
            </w:pPr>
            <w:r>
              <w:t>26</w:t>
            </w:r>
          </w:p>
        </w:tc>
      </w:tr>
      <w:tr w:rsidR="004051C9" w:rsidRPr="00BC7AA5" w14:paraId="0FB2510B" w14:textId="77777777" w:rsidTr="0032512E">
        <w:tc>
          <w:tcPr>
            <w:tcW w:w="9110" w:type="dxa"/>
            <w:gridSpan w:val="3"/>
            <w:shd w:val="clear" w:color="auto" w:fill="auto"/>
          </w:tcPr>
          <w:p w14:paraId="11323B75" w14:textId="2CAE2D4F"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ab/>
            </w:r>
            <w:r w:rsidRPr="00280FD1">
              <w:rPr>
                <w:bCs/>
              </w:rPr>
              <w:t>Informe de la Presidencia sobre las actividades realizadas entre períodos de sesiones</w:t>
            </w:r>
            <w:r>
              <w:rPr>
                <w:bCs/>
                <w:spacing w:val="60"/>
                <w:sz w:val="17"/>
              </w:rPr>
              <w:tab/>
            </w:r>
          </w:p>
        </w:tc>
        <w:tc>
          <w:tcPr>
            <w:tcW w:w="792" w:type="dxa"/>
            <w:shd w:val="clear" w:color="auto" w:fill="auto"/>
            <w:vAlign w:val="bottom"/>
          </w:tcPr>
          <w:p w14:paraId="4F1FBD69" w14:textId="20059AC0" w:rsidR="004051C9" w:rsidRPr="00BC7AA5" w:rsidRDefault="004051C9" w:rsidP="004051C9">
            <w:pPr>
              <w:spacing w:after="120"/>
              <w:jc w:val="right"/>
            </w:pPr>
            <w:r>
              <w:t>27</w:t>
            </w:r>
          </w:p>
        </w:tc>
      </w:tr>
      <w:tr w:rsidR="004051C9" w:rsidRPr="00BC7AA5" w14:paraId="14126607" w14:textId="77777777" w:rsidTr="0032512E">
        <w:tc>
          <w:tcPr>
            <w:tcW w:w="9110" w:type="dxa"/>
            <w:gridSpan w:val="3"/>
            <w:shd w:val="clear" w:color="auto" w:fill="auto"/>
          </w:tcPr>
          <w:p w14:paraId="2E9AF7B0" w14:textId="78DE6051" w:rsidR="004051C9" w:rsidRPr="00BC7AA5" w:rsidRDefault="004051C9" w:rsidP="00B212E1">
            <w:pPr>
              <w:pStyle w:val="ListParagraph"/>
              <w:numPr>
                <w:ilvl w:val="0"/>
                <w:numId w:val="28"/>
              </w:numPr>
              <w:tabs>
                <w:tab w:val="clear" w:pos="1296"/>
                <w:tab w:val="right" w:pos="1080"/>
                <w:tab w:val="left" w:pos="1300"/>
                <w:tab w:val="left" w:pos="1740"/>
                <w:tab w:val="left" w:pos="2180"/>
                <w:tab w:val="right" w:leader="dot" w:pos="9245"/>
              </w:tabs>
              <w:spacing w:after="120"/>
            </w:pPr>
            <w:r>
              <w:tab/>
            </w:r>
            <w:r w:rsidRPr="00280FD1">
              <w:rPr>
                <w:bCs/>
              </w:rPr>
              <w:t>Examen de los informes presentados por los Estados partes en virtud del artículo 18 de la Convención</w:t>
            </w:r>
            <w:r>
              <w:rPr>
                <w:bCs/>
                <w:spacing w:val="60"/>
                <w:sz w:val="17"/>
              </w:rPr>
              <w:tab/>
            </w:r>
          </w:p>
        </w:tc>
        <w:tc>
          <w:tcPr>
            <w:tcW w:w="792" w:type="dxa"/>
            <w:shd w:val="clear" w:color="auto" w:fill="auto"/>
            <w:vAlign w:val="bottom"/>
          </w:tcPr>
          <w:p w14:paraId="0A1CF5E7" w14:textId="120E786B" w:rsidR="004051C9" w:rsidRPr="00BC7AA5" w:rsidRDefault="004051C9" w:rsidP="004051C9">
            <w:pPr>
              <w:spacing w:after="120"/>
              <w:jc w:val="right"/>
            </w:pPr>
            <w:r>
              <w:t>28</w:t>
            </w:r>
          </w:p>
        </w:tc>
      </w:tr>
      <w:tr w:rsidR="004051C9" w:rsidRPr="00BC7AA5" w14:paraId="2528A1BD" w14:textId="77777777" w:rsidTr="0032512E">
        <w:tc>
          <w:tcPr>
            <w:tcW w:w="9110" w:type="dxa"/>
            <w:gridSpan w:val="3"/>
            <w:shd w:val="clear" w:color="auto" w:fill="auto"/>
          </w:tcPr>
          <w:p w14:paraId="1040D4B3" w14:textId="43C55FC4"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0B5BE0">
              <w:rPr>
                <w:bCs/>
              </w:rPr>
              <w:t>Actividades llevadas a cabo en virtud del Protocolo Facultativo</w:t>
            </w:r>
            <w:r>
              <w:rPr>
                <w:bCs/>
                <w:spacing w:val="60"/>
                <w:sz w:val="17"/>
              </w:rPr>
              <w:tab/>
            </w:r>
          </w:p>
        </w:tc>
        <w:tc>
          <w:tcPr>
            <w:tcW w:w="792" w:type="dxa"/>
            <w:shd w:val="clear" w:color="auto" w:fill="auto"/>
            <w:vAlign w:val="bottom"/>
          </w:tcPr>
          <w:p w14:paraId="222CA0FC" w14:textId="502E4AFB" w:rsidR="004051C9" w:rsidRPr="00BC7AA5" w:rsidRDefault="004051C9" w:rsidP="004051C9">
            <w:pPr>
              <w:spacing w:after="120"/>
              <w:jc w:val="right"/>
            </w:pPr>
            <w:r>
              <w:t>29</w:t>
            </w:r>
          </w:p>
        </w:tc>
      </w:tr>
      <w:tr w:rsidR="004051C9" w:rsidRPr="00BC7AA5" w14:paraId="300B8D2F" w14:textId="77777777" w:rsidTr="00B212E1">
        <w:tc>
          <w:tcPr>
            <w:tcW w:w="9110" w:type="dxa"/>
            <w:gridSpan w:val="3"/>
            <w:shd w:val="clear" w:color="auto" w:fill="auto"/>
          </w:tcPr>
          <w:p w14:paraId="5F87ABB6" w14:textId="1807CAD8"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B5BE0">
              <w:rPr>
                <w:bCs/>
              </w:rPr>
              <w:t>Medidas adoptadas por el Comité con respecto a las cuestiones previstas en el artículo 2 del Protocolo Facultativo</w:t>
            </w:r>
            <w:r>
              <w:rPr>
                <w:bCs/>
                <w:spacing w:val="60"/>
                <w:sz w:val="17"/>
              </w:rPr>
              <w:tab/>
            </w:r>
          </w:p>
        </w:tc>
        <w:tc>
          <w:tcPr>
            <w:tcW w:w="792" w:type="dxa"/>
            <w:shd w:val="clear" w:color="auto" w:fill="auto"/>
          </w:tcPr>
          <w:p w14:paraId="72D3525C" w14:textId="1AFF5C2C" w:rsidR="004051C9" w:rsidRPr="00BC7AA5" w:rsidRDefault="004051C9" w:rsidP="004051C9">
            <w:pPr>
              <w:spacing w:after="120"/>
              <w:jc w:val="right"/>
            </w:pPr>
            <w:r w:rsidRPr="00F62BC6">
              <w:t>29</w:t>
            </w:r>
          </w:p>
        </w:tc>
      </w:tr>
      <w:tr w:rsidR="004051C9" w:rsidRPr="00BC7AA5" w14:paraId="03837D8C" w14:textId="77777777" w:rsidTr="00B212E1">
        <w:tc>
          <w:tcPr>
            <w:tcW w:w="9110" w:type="dxa"/>
            <w:gridSpan w:val="3"/>
            <w:shd w:val="clear" w:color="auto" w:fill="auto"/>
          </w:tcPr>
          <w:p w14:paraId="513F962D" w14:textId="24469C83"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0B5BE0">
              <w:rPr>
                <w:bCs/>
              </w:rPr>
              <w:t>Seguimiento de los dictámenes del Comité sobre comunicaciones individuales</w:t>
            </w:r>
            <w:r>
              <w:rPr>
                <w:bCs/>
                <w:spacing w:val="60"/>
                <w:sz w:val="17"/>
              </w:rPr>
              <w:tab/>
            </w:r>
          </w:p>
        </w:tc>
        <w:tc>
          <w:tcPr>
            <w:tcW w:w="792" w:type="dxa"/>
            <w:shd w:val="clear" w:color="auto" w:fill="auto"/>
          </w:tcPr>
          <w:p w14:paraId="0F712ACC" w14:textId="517FC76B" w:rsidR="004051C9" w:rsidRPr="00BC7AA5" w:rsidRDefault="004051C9" w:rsidP="004051C9">
            <w:pPr>
              <w:spacing w:after="120"/>
              <w:jc w:val="right"/>
            </w:pPr>
            <w:r w:rsidRPr="00F62BC6">
              <w:t>29</w:t>
            </w:r>
          </w:p>
        </w:tc>
      </w:tr>
      <w:tr w:rsidR="004051C9" w:rsidRPr="00BC7AA5" w14:paraId="0E1F9D6A" w14:textId="77777777" w:rsidTr="0032512E">
        <w:tc>
          <w:tcPr>
            <w:tcW w:w="9110" w:type="dxa"/>
            <w:gridSpan w:val="3"/>
            <w:shd w:val="clear" w:color="auto" w:fill="auto"/>
          </w:tcPr>
          <w:p w14:paraId="385C165C" w14:textId="2A8947D1" w:rsidR="004051C9" w:rsidRPr="00BC7AA5" w:rsidRDefault="004051C9" w:rsidP="00B212E1">
            <w:pPr>
              <w:pStyle w:val="ListParagraph"/>
              <w:numPr>
                <w:ilvl w:val="1"/>
                <w:numId w:val="28"/>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B5BE0">
              <w:rPr>
                <w:bCs/>
              </w:rPr>
              <w:t>Medidas adoptadas por el Comité con respecto a las cuestiones previstas en el artículo 8 del Protocolo Facultativo</w:t>
            </w:r>
            <w:r>
              <w:rPr>
                <w:bCs/>
                <w:spacing w:val="60"/>
                <w:sz w:val="17"/>
              </w:rPr>
              <w:tab/>
            </w:r>
          </w:p>
        </w:tc>
        <w:tc>
          <w:tcPr>
            <w:tcW w:w="792" w:type="dxa"/>
            <w:shd w:val="clear" w:color="auto" w:fill="auto"/>
            <w:vAlign w:val="bottom"/>
          </w:tcPr>
          <w:p w14:paraId="3FD29EB7" w14:textId="2E123FFE" w:rsidR="004051C9" w:rsidRPr="00BC7AA5" w:rsidRDefault="004051C9" w:rsidP="004051C9">
            <w:pPr>
              <w:spacing w:after="120"/>
              <w:jc w:val="right"/>
            </w:pPr>
            <w:r>
              <w:t>30</w:t>
            </w:r>
          </w:p>
        </w:tc>
      </w:tr>
      <w:tr w:rsidR="004051C9" w:rsidRPr="00BC7AA5" w14:paraId="3A058652" w14:textId="77777777" w:rsidTr="0032512E">
        <w:tc>
          <w:tcPr>
            <w:tcW w:w="9110" w:type="dxa"/>
            <w:gridSpan w:val="3"/>
            <w:shd w:val="clear" w:color="auto" w:fill="auto"/>
          </w:tcPr>
          <w:p w14:paraId="2AAF5101" w14:textId="022CB579"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0B5BE0">
              <w:rPr>
                <w:bCs/>
              </w:rPr>
              <w:t>Medios de agilizar los trabajos del Comité</w:t>
            </w:r>
            <w:r>
              <w:rPr>
                <w:bCs/>
                <w:spacing w:val="60"/>
                <w:sz w:val="17"/>
              </w:rPr>
              <w:tab/>
            </w:r>
          </w:p>
        </w:tc>
        <w:tc>
          <w:tcPr>
            <w:tcW w:w="792" w:type="dxa"/>
            <w:shd w:val="clear" w:color="auto" w:fill="auto"/>
            <w:vAlign w:val="bottom"/>
          </w:tcPr>
          <w:p w14:paraId="22C350F5" w14:textId="0D2DD13D" w:rsidR="004051C9" w:rsidRPr="00BC7AA5" w:rsidRDefault="004051C9" w:rsidP="004051C9">
            <w:pPr>
              <w:spacing w:after="120"/>
              <w:jc w:val="right"/>
            </w:pPr>
            <w:r>
              <w:t>32</w:t>
            </w:r>
          </w:p>
        </w:tc>
      </w:tr>
      <w:tr w:rsidR="004051C9" w:rsidRPr="00BC7AA5" w14:paraId="45CFC44F" w14:textId="77777777" w:rsidTr="0032512E">
        <w:tc>
          <w:tcPr>
            <w:tcW w:w="9110" w:type="dxa"/>
            <w:gridSpan w:val="3"/>
            <w:shd w:val="clear" w:color="auto" w:fill="auto"/>
          </w:tcPr>
          <w:p w14:paraId="0073380C" w14:textId="5E65DCF8"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0B5BE0">
              <w:rPr>
                <w:bCs/>
              </w:rPr>
              <w:t>Información sobre la aplicación del artículo 21 de la Convención</w:t>
            </w:r>
            <w:r>
              <w:rPr>
                <w:bCs/>
                <w:spacing w:val="60"/>
                <w:sz w:val="17"/>
              </w:rPr>
              <w:tab/>
            </w:r>
          </w:p>
        </w:tc>
        <w:tc>
          <w:tcPr>
            <w:tcW w:w="792" w:type="dxa"/>
            <w:shd w:val="clear" w:color="auto" w:fill="auto"/>
            <w:vAlign w:val="bottom"/>
          </w:tcPr>
          <w:p w14:paraId="5F39C1E1" w14:textId="31C0BC18" w:rsidR="004051C9" w:rsidRPr="00BC7AA5" w:rsidRDefault="004051C9" w:rsidP="004051C9">
            <w:pPr>
              <w:spacing w:after="120"/>
              <w:jc w:val="right"/>
            </w:pPr>
            <w:r>
              <w:t>33</w:t>
            </w:r>
          </w:p>
        </w:tc>
      </w:tr>
      <w:tr w:rsidR="004051C9" w:rsidRPr="00BC7AA5" w14:paraId="3965C67F" w14:textId="77777777" w:rsidTr="0032512E">
        <w:tc>
          <w:tcPr>
            <w:tcW w:w="9110" w:type="dxa"/>
            <w:gridSpan w:val="3"/>
            <w:shd w:val="clear" w:color="auto" w:fill="auto"/>
          </w:tcPr>
          <w:p w14:paraId="6C236890" w14:textId="6AEA5E04"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0B5BE0">
              <w:rPr>
                <w:bCs/>
              </w:rPr>
              <w:t>Programa provisional del 87º período de sesiones</w:t>
            </w:r>
            <w:r>
              <w:rPr>
                <w:bCs/>
                <w:spacing w:val="60"/>
                <w:sz w:val="17"/>
              </w:rPr>
              <w:tab/>
            </w:r>
          </w:p>
        </w:tc>
        <w:tc>
          <w:tcPr>
            <w:tcW w:w="792" w:type="dxa"/>
            <w:shd w:val="clear" w:color="auto" w:fill="auto"/>
            <w:vAlign w:val="bottom"/>
          </w:tcPr>
          <w:p w14:paraId="256F498F" w14:textId="49FCC1A1" w:rsidR="004051C9" w:rsidRPr="00BC7AA5" w:rsidRDefault="004051C9" w:rsidP="004051C9">
            <w:pPr>
              <w:spacing w:after="120"/>
              <w:jc w:val="right"/>
            </w:pPr>
            <w:r>
              <w:t>35</w:t>
            </w:r>
          </w:p>
        </w:tc>
      </w:tr>
      <w:tr w:rsidR="004051C9" w:rsidRPr="00BC7AA5" w14:paraId="7CBCEFDE" w14:textId="77777777" w:rsidTr="0032512E">
        <w:tc>
          <w:tcPr>
            <w:tcW w:w="9110" w:type="dxa"/>
            <w:gridSpan w:val="3"/>
            <w:shd w:val="clear" w:color="auto" w:fill="auto"/>
          </w:tcPr>
          <w:p w14:paraId="2A9BBA84" w14:textId="062C4AB8" w:rsidR="004051C9" w:rsidRPr="00BC7AA5" w:rsidRDefault="004051C9" w:rsidP="00B212E1">
            <w:pPr>
              <w:pStyle w:val="ListParagraph"/>
              <w:numPr>
                <w:ilvl w:val="0"/>
                <w:numId w:val="28"/>
              </w:numPr>
              <w:tabs>
                <w:tab w:val="clear" w:pos="1296"/>
                <w:tab w:val="right" w:pos="1080"/>
                <w:tab w:val="left" w:pos="1300"/>
                <w:tab w:val="left" w:pos="1740"/>
                <w:tab w:val="left" w:pos="2180"/>
                <w:tab w:val="left" w:pos="2620"/>
                <w:tab w:val="left" w:pos="3060"/>
                <w:tab w:val="right" w:leader="dot" w:pos="9245"/>
              </w:tabs>
              <w:spacing w:after="120"/>
            </w:pPr>
            <w:r>
              <w:tab/>
            </w:r>
            <w:r w:rsidRPr="000B5BE0">
              <w:rPr>
                <w:bCs/>
              </w:rPr>
              <w:t>Aprobación del programa</w:t>
            </w:r>
            <w:r>
              <w:rPr>
                <w:bCs/>
                <w:spacing w:val="60"/>
                <w:sz w:val="17"/>
              </w:rPr>
              <w:tab/>
            </w:r>
          </w:p>
        </w:tc>
        <w:tc>
          <w:tcPr>
            <w:tcW w:w="792" w:type="dxa"/>
            <w:shd w:val="clear" w:color="auto" w:fill="auto"/>
            <w:vAlign w:val="bottom"/>
          </w:tcPr>
          <w:p w14:paraId="334F1A9E" w14:textId="009D2053" w:rsidR="004051C9" w:rsidRPr="00BC7AA5" w:rsidRDefault="004051C9" w:rsidP="004051C9">
            <w:pPr>
              <w:spacing w:after="120"/>
              <w:jc w:val="right"/>
            </w:pPr>
            <w:r>
              <w:t>36</w:t>
            </w:r>
          </w:p>
        </w:tc>
      </w:tr>
      <w:tr w:rsidR="004051C9" w:rsidRPr="00BC7AA5" w14:paraId="1B718D45" w14:textId="77777777" w:rsidTr="0032512E">
        <w:tc>
          <w:tcPr>
            <w:tcW w:w="9110" w:type="dxa"/>
            <w:gridSpan w:val="3"/>
            <w:shd w:val="clear" w:color="auto" w:fill="auto"/>
          </w:tcPr>
          <w:p w14:paraId="159C7865" w14:textId="6C501253" w:rsidR="004051C9" w:rsidRPr="00BC7AA5" w:rsidRDefault="004051C9" w:rsidP="00B212E1">
            <w:pPr>
              <w:spacing w:after="120"/>
            </w:pPr>
            <w:r>
              <w:tab/>
              <w:t>Anexo</w:t>
            </w:r>
          </w:p>
        </w:tc>
        <w:tc>
          <w:tcPr>
            <w:tcW w:w="792" w:type="dxa"/>
            <w:shd w:val="clear" w:color="auto" w:fill="auto"/>
            <w:vAlign w:val="bottom"/>
          </w:tcPr>
          <w:p w14:paraId="2EC37523" w14:textId="77777777" w:rsidR="004051C9" w:rsidRPr="00BC7AA5" w:rsidRDefault="004051C9" w:rsidP="004051C9">
            <w:pPr>
              <w:spacing w:after="120"/>
              <w:jc w:val="right"/>
            </w:pPr>
          </w:p>
        </w:tc>
      </w:tr>
      <w:tr w:rsidR="004051C9" w:rsidRPr="00BC7AA5" w14:paraId="2B95D292" w14:textId="77777777" w:rsidTr="0032512E">
        <w:tc>
          <w:tcPr>
            <w:tcW w:w="9110" w:type="dxa"/>
            <w:gridSpan w:val="3"/>
            <w:shd w:val="clear" w:color="auto" w:fill="auto"/>
          </w:tcPr>
          <w:p w14:paraId="3A82CA32" w14:textId="614EC4E7" w:rsidR="004051C9" w:rsidRPr="00B212E1" w:rsidRDefault="004051C9" w:rsidP="00B212E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rPr>
                <w:bCs/>
              </w:rPr>
              <w:tab/>
            </w:r>
            <w:r>
              <w:rPr>
                <w:bCs/>
              </w:rPr>
              <w:tab/>
            </w:r>
            <w:r w:rsidRPr="007F564F">
              <w:rPr>
                <w:bCs/>
              </w:rPr>
              <w:t>Documentos que el Comité tuvo ante sí en su 8</w:t>
            </w:r>
            <w:r>
              <w:rPr>
                <w:bCs/>
              </w:rPr>
              <w:t>6</w:t>
            </w:r>
            <w:r w:rsidRPr="007F564F">
              <w:rPr>
                <w:bCs/>
              </w:rPr>
              <w:t>º período de sesiones</w:t>
            </w:r>
            <w:r>
              <w:rPr>
                <w:bCs/>
                <w:spacing w:val="60"/>
                <w:sz w:val="17"/>
              </w:rPr>
              <w:tab/>
            </w:r>
          </w:p>
        </w:tc>
        <w:tc>
          <w:tcPr>
            <w:tcW w:w="792" w:type="dxa"/>
            <w:shd w:val="clear" w:color="auto" w:fill="auto"/>
            <w:vAlign w:val="bottom"/>
          </w:tcPr>
          <w:p w14:paraId="4693B50F" w14:textId="26EDB3AC" w:rsidR="004051C9" w:rsidRPr="00BC7AA5" w:rsidRDefault="004051C9" w:rsidP="004051C9">
            <w:pPr>
              <w:spacing w:after="120"/>
              <w:jc w:val="right"/>
            </w:pPr>
            <w:r>
              <w:t>37</w:t>
            </w:r>
          </w:p>
        </w:tc>
      </w:tr>
      <w:tr w:rsidR="004051C9" w:rsidRPr="00BC7AA5" w14:paraId="4A8C7826" w14:textId="77777777" w:rsidTr="0032512E">
        <w:tc>
          <w:tcPr>
            <w:tcW w:w="9110" w:type="dxa"/>
            <w:gridSpan w:val="3"/>
            <w:shd w:val="clear" w:color="auto" w:fill="auto"/>
          </w:tcPr>
          <w:p w14:paraId="4EB834E5" w14:textId="7912D884" w:rsidR="004051C9" w:rsidRPr="007F564F" w:rsidRDefault="004051C9" w:rsidP="004051C9">
            <w:pPr>
              <w:keepNext/>
              <w:tabs>
                <w:tab w:val="right" w:pos="1080"/>
                <w:tab w:val="left" w:pos="1296"/>
                <w:tab w:val="right" w:pos="1714"/>
                <w:tab w:val="left" w:pos="2160"/>
                <w:tab w:val="left" w:pos="2592"/>
                <w:tab w:val="left" w:pos="3024"/>
                <w:tab w:val="left" w:pos="3456"/>
              </w:tabs>
              <w:rPr>
                <w:b/>
              </w:rPr>
            </w:pPr>
            <w:r>
              <w:rPr>
                <w:b/>
                <w:bCs/>
              </w:rPr>
              <w:tab/>
            </w:r>
            <w:r>
              <w:rPr>
                <w:b/>
                <w:bCs/>
              </w:rPr>
              <w:tab/>
              <w:t>Tercera</w:t>
            </w:r>
            <w:r w:rsidRPr="007F564F">
              <w:rPr>
                <w:b/>
                <w:bCs/>
              </w:rPr>
              <w:t xml:space="preserve"> Parte</w:t>
            </w:r>
          </w:p>
          <w:p w14:paraId="51EE0A29" w14:textId="7E3D812E" w:rsidR="004051C9" w:rsidRPr="00B212E1" w:rsidRDefault="004051C9" w:rsidP="00B212E1">
            <w:pPr>
              <w:tabs>
                <w:tab w:val="right" w:pos="1080"/>
                <w:tab w:val="left" w:pos="1300"/>
                <w:tab w:val="left" w:pos="1740"/>
                <w:tab w:val="left" w:pos="2180"/>
                <w:tab w:val="left" w:pos="2620"/>
                <w:tab w:val="left" w:pos="3060"/>
                <w:tab w:val="left" w:pos="3500"/>
                <w:tab w:val="right" w:leader="dot" w:pos="9245"/>
              </w:tabs>
              <w:spacing w:after="120"/>
              <w:ind w:left="1296" w:hanging="1296"/>
              <w:rPr>
                <w:spacing w:val="60"/>
                <w:sz w:val="17"/>
              </w:rPr>
            </w:pPr>
            <w:r w:rsidRPr="007F564F">
              <w:tab/>
            </w:r>
            <w:r w:rsidRPr="007F564F">
              <w:tab/>
            </w:r>
            <w:r w:rsidRPr="00BF3C06">
              <w:rPr>
                <w:b/>
              </w:rPr>
              <w:tab/>
              <w:t xml:space="preserve">Informe del Comité para la Eliminación de la Discriminación contra la Mujer </w:t>
            </w:r>
            <w:r>
              <w:rPr>
                <w:b/>
              </w:rPr>
              <w:br/>
            </w:r>
            <w:r w:rsidRPr="00BF3C06">
              <w:rPr>
                <w:b/>
              </w:rPr>
              <w:t>en su 8</w:t>
            </w:r>
            <w:r>
              <w:rPr>
                <w:b/>
              </w:rPr>
              <w:t>7</w:t>
            </w:r>
            <w:r w:rsidRPr="00BF3C06">
              <w:rPr>
                <w:b/>
              </w:rPr>
              <w:t>º período de sesiones</w:t>
            </w:r>
            <w:r w:rsidRPr="00B212E1">
              <w:rPr>
                <w:bCs/>
                <w:spacing w:val="60"/>
                <w:sz w:val="17"/>
              </w:rPr>
              <w:tab/>
            </w:r>
          </w:p>
        </w:tc>
        <w:tc>
          <w:tcPr>
            <w:tcW w:w="792" w:type="dxa"/>
            <w:shd w:val="clear" w:color="auto" w:fill="auto"/>
            <w:vAlign w:val="bottom"/>
          </w:tcPr>
          <w:p w14:paraId="3408A41B" w14:textId="081284B6" w:rsidR="004051C9" w:rsidRPr="00BC7AA5" w:rsidRDefault="004051C9" w:rsidP="004051C9">
            <w:pPr>
              <w:spacing w:after="120"/>
              <w:jc w:val="right"/>
            </w:pPr>
            <w:r>
              <w:t>38</w:t>
            </w:r>
          </w:p>
        </w:tc>
      </w:tr>
      <w:tr w:rsidR="004051C9" w:rsidRPr="00BC7AA5" w14:paraId="1C66513A" w14:textId="77777777" w:rsidTr="0032512E">
        <w:tc>
          <w:tcPr>
            <w:tcW w:w="9110" w:type="dxa"/>
            <w:gridSpan w:val="3"/>
            <w:shd w:val="clear" w:color="auto" w:fill="auto"/>
          </w:tcPr>
          <w:p w14:paraId="5CC6DF8F" w14:textId="5FB6C053"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4A58FE">
              <w:rPr>
                <w:bCs/>
              </w:rPr>
              <w:t>Decisiones adoptadas por el Comité</w:t>
            </w:r>
            <w:r>
              <w:rPr>
                <w:bCs/>
                <w:spacing w:val="60"/>
                <w:sz w:val="17"/>
              </w:rPr>
              <w:tab/>
            </w:r>
          </w:p>
        </w:tc>
        <w:tc>
          <w:tcPr>
            <w:tcW w:w="792" w:type="dxa"/>
            <w:shd w:val="clear" w:color="auto" w:fill="auto"/>
            <w:vAlign w:val="bottom"/>
          </w:tcPr>
          <w:p w14:paraId="547B61DD" w14:textId="4979F413" w:rsidR="004051C9" w:rsidRPr="00BC7AA5" w:rsidRDefault="004051C9" w:rsidP="004051C9">
            <w:pPr>
              <w:spacing w:after="120"/>
              <w:jc w:val="right"/>
            </w:pPr>
            <w:r>
              <w:t>39</w:t>
            </w:r>
          </w:p>
        </w:tc>
      </w:tr>
      <w:tr w:rsidR="004051C9" w:rsidRPr="00BC7AA5" w14:paraId="6DE5096B" w14:textId="77777777" w:rsidTr="00B212E1">
        <w:tc>
          <w:tcPr>
            <w:tcW w:w="9110" w:type="dxa"/>
            <w:gridSpan w:val="3"/>
            <w:shd w:val="clear" w:color="auto" w:fill="auto"/>
          </w:tcPr>
          <w:p w14:paraId="130CC590" w14:textId="5346E3C6"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4A58FE">
              <w:rPr>
                <w:bCs/>
              </w:rPr>
              <w:t>Cuestiones de organización y otros asuntos</w:t>
            </w:r>
            <w:r>
              <w:rPr>
                <w:bCs/>
                <w:spacing w:val="60"/>
                <w:sz w:val="17"/>
              </w:rPr>
              <w:tab/>
            </w:r>
          </w:p>
        </w:tc>
        <w:tc>
          <w:tcPr>
            <w:tcW w:w="792" w:type="dxa"/>
            <w:shd w:val="clear" w:color="auto" w:fill="auto"/>
          </w:tcPr>
          <w:p w14:paraId="6C03EE97" w14:textId="669556B4" w:rsidR="004051C9" w:rsidRPr="00BC7AA5" w:rsidRDefault="004051C9" w:rsidP="004051C9">
            <w:pPr>
              <w:spacing w:after="120"/>
              <w:jc w:val="right"/>
            </w:pPr>
            <w:r>
              <w:t>41</w:t>
            </w:r>
          </w:p>
        </w:tc>
      </w:tr>
      <w:tr w:rsidR="004051C9" w:rsidRPr="00BC7AA5" w14:paraId="63CCE87D" w14:textId="77777777" w:rsidTr="00B212E1">
        <w:tc>
          <w:tcPr>
            <w:tcW w:w="9110" w:type="dxa"/>
            <w:gridSpan w:val="3"/>
            <w:shd w:val="clear" w:color="auto" w:fill="auto"/>
          </w:tcPr>
          <w:p w14:paraId="410FABC0" w14:textId="64EE2F91"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4A58FE">
              <w:rPr>
                <w:bCs/>
              </w:rPr>
              <w:t>Estados partes en la Convención y en el Protocolo Facultativo</w:t>
            </w:r>
            <w:r>
              <w:rPr>
                <w:bCs/>
                <w:spacing w:val="60"/>
                <w:sz w:val="17"/>
              </w:rPr>
              <w:tab/>
            </w:r>
          </w:p>
        </w:tc>
        <w:tc>
          <w:tcPr>
            <w:tcW w:w="792" w:type="dxa"/>
            <w:shd w:val="clear" w:color="auto" w:fill="auto"/>
          </w:tcPr>
          <w:p w14:paraId="113CC7E2" w14:textId="0A2C18CD" w:rsidR="004051C9" w:rsidRPr="00BC7AA5" w:rsidRDefault="004051C9" w:rsidP="004051C9">
            <w:pPr>
              <w:spacing w:after="120"/>
              <w:jc w:val="right"/>
            </w:pPr>
            <w:r w:rsidRPr="00DB10C9">
              <w:t>41</w:t>
            </w:r>
          </w:p>
        </w:tc>
      </w:tr>
      <w:tr w:rsidR="004051C9" w:rsidRPr="00BC7AA5" w14:paraId="2C1C6825" w14:textId="77777777" w:rsidTr="00B212E1">
        <w:tc>
          <w:tcPr>
            <w:tcW w:w="9110" w:type="dxa"/>
            <w:gridSpan w:val="3"/>
            <w:shd w:val="clear" w:color="auto" w:fill="auto"/>
          </w:tcPr>
          <w:p w14:paraId="1FE2FABC" w14:textId="5E7B0573"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280FD1">
              <w:rPr>
                <w:bCs/>
              </w:rPr>
              <w:t>Apertura del período de sesiones</w:t>
            </w:r>
            <w:r>
              <w:rPr>
                <w:bCs/>
                <w:spacing w:val="60"/>
                <w:sz w:val="17"/>
              </w:rPr>
              <w:tab/>
            </w:r>
          </w:p>
        </w:tc>
        <w:tc>
          <w:tcPr>
            <w:tcW w:w="792" w:type="dxa"/>
            <w:shd w:val="clear" w:color="auto" w:fill="auto"/>
          </w:tcPr>
          <w:p w14:paraId="61B9B332" w14:textId="58C0290B" w:rsidR="004051C9" w:rsidRPr="00BC7AA5" w:rsidRDefault="004051C9" w:rsidP="004051C9">
            <w:pPr>
              <w:spacing w:after="120"/>
              <w:jc w:val="right"/>
            </w:pPr>
            <w:r w:rsidRPr="00DB10C9">
              <w:t>41</w:t>
            </w:r>
          </w:p>
        </w:tc>
      </w:tr>
      <w:tr w:rsidR="004051C9" w:rsidRPr="00BC7AA5" w14:paraId="5DCE8784" w14:textId="77777777" w:rsidTr="00B212E1">
        <w:tc>
          <w:tcPr>
            <w:tcW w:w="9110" w:type="dxa"/>
            <w:gridSpan w:val="3"/>
            <w:shd w:val="clear" w:color="auto" w:fill="auto"/>
          </w:tcPr>
          <w:p w14:paraId="4925175B" w14:textId="066B51E8"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right" w:leader="dot" w:pos="9245"/>
              </w:tabs>
              <w:spacing w:after="120"/>
            </w:pPr>
            <w:r w:rsidRPr="00280FD1">
              <w:rPr>
                <w:bCs/>
              </w:rPr>
              <w:t>Aprobación del programa</w:t>
            </w:r>
            <w:r>
              <w:rPr>
                <w:bCs/>
                <w:spacing w:val="60"/>
                <w:sz w:val="17"/>
              </w:rPr>
              <w:tab/>
            </w:r>
          </w:p>
        </w:tc>
        <w:tc>
          <w:tcPr>
            <w:tcW w:w="792" w:type="dxa"/>
            <w:shd w:val="clear" w:color="auto" w:fill="auto"/>
          </w:tcPr>
          <w:p w14:paraId="2EFDE888" w14:textId="5EF36A27" w:rsidR="004051C9" w:rsidRPr="00BC7AA5" w:rsidRDefault="004051C9" w:rsidP="004051C9">
            <w:pPr>
              <w:spacing w:after="120"/>
              <w:jc w:val="right"/>
            </w:pPr>
            <w:r w:rsidRPr="00DB10C9">
              <w:t>41</w:t>
            </w:r>
          </w:p>
        </w:tc>
      </w:tr>
      <w:tr w:rsidR="004051C9" w:rsidRPr="00BC7AA5" w14:paraId="30849FFF" w14:textId="77777777" w:rsidTr="00B212E1">
        <w:tc>
          <w:tcPr>
            <w:tcW w:w="9110" w:type="dxa"/>
            <w:gridSpan w:val="3"/>
            <w:shd w:val="clear" w:color="auto" w:fill="auto"/>
          </w:tcPr>
          <w:p w14:paraId="5EA9DF63" w14:textId="0209BE1F"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280FD1">
              <w:rPr>
                <w:bCs/>
              </w:rPr>
              <w:t>Informe del grupo de trabajo anterior al período de sesiones</w:t>
            </w:r>
            <w:r>
              <w:rPr>
                <w:bCs/>
                <w:spacing w:val="60"/>
                <w:sz w:val="17"/>
              </w:rPr>
              <w:tab/>
            </w:r>
          </w:p>
        </w:tc>
        <w:tc>
          <w:tcPr>
            <w:tcW w:w="792" w:type="dxa"/>
            <w:shd w:val="clear" w:color="auto" w:fill="auto"/>
          </w:tcPr>
          <w:p w14:paraId="35EBC22A" w14:textId="3B3C4E3C" w:rsidR="004051C9" w:rsidRPr="00BC7AA5" w:rsidRDefault="004051C9" w:rsidP="004051C9">
            <w:pPr>
              <w:spacing w:after="120"/>
              <w:jc w:val="right"/>
            </w:pPr>
            <w:r w:rsidRPr="00DB10C9">
              <w:t>41</w:t>
            </w:r>
          </w:p>
        </w:tc>
      </w:tr>
      <w:tr w:rsidR="004051C9" w:rsidRPr="00BC7AA5" w14:paraId="7C0927EA" w14:textId="77777777" w:rsidTr="00B212E1">
        <w:tc>
          <w:tcPr>
            <w:tcW w:w="9110" w:type="dxa"/>
            <w:gridSpan w:val="3"/>
            <w:shd w:val="clear" w:color="auto" w:fill="auto"/>
          </w:tcPr>
          <w:p w14:paraId="5A3EA198" w14:textId="41259C26"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280FD1">
              <w:rPr>
                <w:bCs/>
              </w:rPr>
              <w:t>Organización de los trabajos</w:t>
            </w:r>
            <w:r>
              <w:rPr>
                <w:bCs/>
                <w:spacing w:val="60"/>
                <w:sz w:val="17"/>
              </w:rPr>
              <w:tab/>
            </w:r>
          </w:p>
        </w:tc>
        <w:tc>
          <w:tcPr>
            <w:tcW w:w="792" w:type="dxa"/>
            <w:shd w:val="clear" w:color="auto" w:fill="auto"/>
          </w:tcPr>
          <w:p w14:paraId="2FCA3968" w14:textId="13921523" w:rsidR="004051C9" w:rsidRPr="00BC7AA5" w:rsidRDefault="004051C9" w:rsidP="004051C9">
            <w:pPr>
              <w:spacing w:after="120"/>
              <w:jc w:val="right"/>
            </w:pPr>
            <w:r w:rsidRPr="00DB10C9">
              <w:t>41</w:t>
            </w:r>
          </w:p>
        </w:tc>
      </w:tr>
      <w:tr w:rsidR="004051C9" w:rsidRPr="00BC7AA5" w14:paraId="23F5C07F" w14:textId="77777777" w:rsidTr="00B212E1">
        <w:tc>
          <w:tcPr>
            <w:tcW w:w="9110" w:type="dxa"/>
            <w:gridSpan w:val="3"/>
            <w:shd w:val="clear" w:color="auto" w:fill="auto"/>
          </w:tcPr>
          <w:p w14:paraId="1B27B35F" w14:textId="62482147"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right" w:leader="dot" w:pos="9245"/>
              </w:tabs>
              <w:spacing w:after="120"/>
            </w:pPr>
            <w:r w:rsidRPr="00280FD1">
              <w:rPr>
                <w:bCs/>
              </w:rPr>
              <w:t>Composición del Comité</w:t>
            </w:r>
            <w:r>
              <w:rPr>
                <w:bCs/>
                <w:spacing w:val="60"/>
                <w:sz w:val="17"/>
              </w:rPr>
              <w:tab/>
            </w:r>
          </w:p>
        </w:tc>
        <w:tc>
          <w:tcPr>
            <w:tcW w:w="792" w:type="dxa"/>
            <w:shd w:val="clear" w:color="auto" w:fill="auto"/>
          </w:tcPr>
          <w:p w14:paraId="5D190586" w14:textId="6641A22D" w:rsidR="004051C9" w:rsidRPr="00BC7AA5" w:rsidRDefault="004051C9" w:rsidP="004051C9">
            <w:pPr>
              <w:spacing w:after="120"/>
              <w:jc w:val="right"/>
            </w:pPr>
            <w:r>
              <w:t>42</w:t>
            </w:r>
          </w:p>
        </w:tc>
      </w:tr>
      <w:tr w:rsidR="004051C9" w:rsidRPr="00BC7AA5" w14:paraId="3F1B54EB" w14:textId="77777777" w:rsidTr="0032512E">
        <w:tc>
          <w:tcPr>
            <w:tcW w:w="9110" w:type="dxa"/>
            <w:gridSpan w:val="3"/>
            <w:shd w:val="clear" w:color="auto" w:fill="auto"/>
          </w:tcPr>
          <w:p w14:paraId="4918F3D5" w14:textId="4D909145" w:rsidR="004051C9" w:rsidRPr="00BC7AA5" w:rsidRDefault="004051C9" w:rsidP="00B212E1">
            <w:pPr>
              <w:pStyle w:val="ListParagraph"/>
              <w:keepNext/>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tab/>
            </w:r>
            <w:r w:rsidRPr="004A58FE">
              <w:rPr>
                <w:bCs/>
              </w:rPr>
              <w:t>Informe de la Presidencia sobre las actividades realizadas entre períodos de sesiones</w:t>
            </w:r>
            <w:r>
              <w:rPr>
                <w:bCs/>
                <w:spacing w:val="60"/>
                <w:sz w:val="17"/>
              </w:rPr>
              <w:tab/>
            </w:r>
          </w:p>
        </w:tc>
        <w:tc>
          <w:tcPr>
            <w:tcW w:w="792" w:type="dxa"/>
            <w:shd w:val="clear" w:color="auto" w:fill="auto"/>
            <w:vAlign w:val="bottom"/>
          </w:tcPr>
          <w:p w14:paraId="5D4F1D13" w14:textId="7EF7769B" w:rsidR="004051C9" w:rsidRPr="00BC7AA5" w:rsidRDefault="004051C9" w:rsidP="00B212E1">
            <w:pPr>
              <w:keepNext/>
              <w:spacing w:after="120"/>
              <w:jc w:val="right"/>
            </w:pPr>
            <w:r>
              <w:t>43</w:t>
            </w:r>
          </w:p>
        </w:tc>
      </w:tr>
      <w:tr w:rsidR="004051C9" w:rsidRPr="00BC7AA5" w14:paraId="06B39D18" w14:textId="77777777" w:rsidTr="0032512E">
        <w:tc>
          <w:tcPr>
            <w:tcW w:w="9110" w:type="dxa"/>
            <w:gridSpan w:val="3"/>
            <w:shd w:val="clear" w:color="auto" w:fill="auto"/>
          </w:tcPr>
          <w:p w14:paraId="3D5A2BD9" w14:textId="69BA6A9B" w:rsidR="004051C9" w:rsidRPr="00BC7AA5" w:rsidRDefault="004051C9" w:rsidP="00B212E1">
            <w:pPr>
              <w:pStyle w:val="ListParagraph"/>
              <w:numPr>
                <w:ilvl w:val="0"/>
                <w:numId w:val="29"/>
              </w:numPr>
              <w:tabs>
                <w:tab w:val="clear" w:pos="1296"/>
                <w:tab w:val="right" w:pos="1080"/>
                <w:tab w:val="left" w:pos="1300"/>
                <w:tab w:val="left" w:pos="1740"/>
                <w:tab w:val="left" w:pos="2180"/>
                <w:tab w:val="right" w:leader="dot" w:pos="9245"/>
              </w:tabs>
              <w:spacing w:after="120"/>
            </w:pPr>
            <w:r>
              <w:tab/>
            </w:r>
            <w:r w:rsidRPr="004A58FE">
              <w:rPr>
                <w:bCs/>
              </w:rPr>
              <w:t>Examen de los informes presentados por los Estados partes en virtud del artículo 18 de la Convención</w:t>
            </w:r>
            <w:r>
              <w:rPr>
                <w:bCs/>
                <w:spacing w:val="60"/>
                <w:sz w:val="17"/>
              </w:rPr>
              <w:tab/>
            </w:r>
          </w:p>
        </w:tc>
        <w:tc>
          <w:tcPr>
            <w:tcW w:w="792" w:type="dxa"/>
            <w:shd w:val="clear" w:color="auto" w:fill="auto"/>
            <w:vAlign w:val="bottom"/>
          </w:tcPr>
          <w:p w14:paraId="4750ED7D" w14:textId="768E057A" w:rsidR="004051C9" w:rsidRPr="00BC7AA5" w:rsidRDefault="004051C9" w:rsidP="004051C9">
            <w:pPr>
              <w:spacing w:after="120"/>
              <w:jc w:val="right"/>
            </w:pPr>
            <w:r>
              <w:t>44</w:t>
            </w:r>
          </w:p>
        </w:tc>
      </w:tr>
      <w:tr w:rsidR="004051C9" w:rsidRPr="00BC7AA5" w14:paraId="71B16CAE" w14:textId="77777777" w:rsidTr="0032512E">
        <w:tc>
          <w:tcPr>
            <w:tcW w:w="9110" w:type="dxa"/>
            <w:gridSpan w:val="3"/>
            <w:shd w:val="clear" w:color="auto" w:fill="auto"/>
          </w:tcPr>
          <w:p w14:paraId="034DE46C" w14:textId="6B1BF78B"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4A58FE">
              <w:rPr>
                <w:bCs/>
              </w:rPr>
              <w:t>Actividades llevadas a cabo en virtud del Protocolo Facultativo</w:t>
            </w:r>
            <w:r>
              <w:rPr>
                <w:bCs/>
                <w:spacing w:val="60"/>
                <w:sz w:val="17"/>
              </w:rPr>
              <w:tab/>
            </w:r>
          </w:p>
        </w:tc>
        <w:tc>
          <w:tcPr>
            <w:tcW w:w="792" w:type="dxa"/>
            <w:shd w:val="clear" w:color="auto" w:fill="auto"/>
            <w:vAlign w:val="bottom"/>
          </w:tcPr>
          <w:p w14:paraId="5E40A972" w14:textId="41750C30" w:rsidR="004051C9" w:rsidRPr="00BC7AA5" w:rsidRDefault="004051C9" w:rsidP="004051C9">
            <w:pPr>
              <w:spacing w:after="120"/>
              <w:jc w:val="right"/>
            </w:pPr>
            <w:r>
              <w:t>45</w:t>
            </w:r>
          </w:p>
        </w:tc>
      </w:tr>
      <w:tr w:rsidR="004051C9" w:rsidRPr="00BC7AA5" w14:paraId="45FC7B2A" w14:textId="77777777" w:rsidTr="00B212E1">
        <w:tc>
          <w:tcPr>
            <w:tcW w:w="9110" w:type="dxa"/>
            <w:gridSpan w:val="3"/>
            <w:shd w:val="clear" w:color="auto" w:fill="auto"/>
          </w:tcPr>
          <w:p w14:paraId="07ABA748" w14:textId="0E263810"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B5BE0">
              <w:rPr>
                <w:bCs/>
              </w:rPr>
              <w:t>Medidas adoptadas por el Comité con respecto a las cuestiones previstas en el artículo 2 del Protocolo Facultativo</w:t>
            </w:r>
            <w:r>
              <w:rPr>
                <w:bCs/>
                <w:spacing w:val="60"/>
                <w:sz w:val="17"/>
              </w:rPr>
              <w:tab/>
            </w:r>
          </w:p>
        </w:tc>
        <w:tc>
          <w:tcPr>
            <w:tcW w:w="792" w:type="dxa"/>
            <w:shd w:val="clear" w:color="auto" w:fill="auto"/>
          </w:tcPr>
          <w:p w14:paraId="5F3D1932" w14:textId="42615272" w:rsidR="004051C9" w:rsidRPr="00BC7AA5" w:rsidRDefault="004051C9" w:rsidP="004051C9">
            <w:pPr>
              <w:spacing w:after="120"/>
              <w:jc w:val="right"/>
            </w:pPr>
            <w:r w:rsidRPr="007C3D7B">
              <w:t>45</w:t>
            </w:r>
          </w:p>
        </w:tc>
      </w:tr>
      <w:tr w:rsidR="004051C9" w:rsidRPr="00BC7AA5" w14:paraId="3663F8B3" w14:textId="77777777" w:rsidTr="00B212E1">
        <w:tc>
          <w:tcPr>
            <w:tcW w:w="9110" w:type="dxa"/>
            <w:gridSpan w:val="3"/>
            <w:shd w:val="clear" w:color="auto" w:fill="auto"/>
          </w:tcPr>
          <w:p w14:paraId="05E505F3" w14:textId="44016489"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0B5BE0">
              <w:rPr>
                <w:bCs/>
              </w:rPr>
              <w:t>Seguimiento de los dictámenes del Comité sobre comunicaciones individuales</w:t>
            </w:r>
            <w:r>
              <w:rPr>
                <w:bCs/>
                <w:spacing w:val="60"/>
                <w:sz w:val="17"/>
              </w:rPr>
              <w:tab/>
            </w:r>
          </w:p>
        </w:tc>
        <w:tc>
          <w:tcPr>
            <w:tcW w:w="792" w:type="dxa"/>
            <w:shd w:val="clear" w:color="auto" w:fill="auto"/>
          </w:tcPr>
          <w:p w14:paraId="3E21EBE8" w14:textId="2AA4C46B" w:rsidR="004051C9" w:rsidRPr="00BC7AA5" w:rsidRDefault="004051C9" w:rsidP="004051C9">
            <w:pPr>
              <w:spacing w:after="120"/>
              <w:jc w:val="right"/>
            </w:pPr>
            <w:r w:rsidRPr="007C3D7B">
              <w:t>45</w:t>
            </w:r>
          </w:p>
        </w:tc>
      </w:tr>
      <w:tr w:rsidR="004051C9" w:rsidRPr="00BC7AA5" w14:paraId="6050A339" w14:textId="77777777" w:rsidTr="00B212E1">
        <w:tc>
          <w:tcPr>
            <w:tcW w:w="9110" w:type="dxa"/>
            <w:gridSpan w:val="3"/>
            <w:shd w:val="clear" w:color="auto" w:fill="auto"/>
          </w:tcPr>
          <w:p w14:paraId="55D7E93E" w14:textId="7642C864" w:rsidR="004051C9" w:rsidRPr="00BC7AA5" w:rsidRDefault="004051C9" w:rsidP="00B212E1">
            <w:pPr>
              <w:pStyle w:val="ListParagraph"/>
              <w:numPr>
                <w:ilvl w:val="1"/>
                <w:numId w:val="2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0B5BE0">
              <w:rPr>
                <w:bCs/>
              </w:rPr>
              <w:t>Medidas adoptadas por el Comité con respecto a las cuestiones previstas en el artículo 8 del Protocolo Facultativo</w:t>
            </w:r>
            <w:r>
              <w:rPr>
                <w:bCs/>
                <w:spacing w:val="60"/>
                <w:sz w:val="17"/>
              </w:rPr>
              <w:tab/>
            </w:r>
          </w:p>
        </w:tc>
        <w:tc>
          <w:tcPr>
            <w:tcW w:w="792" w:type="dxa"/>
            <w:shd w:val="clear" w:color="auto" w:fill="auto"/>
          </w:tcPr>
          <w:p w14:paraId="571BCB3C" w14:textId="0E101105" w:rsidR="004051C9" w:rsidRPr="00BC7AA5" w:rsidRDefault="004051C9" w:rsidP="004051C9">
            <w:pPr>
              <w:spacing w:after="120"/>
              <w:jc w:val="right"/>
            </w:pPr>
            <w:r w:rsidRPr="007C3D7B">
              <w:t>45</w:t>
            </w:r>
          </w:p>
        </w:tc>
      </w:tr>
      <w:tr w:rsidR="004051C9" w:rsidRPr="00BC7AA5" w14:paraId="7F7D062F" w14:textId="77777777" w:rsidTr="0032512E">
        <w:tc>
          <w:tcPr>
            <w:tcW w:w="9110" w:type="dxa"/>
            <w:gridSpan w:val="3"/>
            <w:shd w:val="clear" w:color="auto" w:fill="auto"/>
          </w:tcPr>
          <w:p w14:paraId="23DD26DA" w14:textId="657FF96A"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Pr="003F1163">
              <w:rPr>
                <w:bCs/>
              </w:rPr>
              <w:t>Medios de agilizar los trabajos del Comité</w:t>
            </w:r>
            <w:r>
              <w:rPr>
                <w:bCs/>
                <w:spacing w:val="60"/>
                <w:sz w:val="17"/>
              </w:rPr>
              <w:tab/>
            </w:r>
          </w:p>
        </w:tc>
        <w:tc>
          <w:tcPr>
            <w:tcW w:w="792" w:type="dxa"/>
            <w:shd w:val="clear" w:color="auto" w:fill="auto"/>
            <w:vAlign w:val="bottom"/>
          </w:tcPr>
          <w:p w14:paraId="762834C3" w14:textId="19699F9F" w:rsidR="004051C9" w:rsidRPr="00BC7AA5" w:rsidRDefault="004051C9" w:rsidP="004051C9">
            <w:pPr>
              <w:spacing w:after="120"/>
              <w:jc w:val="right"/>
            </w:pPr>
            <w:r>
              <w:t>48</w:t>
            </w:r>
          </w:p>
        </w:tc>
      </w:tr>
      <w:tr w:rsidR="004051C9" w:rsidRPr="00BC7AA5" w14:paraId="0AFC9EB5" w14:textId="77777777" w:rsidTr="0032512E">
        <w:tc>
          <w:tcPr>
            <w:tcW w:w="9110" w:type="dxa"/>
            <w:gridSpan w:val="3"/>
            <w:shd w:val="clear" w:color="auto" w:fill="auto"/>
          </w:tcPr>
          <w:p w14:paraId="75048AB2" w14:textId="46956C9C"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0B5BE0">
              <w:rPr>
                <w:bCs/>
              </w:rPr>
              <w:t>Información sobre la aplicación del artículo 21 de la Convención</w:t>
            </w:r>
            <w:r>
              <w:rPr>
                <w:bCs/>
                <w:spacing w:val="60"/>
                <w:sz w:val="17"/>
              </w:rPr>
              <w:tab/>
            </w:r>
          </w:p>
        </w:tc>
        <w:tc>
          <w:tcPr>
            <w:tcW w:w="792" w:type="dxa"/>
            <w:shd w:val="clear" w:color="auto" w:fill="auto"/>
            <w:vAlign w:val="bottom"/>
          </w:tcPr>
          <w:p w14:paraId="4A49C44D" w14:textId="041D5016" w:rsidR="004051C9" w:rsidRPr="00BC7AA5" w:rsidRDefault="004051C9" w:rsidP="004051C9">
            <w:pPr>
              <w:spacing w:after="120"/>
              <w:jc w:val="right"/>
            </w:pPr>
            <w:r>
              <w:t>49</w:t>
            </w:r>
          </w:p>
        </w:tc>
      </w:tr>
      <w:tr w:rsidR="004051C9" w:rsidRPr="00BC7AA5" w14:paraId="0CD14C0A" w14:textId="77777777" w:rsidTr="0032512E">
        <w:tc>
          <w:tcPr>
            <w:tcW w:w="9110" w:type="dxa"/>
            <w:gridSpan w:val="3"/>
            <w:shd w:val="clear" w:color="auto" w:fill="auto"/>
          </w:tcPr>
          <w:p w14:paraId="73938550" w14:textId="4F9FAD75"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0B5BE0">
              <w:rPr>
                <w:bCs/>
              </w:rPr>
              <w:t>Programa provisional del 8</w:t>
            </w:r>
            <w:r>
              <w:rPr>
                <w:bCs/>
              </w:rPr>
              <w:t>8</w:t>
            </w:r>
            <w:r w:rsidRPr="000B5BE0">
              <w:rPr>
                <w:bCs/>
              </w:rPr>
              <w:t>º período de sesiones</w:t>
            </w:r>
            <w:r>
              <w:rPr>
                <w:bCs/>
                <w:spacing w:val="60"/>
                <w:sz w:val="17"/>
              </w:rPr>
              <w:tab/>
            </w:r>
          </w:p>
        </w:tc>
        <w:tc>
          <w:tcPr>
            <w:tcW w:w="792" w:type="dxa"/>
            <w:shd w:val="clear" w:color="auto" w:fill="auto"/>
            <w:vAlign w:val="bottom"/>
          </w:tcPr>
          <w:p w14:paraId="7D6E5574" w14:textId="73960DBE" w:rsidR="004051C9" w:rsidRPr="00BC7AA5" w:rsidRDefault="004051C9" w:rsidP="004051C9">
            <w:pPr>
              <w:spacing w:after="120"/>
              <w:jc w:val="right"/>
            </w:pPr>
            <w:r>
              <w:t>51</w:t>
            </w:r>
          </w:p>
        </w:tc>
      </w:tr>
      <w:tr w:rsidR="004051C9" w:rsidRPr="00BC7AA5" w14:paraId="5B5315FD" w14:textId="77777777" w:rsidTr="0032512E">
        <w:tc>
          <w:tcPr>
            <w:tcW w:w="9110" w:type="dxa"/>
            <w:gridSpan w:val="3"/>
            <w:shd w:val="clear" w:color="auto" w:fill="auto"/>
          </w:tcPr>
          <w:p w14:paraId="21430DBC" w14:textId="4612415B" w:rsidR="004051C9" w:rsidRPr="00BC7AA5" w:rsidRDefault="004051C9" w:rsidP="00B212E1">
            <w:pPr>
              <w:pStyle w:val="ListParagraph"/>
              <w:numPr>
                <w:ilvl w:val="0"/>
                <w:numId w:val="29"/>
              </w:numPr>
              <w:tabs>
                <w:tab w:val="clear" w:pos="1296"/>
                <w:tab w:val="right" w:pos="1080"/>
                <w:tab w:val="left" w:pos="1300"/>
                <w:tab w:val="left" w:pos="1740"/>
                <w:tab w:val="left" w:pos="2180"/>
                <w:tab w:val="left" w:pos="2620"/>
                <w:tab w:val="left" w:pos="3060"/>
                <w:tab w:val="right" w:leader="dot" w:pos="9245"/>
              </w:tabs>
              <w:spacing w:after="120"/>
            </w:pPr>
            <w:r>
              <w:tab/>
            </w:r>
            <w:r w:rsidRPr="000B5BE0">
              <w:rPr>
                <w:bCs/>
              </w:rPr>
              <w:t>Aprobación del programa</w:t>
            </w:r>
            <w:r w:rsidR="007F0770">
              <w:rPr>
                <w:bCs/>
                <w:spacing w:val="60"/>
                <w:sz w:val="17"/>
              </w:rPr>
              <w:tab/>
            </w:r>
          </w:p>
        </w:tc>
        <w:tc>
          <w:tcPr>
            <w:tcW w:w="792" w:type="dxa"/>
            <w:shd w:val="clear" w:color="auto" w:fill="auto"/>
            <w:vAlign w:val="bottom"/>
          </w:tcPr>
          <w:p w14:paraId="2472988D" w14:textId="5E9A233D" w:rsidR="004051C9" w:rsidRPr="00BC7AA5" w:rsidRDefault="004051C9" w:rsidP="004051C9">
            <w:pPr>
              <w:spacing w:after="120"/>
              <w:jc w:val="right"/>
            </w:pPr>
            <w:r>
              <w:t>52</w:t>
            </w:r>
          </w:p>
        </w:tc>
      </w:tr>
      <w:tr w:rsidR="004051C9" w:rsidRPr="00BC7AA5" w14:paraId="0CC49332" w14:textId="77777777" w:rsidTr="0032512E">
        <w:tc>
          <w:tcPr>
            <w:tcW w:w="9110" w:type="dxa"/>
            <w:gridSpan w:val="3"/>
            <w:shd w:val="clear" w:color="auto" w:fill="auto"/>
          </w:tcPr>
          <w:p w14:paraId="75382C3D" w14:textId="0EBC14F8" w:rsidR="004051C9" w:rsidRPr="00BC7AA5" w:rsidRDefault="004051C9" w:rsidP="00B212E1">
            <w:pPr>
              <w:tabs>
                <w:tab w:val="right" w:pos="1080"/>
                <w:tab w:val="left" w:pos="1296"/>
                <w:tab w:val="right" w:pos="1714"/>
                <w:tab w:val="left" w:pos="2160"/>
                <w:tab w:val="left" w:pos="2592"/>
                <w:tab w:val="left" w:pos="3024"/>
                <w:tab w:val="left" w:pos="3456"/>
              </w:tabs>
            </w:pPr>
            <w:r>
              <w:tab/>
              <w:t>Anexos</w:t>
            </w:r>
          </w:p>
        </w:tc>
        <w:tc>
          <w:tcPr>
            <w:tcW w:w="792" w:type="dxa"/>
            <w:shd w:val="clear" w:color="auto" w:fill="auto"/>
            <w:vAlign w:val="bottom"/>
          </w:tcPr>
          <w:p w14:paraId="07060398" w14:textId="77777777" w:rsidR="004051C9" w:rsidRPr="00BC7AA5" w:rsidRDefault="004051C9" w:rsidP="004051C9">
            <w:pPr>
              <w:spacing w:after="120"/>
              <w:jc w:val="right"/>
            </w:pPr>
          </w:p>
        </w:tc>
      </w:tr>
      <w:tr w:rsidR="004051C9" w:rsidRPr="00BC7AA5" w14:paraId="599532D0" w14:textId="77777777" w:rsidTr="0032512E">
        <w:tc>
          <w:tcPr>
            <w:tcW w:w="9110" w:type="dxa"/>
            <w:gridSpan w:val="3"/>
            <w:shd w:val="clear" w:color="auto" w:fill="auto"/>
          </w:tcPr>
          <w:p w14:paraId="57836835" w14:textId="50B2EC7F" w:rsidR="004051C9" w:rsidRPr="00BC7AA5" w:rsidRDefault="004051C9" w:rsidP="00B212E1">
            <w:pPr>
              <w:pStyle w:val="ListParagraph"/>
              <w:numPr>
                <w:ilvl w:val="0"/>
                <w:numId w:val="3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tab/>
            </w:r>
            <w:r w:rsidRPr="004E643F">
              <w:rPr>
                <w:bCs/>
              </w:rPr>
              <w:t>Documentos que el Comité tuvo ante sí en su 87º período de sesiones</w:t>
            </w:r>
            <w:r>
              <w:rPr>
                <w:bCs/>
                <w:spacing w:val="60"/>
                <w:sz w:val="17"/>
              </w:rPr>
              <w:tab/>
            </w:r>
          </w:p>
        </w:tc>
        <w:tc>
          <w:tcPr>
            <w:tcW w:w="792" w:type="dxa"/>
            <w:shd w:val="clear" w:color="auto" w:fill="auto"/>
            <w:vAlign w:val="bottom"/>
          </w:tcPr>
          <w:p w14:paraId="67419244" w14:textId="5A46C6AE" w:rsidR="004051C9" w:rsidRPr="00BC7AA5" w:rsidRDefault="004051C9" w:rsidP="004051C9">
            <w:pPr>
              <w:spacing w:after="120"/>
              <w:jc w:val="right"/>
            </w:pPr>
            <w:r>
              <w:t>53</w:t>
            </w:r>
          </w:p>
        </w:tc>
      </w:tr>
      <w:tr w:rsidR="004051C9" w:rsidRPr="00BC7AA5" w14:paraId="511F41A8" w14:textId="77777777" w:rsidTr="0032512E">
        <w:tc>
          <w:tcPr>
            <w:tcW w:w="9110" w:type="dxa"/>
            <w:gridSpan w:val="3"/>
            <w:shd w:val="clear" w:color="auto" w:fill="auto"/>
          </w:tcPr>
          <w:p w14:paraId="51B86F94" w14:textId="116829EC" w:rsidR="004051C9" w:rsidRPr="00BC7AA5" w:rsidRDefault="004051C9" w:rsidP="00B212E1">
            <w:pPr>
              <w:pStyle w:val="ListParagraph"/>
              <w:numPr>
                <w:ilvl w:val="0"/>
                <w:numId w:val="3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4E643F">
              <w:rPr>
                <w:bCs/>
              </w:rPr>
              <w:t>Composición del Comité al 16 de febrero de 2024</w:t>
            </w:r>
            <w:r>
              <w:rPr>
                <w:bCs/>
                <w:spacing w:val="60"/>
                <w:sz w:val="17"/>
              </w:rPr>
              <w:tab/>
            </w:r>
          </w:p>
        </w:tc>
        <w:tc>
          <w:tcPr>
            <w:tcW w:w="792" w:type="dxa"/>
            <w:shd w:val="clear" w:color="auto" w:fill="auto"/>
            <w:vAlign w:val="bottom"/>
          </w:tcPr>
          <w:p w14:paraId="2B9D6B04" w14:textId="6840F426" w:rsidR="004051C9" w:rsidRPr="00BC7AA5" w:rsidRDefault="004051C9" w:rsidP="004051C9">
            <w:pPr>
              <w:spacing w:after="120"/>
              <w:jc w:val="right"/>
            </w:pPr>
            <w:r>
              <w:t>54</w:t>
            </w:r>
          </w:p>
        </w:tc>
      </w:tr>
    </w:tbl>
    <w:p w14:paraId="7FC86729" w14:textId="1FFA6197" w:rsidR="00943033" w:rsidRPr="00BC7AA5" w:rsidRDefault="00943033" w:rsidP="00943033"/>
    <w:p w14:paraId="637E8EEF" w14:textId="77777777" w:rsidR="00943033" w:rsidRPr="00BC7AA5" w:rsidRDefault="00943033">
      <w:pPr>
        <w:suppressAutoHyphens w:val="0"/>
        <w:spacing w:after="160" w:line="259" w:lineRule="auto"/>
      </w:pPr>
      <w:r w:rsidRPr="00BC7AA5">
        <w:br w:type="page"/>
      </w:r>
    </w:p>
    <w:p w14:paraId="14FF44AD" w14:textId="77777777" w:rsidR="00943033" w:rsidRPr="00BC7AA5" w:rsidRDefault="00943033" w:rsidP="00943033"/>
    <w:p w14:paraId="13D5449B" w14:textId="77777777" w:rsidR="00943033" w:rsidRPr="00BC7AA5" w:rsidRDefault="00943033" w:rsidP="00943033">
      <w:pPr>
        <w:spacing w:before="1360" w:after="240"/>
        <w:rPr>
          <w:sz w:val="28"/>
        </w:rPr>
      </w:pPr>
      <w:r w:rsidRPr="00BC7AA5">
        <w:rPr>
          <w:sz w:val="28"/>
        </w:rPr>
        <w:t>Carta de envío</w:t>
      </w:r>
    </w:p>
    <w:p w14:paraId="1134295B" w14:textId="0ED8EC94" w:rsidR="00943033" w:rsidRPr="00BC7AA5" w:rsidRDefault="00B72C67" w:rsidP="00B72C67">
      <w:pPr>
        <w:spacing w:after="240"/>
        <w:jc w:val="right"/>
      </w:pPr>
      <w:r w:rsidRPr="00BC7AA5">
        <w:t>4 de abril de 2024</w:t>
      </w:r>
    </w:p>
    <w:p w14:paraId="4F01DFBD" w14:textId="29F7B1A9" w:rsidR="00B72C67" w:rsidRPr="00BC7AA5" w:rsidRDefault="00B72C67" w:rsidP="00B72C67">
      <w:pPr>
        <w:pStyle w:val="SingleTxt"/>
      </w:pPr>
      <w:r w:rsidRPr="00BC7AA5">
        <w:tab/>
        <w:t>Tengo el honor de referirme al artículo 21 de la Convención sobre la Eliminación de Todas las Formas de Discriminación contra la Mujer, según el cual el Comité para la Eliminación de la Discriminación contra la Mujer, establecido de conformidad con lo dispuesto en la Convención, informará anualmente a la Asamblea General sobre sus actividades por conducto del Consejo Económico y Social.</w:t>
      </w:r>
    </w:p>
    <w:p w14:paraId="15F1277C" w14:textId="163CEB6D" w:rsidR="00B72C67" w:rsidRPr="00BC7AA5" w:rsidRDefault="00B72C67" w:rsidP="00B72C67">
      <w:pPr>
        <w:pStyle w:val="SingleTxt"/>
      </w:pPr>
      <w:r w:rsidRPr="00BC7AA5">
        <w:tab/>
        <w:t>El Comité celebró su 85º período de sesiones del 8 al 26 de mayo de 2023, su 86º período de sesiones del 9 al 27 de octubre de 2023 y su 87º período de sesiones del 29 de enero al 16 de febrero de 2024, en la Oficina de las Naciones Unidas en Ginebra. El Comité aprobó sus informes sobre dichos períodos de sesiones en la 1998</w:t>
      </w:r>
      <w:r w:rsidRPr="00BC7AA5">
        <w:rPr>
          <w:vertAlign w:val="superscript"/>
        </w:rPr>
        <w:t>a</w:t>
      </w:r>
      <w:r w:rsidR="00560578" w:rsidRPr="00BC7AA5">
        <w:t> </w:t>
      </w:r>
      <w:r w:rsidRPr="00BC7AA5">
        <w:t>sesión, el 26 de mayo de 2023, la 2028</w:t>
      </w:r>
      <w:r w:rsidRPr="00BC7AA5">
        <w:rPr>
          <w:vertAlign w:val="superscript"/>
        </w:rPr>
        <w:t>a</w:t>
      </w:r>
      <w:r w:rsidRPr="00BC7AA5">
        <w:t xml:space="preserve"> sesión, el 27 de octubre de 2023, y la 2058</w:t>
      </w:r>
      <w:r w:rsidRPr="00BC7AA5">
        <w:rPr>
          <w:vertAlign w:val="superscript"/>
        </w:rPr>
        <w:t>a</w:t>
      </w:r>
      <w:r w:rsidRPr="00BC7AA5">
        <w:t xml:space="preserve"> sesión, el 16 de febrero de 2024. Adjunto a la presente los informes para que los transmita a la Asamblea General en su septuagésimo noveno período de sesiones.</w:t>
      </w:r>
    </w:p>
    <w:p w14:paraId="5F848102" w14:textId="77777777" w:rsidR="00B72C67" w:rsidRPr="00BC7AA5" w:rsidRDefault="00B72C67" w:rsidP="00B72C67">
      <w:pPr>
        <w:pStyle w:val="SingleTxt"/>
        <w:spacing w:after="0" w:line="120" w:lineRule="exact"/>
        <w:rPr>
          <w:sz w:val="10"/>
        </w:rPr>
      </w:pPr>
    </w:p>
    <w:p w14:paraId="7699A367" w14:textId="77777777" w:rsidR="00B72C67" w:rsidRPr="00BC7AA5" w:rsidRDefault="00B72C67" w:rsidP="00B72C67">
      <w:pPr>
        <w:pStyle w:val="SingleTxt"/>
        <w:spacing w:after="0"/>
        <w:jc w:val="right"/>
      </w:pPr>
      <w:r w:rsidRPr="00BC7AA5">
        <w:t>(</w:t>
      </w:r>
      <w:r w:rsidRPr="00BC7AA5">
        <w:rPr>
          <w:i/>
          <w:iCs/>
        </w:rPr>
        <w:t>Firmado</w:t>
      </w:r>
      <w:r w:rsidRPr="00BC7AA5">
        <w:t xml:space="preserve">) Ana </w:t>
      </w:r>
      <w:r w:rsidRPr="00BC7AA5">
        <w:rPr>
          <w:b/>
          <w:bCs/>
        </w:rPr>
        <w:t>Peláez Narváez</w:t>
      </w:r>
    </w:p>
    <w:p w14:paraId="341E2D1D" w14:textId="7F1E91C9" w:rsidR="00943033" w:rsidRPr="00BC7AA5" w:rsidRDefault="00B72C67" w:rsidP="00B72C67">
      <w:pPr>
        <w:pStyle w:val="SingleTxt"/>
        <w:jc w:val="right"/>
      </w:pPr>
      <w:r w:rsidRPr="00BC7AA5">
        <w:t>Presidenta</w:t>
      </w:r>
    </w:p>
    <w:p w14:paraId="23220186" w14:textId="1D67CB2C" w:rsidR="00943033" w:rsidRPr="00BC7AA5" w:rsidRDefault="00943033" w:rsidP="00943033">
      <w:pPr>
        <w:pStyle w:val="SingleTxt"/>
      </w:pPr>
    </w:p>
    <w:p w14:paraId="3BF437DC" w14:textId="77777777" w:rsidR="00943033" w:rsidRPr="00BC7AA5" w:rsidRDefault="00943033" w:rsidP="00943033">
      <w:pPr>
        <w:pStyle w:val="SingleTxt"/>
      </w:pPr>
    </w:p>
    <w:p w14:paraId="4DF1B307" w14:textId="77777777" w:rsidR="00943033" w:rsidRPr="00BC7AA5" w:rsidRDefault="00943033" w:rsidP="00943033">
      <w:pPr>
        <w:pStyle w:val="SingleTxt"/>
        <w:sectPr w:rsidR="00943033" w:rsidRPr="00BC7AA5" w:rsidSect="00B212E1">
          <w:headerReference w:type="even" r:id="rId18"/>
          <w:headerReference w:type="default" r:id="rId19"/>
          <w:footerReference w:type="even" r:id="rId20"/>
          <w:footerReference w:type="default" r:id="rId21"/>
          <w:headerReference w:type="first" r:id="rId22"/>
          <w:footnotePr>
            <w:numRestart w:val="eachSect"/>
          </w:footnotePr>
          <w:endnotePr>
            <w:numFmt w:val="decimal"/>
          </w:endnotePr>
          <w:pgSz w:w="12240" w:h="15840"/>
          <w:pgMar w:top="1440" w:right="1195" w:bottom="1152" w:left="1195" w:header="432" w:footer="504" w:gutter="0"/>
          <w:pgNumType w:start="3"/>
          <w:cols w:space="720"/>
          <w:docGrid w:linePitch="360"/>
        </w:sectPr>
      </w:pPr>
    </w:p>
    <w:p w14:paraId="69170887" w14:textId="2D28EB2C" w:rsidR="00943033" w:rsidRPr="00BC7AA5" w:rsidRDefault="00943033" w:rsidP="00943033">
      <w:pPr>
        <w:suppressAutoHyphens w:val="0"/>
        <w:spacing w:line="20" w:lineRule="exact"/>
        <w:ind w:left="1267" w:right="1267"/>
        <w:jc w:val="both"/>
        <w:sectPr w:rsidR="00943033" w:rsidRPr="00BC7AA5" w:rsidSect="001C2FAD">
          <w:headerReference w:type="even" r:id="rId23"/>
          <w:headerReference w:type="default" r:id="rId24"/>
          <w:footerReference w:type="even" r:id="rId25"/>
          <w:footerReference w:type="default" r:id="rId26"/>
          <w:footnotePr>
            <w:numRestart w:val="eachSect"/>
          </w:footnotePr>
          <w:endnotePr>
            <w:numFmt w:val="decimal"/>
          </w:endnotePr>
          <w:pgSz w:w="12240" w:h="15840"/>
          <w:pgMar w:top="1440" w:right="1200" w:bottom="1728" w:left="1200" w:header="432" w:footer="504" w:gutter="0"/>
          <w:cols w:space="720"/>
          <w:noEndnote/>
          <w:docGrid w:linePitch="360"/>
        </w:sectPr>
      </w:pPr>
    </w:p>
    <w:p w14:paraId="11121758" w14:textId="77777777"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Primera parte</w:t>
      </w:r>
    </w:p>
    <w:p w14:paraId="7E165478" w14:textId="18E15821"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BC7AA5">
        <w:tab/>
      </w:r>
      <w:r w:rsidRPr="00BC7AA5">
        <w:tab/>
        <w:t>Informe del Comité para la Eliminación de la Discriminación contra la Mujer en su 85º período de sesiones</w:t>
      </w:r>
    </w:p>
    <w:p w14:paraId="39B38711" w14:textId="77777777" w:rsidR="00265313" w:rsidRPr="00BC7AA5" w:rsidRDefault="00265313" w:rsidP="00265313">
      <w:pPr>
        <w:pStyle w:val="SingleTxt"/>
        <w:spacing w:after="0" w:line="120" w:lineRule="exact"/>
        <w:rPr>
          <w:sz w:val="10"/>
        </w:rPr>
      </w:pPr>
    </w:p>
    <w:p w14:paraId="03403D5F" w14:textId="77777777" w:rsidR="00265313" w:rsidRPr="00BC7AA5" w:rsidRDefault="00265313" w:rsidP="00265313">
      <w:pPr>
        <w:pStyle w:val="SingleTxt"/>
        <w:spacing w:after="0" w:line="120" w:lineRule="exact"/>
        <w:rPr>
          <w:sz w:val="10"/>
        </w:rPr>
      </w:pPr>
    </w:p>
    <w:p w14:paraId="42D36391" w14:textId="07963FBB" w:rsidR="00943033" w:rsidRPr="00BC7AA5" w:rsidRDefault="00265313" w:rsidP="002653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8 a 26 de mayo de 2023</w:t>
      </w:r>
    </w:p>
    <w:p w14:paraId="64EF8FCD" w14:textId="556C8EE7" w:rsidR="00265313" w:rsidRPr="00BC7AA5" w:rsidRDefault="00265313">
      <w:pPr>
        <w:suppressAutoHyphens w:val="0"/>
        <w:spacing w:after="160" w:line="259" w:lineRule="auto"/>
        <w:rPr>
          <w:kern w:val="14"/>
        </w:rPr>
      </w:pPr>
      <w:r w:rsidRPr="00BC7AA5">
        <w:br w:type="page"/>
      </w:r>
    </w:p>
    <w:p w14:paraId="3A68855C" w14:textId="77777777"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w:t>
      </w:r>
    </w:p>
    <w:p w14:paraId="56D0F2B0" w14:textId="77777777"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Decisiones adoptadas por el Comité</w:t>
      </w:r>
    </w:p>
    <w:p w14:paraId="28FB22BB" w14:textId="77777777" w:rsidR="00265313" w:rsidRPr="00BC7AA5" w:rsidRDefault="00265313" w:rsidP="00265313">
      <w:pPr>
        <w:pStyle w:val="SingleTxt"/>
        <w:spacing w:after="0" w:line="120" w:lineRule="exact"/>
        <w:rPr>
          <w:sz w:val="10"/>
        </w:rPr>
      </w:pPr>
    </w:p>
    <w:p w14:paraId="0EEC0ED9" w14:textId="77777777" w:rsidR="00265313" w:rsidRPr="00BC7AA5" w:rsidRDefault="00265313" w:rsidP="00265313">
      <w:pPr>
        <w:pStyle w:val="SingleTxt"/>
        <w:spacing w:after="0" w:line="120" w:lineRule="exact"/>
        <w:rPr>
          <w:sz w:val="10"/>
        </w:rPr>
      </w:pPr>
    </w:p>
    <w:p w14:paraId="790CC4A6"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85/I</w:t>
      </w:r>
    </w:p>
    <w:p w14:paraId="79E103A5" w14:textId="77777777" w:rsidR="00265313" w:rsidRPr="00BC7AA5" w:rsidRDefault="00265313" w:rsidP="00265313">
      <w:pPr>
        <w:pStyle w:val="SingleTxt"/>
        <w:spacing w:after="0" w:line="120" w:lineRule="exact"/>
        <w:rPr>
          <w:sz w:val="10"/>
        </w:rPr>
      </w:pPr>
    </w:p>
    <w:p w14:paraId="4855CE25" w14:textId="77777777" w:rsidR="00265313" w:rsidRPr="00BC7AA5" w:rsidRDefault="00265313" w:rsidP="00265313">
      <w:pPr>
        <w:pStyle w:val="SingleTxt"/>
      </w:pPr>
      <w:r w:rsidRPr="00BC7AA5">
        <w:tab/>
        <w:t>El Comité decidió que, si durante el examen del informe de un Estado parte no estuvieran presentes representantes del Estado parte interesado, de conformidad con el artículo 51 5) de su reglamento, el relator para el país tendría la responsabilidad general de presentar las principales preocupaciones y conclusiones preliminares del Comité, los miembros del equipo de tareas sobre el país explicarían brevemente el contexto pertinente antes de formular sus preguntas y se permitiría a otros miembros del Comité formular preguntas adicionales. El Comité también decidió que dichos exámenes se celebrarían durante una única sesión pública, con transmisión web en directo, y que se invitaría a asistir al representante permanente ante las Naciones Unidas y otras organizaciones internacionales con sede en Ginebra del Estado parte en cuestión.</w:t>
      </w:r>
      <w:bookmarkStart w:id="1" w:name="_Hlk136446834"/>
      <w:bookmarkEnd w:id="1"/>
    </w:p>
    <w:p w14:paraId="1ED24F5D" w14:textId="77777777" w:rsidR="00265313" w:rsidRPr="00BC7AA5" w:rsidRDefault="00265313" w:rsidP="00265313">
      <w:pPr>
        <w:pStyle w:val="SingleTxt"/>
        <w:spacing w:after="0" w:line="120" w:lineRule="exact"/>
        <w:rPr>
          <w:sz w:val="10"/>
        </w:rPr>
      </w:pPr>
    </w:p>
    <w:p w14:paraId="053B682C"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85/II</w:t>
      </w:r>
    </w:p>
    <w:p w14:paraId="53181B1A" w14:textId="77777777" w:rsidR="00265313" w:rsidRPr="00BC7AA5" w:rsidRDefault="00265313" w:rsidP="00265313">
      <w:pPr>
        <w:pStyle w:val="SingleTxt"/>
        <w:spacing w:after="0" w:line="120" w:lineRule="exact"/>
        <w:rPr>
          <w:sz w:val="10"/>
        </w:rPr>
      </w:pPr>
    </w:p>
    <w:p w14:paraId="5ED49A59" w14:textId="77777777" w:rsidR="00265313" w:rsidRPr="00BC7AA5" w:rsidRDefault="00265313" w:rsidP="00265313">
      <w:pPr>
        <w:pStyle w:val="SingleTxt"/>
      </w:pPr>
      <w:r w:rsidRPr="00BC7AA5">
        <w:tab/>
        <w:t>Tras realizar una evaluación preliminar de su proyecto piloto destinado a estructurar los diálogos constructivos con los Estados partes de forma temática en lugar de por grupos de artículos, el Comité decidió proseguir con dicho proyecto piloto y que los equipos de tareas para los países decidirían la estructura de cada diálogo constructivo caso por caso, teniendo en cuenta la situación específica del Estado parte en cuestión.</w:t>
      </w:r>
    </w:p>
    <w:p w14:paraId="1D32235F" w14:textId="77777777" w:rsidR="00265313" w:rsidRPr="00BC7AA5" w:rsidRDefault="00265313" w:rsidP="00265313">
      <w:pPr>
        <w:pStyle w:val="SingleTxt"/>
        <w:spacing w:after="0" w:line="120" w:lineRule="exact"/>
        <w:rPr>
          <w:sz w:val="10"/>
        </w:rPr>
      </w:pPr>
    </w:p>
    <w:p w14:paraId="2783C197"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85/III</w:t>
      </w:r>
    </w:p>
    <w:p w14:paraId="04A67BAD" w14:textId="77777777" w:rsidR="00265313" w:rsidRPr="00BC7AA5" w:rsidRDefault="00265313" w:rsidP="00265313">
      <w:pPr>
        <w:pStyle w:val="SingleTxt"/>
        <w:spacing w:after="0" w:line="120" w:lineRule="exact"/>
        <w:rPr>
          <w:sz w:val="10"/>
        </w:rPr>
      </w:pPr>
    </w:p>
    <w:p w14:paraId="01E349B5" w14:textId="77777777" w:rsidR="00265313" w:rsidRPr="00BC7AA5" w:rsidRDefault="00265313" w:rsidP="00265313">
      <w:pPr>
        <w:pStyle w:val="SingleTxt"/>
      </w:pPr>
      <w:r w:rsidRPr="00BC7AA5">
        <w:tab/>
        <w:t xml:space="preserve">En lo que respecta a la selección de los cuatro apartados de las observaciones finales que están sujetos al procedimiento de seguimiento, el Comité decidió que, tras consultar con el Relator, el relator para el país identificaría los cuatro apartados que se incluirán en el proyecto de observaciones finales que se distribuye al Comité para que formule comentarios antes de que adopte las observaciones finales. También decidió que, si no se llegaba a un acuerdo, prevalecería la propuesta del relator para el país. </w:t>
      </w:r>
    </w:p>
    <w:p w14:paraId="078F5E87" w14:textId="77777777" w:rsidR="00265313" w:rsidRPr="00BC7AA5" w:rsidRDefault="00265313" w:rsidP="00265313">
      <w:pPr>
        <w:pStyle w:val="SingleTxt"/>
        <w:spacing w:after="0" w:line="120" w:lineRule="exact"/>
        <w:rPr>
          <w:sz w:val="10"/>
        </w:rPr>
      </w:pPr>
    </w:p>
    <w:p w14:paraId="222A163F"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85/IV</w:t>
      </w:r>
    </w:p>
    <w:p w14:paraId="43A43802" w14:textId="77777777" w:rsidR="00265313" w:rsidRPr="00BC7AA5" w:rsidRDefault="00265313" w:rsidP="00265313">
      <w:pPr>
        <w:pStyle w:val="SingleTxt"/>
        <w:spacing w:after="0" w:line="120" w:lineRule="exact"/>
        <w:rPr>
          <w:sz w:val="10"/>
        </w:rPr>
      </w:pPr>
    </w:p>
    <w:p w14:paraId="0E057A1C" w14:textId="77777777" w:rsidR="00265313" w:rsidRPr="00BC7AA5" w:rsidRDefault="00265313" w:rsidP="00265313">
      <w:pPr>
        <w:pStyle w:val="SingleTxt"/>
      </w:pPr>
      <w:r w:rsidRPr="00BC7AA5">
        <w:tab/>
        <w:t>El Comité decidió que, además de la delegación del Estado parte, que puede solicitar el permiso de la Presidencia para presentar respuestas por escrito en el plazo de un día hábil a partir del final del diálogo constructivo a las preguntas planteadas por el Comité que no puedan responderse inmediatamente, solo la Presidencia tiene la prerrogativa de decidir cuándo una pregunta del Comité puede ser respondida por escrito por la delegación, por razones de gestión del tiempo.</w:t>
      </w:r>
    </w:p>
    <w:p w14:paraId="032A4A02" w14:textId="77777777" w:rsidR="00265313" w:rsidRPr="00BC7AA5" w:rsidRDefault="00265313" w:rsidP="00265313">
      <w:pPr>
        <w:pStyle w:val="SingleTxt"/>
        <w:spacing w:after="0" w:line="120" w:lineRule="exact"/>
        <w:rPr>
          <w:sz w:val="10"/>
        </w:rPr>
      </w:pPr>
    </w:p>
    <w:p w14:paraId="0865ED4C"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85/V</w:t>
      </w:r>
    </w:p>
    <w:p w14:paraId="494D236D" w14:textId="77777777" w:rsidR="00265313" w:rsidRPr="00BC7AA5" w:rsidRDefault="00265313" w:rsidP="00265313">
      <w:pPr>
        <w:pStyle w:val="SingleTxt"/>
        <w:spacing w:after="0" w:line="120" w:lineRule="exact"/>
        <w:rPr>
          <w:sz w:val="10"/>
        </w:rPr>
      </w:pPr>
    </w:p>
    <w:p w14:paraId="2F54DA84" w14:textId="77777777" w:rsidR="00265313" w:rsidRPr="00BC7AA5" w:rsidRDefault="00265313" w:rsidP="00265313">
      <w:pPr>
        <w:pStyle w:val="SingleTxt"/>
      </w:pPr>
      <w:r w:rsidRPr="00BC7AA5">
        <w:tab/>
        <w:t>El Comité decidió nombrar a Ana Peláez Narváez, Marianne Mikko y Maya Morsy puntos focales para la cooperación con la Entidad de las Naciones Unidas para la Igualdad de Género y el Empoderamiento de las Mujeres (ONU-Mujeres).</w:t>
      </w:r>
    </w:p>
    <w:p w14:paraId="337C93CE" w14:textId="77777777" w:rsidR="00265313" w:rsidRPr="00BC7AA5" w:rsidRDefault="00265313" w:rsidP="00265313">
      <w:pPr>
        <w:pStyle w:val="SingleTxt"/>
        <w:spacing w:after="0" w:line="120" w:lineRule="exact"/>
        <w:rPr>
          <w:b/>
          <w:sz w:val="10"/>
        </w:rPr>
      </w:pPr>
    </w:p>
    <w:p w14:paraId="654FC0E9" w14:textId="2AEF2574"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85/VI</w:t>
      </w:r>
    </w:p>
    <w:p w14:paraId="3FA88502" w14:textId="77777777" w:rsidR="00265313" w:rsidRPr="00BC7AA5" w:rsidRDefault="00265313" w:rsidP="00265313">
      <w:pPr>
        <w:pStyle w:val="SingleTxt"/>
        <w:spacing w:after="0" w:line="120" w:lineRule="exact"/>
        <w:rPr>
          <w:sz w:val="10"/>
        </w:rPr>
      </w:pPr>
    </w:p>
    <w:p w14:paraId="3F0379D0" w14:textId="77777777" w:rsidR="00265313" w:rsidRPr="00BC7AA5" w:rsidRDefault="00265313" w:rsidP="00265313">
      <w:pPr>
        <w:pStyle w:val="SingleTxt"/>
      </w:pPr>
      <w:r w:rsidRPr="00BC7AA5">
        <w:tab/>
        <w:t>El Comité decidió que sus miembros actuarían como puntos focales para la cooperación con las organizaciones regionales, con el apoyo de un punto focal suplente por región.</w:t>
      </w:r>
    </w:p>
    <w:p w14:paraId="6EA9DD78" w14:textId="77777777" w:rsidR="00265313" w:rsidRPr="00BC7AA5" w:rsidRDefault="00265313">
      <w:pPr>
        <w:suppressAutoHyphens w:val="0"/>
        <w:spacing w:after="160" w:line="259" w:lineRule="auto"/>
        <w:rPr>
          <w:b/>
          <w:kern w:val="14"/>
        </w:rPr>
      </w:pPr>
      <w:r w:rsidRPr="00BC7AA5">
        <w:rPr>
          <w:b/>
        </w:rPr>
        <w:br w:type="page"/>
      </w:r>
    </w:p>
    <w:p w14:paraId="03650379" w14:textId="542D733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85/VII</w:t>
      </w:r>
    </w:p>
    <w:p w14:paraId="5542E371" w14:textId="77777777" w:rsidR="00265313" w:rsidRPr="00BC7AA5" w:rsidRDefault="00265313" w:rsidP="00265313">
      <w:pPr>
        <w:pStyle w:val="SingleTxt"/>
        <w:spacing w:after="0" w:line="120" w:lineRule="exact"/>
        <w:rPr>
          <w:sz w:val="10"/>
        </w:rPr>
      </w:pPr>
    </w:p>
    <w:p w14:paraId="021C3F85" w14:textId="77777777" w:rsidR="00265313" w:rsidRPr="00BC7AA5" w:rsidRDefault="00265313" w:rsidP="00265313">
      <w:pPr>
        <w:pStyle w:val="SingleTxt"/>
      </w:pPr>
      <w:r w:rsidRPr="00BC7AA5">
        <w:tab/>
        <w:t>El Comité decidió crear un equipo de tareas sobre la autoidentificación de sexo/género, de composición abierta, que sería presidido por Daphna Hacker, y revisar el mandato propuesto para el dicho equipo entre cada período de sesiones.</w:t>
      </w:r>
      <w:bookmarkStart w:id="2" w:name="_Hlk136448090"/>
      <w:bookmarkEnd w:id="2"/>
    </w:p>
    <w:p w14:paraId="10BD8026" w14:textId="77777777" w:rsidR="00265313" w:rsidRPr="00BC7AA5" w:rsidRDefault="00265313" w:rsidP="00265313">
      <w:pPr>
        <w:pStyle w:val="SingleTxt"/>
        <w:spacing w:after="0" w:line="120" w:lineRule="exact"/>
        <w:rPr>
          <w:sz w:val="10"/>
        </w:rPr>
      </w:pPr>
    </w:p>
    <w:p w14:paraId="50E9F970" w14:textId="77777777" w:rsidR="00265313" w:rsidRPr="00BC7AA5" w:rsidRDefault="00265313" w:rsidP="00265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85/VIII</w:t>
      </w:r>
    </w:p>
    <w:p w14:paraId="3B13210B" w14:textId="77777777" w:rsidR="00265313" w:rsidRPr="00BC7AA5" w:rsidRDefault="00265313" w:rsidP="00265313">
      <w:pPr>
        <w:pStyle w:val="SingleTxt"/>
        <w:spacing w:after="0" w:line="120" w:lineRule="exact"/>
        <w:rPr>
          <w:sz w:val="10"/>
        </w:rPr>
      </w:pPr>
    </w:p>
    <w:p w14:paraId="67E7774A" w14:textId="77777777" w:rsidR="00265313" w:rsidRPr="00BC7AA5" w:rsidRDefault="00265313" w:rsidP="00265313">
      <w:pPr>
        <w:pStyle w:val="SingleTxt"/>
      </w:pPr>
      <w:r w:rsidRPr="00BC7AA5">
        <w:tab/>
        <w:t>El Comité confirmó a los miembros del grupo de trabajo anterior al 87º período de sesiones: Nicole Ameline, Marion Bethel, Rangita de Silva de Alwis, Esther Eghobamien-Mshelia y Dalia Leinarte.</w:t>
      </w:r>
    </w:p>
    <w:p w14:paraId="35D838FC" w14:textId="77777777" w:rsidR="00265313" w:rsidRPr="00BC7AA5" w:rsidRDefault="00265313" w:rsidP="00265313">
      <w:pPr>
        <w:pStyle w:val="SingleTxt"/>
      </w:pPr>
      <w:r w:rsidRPr="00BC7AA5">
        <w:br w:type="page"/>
      </w:r>
    </w:p>
    <w:p w14:paraId="430EF2FD" w14:textId="77777777"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w:t>
      </w:r>
    </w:p>
    <w:p w14:paraId="2F8CACC7" w14:textId="77777777" w:rsidR="00265313" w:rsidRPr="00BC7AA5" w:rsidRDefault="00265313" w:rsidP="002653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Cuestiones de organización y otros asuntos</w:t>
      </w:r>
    </w:p>
    <w:p w14:paraId="42CD121A" w14:textId="77777777" w:rsidR="00265313" w:rsidRPr="00BC7AA5" w:rsidRDefault="00265313" w:rsidP="00265313">
      <w:pPr>
        <w:pStyle w:val="SingleTxt"/>
        <w:spacing w:after="0" w:line="120" w:lineRule="exact"/>
        <w:rPr>
          <w:sz w:val="10"/>
        </w:rPr>
      </w:pPr>
    </w:p>
    <w:p w14:paraId="67861A48" w14:textId="77777777" w:rsidR="00265313" w:rsidRPr="00BC7AA5" w:rsidRDefault="00265313" w:rsidP="00265313">
      <w:pPr>
        <w:pStyle w:val="SingleTxt"/>
        <w:spacing w:after="0" w:line="120" w:lineRule="exact"/>
        <w:rPr>
          <w:sz w:val="10"/>
        </w:rPr>
      </w:pPr>
    </w:p>
    <w:p w14:paraId="360A8DB7" w14:textId="77777777" w:rsidR="00265313" w:rsidRPr="00BC7AA5" w:rsidRDefault="00265313" w:rsidP="002653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Estados partes en la Convención y en el Protocolo Facultativo</w:t>
      </w:r>
    </w:p>
    <w:p w14:paraId="4DEB78A6" w14:textId="77777777" w:rsidR="00265313" w:rsidRPr="00BC7AA5" w:rsidRDefault="00265313" w:rsidP="00265313">
      <w:pPr>
        <w:pStyle w:val="SingleTxt"/>
        <w:spacing w:after="0" w:line="120" w:lineRule="exact"/>
        <w:rPr>
          <w:sz w:val="10"/>
        </w:rPr>
      </w:pPr>
    </w:p>
    <w:p w14:paraId="57EA80A1" w14:textId="77777777" w:rsidR="00265313" w:rsidRPr="00BC7AA5" w:rsidRDefault="00265313" w:rsidP="00265313">
      <w:pPr>
        <w:pStyle w:val="SingleTxt"/>
        <w:spacing w:after="0" w:line="120" w:lineRule="exact"/>
        <w:rPr>
          <w:sz w:val="10"/>
        </w:rPr>
      </w:pPr>
    </w:p>
    <w:p w14:paraId="226E3DFD" w14:textId="77777777" w:rsidR="00265313" w:rsidRPr="00BC7AA5" w:rsidRDefault="00265313" w:rsidP="00265313">
      <w:pPr>
        <w:pStyle w:val="SingleTxt"/>
      </w:pPr>
      <w:r w:rsidRPr="00BC7AA5">
        <w:t>1.</w:t>
      </w:r>
      <w:r w:rsidRPr="00BC7AA5">
        <w:tab/>
        <w:t>Al 26 de mayo de 2023, fecha de clausura del 85º período de sesiones del Comité, había 189 Estados partes en la Convención. Además, 81 Estados partes habían aceptado la enmienda al artículo 20 1) de la Convención relativo al tiempo asignado a las reuniones del Comité. En la actualidad, es necesario que 126 Estados partes en la Convención acepten la enmienda para que entre en vigor.</w:t>
      </w:r>
    </w:p>
    <w:p w14:paraId="7A4CE627" w14:textId="77777777" w:rsidR="00265313" w:rsidRPr="00BC7AA5" w:rsidRDefault="00265313" w:rsidP="00265313">
      <w:pPr>
        <w:pStyle w:val="SingleTxt"/>
      </w:pPr>
      <w:r w:rsidRPr="00BC7AA5">
        <w:t>2.</w:t>
      </w:r>
      <w:r w:rsidRPr="00BC7AA5">
        <w:tab/>
        <w:t>En la misma fecha, había 115 Estados partes en el Protocolo Facultativo de la Convención.</w:t>
      </w:r>
    </w:p>
    <w:p w14:paraId="73265ECD" w14:textId="77777777" w:rsidR="00265313" w:rsidRPr="00BC7AA5" w:rsidRDefault="00265313" w:rsidP="00265313">
      <w:pPr>
        <w:pStyle w:val="SingleTxt"/>
        <w:spacing w:after="0" w:line="120" w:lineRule="exact"/>
        <w:rPr>
          <w:sz w:val="10"/>
        </w:rPr>
      </w:pPr>
    </w:p>
    <w:p w14:paraId="55F3B99E" w14:textId="77777777" w:rsidR="00265313" w:rsidRPr="00BC7AA5" w:rsidRDefault="00265313" w:rsidP="00265313">
      <w:pPr>
        <w:pStyle w:val="SingleTxt"/>
        <w:spacing w:after="0" w:line="120" w:lineRule="exact"/>
        <w:rPr>
          <w:sz w:val="10"/>
        </w:rPr>
      </w:pPr>
    </w:p>
    <w:p w14:paraId="52AE0952" w14:textId="77777777" w:rsidR="00265313" w:rsidRPr="00BC7AA5" w:rsidRDefault="00265313" w:rsidP="002653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Apertura del período de sesiones</w:t>
      </w:r>
    </w:p>
    <w:p w14:paraId="79A882A0" w14:textId="77777777" w:rsidR="00265313" w:rsidRPr="00BC7AA5" w:rsidRDefault="00265313" w:rsidP="00265313">
      <w:pPr>
        <w:pStyle w:val="SingleTxt"/>
        <w:spacing w:after="0" w:line="120" w:lineRule="exact"/>
        <w:rPr>
          <w:sz w:val="10"/>
        </w:rPr>
      </w:pPr>
    </w:p>
    <w:p w14:paraId="366CB4FD" w14:textId="77777777" w:rsidR="00265313" w:rsidRPr="00BC7AA5" w:rsidRDefault="00265313" w:rsidP="00265313">
      <w:pPr>
        <w:pStyle w:val="SingleTxt"/>
        <w:spacing w:after="0" w:line="120" w:lineRule="exact"/>
        <w:rPr>
          <w:sz w:val="10"/>
        </w:rPr>
      </w:pPr>
    </w:p>
    <w:p w14:paraId="5EDE186B" w14:textId="77777777" w:rsidR="00265313" w:rsidRPr="00BC7AA5" w:rsidRDefault="00265313" w:rsidP="00265313">
      <w:pPr>
        <w:pStyle w:val="SingleTxt"/>
      </w:pPr>
      <w:r w:rsidRPr="00BC7AA5">
        <w:t>3.</w:t>
      </w:r>
      <w:r w:rsidRPr="00BC7AA5">
        <w:tab/>
        <w:t>El Comité decidió celebrar su 85º período de sesiones en Ginebra, del 8 al 26 de mayo de 2023. El Comité celebró 20 sesiones plenarias y 10 sesiones para examinar los temas 5 a 8 del programa. En el anexo de la primera parte del presente informe figura una lista de los documentos que tuvo ante sí el Comité.</w:t>
      </w:r>
    </w:p>
    <w:p w14:paraId="095BA4FB" w14:textId="77777777" w:rsidR="00265313" w:rsidRPr="00BC7AA5" w:rsidRDefault="00265313" w:rsidP="00265313">
      <w:pPr>
        <w:pStyle w:val="SingleTxt"/>
      </w:pPr>
      <w:r w:rsidRPr="00BC7AA5">
        <w:t>4.</w:t>
      </w:r>
      <w:r w:rsidRPr="00BC7AA5">
        <w:tab/>
        <w:t>En la 1969</w:t>
      </w:r>
      <w:r w:rsidRPr="00BC7AA5">
        <w:rPr>
          <w:vertAlign w:val="superscript"/>
        </w:rPr>
        <w:t>a</w:t>
      </w:r>
      <w:r w:rsidRPr="00BC7AA5">
        <w:t xml:space="preserve"> sesión, celebrada el 8 de mayo, la Presidenta inauguró el período de sesiones.</w:t>
      </w:r>
    </w:p>
    <w:p w14:paraId="1BD4D813" w14:textId="77777777" w:rsidR="00265313" w:rsidRPr="00BC7AA5" w:rsidRDefault="00265313" w:rsidP="004356C0">
      <w:pPr>
        <w:pStyle w:val="SingleTxt"/>
        <w:spacing w:after="0" w:line="120" w:lineRule="exact"/>
        <w:rPr>
          <w:sz w:val="10"/>
        </w:rPr>
      </w:pPr>
    </w:p>
    <w:p w14:paraId="77D66307" w14:textId="77777777" w:rsidR="004356C0" w:rsidRPr="00BC7AA5" w:rsidRDefault="004356C0" w:rsidP="004356C0">
      <w:pPr>
        <w:pStyle w:val="SingleTxt"/>
        <w:spacing w:after="0" w:line="120" w:lineRule="exact"/>
        <w:rPr>
          <w:sz w:val="10"/>
        </w:rPr>
      </w:pPr>
    </w:p>
    <w:p w14:paraId="65AE5CEF" w14:textId="77777777" w:rsidR="00265313" w:rsidRPr="00BC7AA5" w:rsidRDefault="00265313" w:rsidP="00435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Aprobación del programa</w:t>
      </w:r>
    </w:p>
    <w:p w14:paraId="6D3018D5" w14:textId="77777777" w:rsidR="00265313" w:rsidRPr="00BC7AA5" w:rsidRDefault="00265313" w:rsidP="004356C0">
      <w:pPr>
        <w:pStyle w:val="SingleTxt"/>
        <w:spacing w:after="0" w:line="120" w:lineRule="exact"/>
        <w:rPr>
          <w:sz w:val="10"/>
        </w:rPr>
      </w:pPr>
    </w:p>
    <w:p w14:paraId="3142CDC4" w14:textId="77777777" w:rsidR="004356C0" w:rsidRPr="00BC7AA5" w:rsidRDefault="004356C0" w:rsidP="004356C0">
      <w:pPr>
        <w:pStyle w:val="SingleTxt"/>
        <w:spacing w:after="0" w:line="120" w:lineRule="exact"/>
        <w:rPr>
          <w:sz w:val="10"/>
        </w:rPr>
      </w:pPr>
    </w:p>
    <w:p w14:paraId="4A21D941" w14:textId="100DB04B" w:rsidR="00265313" w:rsidRPr="00BC7AA5" w:rsidRDefault="00265313" w:rsidP="00265313">
      <w:pPr>
        <w:pStyle w:val="SingleTxt"/>
      </w:pPr>
      <w:r w:rsidRPr="00BC7AA5">
        <w:t>5.</w:t>
      </w:r>
      <w:r w:rsidRPr="00BC7AA5">
        <w:tab/>
        <w:t>El Comité aprobó el programa provisional (</w:t>
      </w:r>
      <w:hyperlink r:id="rId27" w:history="1">
        <w:r w:rsidRPr="00BC7AA5">
          <w:rPr>
            <w:rStyle w:val="Hyperlink"/>
          </w:rPr>
          <w:t>CEDAW/C/85/1</w:t>
        </w:r>
      </w:hyperlink>
      <w:r w:rsidRPr="00BC7AA5">
        <w:t>) en su 1969</w:t>
      </w:r>
      <w:r w:rsidRPr="00BC7AA5">
        <w:rPr>
          <w:vertAlign w:val="superscript"/>
        </w:rPr>
        <w:t>a</w:t>
      </w:r>
      <w:r w:rsidRPr="00BC7AA5">
        <w:t xml:space="preserve"> sesión, celebrada el 8 de mayo.</w:t>
      </w:r>
    </w:p>
    <w:p w14:paraId="0F9872AD" w14:textId="77777777" w:rsidR="00265313" w:rsidRPr="00BC7AA5" w:rsidRDefault="00265313" w:rsidP="004356C0">
      <w:pPr>
        <w:pStyle w:val="SingleTxt"/>
        <w:spacing w:after="0" w:line="120" w:lineRule="exact"/>
        <w:rPr>
          <w:sz w:val="10"/>
        </w:rPr>
      </w:pPr>
    </w:p>
    <w:p w14:paraId="1E4BEF38" w14:textId="77777777" w:rsidR="004356C0" w:rsidRPr="00BC7AA5" w:rsidRDefault="004356C0" w:rsidP="004356C0">
      <w:pPr>
        <w:pStyle w:val="SingleTxt"/>
        <w:spacing w:after="0" w:line="120" w:lineRule="exact"/>
        <w:rPr>
          <w:sz w:val="10"/>
        </w:rPr>
      </w:pPr>
    </w:p>
    <w:p w14:paraId="0BF3ACE1" w14:textId="77777777" w:rsidR="00265313" w:rsidRPr="00BC7AA5" w:rsidRDefault="00265313" w:rsidP="00435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D.</w:t>
      </w:r>
      <w:r w:rsidRPr="00BC7AA5">
        <w:tab/>
        <w:t>Informe del grupo de trabajo anterior al período de sesiones</w:t>
      </w:r>
    </w:p>
    <w:p w14:paraId="1E3BFAB3" w14:textId="77777777" w:rsidR="00265313" w:rsidRPr="00BC7AA5" w:rsidRDefault="00265313" w:rsidP="004356C0">
      <w:pPr>
        <w:pStyle w:val="SingleTxt"/>
        <w:spacing w:after="0" w:line="120" w:lineRule="exact"/>
        <w:rPr>
          <w:sz w:val="10"/>
        </w:rPr>
      </w:pPr>
    </w:p>
    <w:p w14:paraId="1AC6229A" w14:textId="77777777" w:rsidR="004356C0" w:rsidRPr="00BC7AA5" w:rsidRDefault="004356C0" w:rsidP="004356C0">
      <w:pPr>
        <w:pStyle w:val="SingleTxt"/>
        <w:spacing w:after="0" w:line="120" w:lineRule="exact"/>
        <w:rPr>
          <w:sz w:val="10"/>
        </w:rPr>
      </w:pPr>
    </w:p>
    <w:p w14:paraId="611D3DA1" w14:textId="083AD316" w:rsidR="00265313" w:rsidRPr="00BC7AA5" w:rsidRDefault="00265313" w:rsidP="00265313">
      <w:pPr>
        <w:pStyle w:val="SingleTxt"/>
      </w:pPr>
      <w:r w:rsidRPr="00BC7AA5">
        <w:t>6.</w:t>
      </w:r>
      <w:r w:rsidRPr="00BC7AA5">
        <w:tab/>
        <w:t>El informe del grupo de trabajo anterior al período de sesiones (</w:t>
      </w:r>
      <w:hyperlink r:id="rId28" w:history="1">
        <w:r w:rsidRPr="00BC7AA5">
          <w:rPr>
            <w:rStyle w:val="Hyperlink"/>
          </w:rPr>
          <w:t>CEDAW/C/PSWG/85/1</w:t>
        </w:r>
      </w:hyperlink>
      <w:r w:rsidRPr="00BC7AA5">
        <w:t xml:space="preserve">), que se había reunido del 31 de octubre al 4 de noviembre </w:t>
      </w:r>
      <w:r w:rsidRPr="00B212E1">
        <w:rPr>
          <w:spacing w:val="6"/>
        </w:rPr>
        <w:t>de 2022, fue presentado por Nicole Amedine en la 1969ª sesión, que tuvo lugar el 8</w:t>
      </w:r>
      <w:r w:rsidR="009904A0" w:rsidRPr="00B212E1">
        <w:rPr>
          <w:spacing w:val="6"/>
        </w:rPr>
        <w:t> </w:t>
      </w:r>
      <w:r w:rsidRPr="00B212E1">
        <w:rPr>
          <w:spacing w:val="6"/>
        </w:rPr>
        <w:t>de mayo</w:t>
      </w:r>
      <w:r w:rsidRPr="00BC7AA5">
        <w:t>.</w:t>
      </w:r>
    </w:p>
    <w:p w14:paraId="39D22C78" w14:textId="77777777" w:rsidR="00265313" w:rsidRPr="00BC7AA5" w:rsidRDefault="00265313" w:rsidP="004356C0">
      <w:pPr>
        <w:pStyle w:val="SingleTxt"/>
        <w:spacing w:after="0" w:line="120" w:lineRule="exact"/>
        <w:rPr>
          <w:sz w:val="10"/>
        </w:rPr>
      </w:pPr>
    </w:p>
    <w:p w14:paraId="3A88CC8E" w14:textId="77777777" w:rsidR="004356C0" w:rsidRPr="00BC7AA5" w:rsidRDefault="004356C0" w:rsidP="004356C0">
      <w:pPr>
        <w:pStyle w:val="SingleTxt"/>
        <w:spacing w:after="0" w:line="120" w:lineRule="exact"/>
        <w:rPr>
          <w:sz w:val="10"/>
        </w:rPr>
      </w:pPr>
    </w:p>
    <w:p w14:paraId="6D21C47C" w14:textId="77777777" w:rsidR="00265313" w:rsidRPr="00BC7AA5" w:rsidRDefault="00265313" w:rsidP="00435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E.</w:t>
      </w:r>
      <w:r w:rsidRPr="00BC7AA5">
        <w:tab/>
        <w:t>Organización de los trabajos</w:t>
      </w:r>
    </w:p>
    <w:p w14:paraId="437BC4FA" w14:textId="77777777" w:rsidR="00265313" w:rsidRPr="00BC7AA5" w:rsidRDefault="00265313" w:rsidP="004356C0">
      <w:pPr>
        <w:pStyle w:val="SingleTxt"/>
        <w:spacing w:after="0" w:line="120" w:lineRule="exact"/>
        <w:rPr>
          <w:sz w:val="10"/>
        </w:rPr>
      </w:pPr>
    </w:p>
    <w:p w14:paraId="64429BB8" w14:textId="77777777" w:rsidR="004356C0" w:rsidRPr="00BC7AA5" w:rsidRDefault="004356C0" w:rsidP="004356C0">
      <w:pPr>
        <w:pStyle w:val="SingleTxt"/>
        <w:spacing w:after="0" w:line="120" w:lineRule="exact"/>
        <w:rPr>
          <w:sz w:val="10"/>
        </w:rPr>
      </w:pPr>
    </w:p>
    <w:p w14:paraId="0EB1FC1A" w14:textId="77777777" w:rsidR="00265313" w:rsidRPr="00BC7AA5" w:rsidRDefault="00265313" w:rsidP="00265313">
      <w:pPr>
        <w:pStyle w:val="SingleTxt"/>
      </w:pPr>
      <w:r w:rsidRPr="00BC7AA5">
        <w:t>7.</w:t>
      </w:r>
      <w:r w:rsidRPr="00BC7AA5">
        <w:tab/>
        <w:t>Los días 8 y 15 de mayo de 2023, el Comité celebró sesiones privadas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w:t>
      </w:r>
    </w:p>
    <w:p w14:paraId="5D212239" w14:textId="77777777" w:rsidR="00265313" w:rsidRPr="00BC7AA5" w:rsidRDefault="00265313" w:rsidP="00265313">
      <w:pPr>
        <w:pStyle w:val="SingleTxt"/>
      </w:pPr>
      <w:r w:rsidRPr="00BC7AA5">
        <w:t>8.</w:t>
      </w:r>
      <w:r w:rsidRPr="00BC7AA5">
        <w:tab/>
        <w:t>También los días 8 y 15 de mayo, el Comité celebró sesiones públicas oficiosas con representantes de organizaciones no gubernamentales e instituciones nacionales de derechos humanos, que informaron sobre la aplicación de la Convención en los Estados partes cuyos informes estaba examinando el Comité en su 85º período de sesiones.</w:t>
      </w:r>
    </w:p>
    <w:p w14:paraId="5B2AC810" w14:textId="77777777" w:rsidR="00265313" w:rsidRPr="00BC7AA5" w:rsidRDefault="00265313" w:rsidP="00265313">
      <w:pPr>
        <w:pStyle w:val="SingleTxt"/>
      </w:pPr>
      <w:r w:rsidRPr="00BC7AA5">
        <w:t>9.</w:t>
      </w:r>
      <w:r w:rsidRPr="00BC7AA5">
        <w:tab/>
        <w:t>El 12 de mayo, el Comité asistió a una recepción ofrecida por la Misión Permanente de Suiza ante la Oficina de las Naciones Unidas y otras organizaciones internacionales en Ginebra con motivo de la publicación de la segunda edición de un comentario sobre la Convención.</w:t>
      </w:r>
    </w:p>
    <w:p w14:paraId="1349E21C" w14:textId="77777777" w:rsidR="00265313" w:rsidRPr="00BC7AA5" w:rsidRDefault="00265313" w:rsidP="00265313">
      <w:pPr>
        <w:pStyle w:val="SingleTxt"/>
      </w:pPr>
      <w:r w:rsidRPr="00BC7AA5">
        <w:t>10.</w:t>
      </w:r>
      <w:r w:rsidRPr="00BC7AA5">
        <w:tab/>
        <w:t>El 22 de mayo, el Comité celebró una sesión privada oficiosa a distancia con la Directora Ejecutiva de ONU-Mujeres, Sima Sami Bahous, para debatir sobre los medios para seguir reforzando la colaboración entre el Comité y ONU-Mujeres, el papel del Comité en las sesiones anuales de la Comisión de la Condición Jurídica y Social de la Mujer y otros acontecimientos mundiales de interés común.</w:t>
      </w:r>
    </w:p>
    <w:p w14:paraId="14740CEA" w14:textId="77777777" w:rsidR="00265313" w:rsidRPr="00BC7AA5" w:rsidRDefault="00265313" w:rsidP="00265313">
      <w:pPr>
        <w:pStyle w:val="SingleTxt"/>
      </w:pPr>
      <w:r w:rsidRPr="00BC7AA5">
        <w:t>11.</w:t>
      </w:r>
      <w:r w:rsidRPr="00BC7AA5">
        <w:tab/>
        <w:t>El 24 de mayo, Antonella Lavelanet, Oficial Médico, y Åsa Nihlen, Asesora de Derechos Humanos, del Departamento de Salud Sexual y Reproductiva e Investigaciones Conexas de la Organización Mundial de la Salud (OMS), informaron al Comité, en una sesión privada, acerca de las directrices de la OMS sobre la atención para el aborto.</w:t>
      </w:r>
    </w:p>
    <w:p w14:paraId="43201E16" w14:textId="77777777" w:rsidR="00265313" w:rsidRPr="00BC7AA5" w:rsidRDefault="00265313" w:rsidP="00265313">
      <w:pPr>
        <w:pStyle w:val="SingleTxt"/>
      </w:pPr>
      <w:r w:rsidRPr="00BC7AA5">
        <w:t>12.</w:t>
      </w:r>
      <w:r w:rsidRPr="00BC7AA5">
        <w:tab/>
        <w:t>También el 24 de mayo, el Comité se reunió de manera oficiosa con el Comité de los Derechos del Niño y la Relatora Especial sobre la violencia contra las mujeres y las niñas, sus causas y consecuencias, Reem Alsalem, para debatir sobre las decisiones relativas a la custodia de los hijos en casos de violencia de género contra las mujeres, la autoidentificación de género/sexo y el acceso a espacios seguros basados en el sexo y el género, entre otras cuestiones. La reunión fue organizada por la Plataforma de Derechos Humanos de Ginebra.</w:t>
      </w:r>
    </w:p>
    <w:p w14:paraId="422F0ADB" w14:textId="77777777" w:rsidR="00265313" w:rsidRPr="00BC7AA5" w:rsidRDefault="00265313" w:rsidP="004356C0">
      <w:pPr>
        <w:pStyle w:val="SingleTxt"/>
        <w:spacing w:after="0" w:line="120" w:lineRule="exact"/>
        <w:rPr>
          <w:sz w:val="10"/>
        </w:rPr>
      </w:pPr>
    </w:p>
    <w:p w14:paraId="406EF58A" w14:textId="77777777" w:rsidR="004356C0" w:rsidRPr="00BC7AA5" w:rsidRDefault="004356C0" w:rsidP="004356C0">
      <w:pPr>
        <w:pStyle w:val="SingleTxt"/>
        <w:spacing w:after="0" w:line="120" w:lineRule="exact"/>
        <w:rPr>
          <w:sz w:val="10"/>
        </w:rPr>
      </w:pPr>
    </w:p>
    <w:p w14:paraId="6BD8B788" w14:textId="77777777" w:rsidR="00265313" w:rsidRPr="00BC7AA5" w:rsidRDefault="00265313" w:rsidP="00435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F.</w:t>
      </w:r>
      <w:r w:rsidRPr="00BC7AA5">
        <w:tab/>
        <w:t>Composición del Comité</w:t>
      </w:r>
    </w:p>
    <w:p w14:paraId="7405CC1F" w14:textId="77777777" w:rsidR="00265313" w:rsidRPr="00BC7AA5" w:rsidRDefault="00265313" w:rsidP="004356C0">
      <w:pPr>
        <w:pStyle w:val="SingleTxt"/>
        <w:spacing w:after="0" w:line="120" w:lineRule="exact"/>
        <w:rPr>
          <w:sz w:val="10"/>
        </w:rPr>
      </w:pPr>
    </w:p>
    <w:p w14:paraId="7524D863" w14:textId="77777777" w:rsidR="004356C0" w:rsidRPr="00BC7AA5" w:rsidRDefault="004356C0" w:rsidP="004356C0">
      <w:pPr>
        <w:pStyle w:val="SingleTxt"/>
        <w:spacing w:after="0" w:line="120" w:lineRule="exact"/>
        <w:rPr>
          <w:sz w:val="10"/>
        </w:rPr>
      </w:pPr>
    </w:p>
    <w:p w14:paraId="2231CF5C" w14:textId="77777777" w:rsidR="00265313" w:rsidRPr="00BC7AA5" w:rsidRDefault="00265313" w:rsidP="00435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Participación en el 85º período de sesiones</w:t>
      </w:r>
    </w:p>
    <w:p w14:paraId="6BECC7CC" w14:textId="77777777" w:rsidR="00265313" w:rsidRPr="00BC7AA5" w:rsidRDefault="00265313" w:rsidP="004356C0">
      <w:pPr>
        <w:pStyle w:val="SingleTxt"/>
        <w:spacing w:after="0" w:line="120" w:lineRule="exact"/>
        <w:rPr>
          <w:sz w:val="10"/>
        </w:rPr>
      </w:pPr>
    </w:p>
    <w:p w14:paraId="75B9D2F8" w14:textId="77777777" w:rsidR="00265313" w:rsidRPr="00BC7AA5" w:rsidRDefault="00265313" w:rsidP="00265313">
      <w:pPr>
        <w:pStyle w:val="SingleTxt"/>
      </w:pPr>
      <w:r w:rsidRPr="00BC7AA5">
        <w:t>13.</w:t>
      </w:r>
      <w:r w:rsidRPr="00BC7AA5">
        <w:tab/>
        <w:t>Todos los miembros participaron en el 85º período de sesiones. Las siguientes miembros no asistieron en las fechas indicadas: Corinne Dettmeijer-Vermeulen, del 24 al 26 de mayo; Hilary Gbedemah el 16 de mayo; Genoveva Tisheva el 8 de mayo; y Jie Xia, el 26 de mayo. En el anexo II de la tercera parte del presente informe, figura una lista de los miembros del Comité, en la cual se indica la duración del mandato de cada uno.</w:t>
      </w:r>
    </w:p>
    <w:p w14:paraId="74DF69A7" w14:textId="77777777" w:rsidR="00265313" w:rsidRPr="00BC7AA5" w:rsidRDefault="00265313" w:rsidP="00265313">
      <w:pPr>
        <w:pStyle w:val="SingleTxt"/>
      </w:pPr>
      <w:r w:rsidRPr="00BC7AA5">
        <w:br w:type="page"/>
      </w:r>
    </w:p>
    <w:p w14:paraId="39E52BB9" w14:textId="77777777" w:rsidR="00265313" w:rsidRPr="00BC7AA5" w:rsidRDefault="00265313" w:rsidP="00435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III</w:t>
      </w:r>
    </w:p>
    <w:p w14:paraId="27CB1C05" w14:textId="77777777" w:rsidR="00265313" w:rsidRPr="00BC7AA5" w:rsidRDefault="00265313" w:rsidP="00435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Informe de la Presidencia sobre las actividades realizadas entre períodos de sesiones</w:t>
      </w:r>
    </w:p>
    <w:p w14:paraId="35FEAE0E" w14:textId="77777777" w:rsidR="00265313" w:rsidRPr="00BC7AA5" w:rsidRDefault="00265313" w:rsidP="004356C0">
      <w:pPr>
        <w:pStyle w:val="SingleTxt"/>
        <w:spacing w:after="0" w:line="120" w:lineRule="exact"/>
        <w:rPr>
          <w:sz w:val="10"/>
        </w:rPr>
      </w:pPr>
    </w:p>
    <w:p w14:paraId="101C0E86" w14:textId="77777777" w:rsidR="004356C0" w:rsidRPr="00BC7AA5" w:rsidRDefault="004356C0" w:rsidP="004356C0">
      <w:pPr>
        <w:pStyle w:val="SingleTxt"/>
        <w:spacing w:after="0" w:line="120" w:lineRule="exact"/>
        <w:rPr>
          <w:sz w:val="10"/>
        </w:rPr>
      </w:pPr>
    </w:p>
    <w:p w14:paraId="627E7A38" w14:textId="77777777" w:rsidR="00265313" w:rsidRPr="00BC7AA5" w:rsidRDefault="00265313" w:rsidP="00265313">
      <w:pPr>
        <w:pStyle w:val="SingleTxt"/>
      </w:pPr>
      <w:r w:rsidRPr="00BC7AA5">
        <w:t>14.</w:t>
      </w:r>
      <w:r w:rsidRPr="00BC7AA5">
        <w:tab/>
        <w:t>En la 1969ª sesión, celebrada el 8 de mayo de 2023, la Presidenta presentó un informe sobre las actividades que había realizado desde el 84º período de sesiones.</w:t>
      </w:r>
    </w:p>
    <w:p w14:paraId="2923A803" w14:textId="77777777" w:rsidR="00265313" w:rsidRPr="00BC7AA5" w:rsidRDefault="00265313" w:rsidP="00265313">
      <w:pPr>
        <w:pStyle w:val="SingleTxt"/>
      </w:pPr>
      <w:r w:rsidRPr="00BC7AA5">
        <w:br w:type="page"/>
      </w:r>
    </w:p>
    <w:p w14:paraId="57F1439F" w14:textId="77777777" w:rsidR="00265313" w:rsidRPr="00BC7AA5" w:rsidRDefault="00265313" w:rsidP="00435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IV</w:t>
      </w:r>
    </w:p>
    <w:p w14:paraId="5DBBFE01" w14:textId="77777777" w:rsidR="00265313" w:rsidRPr="00BC7AA5" w:rsidRDefault="00265313" w:rsidP="00435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Examen de los informes presentados por los Estados partes en virtud del artículo 18 de la Convención </w:t>
      </w:r>
    </w:p>
    <w:p w14:paraId="100C6500" w14:textId="77777777" w:rsidR="00265313" w:rsidRPr="00BC7AA5" w:rsidRDefault="00265313" w:rsidP="004356C0">
      <w:pPr>
        <w:pStyle w:val="SingleTxt"/>
        <w:spacing w:after="0" w:line="120" w:lineRule="exact"/>
        <w:rPr>
          <w:sz w:val="10"/>
        </w:rPr>
      </w:pPr>
    </w:p>
    <w:p w14:paraId="155C9640" w14:textId="77777777" w:rsidR="004356C0" w:rsidRPr="00BC7AA5" w:rsidRDefault="004356C0" w:rsidP="004356C0">
      <w:pPr>
        <w:pStyle w:val="SingleTxt"/>
        <w:spacing w:after="0" w:line="120" w:lineRule="exact"/>
        <w:rPr>
          <w:sz w:val="10"/>
        </w:rPr>
      </w:pPr>
    </w:p>
    <w:p w14:paraId="6F2410C3" w14:textId="77777777" w:rsidR="00265313" w:rsidRPr="00BC7AA5" w:rsidRDefault="00265313" w:rsidP="00265313">
      <w:pPr>
        <w:pStyle w:val="SingleTxt"/>
      </w:pPr>
      <w:r w:rsidRPr="00BC7AA5">
        <w:t>15.</w:t>
      </w:r>
      <w:r w:rsidRPr="00BC7AA5">
        <w:tab/>
        <w:t xml:space="preserve">El Comité examinó los informes de ocho Estados partes presentados con arreglo al artículo 18 de la Convención y preparó las siguientes observaciones finales al respecto: </w:t>
      </w:r>
    </w:p>
    <w:p w14:paraId="55A3FDF4" w14:textId="77777777" w:rsidR="00265313" w:rsidRPr="00BC7AA5" w:rsidRDefault="00265313" w:rsidP="004356C0">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4861"/>
        <w:gridCol w:w="2512"/>
      </w:tblGrid>
      <w:tr w:rsidR="004356C0" w:rsidRPr="00BC7AA5" w14:paraId="350E5D3A" w14:textId="77777777" w:rsidTr="004356C0">
        <w:tc>
          <w:tcPr>
            <w:tcW w:w="4861" w:type="dxa"/>
          </w:tcPr>
          <w:p w14:paraId="169945C9" w14:textId="6D0A1612" w:rsidR="004356C0" w:rsidRPr="00BC7AA5" w:rsidRDefault="004356C0" w:rsidP="004356C0">
            <w:pPr>
              <w:tabs>
                <w:tab w:val="left" w:pos="288"/>
                <w:tab w:val="left" w:pos="576"/>
                <w:tab w:val="left" w:pos="864"/>
                <w:tab w:val="left" w:pos="1152"/>
              </w:tabs>
              <w:spacing w:before="40" w:after="80"/>
              <w:ind w:right="43"/>
              <w:rPr>
                <w:sz w:val="17"/>
              </w:rPr>
            </w:pPr>
            <w:r w:rsidRPr="00BC7AA5">
              <w:t>Alemania</w:t>
            </w:r>
          </w:p>
        </w:tc>
        <w:tc>
          <w:tcPr>
            <w:tcW w:w="2512" w:type="dxa"/>
          </w:tcPr>
          <w:p w14:paraId="1116DC4E" w14:textId="220C8C44" w:rsidR="004356C0" w:rsidRPr="00BC7AA5" w:rsidRDefault="004356C0" w:rsidP="004356C0">
            <w:pPr>
              <w:tabs>
                <w:tab w:val="left" w:pos="288"/>
                <w:tab w:val="left" w:pos="576"/>
                <w:tab w:val="left" w:pos="864"/>
                <w:tab w:val="left" w:pos="1152"/>
              </w:tabs>
              <w:spacing w:before="40" w:after="80"/>
              <w:ind w:right="43"/>
              <w:rPr>
                <w:sz w:val="17"/>
              </w:rPr>
            </w:pPr>
            <w:r w:rsidRPr="00BC7AA5">
              <w:t>(</w:t>
            </w:r>
            <w:hyperlink r:id="rId29" w:history="1">
              <w:r w:rsidRPr="00BC7AA5">
                <w:rPr>
                  <w:rStyle w:val="Hyperlink"/>
                </w:rPr>
                <w:t>CEDAW/C/DEU/CO/9</w:t>
              </w:r>
            </w:hyperlink>
            <w:r w:rsidRPr="00BC7AA5">
              <w:t>)</w:t>
            </w:r>
          </w:p>
        </w:tc>
      </w:tr>
      <w:tr w:rsidR="00B95601" w:rsidRPr="00BC7AA5" w14:paraId="76431170" w14:textId="77777777" w:rsidTr="004356C0">
        <w:tc>
          <w:tcPr>
            <w:tcW w:w="4861" w:type="dxa"/>
          </w:tcPr>
          <w:p w14:paraId="601D583B" w14:textId="56DBC29A" w:rsidR="00B95601" w:rsidRPr="00BC7AA5" w:rsidRDefault="00B95601" w:rsidP="00B95601">
            <w:pPr>
              <w:tabs>
                <w:tab w:val="left" w:pos="288"/>
                <w:tab w:val="left" w:pos="576"/>
                <w:tab w:val="left" w:pos="864"/>
                <w:tab w:val="left" w:pos="1152"/>
              </w:tabs>
              <w:spacing w:before="40" w:after="80"/>
              <w:ind w:right="43"/>
            </w:pPr>
            <w:r w:rsidRPr="00BC7AA5">
              <w:t>China (incluidas las Regiones Administrativas Especiales de Hong Kong y Macao)</w:t>
            </w:r>
          </w:p>
        </w:tc>
        <w:tc>
          <w:tcPr>
            <w:tcW w:w="2512" w:type="dxa"/>
          </w:tcPr>
          <w:p w14:paraId="60CEBD5A" w14:textId="4E7A9377" w:rsidR="00B95601" w:rsidRPr="00BC7AA5" w:rsidRDefault="00B95601" w:rsidP="00B95601">
            <w:pPr>
              <w:tabs>
                <w:tab w:val="left" w:pos="288"/>
                <w:tab w:val="left" w:pos="576"/>
                <w:tab w:val="left" w:pos="864"/>
                <w:tab w:val="left" w:pos="1152"/>
              </w:tabs>
              <w:spacing w:before="40" w:after="80"/>
              <w:ind w:right="43"/>
            </w:pPr>
            <w:r w:rsidRPr="00BC7AA5">
              <w:t>(</w:t>
            </w:r>
            <w:hyperlink r:id="rId30" w:history="1">
              <w:r w:rsidRPr="00BC7AA5">
                <w:rPr>
                  <w:rStyle w:val="Hyperlink"/>
                </w:rPr>
                <w:t>CEDAW/C/CHN/CO/9</w:t>
              </w:r>
            </w:hyperlink>
            <w:r w:rsidRPr="00BC7AA5">
              <w:t>)</w:t>
            </w:r>
          </w:p>
        </w:tc>
      </w:tr>
      <w:tr w:rsidR="00B95601" w:rsidRPr="00BC7AA5" w14:paraId="40F71367" w14:textId="77777777" w:rsidTr="004356C0">
        <w:tc>
          <w:tcPr>
            <w:tcW w:w="4861" w:type="dxa"/>
          </w:tcPr>
          <w:p w14:paraId="29C52C7A" w14:textId="6BCB6BBA" w:rsidR="00B95601" w:rsidRPr="00BC7AA5" w:rsidRDefault="00B95601" w:rsidP="00B95601">
            <w:pPr>
              <w:tabs>
                <w:tab w:val="left" w:pos="288"/>
                <w:tab w:val="left" w:pos="576"/>
                <w:tab w:val="left" w:pos="864"/>
                <w:tab w:val="left" w:pos="1152"/>
              </w:tabs>
              <w:spacing w:before="40" w:after="80"/>
              <w:ind w:right="43"/>
            </w:pPr>
            <w:r w:rsidRPr="00BC7AA5">
              <w:t>Eslovaquia</w:t>
            </w:r>
          </w:p>
        </w:tc>
        <w:tc>
          <w:tcPr>
            <w:tcW w:w="2512" w:type="dxa"/>
          </w:tcPr>
          <w:p w14:paraId="0C47FE65" w14:textId="4CDC833F" w:rsidR="00B95601" w:rsidRPr="00BC7AA5" w:rsidRDefault="00B95601" w:rsidP="00B95601">
            <w:pPr>
              <w:tabs>
                <w:tab w:val="left" w:pos="288"/>
                <w:tab w:val="left" w:pos="576"/>
                <w:tab w:val="left" w:pos="864"/>
                <w:tab w:val="left" w:pos="1152"/>
              </w:tabs>
              <w:spacing w:before="40" w:after="80"/>
              <w:ind w:right="43"/>
            </w:pPr>
            <w:r w:rsidRPr="00BC7AA5">
              <w:t>(</w:t>
            </w:r>
            <w:hyperlink r:id="rId31" w:history="1">
              <w:r w:rsidRPr="00BC7AA5">
                <w:rPr>
                  <w:rStyle w:val="Hyperlink"/>
                </w:rPr>
                <w:t>CEDAW/C/SVK/CO/7</w:t>
              </w:r>
            </w:hyperlink>
            <w:r w:rsidRPr="00BC7AA5">
              <w:t>)</w:t>
            </w:r>
          </w:p>
        </w:tc>
      </w:tr>
      <w:tr w:rsidR="00B95601" w:rsidRPr="00BC7AA5" w14:paraId="6264D6DA" w14:textId="77777777" w:rsidTr="004356C0">
        <w:tc>
          <w:tcPr>
            <w:tcW w:w="4861" w:type="dxa"/>
          </w:tcPr>
          <w:p w14:paraId="21D5DA84" w14:textId="2CD6E614" w:rsidR="00B95601" w:rsidRPr="00BC7AA5" w:rsidRDefault="00B95601" w:rsidP="00B95601">
            <w:pPr>
              <w:tabs>
                <w:tab w:val="left" w:pos="288"/>
                <w:tab w:val="left" w:pos="576"/>
                <w:tab w:val="left" w:pos="864"/>
                <w:tab w:val="left" w:pos="1152"/>
              </w:tabs>
              <w:spacing w:before="40" w:after="80"/>
              <w:ind w:right="43"/>
            </w:pPr>
            <w:r w:rsidRPr="00BC7AA5">
              <w:t>España</w:t>
            </w:r>
          </w:p>
        </w:tc>
        <w:tc>
          <w:tcPr>
            <w:tcW w:w="2512" w:type="dxa"/>
          </w:tcPr>
          <w:p w14:paraId="242CB692" w14:textId="23373855" w:rsidR="00B95601" w:rsidRPr="00BC7AA5" w:rsidRDefault="00B95601" w:rsidP="00B95601">
            <w:pPr>
              <w:tabs>
                <w:tab w:val="left" w:pos="288"/>
                <w:tab w:val="left" w:pos="576"/>
                <w:tab w:val="left" w:pos="864"/>
                <w:tab w:val="left" w:pos="1152"/>
              </w:tabs>
              <w:spacing w:before="40" w:after="80"/>
              <w:ind w:right="43"/>
            </w:pPr>
            <w:r w:rsidRPr="00BC7AA5">
              <w:t>(</w:t>
            </w:r>
            <w:hyperlink r:id="rId32" w:history="1">
              <w:r w:rsidRPr="00BC7AA5">
                <w:rPr>
                  <w:rStyle w:val="Hyperlink"/>
                </w:rPr>
                <w:t>CEDAW/C/ESP/CO/9</w:t>
              </w:r>
            </w:hyperlink>
            <w:r w:rsidRPr="00BC7AA5">
              <w:t>)</w:t>
            </w:r>
          </w:p>
        </w:tc>
      </w:tr>
      <w:tr w:rsidR="00B95601" w:rsidRPr="00BC7AA5" w14:paraId="649B5EF5" w14:textId="77777777" w:rsidTr="004356C0">
        <w:tc>
          <w:tcPr>
            <w:tcW w:w="4861" w:type="dxa"/>
          </w:tcPr>
          <w:p w14:paraId="031B3917" w14:textId="1E168934" w:rsidR="00B95601" w:rsidRPr="00BC7AA5" w:rsidRDefault="00B95601" w:rsidP="00B95601">
            <w:pPr>
              <w:tabs>
                <w:tab w:val="left" w:pos="288"/>
                <w:tab w:val="left" w:pos="576"/>
                <w:tab w:val="left" w:pos="864"/>
                <w:tab w:val="left" w:pos="1152"/>
              </w:tabs>
              <w:spacing w:before="40" w:after="80"/>
              <w:ind w:right="43"/>
              <w:rPr>
                <w:sz w:val="17"/>
              </w:rPr>
            </w:pPr>
            <w:r w:rsidRPr="00BC7AA5">
              <w:t>Islandia</w:t>
            </w:r>
          </w:p>
        </w:tc>
        <w:tc>
          <w:tcPr>
            <w:tcW w:w="2512" w:type="dxa"/>
          </w:tcPr>
          <w:p w14:paraId="4669D19D" w14:textId="6EC7846A" w:rsidR="00B95601" w:rsidRPr="00BC7AA5" w:rsidRDefault="00B95601" w:rsidP="00B95601">
            <w:pPr>
              <w:tabs>
                <w:tab w:val="left" w:pos="288"/>
                <w:tab w:val="left" w:pos="576"/>
                <w:tab w:val="left" w:pos="864"/>
                <w:tab w:val="left" w:pos="1152"/>
              </w:tabs>
              <w:spacing w:before="40" w:after="80"/>
              <w:ind w:right="43"/>
              <w:rPr>
                <w:sz w:val="17"/>
              </w:rPr>
            </w:pPr>
            <w:r w:rsidRPr="00BC7AA5">
              <w:t>(</w:t>
            </w:r>
            <w:hyperlink r:id="rId33" w:history="1">
              <w:r w:rsidRPr="00BC7AA5">
                <w:rPr>
                  <w:rStyle w:val="Hyperlink"/>
                </w:rPr>
                <w:t>CEDAW/C/ISL/CO/9</w:t>
              </w:r>
            </w:hyperlink>
            <w:r w:rsidRPr="00BC7AA5">
              <w:t>)</w:t>
            </w:r>
          </w:p>
        </w:tc>
      </w:tr>
      <w:tr w:rsidR="00B95601" w:rsidRPr="00BC7AA5" w14:paraId="00152BA5" w14:textId="77777777" w:rsidTr="004356C0">
        <w:tc>
          <w:tcPr>
            <w:tcW w:w="4861" w:type="dxa"/>
          </w:tcPr>
          <w:p w14:paraId="3796D590" w14:textId="6E5F0F4B" w:rsidR="00B95601" w:rsidRPr="00BC7AA5" w:rsidRDefault="00B95601" w:rsidP="00B95601">
            <w:pPr>
              <w:tabs>
                <w:tab w:val="left" w:pos="288"/>
                <w:tab w:val="left" w:pos="576"/>
                <w:tab w:val="left" w:pos="864"/>
                <w:tab w:val="left" w:pos="1152"/>
              </w:tabs>
              <w:spacing w:before="40" w:after="80"/>
              <w:ind w:right="43"/>
              <w:rPr>
                <w:sz w:val="17"/>
              </w:rPr>
            </w:pPr>
            <w:r w:rsidRPr="00BC7AA5">
              <w:t>Santo Tomé y Príncipe</w:t>
            </w:r>
          </w:p>
        </w:tc>
        <w:tc>
          <w:tcPr>
            <w:tcW w:w="2512" w:type="dxa"/>
          </w:tcPr>
          <w:p w14:paraId="308BD91E" w14:textId="001C2394" w:rsidR="00B95601" w:rsidRPr="00BC7AA5" w:rsidRDefault="00B95601" w:rsidP="00B95601">
            <w:pPr>
              <w:tabs>
                <w:tab w:val="left" w:pos="288"/>
                <w:tab w:val="left" w:pos="576"/>
                <w:tab w:val="left" w:pos="864"/>
                <w:tab w:val="left" w:pos="1152"/>
              </w:tabs>
              <w:spacing w:before="40" w:after="80"/>
              <w:ind w:right="43"/>
              <w:rPr>
                <w:sz w:val="17"/>
              </w:rPr>
            </w:pPr>
            <w:r w:rsidRPr="00BC7AA5">
              <w:t>(</w:t>
            </w:r>
            <w:hyperlink r:id="rId34" w:history="1">
              <w:r w:rsidRPr="00BC7AA5">
                <w:rPr>
                  <w:rStyle w:val="Hyperlink"/>
                </w:rPr>
                <w:t>CEDAW/C/STP/CO/1-5</w:t>
              </w:r>
            </w:hyperlink>
            <w:r w:rsidRPr="00BC7AA5">
              <w:t>)</w:t>
            </w:r>
          </w:p>
        </w:tc>
      </w:tr>
      <w:tr w:rsidR="00B95601" w:rsidRPr="00BC7AA5" w14:paraId="3A3320C3" w14:textId="77777777" w:rsidTr="004356C0">
        <w:tc>
          <w:tcPr>
            <w:tcW w:w="4861" w:type="dxa"/>
          </w:tcPr>
          <w:p w14:paraId="08EC7439" w14:textId="53A3C4AC" w:rsidR="00B95601" w:rsidRPr="00BC7AA5" w:rsidRDefault="00B95601" w:rsidP="00B95601">
            <w:pPr>
              <w:tabs>
                <w:tab w:val="left" w:pos="288"/>
                <w:tab w:val="left" w:pos="576"/>
                <w:tab w:val="left" w:pos="864"/>
                <w:tab w:val="left" w:pos="1152"/>
              </w:tabs>
              <w:spacing w:before="40" w:after="80"/>
              <w:ind w:right="43"/>
              <w:rPr>
                <w:sz w:val="17"/>
              </w:rPr>
            </w:pPr>
            <w:r w:rsidRPr="00BC7AA5">
              <w:t>Timor-Leste</w:t>
            </w:r>
          </w:p>
        </w:tc>
        <w:tc>
          <w:tcPr>
            <w:tcW w:w="2512" w:type="dxa"/>
          </w:tcPr>
          <w:p w14:paraId="72336EEB" w14:textId="1A8CB16D" w:rsidR="00B95601" w:rsidRPr="00BC7AA5" w:rsidRDefault="00B95601" w:rsidP="00B95601">
            <w:pPr>
              <w:spacing w:before="40" w:after="80"/>
              <w:ind w:right="43"/>
              <w:rPr>
                <w:sz w:val="17"/>
              </w:rPr>
            </w:pPr>
            <w:r w:rsidRPr="00BC7AA5">
              <w:t>(</w:t>
            </w:r>
            <w:hyperlink r:id="rId35" w:history="1">
              <w:r w:rsidRPr="00BC7AA5">
                <w:rPr>
                  <w:rStyle w:val="Hyperlink"/>
                </w:rPr>
                <w:t>CEDAW/C/TLS/CO/4</w:t>
              </w:r>
            </w:hyperlink>
            <w:r w:rsidRPr="00BC7AA5">
              <w:t xml:space="preserve">) </w:t>
            </w:r>
          </w:p>
        </w:tc>
      </w:tr>
      <w:tr w:rsidR="00B95601" w:rsidRPr="00BC7AA5" w14:paraId="34F764CD" w14:textId="77777777" w:rsidTr="004356C0">
        <w:tc>
          <w:tcPr>
            <w:tcW w:w="4861" w:type="dxa"/>
          </w:tcPr>
          <w:p w14:paraId="567CA830" w14:textId="101A2EAA" w:rsidR="00B95601" w:rsidRPr="00BC7AA5" w:rsidDel="00CD105F" w:rsidRDefault="00B95601" w:rsidP="00B95601">
            <w:pPr>
              <w:tabs>
                <w:tab w:val="left" w:pos="288"/>
                <w:tab w:val="left" w:pos="576"/>
                <w:tab w:val="left" w:pos="864"/>
                <w:tab w:val="left" w:pos="1152"/>
              </w:tabs>
              <w:spacing w:before="40" w:after="80"/>
              <w:ind w:right="43"/>
              <w:rPr>
                <w:rFonts w:eastAsia="Calibri"/>
              </w:rPr>
            </w:pPr>
            <w:r w:rsidRPr="00BC7AA5">
              <w:t>Venezuela (República Bolivariana de)</w:t>
            </w:r>
          </w:p>
        </w:tc>
        <w:tc>
          <w:tcPr>
            <w:tcW w:w="2512" w:type="dxa"/>
          </w:tcPr>
          <w:p w14:paraId="074D20FE" w14:textId="0DC4BE29" w:rsidR="00B95601" w:rsidRPr="00BC7AA5" w:rsidRDefault="00B95601" w:rsidP="00B95601">
            <w:pPr>
              <w:spacing w:before="40" w:after="80"/>
              <w:ind w:right="43"/>
            </w:pPr>
            <w:r w:rsidRPr="00BC7AA5">
              <w:t>(</w:t>
            </w:r>
            <w:hyperlink r:id="rId36" w:history="1">
              <w:r w:rsidRPr="00BC7AA5">
                <w:rPr>
                  <w:rStyle w:val="Hyperlink"/>
                </w:rPr>
                <w:t>CEDAW/C/VEN/CO/9</w:t>
              </w:r>
            </w:hyperlink>
            <w:r w:rsidRPr="00BC7AA5">
              <w:t>)</w:t>
            </w:r>
          </w:p>
        </w:tc>
      </w:tr>
    </w:tbl>
    <w:p w14:paraId="1E84E565" w14:textId="77777777" w:rsidR="004356C0" w:rsidRPr="00BC7AA5" w:rsidRDefault="004356C0" w:rsidP="004356C0">
      <w:pPr>
        <w:pStyle w:val="SingleTxt"/>
        <w:spacing w:after="0" w:line="120" w:lineRule="exact"/>
        <w:rPr>
          <w:sz w:val="10"/>
        </w:rPr>
      </w:pPr>
    </w:p>
    <w:p w14:paraId="27F092D9" w14:textId="77777777" w:rsidR="00265313" w:rsidRPr="00BC7AA5" w:rsidRDefault="00265313" w:rsidP="00435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Seguimiento de las observaciones finales </w:t>
      </w:r>
    </w:p>
    <w:p w14:paraId="533E5530" w14:textId="77777777" w:rsidR="00265313" w:rsidRPr="00BC7AA5" w:rsidRDefault="00265313" w:rsidP="004356C0">
      <w:pPr>
        <w:pStyle w:val="SingleTxt"/>
        <w:spacing w:after="0" w:line="120" w:lineRule="exact"/>
        <w:rPr>
          <w:sz w:val="10"/>
        </w:rPr>
      </w:pPr>
    </w:p>
    <w:p w14:paraId="195701C9" w14:textId="77777777" w:rsidR="00265313" w:rsidRPr="00BC7AA5" w:rsidRDefault="00265313" w:rsidP="00265313">
      <w:pPr>
        <w:pStyle w:val="SingleTxt"/>
      </w:pPr>
      <w:r w:rsidRPr="00BC7AA5">
        <w:t>16.</w:t>
      </w:r>
      <w:r w:rsidRPr="00BC7AA5">
        <w:tab/>
        <w:t>El Comité examinó los informes de seguimiento recibidos de los siguientes Estados partes:</w:t>
      </w:r>
    </w:p>
    <w:p w14:paraId="39EC2C59" w14:textId="77777777" w:rsidR="00265313" w:rsidRPr="00BC7AA5" w:rsidRDefault="00265313" w:rsidP="004356C0">
      <w:pPr>
        <w:pStyle w:val="SingleTxt"/>
        <w:spacing w:after="0" w:line="120" w:lineRule="exact"/>
        <w:rPr>
          <w:sz w:val="10"/>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4"/>
        <w:gridCol w:w="2529"/>
      </w:tblGrid>
      <w:tr w:rsidR="004356C0" w:rsidRPr="00BC7AA5" w14:paraId="696E0E19" w14:textId="77777777" w:rsidTr="00B212E1">
        <w:tc>
          <w:tcPr>
            <w:tcW w:w="4824" w:type="dxa"/>
            <w:shd w:val="clear" w:color="auto" w:fill="auto"/>
          </w:tcPr>
          <w:p w14:paraId="083035B3" w14:textId="77777777"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Bosnia y Herzegovina</w:t>
            </w:r>
          </w:p>
        </w:tc>
        <w:tc>
          <w:tcPr>
            <w:tcW w:w="2529" w:type="dxa"/>
            <w:shd w:val="clear" w:color="auto" w:fill="auto"/>
          </w:tcPr>
          <w:p w14:paraId="3C88DC09" w14:textId="0D58847B"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w:t>
            </w:r>
            <w:hyperlink r:id="rId37" w:history="1">
              <w:r w:rsidRPr="00BC7AA5">
                <w:rPr>
                  <w:rStyle w:val="Hyperlink"/>
                </w:rPr>
                <w:t>CEDAW/C/BIH/FCO/6</w:t>
              </w:r>
            </w:hyperlink>
            <w:r w:rsidRPr="00BC7AA5">
              <w:t xml:space="preserve">) </w:t>
            </w:r>
          </w:p>
        </w:tc>
      </w:tr>
      <w:tr w:rsidR="004356C0" w:rsidRPr="00BC7AA5" w14:paraId="750A991E" w14:textId="77777777" w:rsidTr="00B212E1">
        <w:tc>
          <w:tcPr>
            <w:tcW w:w="4824" w:type="dxa"/>
            <w:shd w:val="clear" w:color="auto" w:fill="auto"/>
          </w:tcPr>
          <w:p w14:paraId="3E1FC433" w14:textId="77777777"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Dinamarca</w:t>
            </w:r>
          </w:p>
        </w:tc>
        <w:tc>
          <w:tcPr>
            <w:tcW w:w="2529" w:type="dxa"/>
            <w:shd w:val="clear" w:color="auto" w:fill="auto"/>
          </w:tcPr>
          <w:p w14:paraId="63B6C0AD" w14:textId="676451E8"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w:t>
            </w:r>
            <w:hyperlink r:id="rId38" w:history="1">
              <w:r w:rsidRPr="00BC7AA5">
                <w:rPr>
                  <w:rStyle w:val="Hyperlink"/>
                </w:rPr>
                <w:t>CEDAW/C/DNK/FCO/9</w:t>
              </w:r>
            </w:hyperlink>
            <w:r w:rsidRPr="00BC7AA5">
              <w:t xml:space="preserve">) </w:t>
            </w:r>
          </w:p>
        </w:tc>
      </w:tr>
      <w:tr w:rsidR="004356C0" w:rsidRPr="00BC7AA5" w14:paraId="47006EEB" w14:textId="77777777" w:rsidTr="00B212E1">
        <w:tc>
          <w:tcPr>
            <w:tcW w:w="4824" w:type="dxa"/>
            <w:shd w:val="clear" w:color="auto" w:fill="auto"/>
          </w:tcPr>
          <w:p w14:paraId="32A0FFCC" w14:textId="77777777"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República de Moldova</w:t>
            </w:r>
          </w:p>
        </w:tc>
        <w:tc>
          <w:tcPr>
            <w:tcW w:w="2529" w:type="dxa"/>
            <w:shd w:val="clear" w:color="auto" w:fill="auto"/>
          </w:tcPr>
          <w:p w14:paraId="6581FE2A" w14:textId="3A87A8BE" w:rsidR="004356C0" w:rsidRPr="00BC7AA5" w:rsidRDefault="004356C0" w:rsidP="004356C0">
            <w:pPr>
              <w:tabs>
                <w:tab w:val="left" w:pos="288"/>
                <w:tab w:val="left" w:pos="576"/>
                <w:tab w:val="left" w:pos="864"/>
                <w:tab w:val="left" w:pos="1152"/>
              </w:tabs>
              <w:spacing w:before="40" w:after="80"/>
              <w:ind w:right="43"/>
              <w:rPr>
                <w:rFonts w:eastAsia="Calibri"/>
              </w:rPr>
            </w:pPr>
            <w:r w:rsidRPr="00BC7AA5">
              <w:t>(</w:t>
            </w:r>
            <w:hyperlink r:id="rId39" w:history="1">
              <w:r w:rsidRPr="00BC7AA5">
                <w:rPr>
                  <w:rStyle w:val="Hyperlink"/>
                </w:rPr>
                <w:t>CEDAW/C/MDA/FCO/6</w:t>
              </w:r>
            </w:hyperlink>
            <w:r w:rsidRPr="00BC7AA5">
              <w:t xml:space="preserve">) </w:t>
            </w:r>
          </w:p>
        </w:tc>
      </w:tr>
    </w:tbl>
    <w:p w14:paraId="37B3FDCD" w14:textId="77777777" w:rsidR="004356C0" w:rsidRPr="00BC7AA5" w:rsidRDefault="004356C0" w:rsidP="00265313">
      <w:pPr>
        <w:pStyle w:val="SingleTxt"/>
      </w:pPr>
    </w:p>
    <w:p w14:paraId="47DD66EA" w14:textId="77777777" w:rsidR="00265313" w:rsidRPr="00BC7AA5" w:rsidRDefault="00265313" w:rsidP="00265313">
      <w:pPr>
        <w:pStyle w:val="SingleTxt"/>
      </w:pPr>
    </w:p>
    <w:p w14:paraId="13C201C4" w14:textId="77777777" w:rsidR="00265313" w:rsidRPr="00BC7AA5" w:rsidRDefault="00265313" w:rsidP="00265313">
      <w:pPr>
        <w:pStyle w:val="SingleTxt"/>
      </w:pPr>
    </w:p>
    <w:p w14:paraId="14CA7F1E" w14:textId="77777777" w:rsidR="00265313" w:rsidRPr="00BC7AA5" w:rsidRDefault="00265313" w:rsidP="00265313">
      <w:pPr>
        <w:pStyle w:val="SingleTxt"/>
      </w:pPr>
      <w:r w:rsidRPr="00BC7AA5">
        <w:br w:type="page"/>
      </w:r>
    </w:p>
    <w:p w14:paraId="377B5D3E"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w:t>
      </w:r>
    </w:p>
    <w:p w14:paraId="12B4E7F9" w14:textId="48F89A8B"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Actividades llevadas a cabo en virtud del Protocolo </w:t>
      </w:r>
      <w:r w:rsidR="00934EB1" w:rsidRPr="00BC7AA5">
        <w:t>F</w:t>
      </w:r>
      <w:r w:rsidRPr="00BC7AA5">
        <w:t>acultativo</w:t>
      </w:r>
    </w:p>
    <w:p w14:paraId="4133E3C5" w14:textId="77777777" w:rsidR="00265313" w:rsidRPr="00BC7AA5" w:rsidRDefault="00265313" w:rsidP="00934EB1">
      <w:pPr>
        <w:pStyle w:val="SingleTxt"/>
        <w:spacing w:after="0" w:line="120" w:lineRule="exact"/>
        <w:rPr>
          <w:sz w:val="10"/>
        </w:rPr>
      </w:pPr>
    </w:p>
    <w:p w14:paraId="1FBC94CA" w14:textId="77777777" w:rsidR="00934EB1" w:rsidRPr="00BC7AA5" w:rsidRDefault="00934EB1" w:rsidP="00934EB1">
      <w:pPr>
        <w:pStyle w:val="SingleTxt"/>
        <w:spacing w:after="0" w:line="120" w:lineRule="exact"/>
        <w:rPr>
          <w:sz w:val="10"/>
        </w:rPr>
      </w:pPr>
    </w:p>
    <w:p w14:paraId="1F56F7D2" w14:textId="77777777" w:rsidR="00265313" w:rsidRPr="00BC7AA5" w:rsidRDefault="00265313" w:rsidP="00265313">
      <w:pPr>
        <w:pStyle w:val="SingleTxt"/>
      </w:pPr>
      <w:r w:rsidRPr="00BC7AA5">
        <w:t>17.</w:t>
      </w:r>
      <w:r w:rsidRPr="00BC7AA5">
        <w:tab/>
        <w:t>El artículo 12 del Protocolo Facultativo establece que el Comité incluirá en su informe anual un resumen de las actividades llevadas a cabo en virtud del Protocolo Facultativo.</w:t>
      </w:r>
    </w:p>
    <w:p w14:paraId="666DF00E" w14:textId="77777777" w:rsidR="00265313" w:rsidRPr="00BC7AA5" w:rsidRDefault="00265313" w:rsidP="00934EB1">
      <w:pPr>
        <w:pStyle w:val="SingleTxt"/>
        <w:spacing w:after="0" w:line="120" w:lineRule="exact"/>
        <w:rPr>
          <w:sz w:val="10"/>
        </w:rPr>
      </w:pPr>
    </w:p>
    <w:p w14:paraId="74CC18DA" w14:textId="77777777" w:rsidR="00934EB1" w:rsidRPr="00BC7AA5" w:rsidRDefault="00934EB1" w:rsidP="00934EB1">
      <w:pPr>
        <w:pStyle w:val="SingleTxt"/>
        <w:spacing w:after="0" w:line="120" w:lineRule="exact"/>
        <w:rPr>
          <w:sz w:val="10"/>
        </w:rPr>
      </w:pPr>
    </w:p>
    <w:p w14:paraId="4FD4BB35" w14:textId="77777777" w:rsidR="00265313" w:rsidRPr="00BC7AA5" w:rsidRDefault="00265313" w:rsidP="0093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Medidas adoptadas por el Comité con respecto a las cuestiones previstas en el artículo 2 del Protocolo Facultativo</w:t>
      </w:r>
    </w:p>
    <w:p w14:paraId="2F1EB693" w14:textId="77777777" w:rsidR="00265313" w:rsidRPr="00BC7AA5" w:rsidRDefault="00265313" w:rsidP="00934EB1">
      <w:pPr>
        <w:pStyle w:val="SingleTxt"/>
        <w:spacing w:after="0" w:line="120" w:lineRule="exact"/>
        <w:rPr>
          <w:sz w:val="10"/>
        </w:rPr>
      </w:pPr>
    </w:p>
    <w:p w14:paraId="09C7B2B8" w14:textId="77777777" w:rsidR="00934EB1" w:rsidRPr="00BC7AA5" w:rsidRDefault="00934EB1" w:rsidP="00934EB1">
      <w:pPr>
        <w:pStyle w:val="SingleTxt"/>
        <w:spacing w:after="0" w:line="120" w:lineRule="exact"/>
        <w:rPr>
          <w:sz w:val="10"/>
        </w:rPr>
      </w:pPr>
    </w:p>
    <w:p w14:paraId="1552F0DC" w14:textId="77777777" w:rsidR="00265313" w:rsidRPr="00BC7AA5" w:rsidRDefault="00265313" w:rsidP="00265313">
      <w:pPr>
        <w:pStyle w:val="SingleTxt"/>
      </w:pPr>
      <w:r w:rsidRPr="00BC7AA5">
        <w:t>18.</w:t>
      </w:r>
      <w:r w:rsidRPr="00BC7AA5">
        <w:tab/>
        <w:t>Los días 15 y 19 de mayo de 2023, el Comité examinó las actividades realizadas en virtud del artículo 2 del Protocolo Facultativo.</w:t>
      </w:r>
    </w:p>
    <w:p w14:paraId="29EEE48A" w14:textId="77777777" w:rsidR="00265313" w:rsidRPr="00BC7AA5" w:rsidRDefault="00265313" w:rsidP="00265313">
      <w:pPr>
        <w:pStyle w:val="SingleTxt"/>
      </w:pPr>
      <w:r w:rsidRPr="00BC7AA5">
        <w:t>19.</w:t>
      </w:r>
      <w:r w:rsidRPr="00BC7AA5">
        <w:tab/>
        <w:t>El Comité hizo suyo el informe del Grupo de Trabajo sobre las Comunicaciones presentadas en virtud del Protocolo Facultativo acerca de su 56º período de sesiones</w:t>
      </w:r>
      <w:r w:rsidRPr="00BC7AA5">
        <w:rPr>
          <w:vertAlign w:val="superscript"/>
        </w:rPr>
        <w:footnoteReference w:id="1"/>
      </w:r>
      <w:r w:rsidRPr="00BC7AA5">
        <w:t>.</w:t>
      </w:r>
    </w:p>
    <w:p w14:paraId="4CC259F3" w14:textId="5E67FB5D" w:rsidR="00265313" w:rsidRPr="00BC7AA5" w:rsidRDefault="00265313" w:rsidP="00265313">
      <w:pPr>
        <w:pStyle w:val="SingleTxt"/>
      </w:pPr>
      <w:r w:rsidRPr="00BC7AA5">
        <w:t>20.</w:t>
      </w:r>
      <w:r w:rsidRPr="00BC7AA5">
        <w:tab/>
        <w:t xml:space="preserve">El Comité adoptó decisiones finales sobre cuatro comunicaciones individuales presentadas con arreglo al artículo 2 del Protocolo Facultativo. Aprobó dictámenes por los que se determinaron violaciones en </w:t>
      </w:r>
      <w:r w:rsidRPr="00BC7AA5">
        <w:rPr>
          <w:i/>
          <w:iCs/>
        </w:rPr>
        <w:t>X. c. Camboya</w:t>
      </w:r>
      <w:r w:rsidRPr="00BC7AA5">
        <w:t xml:space="preserve"> (</w:t>
      </w:r>
      <w:hyperlink r:id="rId40" w:history="1">
        <w:r w:rsidRPr="00BC7AA5">
          <w:rPr>
            <w:rStyle w:val="Hyperlink"/>
          </w:rPr>
          <w:t>CEDAW/C/85/D/146/2019</w:t>
        </w:r>
      </w:hyperlink>
      <w:r w:rsidRPr="00BC7AA5">
        <w:t xml:space="preserve">) y en </w:t>
      </w:r>
      <w:r w:rsidRPr="00BC7AA5">
        <w:rPr>
          <w:i/>
          <w:iCs/>
        </w:rPr>
        <w:t>Bandboni y otros c. Suiza</w:t>
      </w:r>
      <w:r w:rsidRPr="00BC7AA5">
        <w:t xml:space="preserve"> (</w:t>
      </w:r>
      <w:hyperlink r:id="rId41" w:history="1">
        <w:r w:rsidRPr="00BC7AA5">
          <w:rPr>
            <w:rStyle w:val="Hyperlink"/>
          </w:rPr>
          <w:t>CEDAW/C/85/D/173/2021</w:t>
        </w:r>
      </w:hyperlink>
      <w:r w:rsidRPr="00BC7AA5">
        <w:t xml:space="preserve">) y no se determinaron violaciones en </w:t>
      </w:r>
      <w:r w:rsidRPr="00BC7AA5">
        <w:rPr>
          <w:i/>
          <w:iCs/>
        </w:rPr>
        <w:t>N.M. c. Belarús</w:t>
      </w:r>
      <w:r w:rsidRPr="00BC7AA5">
        <w:t xml:space="preserve"> (</w:t>
      </w:r>
      <w:hyperlink r:id="rId42" w:history="1">
        <w:r w:rsidRPr="00BC7AA5">
          <w:rPr>
            <w:rStyle w:val="Hyperlink"/>
          </w:rPr>
          <w:t>CEDAW/C/85/D/150/2019</w:t>
        </w:r>
      </w:hyperlink>
      <w:r w:rsidRPr="00BC7AA5">
        <w:t xml:space="preserve">). El Comité también decidió suspender el examen de </w:t>
      </w:r>
      <w:r w:rsidRPr="00BC7AA5">
        <w:rPr>
          <w:i/>
          <w:iCs/>
        </w:rPr>
        <w:t>H.O. c. el Reino de los Países Bajos</w:t>
      </w:r>
      <w:r w:rsidRPr="00BC7AA5">
        <w:t xml:space="preserve"> (</w:t>
      </w:r>
      <w:hyperlink r:id="rId43" w:history="1">
        <w:r w:rsidRPr="00BC7AA5">
          <w:rPr>
            <w:rStyle w:val="Hyperlink"/>
          </w:rPr>
          <w:t>CEDAW/C/85/D/178/2022</w:t>
        </w:r>
      </w:hyperlink>
      <w:r w:rsidRPr="00BC7AA5">
        <w:t>). Todas las decisiones finales se adoptaron por consenso.</w:t>
      </w:r>
    </w:p>
    <w:p w14:paraId="5701949F" w14:textId="77777777" w:rsidR="00265313" w:rsidRPr="00BC7AA5" w:rsidRDefault="00265313" w:rsidP="00934EB1">
      <w:pPr>
        <w:pStyle w:val="SingleTxt"/>
        <w:spacing w:after="0" w:line="120" w:lineRule="exact"/>
        <w:rPr>
          <w:sz w:val="10"/>
        </w:rPr>
      </w:pPr>
    </w:p>
    <w:p w14:paraId="79194141" w14:textId="77777777" w:rsidR="00934EB1" w:rsidRPr="00BC7AA5" w:rsidRDefault="00934EB1" w:rsidP="00934EB1">
      <w:pPr>
        <w:pStyle w:val="SingleTxt"/>
        <w:spacing w:after="0" w:line="120" w:lineRule="exact"/>
        <w:rPr>
          <w:sz w:val="10"/>
        </w:rPr>
      </w:pPr>
    </w:p>
    <w:p w14:paraId="4F0219FD" w14:textId="77777777" w:rsidR="00265313" w:rsidRPr="00BC7AA5" w:rsidRDefault="00265313" w:rsidP="0093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Seguimiento de los dictámenes del Comité sobre comunicaciones individuales</w:t>
      </w:r>
    </w:p>
    <w:p w14:paraId="1EABDD19" w14:textId="77777777" w:rsidR="00265313" w:rsidRPr="00BC7AA5" w:rsidRDefault="00265313" w:rsidP="00934EB1">
      <w:pPr>
        <w:pStyle w:val="SingleTxt"/>
        <w:spacing w:after="0" w:line="120" w:lineRule="exact"/>
        <w:rPr>
          <w:sz w:val="10"/>
        </w:rPr>
      </w:pPr>
    </w:p>
    <w:p w14:paraId="6C06B602" w14:textId="77777777" w:rsidR="00934EB1" w:rsidRPr="00BC7AA5" w:rsidRDefault="00934EB1" w:rsidP="00934EB1">
      <w:pPr>
        <w:pStyle w:val="SingleTxt"/>
        <w:spacing w:after="0" w:line="120" w:lineRule="exact"/>
        <w:rPr>
          <w:sz w:val="10"/>
        </w:rPr>
      </w:pPr>
    </w:p>
    <w:p w14:paraId="3CFB7948" w14:textId="77777777" w:rsidR="00265313" w:rsidRPr="00BC7AA5" w:rsidRDefault="00265313" w:rsidP="00265313">
      <w:pPr>
        <w:pStyle w:val="SingleTxt"/>
      </w:pPr>
      <w:r w:rsidRPr="00BC7AA5">
        <w:t>21.</w:t>
      </w:r>
      <w:r w:rsidRPr="00BC7AA5">
        <w:tab/>
        <w:t>Se informó al Comité de que el Grupo de Trabajo sobre las Comunicaciones había aplazado el examen de la información relativa al seguimiento de los dictámenes sobre comunicaciones individuales y la aprobación de su informe sobre el seguimiento de los dictámenes.</w:t>
      </w:r>
    </w:p>
    <w:p w14:paraId="1668A31D" w14:textId="77777777" w:rsidR="00265313" w:rsidRPr="00BC7AA5" w:rsidRDefault="00265313" w:rsidP="00934EB1">
      <w:pPr>
        <w:pStyle w:val="SingleTxt"/>
        <w:spacing w:after="0" w:line="120" w:lineRule="exact"/>
        <w:rPr>
          <w:sz w:val="10"/>
        </w:rPr>
      </w:pPr>
    </w:p>
    <w:p w14:paraId="2062C11E" w14:textId="77777777" w:rsidR="00934EB1" w:rsidRPr="00BC7AA5" w:rsidRDefault="00934EB1" w:rsidP="00934EB1">
      <w:pPr>
        <w:pStyle w:val="SingleTxt"/>
        <w:spacing w:after="0" w:line="120" w:lineRule="exact"/>
        <w:rPr>
          <w:sz w:val="10"/>
        </w:rPr>
      </w:pPr>
    </w:p>
    <w:p w14:paraId="6F4BC753" w14:textId="33E271A7" w:rsidR="00265313" w:rsidRPr="00BC7AA5" w:rsidRDefault="00265313" w:rsidP="0093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Medidas adoptadas por el Comité con respecto a las cuestiones previstas en el artículo 8 del Protocolo Facultativo</w:t>
      </w:r>
    </w:p>
    <w:p w14:paraId="492ABBF4" w14:textId="77777777" w:rsidR="00265313" w:rsidRPr="00BC7AA5" w:rsidRDefault="00265313" w:rsidP="00934EB1">
      <w:pPr>
        <w:pStyle w:val="SingleTxt"/>
        <w:spacing w:after="0" w:line="120" w:lineRule="exact"/>
        <w:rPr>
          <w:sz w:val="10"/>
        </w:rPr>
      </w:pPr>
    </w:p>
    <w:p w14:paraId="2797EFB2" w14:textId="77777777" w:rsidR="00934EB1" w:rsidRPr="00BC7AA5" w:rsidRDefault="00934EB1" w:rsidP="00934EB1">
      <w:pPr>
        <w:pStyle w:val="SingleTxt"/>
        <w:spacing w:after="0" w:line="120" w:lineRule="exact"/>
        <w:rPr>
          <w:sz w:val="10"/>
        </w:rPr>
      </w:pPr>
    </w:p>
    <w:p w14:paraId="56CF0551" w14:textId="77777777" w:rsidR="00265313" w:rsidRPr="00BC7AA5" w:rsidRDefault="00265313" w:rsidP="00265313">
      <w:pPr>
        <w:pStyle w:val="SingleTxt"/>
      </w:pPr>
      <w:r w:rsidRPr="00BC7AA5">
        <w:t>22.</w:t>
      </w:r>
      <w:r w:rsidRPr="00BC7AA5">
        <w:tab/>
        <w:t>El 24 de mayo, el Comité examinó las actividades realizadas en virtud del artículo 8 del Protocolo Facultativo. El Comité hizo suyo el informe del Grupo de Trabajo sobre Investigaciones con arreglo al Protocolo Facultativo en su 25º período de sesiones</w:t>
      </w:r>
      <w:r w:rsidRPr="00BC7AA5">
        <w:rPr>
          <w:vertAlign w:val="superscript"/>
        </w:rPr>
        <w:footnoteReference w:id="2"/>
      </w:r>
      <w:r w:rsidRPr="00BC7AA5">
        <w:t xml:space="preserve">. </w:t>
      </w:r>
    </w:p>
    <w:p w14:paraId="5F0BE7E4" w14:textId="77777777" w:rsidR="00265313" w:rsidRPr="00BC7AA5" w:rsidRDefault="00265313" w:rsidP="00265313">
      <w:pPr>
        <w:pStyle w:val="SingleTxt"/>
      </w:pPr>
      <w:r w:rsidRPr="00BC7AA5">
        <w:t>23.</w:t>
      </w:r>
      <w:r w:rsidRPr="00BC7AA5">
        <w:tab/>
        <w:t xml:space="preserve">El Comité aprobó las siguientes recomendaciones del Grupo de Trabajo: </w:t>
      </w:r>
    </w:p>
    <w:p w14:paraId="66CBEC25" w14:textId="281F87FF" w:rsidR="00265313" w:rsidRPr="00BC7AA5" w:rsidRDefault="00934EB1" w:rsidP="00265313">
      <w:pPr>
        <w:pStyle w:val="SingleTxt"/>
        <w:rPr>
          <w:bCs/>
        </w:rPr>
      </w:pPr>
      <w:r w:rsidRPr="00BC7AA5">
        <w:tab/>
      </w:r>
      <w:r w:rsidR="00265313" w:rsidRPr="00BC7AA5">
        <w:t>a)</w:t>
      </w:r>
      <w:r w:rsidR="00265313" w:rsidRPr="00BC7AA5">
        <w:tab/>
        <w:t xml:space="preserve">En relación con la investigación núm. </w:t>
      </w:r>
      <w:r w:rsidR="0045774E" w:rsidRPr="00B212E1">
        <w:t>2016/1</w:t>
      </w:r>
      <w:r w:rsidR="00265313" w:rsidRPr="00BC7AA5">
        <w:t xml:space="preserve">, enviar una respuesta a la nota verbal de fecha 12 de abril de 2023 del Estado parte relativa a la solicitud para realizar una visita de investigación por los miembros designados; </w:t>
      </w:r>
    </w:p>
    <w:p w14:paraId="382F2ADF" w14:textId="11B16669" w:rsidR="00265313" w:rsidRPr="00BC7AA5" w:rsidRDefault="00934EB1" w:rsidP="00265313">
      <w:pPr>
        <w:pStyle w:val="SingleTxt"/>
      </w:pPr>
      <w:r w:rsidRPr="00BC7AA5">
        <w:tab/>
      </w:r>
      <w:r w:rsidR="00265313" w:rsidRPr="00BC7AA5">
        <w:t>b)</w:t>
      </w:r>
      <w:r w:rsidR="00265313" w:rsidRPr="00BC7AA5">
        <w:tab/>
        <w:t xml:space="preserve">En relación con las investigaciones núms. </w:t>
      </w:r>
      <w:r w:rsidR="005A0362" w:rsidRPr="00B212E1">
        <w:t>2014/3</w:t>
      </w:r>
      <w:r w:rsidR="00265313" w:rsidRPr="00BC7AA5">
        <w:t xml:space="preserve"> y </w:t>
      </w:r>
      <w:r w:rsidR="005A0362" w:rsidRPr="00B212E1">
        <w:t>2014/2</w:t>
      </w:r>
      <w:r w:rsidR="00265313" w:rsidRPr="00BC7AA5">
        <w:t>, realizar una visita de investigación a uno de los dos Estados partes en cuestión antes de finales de 2023, previo consentimiento del Estado parte;</w:t>
      </w:r>
    </w:p>
    <w:p w14:paraId="048C8847" w14:textId="5DB2777A" w:rsidR="00265313" w:rsidRPr="00BC7AA5" w:rsidRDefault="00934EB1" w:rsidP="00265313">
      <w:pPr>
        <w:pStyle w:val="SingleTxt"/>
      </w:pPr>
      <w:r w:rsidRPr="00BC7AA5">
        <w:tab/>
      </w:r>
      <w:r w:rsidR="00265313" w:rsidRPr="00BC7AA5">
        <w:t>c)</w:t>
      </w:r>
      <w:r w:rsidR="00265313" w:rsidRPr="00BC7AA5">
        <w:tab/>
        <w:t xml:space="preserve">En relación con la investigación núm. </w:t>
      </w:r>
      <w:r w:rsidR="005A0362" w:rsidRPr="00B212E1">
        <w:t>2013/1</w:t>
      </w:r>
      <w:r w:rsidR="00265313" w:rsidRPr="00BC7AA5">
        <w:t xml:space="preserve">, relativa a Sudáfrica, enviar una carta de evaluación del seguimiento al Estado parte sobre las principales preocupaciones, junto con un anexo que contuviera un cuadro de evaluación detallado; </w:t>
      </w:r>
    </w:p>
    <w:p w14:paraId="1E54C86A" w14:textId="229E590A" w:rsidR="00265313" w:rsidRPr="00BC7AA5" w:rsidRDefault="00934EB1" w:rsidP="00265313">
      <w:pPr>
        <w:pStyle w:val="SingleTxt"/>
      </w:pPr>
      <w:r w:rsidRPr="00BC7AA5">
        <w:tab/>
      </w:r>
      <w:r w:rsidR="00265313" w:rsidRPr="00BC7AA5">
        <w:t>d)</w:t>
      </w:r>
      <w:r w:rsidR="00265313" w:rsidRPr="00BC7AA5">
        <w:tab/>
        <w:t xml:space="preserve">En relación con la investigación núm. </w:t>
      </w:r>
      <w:r w:rsidR="005A0362" w:rsidRPr="00B212E1">
        <w:t>2012/1</w:t>
      </w:r>
      <w:r w:rsidR="00265313" w:rsidRPr="00BC7AA5">
        <w:t>, que los miembros designados propongan fechas para una visita de investigación y que dichas fechas se comuniquen al Estado parte interesado;</w:t>
      </w:r>
    </w:p>
    <w:p w14:paraId="35993BF6" w14:textId="65144405" w:rsidR="00265313" w:rsidRPr="00BC7AA5" w:rsidRDefault="00934EB1" w:rsidP="00265313">
      <w:pPr>
        <w:pStyle w:val="SingleTxt"/>
      </w:pPr>
      <w:r w:rsidRPr="00BC7AA5">
        <w:tab/>
      </w:r>
      <w:r w:rsidR="00265313" w:rsidRPr="00BC7AA5">
        <w:t>e)</w:t>
      </w:r>
      <w:r w:rsidR="00265313" w:rsidRPr="00BC7AA5">
        <w:tab/>
        <w:t>En relación con la investigación núm. 2011/1, relativa al Canadá, que la secretaría organice una reunión de la Presidencia del Grupo de Trabajo con el Estado parte durante el 85º período de sesiones del Comité a fin de tratar el seguimiento del informe de la investigación.</w:t>
      </w:r>
    </w:p>
    <w:p w14:paraId="178018B0" w14:textId="77777777" w:rsidR="00265313" w:rsidRPr="00BC7AA5" w:rsidRDefault="00265313" w:rsidP="00265313">
      <w:pPr>
        <w:pStyle w:val="SingleTxt"/>
      </w:pPr>
      <w:r w:rsidRPr="00BC7AA5">
        <w:br w:type="page"/>
      </w:r>
    </w:p>
    <w:p w14:paraId="283FDC0D"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w:t>
      </w:r>
    </w:p>
    <w:p w14:paraId="34E99678"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Medios de agilizar los trabajos del Comité</w:t>
      </w:r>
    </w:p>
    <w:p w14:paraId="003E58D5" w14:textId="77777777" w:rsidR="00265313" w:rsidRPr="00BC7AA5" w:rsidRDefault="00265313" w:rsidP="00934EB1">
      <w:pPr>
        <w:pStyle w:val="SingleTxt"/>
        <w:spacing w:after="0" w:line="120" w:lineRule="exact"/>
        <w:rPr>
          <w:sz w:val="10"/>
        </w:rPr>
      </w:pPr>
    </w:p>
    <w:p w14:paraId="73F320F4" w14:textId="77777777" w:rsidR="00934EB1" w:rsidRPr="00BC7AA5" w:rsidRDefault="00934EB1" w:rsidP="00934EB1">
      <w:pPr>
        <w:pStyle w:val="SingleTxt"/>
        <w:spacing w:after="0" w:line="120" w:lineRule="exact"/>
        <w:rPr>
          <w:sz w:val="10"/>
        </w:rPr>
      </w:pPr>
    </w:p>
    <w:p w14:paraId="78FBCA27" w14:textId="2FCAA6AE" w:rsidR="00265313" w:rsidRPr="00BC7AA5" w:rsidRDefault="00265313" w:rsidP="00265313">
      <w:pPr>
        <w:pStyle w:val="SingleTxt"/>
      </w:pPr>
      <w:r w:rsidRPr="00BC7AA5">
        <w:t>24.</w:t>
      </w:r>
      <w:r w:rsidRPr="00BC7AA5">
        <w:tab/>
        <w:t>La secretaría informó al Comité sobre la situación relativa a la presentación de</w:t>
      </w:r>
      <w:r w:rsidR="005A0362" w:rsidRPr="00BC7AA5">
        <w:t> </w:t>
      </w:r>
      <w:r w:rsidRPr="00BC7AA5">
        <w:t>los informes atrasados que los Estados partes debían presentar en virtud del artículo 18 de la Convención.</w:t>
      </w:r>
    </w:p>
    <w:p w14:paraId="6E8731D3" w14:textId="77777777" w:rsidR="00265313" w:rsidRPr="00BC7AA5" w:rsidRDefault="00265313" w:rsidP="00934EB1">
      <w:pPr>
        <w:pStyle w:val="SingleTxt"/>
        <w:spacing w:after="0" w:line="120" w:lineRule="exact"/>
        <w:rPr>
          <w:sz w:val="10"/>
        </w:rPr>
      </w:pPr>
    </w:p>
    <w:p w14:paraId="225A5951" w14:textId="77777777" w:rsidR="00934EB1" w:rsidRPr="00BC7AA5" w:rsidRDefault="00934EB1" w:rsidP="00934EB1">
      <w:pPr>
        <w:pStyle w:val="SingleTxt"/>
        <w:spacing w:after="0" w:line="120" w:lineRule="exact"/>
        <w:rPr>
          <w:b/>
          <w:sz w:val="10"/>
        </w:rPr>
      </w:pPr>
    </w:p>
    <w:p w14:paraId="40A23CE0" w14:textId="70583B8E" w:rsidR="00265313" w:rsidRPr="00BC7AA5" w:rsidRDefault="00265313" w:rsidP="0093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C7AA5">
        <w:tab/>
      </w:r>
      <w:r w:rsidR="00934EB1" w:rsidRPr="00BC7AA5">
        <w:t>A.</w:t>
      </w:r>
      <w:r w:rsidRPr="00BC7AA5">
        <w:tab/>
        <w:t>Medidas adoptadas por el Comité en relación con el tema 7 del programa</w:t>
      </w:r>
    </w:p>
    <w:p w14:paraId="2B062A1A" w14:textId="77777777" w:rsidR="00265313" w:rsidRPr="00BC7AA5" w:rsidRDefault="00265313" w:rsidP="00934EB1">
      <w:pPr>
        <w:pStyle w:val="SingleTxt"/>
        <w:spacing w:after="0" w:line="120" w:lineRule="exact"/>
        <w:rPr>
          <w:sz w:val="10"/>
        </w:rPr>
      </w:pPr>
    </w:p>
    <w:p w14:paraId="1D044083" w14:textId="77777777" w:rsidR="00934EB1" w:rsidRPr="00BC7AA5" w:rsidRDefault="00934EB1" w:rsidP="00934EB1">
      <w:pPr>
        <w:pStyle w:val="SingleTxt"/>
        <w:spacing w:after="0" w:line="120" w:lineRule="exact"/>
        <w:rPr>
          <w:sz w:val="10"/>
        </w:rPr>
      </w:pPr>
    </w:p>
    <w:p w14:paraId="17601F32"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Fechas de los períodos de sesiones futuros </w:t>
      </w:r>
    </w:p>
    <w:p w14:paraId="5D997430" w14:textId="77777777" w:rsidR="00265313" w:rsidRPr="00BC7AA5" w:rsidRDefault="00265313" w:rsidP="00934EB1">
      <w:pPr>
        <w:pStyle w:val="SingleTxt"/>
        <w:spacing w:after="0" w:line="120" w:lineRule="exact"/>
        <w:rPr>
          <w:sz w:val="10"/>
        </w:rPr>
      </w:pPr>
    </w:p>
    <w:p w14:paraId="630B4A06" w14:textId="77777777" w:rsidR="00265313" w:rsidRPr="00BC7AA5" w:rsidRDefault="00265313" w:rsidP="00265313">
      <w:pPr>
        <w:pStyle w:val="SingleTxt"/>
      </w:pPr>
      <w:r w:rsidRPr="00BC7AA5">
        <w:t>25.</w:t>
      </w:r>
      <w:r w:rsidRPr="00BC7AA5">
        <w:tab/>
        <w:t>De acuerdo con el calendario de conferencias, se confirmaron las siguientes fechas para el período de sesiones 86º del Comité y las reuniones conexas:</w:t>
      </w:r>
    </w:p>
    <w:p w14:paraId="4323BA4C" w14:textId="77777777" w:rsidR="00265313" w:rsidRPr="00BC7AA5" w:rsidRDefault="00265313" w:rsidP="00265313">
      <w:pPr>
        <w:pStyle w:val="SingleTxt"/>
        <w:rPr>
          <w:i/>
          <w:iCs/>
        </w:rPr>
      </w:pPr>
      <w:r w:rsidRPr="00BC7AA5">
        <w:tab/>
      </w:r>
      <w:r w:rsidRPr="00BC7AA5">
        <w:rPr>
          <w:i/>
          <w:iCs/>
        </w:rPr>
        <w:t>86º período de sesiones (Ginebra)</w:t>
      </w:r>
    </w:p>
    <w:p w14:paraId="4CAEC196" w14:textId="0A4565A2" w:rsidR="00265313" w:rsidRPr="00BC7AA5" w:rsidRDefault="00934EB1" w:rsidP="00265313">
      <w:pPr>
        <w:pStyle w:val="SingleTxt"/>
      </w:pPr>
      <w:r w:rsidRPr="00BC7AA5">
        <w:tab/>
      </w:r>
      <w:r w:rsidR="00265313" w:rsidRPr="00BC7AA5">
        <w:t>a)</w:t>
      </w:r>
      <w:r w:rsidR="00265313" w:rsidRPr="00BC7AA5">
        <w:tab/>
        <w:t>57º período de sesiones del Grupo de Trabajo sobre las Comunicaciones presentadas en virtud del Protocolo Facultativo: 4 a 6 de octubre de 2023;</w:t>
      </w:r>
    </w:p>
    <w:p w14:paraId="6745785F" w14:textId="23589BAB" w:rsidR="00265313" w:rsidRPr="00BC7AA5" w:rsidRDefault="00934EB1" w:rsidP="00265313">
      <w:pPr>
        <w:pStyle w:val="SingleTxt"/>
      </w:pPr>
      <w:r w:rsidRPr="00BC7AA5">
        <w:tab/>
      </w:r>
      <w:r w:rsidR="00265313" w:rsidRPr="00BC7AA5">
        <w:t>b)</w:t>
      </w:r>
      <w:r w:rsidR="00265313" w:rsidRPr="00BC7AA5">
        <w:tab/>
        <w:t>26º período de sesiones del Grupo de Trabajo sobre Investigaciones con arreglo al Protocolo Facultativo: 5 y 6 de octubre de 2023;</w:t>
      </w:r>
    </w:p>
    <w:p w14:paraId="6F27CF64" w14:textId="1958C238" w:rsidR="00265313" w:rsidRPr="00BC7AA5" w:rsidRDefault="00934EB1" w:rsidP="00265313">
      <w:pPr>
        <w:pStyle w:val="SingleTxt"/>
      </w:pPr>
      <w:r w:rsidRPr="00BC7AA5">
        <w:tab/>
      </w:r>
      <w:r w:rsidR="00265313" w:rsidRPr="00BC7AA5">
        <w:t>c)</w:t>
      </w:r>
      <w:r w:rsidR="00265313" w:rsidRPr="00BC7AA5">
        <w:tab/>
        <w:t>86º período de sesiones: 9 a 27 de octubre de 2023;</w:t>
      </w:r>
    </w:p>
    <w:p w14:paraId="654C2B55" w14:textId="7D1FA2AD" w:rsidR="00265313" w:rsidRPr="00BC7AA5" w:rsidRDefault="00934EB1" w:rsidP="00265313">
      <w:pPr>
        <w:pStyle w:val="SingleTxt"/>
      </w:pPr>
      <w:r w:rsidRPr="00BC7AA5">
        <w:tab/>
      </w:r>
      <w:r w:rsidR="00265313" w:rsidRPr="00BC7AA5">
        <w:t>d)</w:t>
      </w:r>
      <w:r w:rsidR="00265313" w:rsidRPr="00BC7AA5">
        <w:tab/>
        <w:t>Grupo de trabajo anterior al 88º período de sesiones: 30 de octubre a 3 de noviembre de 2023.</w:t>
      </w:r>
    </w:p>
    <w:p w14:paraId="33D7263B" w14:textId="77777777" w:rsidR="00934EB1" w:rsidRPr="00BC7AA5" w:rsidRDefault="00934EB1" w:rsidP="00934EB1">
      <w:pPr>
        <w:pStyle w:val="SingleTxt"/>
        <w:spacing w:after="0" w:line="120" w:lineRule="exact"/>
        <w:rPr>
          <w:sz w:val="10"/>
        </w:rPr>
      </w:pPr>
    </w:p>
    <w:p w14:paraId="187947CB"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Informes que se examinarán en períodos de sesiones futuros </w:t>
      </w:r>
    </w:p>
    <w:p w14:paraId="7FC40844" w14:textId="77777777" w:rsidR="00265313" w:rsidRPr="00BC7AA5" w:rsidRDefault="00265313" w:rsidP="00934EB1">
      <w:pPr>
        <w:pStyle w:val="SingleTxt"/>
        <w:spacing w:after="0" w:line="120" w:lineRule="exact"/>
        <w:rPr>
          <w:sz w:val="10"/>
        </w:rPr>
      </w:pPr>
    </w:p>
    <w:p w14:paraId="1E7E0A86" w14:textId="77777777" w:rsidR="00265313" w:rsidRPr="00BC7AA5" w:rsidRDefault="00265313" w:rsidP="00265313">
      <w:pPr>
        <w:pStyle w:val="SingleTxt"/>
      </w:pPr>
      <w:r w:rsidRPr="00BC7AA5">
        <w:t>26.</w:t>
      </w:r>
      <w:r w:rsidRPr="00BC7AA5">
        <w:tab/>
        <w:t>El Comité confirmó que, en su 86ª período de sesiones, examinaría los informes de Albania, Bután, Filipinas, Francia, Guatemala, Jamaica, Malawi, Nicaragua y el Uruguay.</w:t>
      </w:r>
    </w:p>
    <w:p w14:paraId="646666DB" w14:textId="77777777" w:rsidR="00265313" w:rsidRPr="00BC7AA5" w:rsidRDefault="00265313" w:rsidP="00265313">
      <w:pPr>
        <w:pStyle w:val="SingleTxt"/>
      </w:pPr>
    </w:p>
    <w:p w14:paraId="4784D7E5" w14:textId="77777777" w:rsidR="00265313" w:rsidRPr="00BC7AA5" w:rsidRDefault="00265313" w:rsidP="00265313">
      <w:pPr>
        <w:pStyle w:val="SingleTxt"/>
      </w:pPr>
      <w:r w:rsidRPr="00BC7AA5">
        <w:br w:type="page"/>
      </w:r>
    </w:p>
    <w:p w14:paraId="4E5B3B17"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w:t>
      </w:r>
    </w:p>
    <w:p w14:paraId="1CF6C576"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BC7AA5">
        <w:tab/>
      </w:r>
      <w:r w:rsidRPr="00BC7AA5">
        <w:tab/>
        <w:t>Información sobre la aplicación del artículo 21 de la Convención</w:t>
      </w:r>
    </w:p>
    <w:p w14:paraId="42020D1E" w14:textId="77777777" w:rsidR="00265313" w:rsidRPr="00BC7AA5" w:rsidRDefault="00265313" w:rsidP="00934EB1">
      <w:pPr>
        <w:pStyle w:val="SingleTxt"/>
        <w:spacing w:after="0" w:line="120" w:lineRule="exact"/>
        <w:rPr>
          <w:sz w:val="10"/>
        </w:rPr>
      </w:pPr>
    </w:p>
    <w:p w14:paraId="1C804B72" w14:textId="77777777" w:rsidR="00934EB1" w:rsidRPr="00BC7AA5" w:rsidRDefault="00934EB1" w:rsidP="00934EB1">
      <w:pPr>
        <w:pStyle w:val="SingleTxt"/>
        <w:spacing w:after="0" w:line="120" w:lineRule="exact"/>
        <w:rPr>
          <w:sz w:val="10"/>
        </w:rPr>
      </w:pPr>
    </w:p>
    <w:p w14:paraId="0F4ADF5C"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Grupo de trabajo sobre métodos de trabajo</w:t>
      </w:r>
    </w:p>
    <w:p w14:paraId="46678212" w14:textId="77777777" w:rsidR="00265313" w:rsidRPr="00BC7AA5" w:rsidRDefault="00265313" w:rsidP="00934EB1">
      <w:pPr>
        <w:pStyle w:val="SingleTxt"/>
        <w:spacing w:after="0" w:line="120" w:lineRule="exact"/>
        <w:rPr>
          <w:sz w:val="10"/>
        </w:rPr>
      </w:pPr>
    </w:p>
    <w:p w14:paraId="0BF5C87B" w14:textId="0C693715" w:rsidR="00265313" w:rsidRPr="00BC7AA5" w:rsidRDefault="00265313" w:rsidP="00265313">
      <w:pPr>
        <w:pStyle w:val="SingleTxt"/>
      </w:pPr>
      <w:r w:rsidRPr="00BC7AA5">
        <w:t>27.</w:t>
      </w:r>
      <w:r w:rsidRPr="00BC7AA5">
        <w:tab/>
        <w:t>El grupo de trabajo se reunió una vez durante el período de sesiones. El grupo de trabajo examinó y presentó al Comité cuatro proyectos de decisión, relativos al examen de los informes de los Estados partes en caso de ausencia de una delegación (véase la decisión 85/I), la evaluación preliminar de su proyecto piloto para revisar la estructura de los diálogos constructivos con los Estados partes (véase la decisión 85/II), el papel del relator para el país y del Relator en la selección de los cuatro apartados de las observaciones finales que están sujetos al procedimiento de seguimiento (véase la decisión 85/III) y las solicitudes de información adicional por</w:t>
      </w:r>
      <w:r w:rsidR="00BC7AA5" w:rsidRPr="00BC7AA5">
        <w:t> </w:t>
      </w:r>
      <w:r w:rsidRPr="00BC7AA5">
        <w:t>escrito durante los diálogos constructivos con los Estados partes (véase la decisión 85/IV).</w:t>
      </w:r>
    </w:p>
    <w:p w14:paraId="6F18C549" w14:textId="77777777" w:rsidR="00265313" w:rsidRPr="00BC7AA5" w:rsidRDefault="00265313" w:rsidP="00934EB1">
      <w:pPr>
        <w:pStyle w:val="SingleTxt"/>
        <w:spacing w:after="0" w:line="120" w:lineRule="exact"/>
        <w:rPr>
          <w:sz w:val="10"/>
        </w:rPr>
      </w:pPr>
    </w:p>
    <w:p w14:paraId="245580F9"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Grupo de trabajo sobre la violencia por razón de género contra la mujer </w:t>
      </w:r>
    </w:p>
    <w:p w14:paraId="7F41A93E" w14:textId="77777777" w:rsidR="00265313" w:rsidRPr="00BC7AA5" w:rsidRDefault="00265313" w:rsidP="00934EB1">
      <w:pPr>
        <w:pStyle w:val="SingleTxt"/>
        <w:spacing w:after="0" w:line="120" w:lineRule="exact"/>
        <w:rPr>
          <w:sz w:val="10"/>
        </w:rPr>
      </w:pPr>
    </w:p>
    <w:p w14:paraId="1506B918" w14:textId="3B72DA40" w:rsidR="00265313" w:rsidRPr="00BC7AA5" w:rsidRDefault="00265313" w:rsidP="00265313">
      <w:pPr>
        <w:pStyle w:val="SingleTxt"/>
      </w:pPr>
      <w:r w:rsidRPr="00BC7AA5">
        <w:t>28.</w:t>
      </w:r>
      <w:r w:rsidRPr="00BC7AA5">
        <w:tab/>
        <w:t xml:space="preserve">El grupo de trabajo se reunió una vez durante el período de sesiones. El grupo de trabajo examinó los trabajos sobre la violencia de género contra las defensoras de los derechos humanos, en particular las defensoras de los derechos ambientales, y contra las mujeres en la vida política y las periodistas, así como la preparación de un proyecto de recomendación general sobre la representación igualitaria e inclusiva de las mujeres en los sistemas de toma de decisiones. También trató temas nuevos que debían abarcarse en el proyecto de nota orientativa destinada a los Estados partes sobre el cumplimiento de sus obligaciones y su rendición de cuentas, que se establece en la recomendación general núm. </w:t>
      </w:r>
      <w:r w:rsidR="00BC7AA5" w:rsidRPr="00B212E1">
        <w:t>35 (2017)</w:t>
      </w:r>
      <w:r w:rsidRPr="00BC7AA5">
        <w:t xml:space="preserve"> sobre la violencia por razón de género contra la mujer, por la que se actualiza la recomendación general núm. 19. El grupo de trabajo trató además la posible candidatura del Comité para presidir la Plataforma de Mecanismos de Expertos Independientes sobre la Eliminación de la Discriminación y la Violencia contra la Mujer en 2024, el impacto de la propuesta de la campaña Every Woman Treaty en el mandato del Comité y la versión más reciente del proyecto de convención de las Naciones Unidas sobre la ciberviolencia.</w:t>
      </w:r>
      <w:bookmarkStart w:id="3" w:name="_Hlk135987777"/>
      <w:bookmarkEnd w:id="3"/>
    </w:p>
    <w:p w14:paraId="3DF79414" w14:textId="77777777" w:rsidR="00265313" w:rsidRPr="00BC7AA5" w:rsidRDefault="00265313" w:rsidP="00934EB1">
      <w:pPr>
        <w:pStyle w:val="SingleTxt"/>
        <w:spacing w:after="0" w:line="120" w:lineRule="exact"/>
        <w:rPr>
          <w:sz w:val="10"/>
        </w:rPr>
      </w:pPr>
    </w:p>
    <w:p w14:paraId="5DF88C3F" w14:textId="77777777" w:rsidR="00265313" w:rsidRPr="00BC7AA5" w:rsidRDefault="00265313"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BC7AA5">
        <w:tab/>
      </w:r>
      <w:r w:rsidRPr="00BC7AA5">
        <w:tab/>
        <w:t xml:space="preserve">Grupo de trabajo sobre la representación igualitaria e inclusiva de las mujeres en los sistemas de toma de decisiones </w:t>
      </w:r>
    </w:p>
    <w:p w14:paraId="23292395" w14:textId="77777777" w:rsidR="00265313" w:rsidRPr="00BC7AA5" w:rsidRDefault="00265313" w:rsidP="00934EB1">
      <w:pPr>
        <w:pStyle w:val="SingleTxt"/>
        <w:spacing w:after="0" w:line="120" w:lineRule="exact"/>
        <w:rPr>
          <w:sz w:val="10"/>
        </w:rPr>
      </w:pPr>
    </w:p>
    <w:p w14:paraId="7C46C4AC" w14:textId="77777777" w:rsidR="00265313" w:rsidRPr="00BC7AA5" w:rsidRDefault="00265313" w:rsidP="00265313">
      <w:pPr>
        <w:pStyle w:val="SingleTxt"/>
      </w:pPr>
      <w:r w:rsidRPr="00BC7AA5">
        <w:t>29.</w:t>
      </w:r>
      <w:r w:rsidRPr="00BC7AA5">
        <w:tab/>
        <w:t>El grupo de trabajo se reunió dos veces durante el período de sesiones. El grupo de trabajo siguió debatiendo acerca de las prioridades temáticas para el proyecto de recomendación general sobre la representación equitativa e integradora de la mujer en los sistemas de toma de decisiones, así como las esferas de interés para las reuniones previstas del grupo de expertos, que proporcionarían contribuciones para el proyecto inicial de recomendación general, cuya aprobación por el grupo de trabajo está prevista para el 86ª período de sesiones del Comité.</w:t>
      </w:r>
      <w:bookmarkStart w:id="4" w:name="_Hlk135987885"/>
      <w:bookmarkEnd w:id="4"/>
    </w:p>
    <w:p w14:paraId="013A58C9" w14:textId="77777777" w:rsidR="00934EB1" w:rsidRPr="00BC7AA5" w:rsidRDefault="00934EB1" w:rsidP="00934EB1">
      <w:pPr>
        <w:pStyle w:val="SingleTxt"/>
        <w:spacing w:after="0" w:line="120" w:lineRule="exact"/>
        <w:rPr>
          <w:b/>
          <w:sz w:val="10"/>
        </w:rPr>
      </w:pPr>
    </w:p>
    <w:p w14:paraId="41F3E781" w14:textId="2B5BF10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los estereotipos de género </w:t>
      </w:r>
    </w:p>
    <w:p w14:paraId="450524CB" w14:textId="77777777" w:rsidR="00265313" w:rsidRPr="00BC7AA5" w:rsidRDefault="00265313" w:rsidP="00934EB1">
      <w:pPr>
        <w:pStyle w:val="SingleTxt"/>
        <w:spacing w:after="0" w:line="120" w:lineRule="exact"/>
        <w:rPr>
          <w:sz w:val="10"/>
        </w:rPr>
      </w:pPr>
    </w:p>
    <w:p w14:paraId="71614CEB" w14:textId="77777777" w:rsidR="00265313" w:rsidRPr="00BC7AA5" w:rsidRDefault="00265313" w:rsidP="00265313">
      <w:pPr>
        <w:pStyle w:val="SingleTxt"/>
      </w:pPr>
      <w:r w:rsidRPr="00BC7AA5">
        <w:t>30.</w:t>
      </w:r>
      <w:r w:rsidRPr="00BC7AA5">
        <w:tab/>
        <w:t>El equipo de tareas se reunió durante el período de sesiones para examinar la preparación en el período entre sesiones de un proyecto de nota conceptual para una recomendación general sobre los estereotipos de género. Está previsto que el proyecto de nota conceptual se presente para su aprobación durante el 86ª período de sesiones del Comité.</w:t>
      </w:r>
    </w:p>
    <w:p w14:paraId="3CD0D705" w14:textId="0D2B31A8" w:rsidR="00934EB1" w:rsidRPr="00BC7AA5" w:rsidRDefault="00934EB1">
      <w:pPr>
        <w:suppressAutoHyphens w:val="0"/>
        <w:spacing w:after="160" w:line="259" w:lineRule="auto"/>
        <w:rPr>
          <w:kern w:val="14"/>
        </w:rPr>
      </w:pPr>
      <w:r w:rsidRPr="00BC7AA5">
        <w:br w:type="page"/>
      </w:r>
    </w:p>
    <w:p w14:paraId="32D5BA34"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el Afganistán </w:t>
      </w:r>
    </w:p>
    <w:p w14:paraId="4C551922" w14:textId="77777777" w:rsidR="00265313" w:rsidRPr="00BC7AA5" w:rsidRDefault="00265313" w:rsidP="00934EB1">
      <w:pPr>
        <w:pStyle w:val="SingleTxt"/>
        <w:spacing w:after="0" w:line="120" w:lineRule="exact"/>
        <w:rPr>
          <w:sz w:val="10"/>
        </w:rPr>
      </w:pPr>
    </w:p>
    <w:p w14:paraId="77B208B0" w14:textId="7F3B7F36" w:rsidR="00265313" w:rsidRPr="00BC7AA5" w:rsidRDefault="00265313" w:rsidP="00265313">
      <w:pPr>
        <w:pStyle w:val="SingleTxt"/>
      </w:pPr>
      <w:r w:rsidRPr="00BC7AA5">
        <w:t>31.</w:t>
      </w:r>
      <w:r w:rsidRPr="00BC7AA5">
        <w:tab/>
        <w:t xml:space="preserve">El equipo de tareas sobre el Afganistán se reunió una vez durante el período de sesiones. La Presidencia del equipo de tareas informó a los miembros de que, como había decidido el Comité, la información recibida el 30 de enero de 2023 de las autoridades de facto de Kabul en respuesta a la solicitud de información del Comité sobre la situación de las mujeres y las niñas en el país desde el 15 de agosto de 2021 se había publicado en el sitio web de la Oficina del Alto Comisionado de las Naciones Unidas para los Derechos Humanos en la sección de </w:t>
      </w:r>
      <w:r w:rsidR="002B2D9E" w:rsidRPr="00BC7AA5">
        <w:t>“</w:t>
      </w:r>
      <w:r w:rsidRPr="00BC7AA5">
        <w:t>actividades</w:t>
      </w:r>
      <w:r w:rsidR="002B2D9E" w:rsidRPr="00BC7AA5">
        <w:t>”</w:t>
      </w:r>
      <w:r w:rsidRPr="00BC7AA5">
        <w:t xml:space="preserve"> del Comité</w:t>
      </w:r>
      <w:r w:rsidRPr="00BC7AA5">
        <w:rPr>
          <w:vertAlign w:val="superscript"/>
        </w:rPr>
        <w:footnoteReference w:id="3"/>
      </w:r>
      <w:r w:rsidRPr="00BC7AA5">
        <w:t>.</w:t>
      </w:r>
      <w:bookmarkStart w:id="5" w:name="_Hlk135988203"/>
      <w:bookmarkEnd w:id="5"/>
    </w:p>
    <w:p w14:paraId="040431E4" w14:textId="1A467A28" w:rsidR="00265313" w:rsidRPr="00BC7AA5" w:rsidRDefault="00265313" w:rsidP="00265313">
      <w:pPr>
        <w:pStyle w:val="SingleTxt"/>
      </w:pPr>
      <w:bookmarkStart w:id="6" w:name="_Hlk136451823"/>
      <w:r w:rsidRPr="00BC7AA5">
        <w:t>32.</w:t>
      </w:r>
      <w:r w:rsidRPr="00BC7AA5">
        <w:tab/>
        <w:t xml:space="preserve">Durante el período de sesiones, la Presidencia del equipo de tareas también asistió a una sesión informativa del Relator Especial sobre la situación de los derechos humanos en el Afganistán, Richard Bennett, y del Grupo de Trabajo sobre la cuestión de la discriminación contra las mujeres y las niñas, relativa a su reciente visita al Afganistán en preparación de su informe conjunto encargado por el Consejo de Derechos Humanos en su </w:t>
      </w:r>
      <w:bookmarkStart w:id="7" w:name="_Hlk166143142"/>
      <w:r w:rsidRPr="00BC7AA5">
        <w:t xml:space="preserve">resolución </w:t>
      </w:r>
      <w:hyperlink r:id="rId44" w:history="1">
        <w:r w:rsidR="00BC7AA5" w:rsidRPr="007D2A1C">
          <w:rPr>
            <w:rStyle w:val="Hyperlink"/>
          </w:rPr>
          <w:t>51/20</w:t>
        </w:r>
      </w:hyperlink>
      <w:r w:rsidRPr="00BC7AA5">
        <w:t xml:space="preserve">, </w:t>
      </w:r>
      <w:bookmarkEnd w:id="7"/>
      <w:r w:rsidRPr="00BC7AA5">
        <w:t>que se presentará al Consejo en su 53</w:t>
      </w:r>
      <w:r w:rsidRPr="00BC7AA5">
        <w:rPr>
          <w:vertAlign w:val="superscript"/>
        </w:rPr>
        <w:t>er</w:t>
      </w:r>
      <w:r w:rsidR="00BC7AA5">
        <w:t> </w:t>
      </w:r>
      <w:r w:rsidRPr="00BC7AA5">
        <w:t>período de sesiones (19 de junio a 14 de julio de 2023).</w:t>
      </w:r>
      <w:bookmarkEnd w:id="6"/>
    </w:p>
    <w:p w14:paraId="2FFAA550" w14:textId="77777777" w:rsidR="00265313" w:rsidRPr="00BC7AA5" w:rsidRDefault="00265313" w:rsidP="00934EB1">
      <w:pPr>
        <w:pStyle w:val="SingleTxt"/>
        <w:spacing w:after="0" w:line="120" w:lineRule="exact"/>
        <w:rPr>
          <w:sz w:val="10"/>
        </w:rPr>
      </w:pPr>
    </w:p>
    <w:p w14:paraId="3DA4AB5B" w14:textId="77777777" w:rsidR="00265313" w:rsidRPr="00BC7AA5" w:rsidRDefault="00265313" w:rsidP="0093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Ucrania </w:t>
      </w:r>
    </w:p>
    <w:p w14:paraId="714E8BDC" w14:textId="77777777" w:rsidR="00265313" w:rsidRPr="00BC7AA5" w:rsidRDefault="00265313" w:rsidP="00934EB1">
      <w:pPr>
        <w:pStyle w:val="SingleTxt"/>
        <w:spacing w:after="0" w:line="120" w:lineRule="exact"/>
        <w:rPr>
          <w:sz w:val="10"/>
        </w:rPr>
      </w:pPr>
    </w:p>
    <w:p w14:paraId="6D5873E6" w14:textId="5070D5FB" w:rsidR="00265313" w:rsidRPr="00BC7AA5" w:rsidRDefault="00265313" w:rsidP="00265313">
      <w:pPr>
        <w:pStyle w:val="SingleTxt"/>
      </w:pPr>
      <w:r w:rsidRPr="00BC7AA5">
        <w:t>33.</w:t>
      </w:r>
      <w:r w:rsidRPr="00BC7AA5">
        <w:tab/>
        <w:t>El equipo de tareas sobre Ucrania no se reunió durante el período de sesiones. El 4 de mayo de 2023, el Comité respondió a la nota verbal del Gobierno de Ucrania, de 16 de diciembre de 2022, en la cual invitaba al Comité a realizar una visita técnica al país. En su respuesta, el Comité confirmó su disponibilidad para llevar a cabo dicha visita, una vez que asegurara el apoyo financiero y logístico necesario, con el fin de prestar asistencia técnica a Ucrania para la aplicación de las recomendaciones contenidas en las observaciones finales del Comité en relación con el noveno informe periódico de Ucrania (</w:t>
      </w:r>
      <w:hyperlink r:id="rId45" w:history="1">
        <w:r w:rsidRPr="00BC7AA5">
          <w:rPr>
            <w:rStyle w:val="Hyperlink"/>
          </w:rPr>
          <w:t>CEDAW/C/UKR/CO/9</w:t>
        </w:r>
      </w:hyperlink>
      <w:r w:rsidRPr="00BC7AA5">
        <w:t>), que el Comité había aprobado en su 83</w:t>
      </w:r>
      <w:r w:rsidRPr="00BC7AA5">
        <w:rPr>
          <w:vertAlign w:val="superscript"/>
        </w:rPr>
        <w:t>er</w:t>
      </w:r>
      <w:r w:rsidRPr="00BC7AA5">
        <w:t xml:space="preserve"> período de sesiones, en octubre de 2022.</w:t>
      </w:r>
      <w:bookmarkStart w:id="8" w:name="_Hlk136452204"/>
      <w:bookmarkStart w:id="9" w:name="_Hlk135988316"/>
      <w:bookmarkEnd w:id="8"/>
      <w:bookmarkEnd w:id="9"/>
    </w:p>
    <w:p w14:paraId="75633DDB" w14:textId="77777777" w:rsidR="00265313" w:rsidRPr="00BC7AA5" w:rsidRDefault="00265313" w:rsidP="00265313">
      <w:pPr>
        <w:pStyle w:val="SingleTxt"/>
      </w:pPr>
      <w:r w:rsidRPr="00BC7AA5">
        <w:br w:type="page"/>
      </w:r>
    </w:p>
    <w:p w14:paraId="7B48EBC6"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VIII</w:t>
      </w:r>
    </w:p>
    <w:p w14:paraId="3789F674"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Programa provisional del 86º período de sesiones</w:t>
      </w:r>
    </w:p>
    <w:p w14:paraId="42C08CCB" w14:textId="77777777" w:rsidR="00265313" w:rsidRPr="00BC7AA5" w:rsidRDefault="00265313" w:rsidP="00934EB1">
      <w:pPr>
        <w:pStyle w:val="SingleTxt"/>
        <w:spacing w:after="0" w:line="120" w:lineRule="exact"/>
        <w:rPr>
          <w:sz w:val="10"/>
        </w:rPr>
      </w:pPr>
    </w:p>
    <w:p w14:paraId="5E6E55C4" w14:textId="77777777" w:rsidR="00934EB1" w:rsidRPr="00BC7AA5" w:rsidRDefault="00934EB1" w:rsidP="00934EB1">
      <w:pPr>
        <w:pStyle w:val="SingleTxt"/>
        <w:spacing w:after="0" w:line="120" w:lineRule="exact"/>
        <w:rPr>
          <w:sz w:val="10"/>
        </w:rPr>
      </w:pPr>
    </w:p>
    <w:p w14:paraId="6997F530" w14:textId="77777777" w:rsidR="00265313" w:rsidRPr="00BC7AA5" w:rsidRDefault="00265313" w:rsidP="00265313">
      <w:pPr>
        <w:pStyle w:val="SingleTxt"/>
      </w:pPr>
      <w:r w:rsidRPr="00BC7AA5">
        <w:t>34.</w:t>
      </w:r>
      <w:r w:rsidRPr="00BC7AA5">
        <w:tab/>
        <w:t>En su 1998ª sesión, celebrada el 26 de mayo de 2023, el Comité examinó y aprobó el proyecto de programa provisional de su 86º período de sesiones.</w:t>
      </w:r>
    </w:p>
    <w:p w14:paraId="05A631E5" w14:textId="77777777" w:rsidR="00265313" w:rsidRPr="00BC7AA5" w:rsidRDefault="00265313" w:rsidP="00265313">
      <w:pPr>
        <w:pStyle w:val="SingleTxt"/>
      </w:pPr>
      <w:r w:rsidRPr="00BC7AA5">
        <w:br w:type="page"/>
      </w:r>
    </w:p>
    <w:p w14:paraId="53D4D08B"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IX</w:t>
      </w:r>
    </w:p>
    <w:p w14:paraId="265140BC" w14:textId="77777777" w:rsidR="00265313" w:rsidRPr="00BC7AA5" w:rsidRDefault="00265313" w:rsidP="0093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Aprobación del programa</w:t>
      </w:r>
    </w:p>
    <w:p w14:paraId="162D36C7" w14:textId="77777777" w:rsidR="00265313" w:rsidRPr="00BC7AA5" w:rsidRDefault="00265313" w:rsidP="00934EB1">
      <w:pPr>
        <w:pStyle w:val="SingleTxt"/>
        <w:spacing w:after="0" w:line="120" w:lineRule="exact"/>
        <w:rPr>
          <w:sz w:val="10"/>
        </w:rPr>
      </w:pPr>
    </w:p>
    <w:p w14:paraId="79C5FF88" w14:textId="77777777" w:rsidR="00934EB1" w:rsidRPr="00BC7AA5" w:rsidRDefault="00934EB1" w:rsidP="00934EB1">
      <w:pPr>
        <w:pStyle w:val="SingleTxt"/>
        <w:spacing w:after="0" w:line="120" w:lineRule="exact"/>
        <w:rPr>
          <w:sz w:val="10"/>
        </w:rPr>
      </w:pPr>
    </w:p>
    <w:p w14:paraId="40B30F2E" w14:textId="60E2A9C4" w:rsidR="00265313" w:rsidRPr="00BC7AA5" w:rsidRDefault="00265313" w:rsidP="00265313">
      <w:pPr>
        <w:pStyle w:val="SingleTxt"/>
      </w:pPr>
      <w:r w:rsidRPr="00BC7AA5">
        <w:t>35.</w:t>
      </w:r>
      <w:r w:rsidRPr="00BC7AA5">
        <w:tab/>
        <w:t>En su 1998ª sesión, celebrada el 26 de mayo de 2023, el Comité examinó y aprobó, en su forma revisada oralmente, el proyecto de programa provisional de su 85º período de sesiones.</w:t>
      </w:r>
    </w:p>
    <w:p w14:paraId="54C9D53D" w14:textId="5E066165" w:rsidR="0040398E" w:rsidRPr="00BC7AA5" w:rsidRDefault="0040398E">
      <w:pPr>
        <w:suppressAutoHyphens w:val="0"/>
        <w:spacing w:after="160" w:line="259" w:lineRule="auto"/>
        <w:rPr>
          <w:kern w:val="14"/>
        </w:rPr>
      </w:pPr>
      <w:r w:rsidRPr="00BC7AA5">
        <w:br w:type="page"/>
      </w:r>
    </w:p>
    <w:p w14:paraId="5862E274" w14:textId="77777777" w:rsidR="0040398E" w:rsidRPr="00BC7AA5" w:rsidRDefault="0040398E" w:rsidP="004039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Anexo</w:t>
      </w:r>
    </w:p>
    <w:p w14:paraId="64965C6C" w14:textId="77777777" w:rsidR="0040398E" w:rsidRPr="00BC7AA5" w:rsidRDefault="0040398E" w:rsidP="0040398E">
      <w:pPr>
        <w:pStyle w:val="SingleTxt"/>
        <w:spacing w:after="0" w:line="120" w:lineRule="exact"/>
        <w:rPr>
          <w:sz w:val="10"/>
        </w:rPr>
      </w:pPr>
    </w:p>
    <w:p w14:paraId="776484BB" w14:textId="4EC13F8E" w:rsidR="0040398E" w:rsidRPr="00BC7AA5" w:rsidRDefault="0040398E" w:rsidP="00CD1C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BC7AA5">
        <w:tab/>
      </w:r>
      <w:r w:rsidRPr="00BC7AA5">
        <w:tab/>
        <w:t>Documentos que el Comité tuvo ante sí en su 8</w:t>
      </w:r>
      <w:r w:rsidR="001E6632" w:rsidRPr="00BC7AA5">
        <w:t>5</w:t>
      </w:r>
      <w:r w:rsidRPr="00BC7AA5">
        <w:t>º período de sesiones</w:t>
      </w:r>
    </w:p>
    <w:p w14:paraId="6644F08B" w14:textId="77777777" w:rsidR="0040398E" w:rsidRPr="00BC7AA5" w:rsidRDefault="0040398E" w:rsidP="0040398E">
      <w:pPr>
        <w:pStyle w:val="SingleTxt"/>
        <w:spacing w:after="0" w:line="120" w:lineRule="exact"/>
        <w:rPr>
          <w:sz w:val="10"/>
        </w:rPr>
      </w:pPr>
    </w:p>
    <w:p w14:paraId="7DCCF303" w14:textId="77777777" w:rsidR="0040398E" w:rsidRPr="00BC7AA5" w:rsidRDefault="0040398E" w:rsidP="0040398E">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6"/>
        <w:gridCol w:w="4444"/>
      </w:tblGrid>
      <w:tr w:rsidR="0040398E" w:rsidRPr="00BC7AA5" w14:paraId="300EFAFC" w14:textId="77777777" w:rsidTr="0040398E">
        <w:trPr>
          <w:tblHeader/>
        </w:trPr>
        <w:tc>
          <w:tcPr>
            <w:tcW w:w="2876" w:type="dxa"/>
            <w:tcBorders>
              <w:top w:val="single" w:sz="4" w:space="0" w:color="auto"/>
              <w:bottom w:val="single" w:sz="12" w:space="0" w:color="auto"/>
            </w:tcBorders>
            <w:shd w:val="clear" w:color="auto" w:fill="auto"/>
            <w:vAlign w:val="bottom"/>
          </w:tcPr>
          <w:p w14:paraId="3A93B739" w14:textId="77777777" w:rsidR="0040398E" w:rsidRPr="00BC7AA5" w:rsidRDefault="0040398E" w:rsidP="008C6B6E">
            <w:pPr>
              <w:tabs>
                <w:tab w:val="left" w:pos="288"/>
                <w:tab w:val="left" w:pos="576"/>
                <w:tab w:val="left" w:pos="864"/>
                <w:tab w:val="left" w:pos="1152"/>
              </w:tabs>
              <w:spacing w:before="81" w:after="81" w:line="160" w:lineRule="exact"/>
              <w:ind w:right="40"/>
              <w:rPr>
                <w:i/>
                <w:sz w:val="16"/>
                <w:szCs w:val="16"/>
              </w:rPr>
            </w:pPr>
            <w:r w:rsidRPr="00BC7AA5">
              <w:rPr>
                <w:i/>
                <w:iCs/>
                <w:sz w:val="16"/>
                <w:szCs w:val="16"/>
              </w:rPr>
              <w:t>Signatura</w:t>
            </w:r>
          </w:p>
        </w:tc>
        <w:tc>
          <w:tcPr>
            <w:tcW w:w="4444" w:type="dxa"/>
            <w:tcBorders>
              <w:top w:val="single" w:sz="4" w:space="0" w:color="auto"/>
              <w:bottom w:val="single" w:sz="12" w:space="0" w:color="auto"/>
            </w:tcBorders>
            <w:shd w:val="clear" w:color="auto" w:fill="auto"/>
            <w:vAlign w:val="bottom"/>
          </w:tcPr>
          <w:p w14:paraId="4FE8C65F" w14:textId="77777777" w:rsidR="0040398E" w:rsidRPr="00BC7AA5" w:rsidRDefault="0040398E" w:rsidP="008C6B6E">
            <w:pPr>
              <w:tabs>
                <w:tab w:val="left" w:pos="288"/>
                <w:tab w:val="left" w:pos="576"/>
                <w:tab w:val="left" w:pos="864"/>
                <w:tab w:val="left" w:pos="1152"/>
              </w:tabs>
              <w:spacing w:before="81" w:after="81" w:line="160" w:lineRule="exact"/>
              <w:ind w:left="144" w:right="40"/>
              <w:rPr>
                <w:i/>
                <w:sz w:val="16"/>
                <w:szCs w:val="16"/>
              </w:rPr>
            </w:pPr>
            <w:r w:rsidRPr="00BC7AA5">
              <w:rPr>
                <w:i/>
                <w:iCs/>
                <w:sz w:val="16"/>
                <w:szCs w:val="16"/>
              </w:rPr>
              <w:t>Título o descripción</w:t>
            </w:r>
          </w:p>
        </w:tc>
      </w:tr>
      <w:tr w:rsidR="0040398E" w:rsidRPr="00BC7AA5" w14:paraId="33C97803" w14:textId="77777777" w:rsidTr="0040398E">
        <w:trPr>
          <w:trHeight w:hRule="exact" w:val="115"/>
          <w:tblHeader/>
        </w:trPr>
        <w:tc>
          <w:tcPr>
            <w:tcW w:w="2876" w:type="dxa"/>
            <w:tcBorders>
              <w:top w:val="single" w:sz="12" w:space="0" w:color="auto"/>
            </w:tcBorders>
            <w:shd w:val="clear" w:color="auto" w:fill="auto"/>
            <w:vAlign w:val="bottom"/>
          </w:tcPr>
          <w:p w14:paraId="49BF7288" w14:textId="77777777" w:rsidR="0040398E" w:rsidRPr="00BC7AA5" w:rsidRDefault="0040398E" w:rsidP="008C6B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4444" w:type="dxa"/>
            <w:tcBorders>
              <w:top w:val="single" w:sz="12" w:space="0" w:color="auto"/>
            </w:tcBorders>
            <w:shd w:val="clear" w:color="auto" w:fill="auto"/>
            <w:vAlign w:val="bottom"/>
          </w:tcPr>
          <w:p w14:paraId="5099B534" w14:textId="77777777" w:rsidR="0040398E" w:rsidRPr="00BC7AA5" w:rsidRDefault="0040398E" w:rsidP="008C6B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r>
      <w:tr w:rsidR="001E6632" w:rsidRPr="00BC7AA5" w14:paraId="7273C1BA" w14:textId="77777777" w:rsidTr="0040398E">
        <w:tc>
          <w:tcPr>
            <w:tcW w:w="2876" w:type="dxa"/>
            <w:shd w:val="clear" w:color="auto" w:fill="auto"/>
          </w:tcPr>
          <w:p w14:paraId="530DE90D" w14:textId="596CA0CB" w:rsidR="001E6632" w:rsidRPr="00BC7AA5" w:rsidRDefault="00901BF9" w:rsidP="001E6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46" w:history="1">
              <w:r w:rsidR="001E6632" w:rsidRPr="00BC7AA5">
                <w:rPr>
                  <w:rStyle w:val="Hyperlink"/>
                </w:rPr>
                <w:t>CEDAW/C/85/1</w:t>
              </w:r>
            </w:hyperlink>
            <w:r w:rsidR="001E6632" w:rsidRPr="00BC7AA5">
              <w:t xml:space="preserve"> </w:t>
            </w:r>
          </w:p>
        </w:tc>
        <w:tc>
          <w:tcPr>
            <w:tcW w:w="4444" w:type="dxa"/>
            <w:shd w:val="clear" w:color="auto" w:fill="auto"/>
          </w:tcPr>
          <w:p w14:paraId="57B26905" w14:textId="2E308953" w:rsidR="001E6632" w:rsidRPr="00BC7AA5" w:rsidRDefault="001E6632" w:rsidP="001E6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Programa provisional anotado</w:t>
            </w:r>
          </w:p>
        </w:tc>
      </w:tr>
      <w:tr w:rsidR="0040398E" w:rsidRPr="00BC7AA5" w14:paraId="0B16ED12" w14:textId="77777777" w:rsidTr="0040398E">
        <w:tc>
          <w:tcPr>
            <w:tcW w:w="2876" w:type="dxa"/>
            <w:shd w:val="clear" w:color="auto" w:fill="auto"/>
          </w:tcPr>
          <w:p w14:paraId="5DDBDF66" w14:textId="77777777" w:rsidR="0040398E" w:rsidRPr="00BC7AA5" w:rsidRDefault="0040398E" w:rsidP="004039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rPr>
                <w:b/>
                <w:bCs/>
              </w:rPr>
              <w:t>Informes de los Estados partes</w:t>
            </w:r>
          </w:p>
        </w:tc>
        <w:tc>
          <w:tcPr>
            <w:tcW w:w="4444" w:type="dxa"/>
            <w:shd w:val="clear" w:color="auto" w:fill="auto"/>
          </w:tcPr>
          <w:p w14:paraId="57163C5F" w14:textId="77777777" w:rsidR="0040398E" w:rsidRPr="00BC7AA5" w:rsidRDefault="0040398E" w:rsidP="004039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p>
        </w:tc>
      </w:tr>
      <w:tr w:rsidR="00FD1F3C" w:rsidRPr="00BC7AA5" w14:paraId="798A9B88" w14:textId="77777777" w:rsidTr="0040398E">
        <w:tc>
          <w:tcPr>
            <w:tcW w:w="2876" w:type="dxa"/>
            <w:shd w:val="clear" w:color="auto" w:fill="auto"/>
          </w:tcPr>
          <w:p w14:paraId="631DD9D9" w14:textId="2EDC1928"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bCs/>
              </w:rPr>
            </w:pPr>
            <w:hyperlink r:id="rId47" w:history="1">
              <w:r w:rsidR="00FD1F3C" w:rsidRPr="00BC7AA5">
                <w:rPr>
                  <w:rStyle w:val="Hyperlink"/>
                </w:rPr>
                <w:t>CEDAW/C/DEU/9</w:t>
              </w:r>
            </w:hyperlink>
          </w:p>
        </w:tc>
        <w:tc>
          <w:tcPr>
            <w:tcW w:w="4444" w:type="dxa"/>
            <w:shd w:val="clear" w:color="auto" w:fill="auto"/>
          </w:tcPr>
          <w:p w14:paraId="0B3B35C6" w14:textId="28E39176"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Alemania, presentado conforme al procedimiento simplificado</w:t>
            </w:r>
          </w:p>
        </w:tc>
      </w:tr>
      <w:bookmarkStart w:id="10" w:name="TmpSave"/>
      <w:bookmarkEnd w:id="10"/>
      <w:tr w:rsidR="00FD1F3C" w:rsidRPr="00BC7AA5" w14:paraId="0E44C45B" w14:textId="77777777" w:rsidTr="0040398E">
        <w:tc>
          <w:tcPr>
            <w:tcW w:w="2876" w:type="dxa"/>
            <w:shd w:val="clear" w:color="auto" w:fill="auto"/>
          </w:tcPr>
          <w:p w14:paraId="099175E1" w14:textId="2B511DD1"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b/>
                <w:bCs/>
              </w:rPr>
            </w:pPr>
            <w:r w:rsidRPr="00BC7AA5">
              <w:fldChar w:fldCharType="begin"/>
            </w:r>
            <w:r w:rsidRPr="00BC7AA5">
              <w:instrText>HYPERLINK "https://undocs.org/es/CEDAW/C/CHN/9"</w:instrText>
            </w:r>
            <w:r w:rsidRPr="00BC7AA5">
              <w:fldChar w:fldCharType="separate"/>
            </w:r>
            <w:r w:rsidRPr="00BC7AA5">
              <w:rPr>
                <w:rStyle w:val="Hyperlink"/>
              </w:rPr>
              <w:t>CEDAW/C/CHN/9</w:t>
            </w:r>
            <w:r w:rsidRPr="00BC7AA5">
              <w:fldChar w:fldCharType="end"/>
            </w:r>
          </w:p>
        </w:tc>
        <w:tc>
          <w:tcPr>
            <w:tcW w:w="4444" w:type="dxa"/>
            <w:shd w:val="clear" w:color="auto" w:fill="auto"/>
          </w:tcPr>
          <w:p w14:paraId="2C63DDE7" w14:textId="4D586DBF"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China</w:t>
            </w:r>
          </w:p>
        </w:tc>
      </w:tr>
      <w:tr w:rsidR="00FD1F3C" w:rsidRPr="00BC7AA5" w14:paraId="6A519932" w14:textId="77777777" w:rsidTr="0040398E">
        <w:tc>
          <w:tcPr>
            <w:tcW w:w="2876" w:type="dxa"/>
            <w:shd w:val="clear" w:color="auto" w:fill="auto"/>
          </w:tcPr>
          <w:p w14:paraId="7F2D9DF0" w14:textId="0F7742FA"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48" w:history="1">
              <w:r w:rsidR="00FD1F3C" w:rsidRPr="00BC7AA5">
                <w:rPr>
                  <w:rStyle w:val="Hyperlink"/>
                </w:rPr>
                <w:t>CEDAW/C/CHN-HKG/9</w:t>
              </w:r>
            </w:hyperlink>
          </w:p>
        </w:tc>
        <w:tc>
          <w:tcPr>
            <w:tcW w:w="4444" w:type="dxa"/>
            <w:shd w:val="clear" w:color="auto" w:fill="auto"/>
          </w:tcPr>
          <w:p w14:paraId="1410F9F3" w14:textId="7A2AC866"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China (Región Administrativa Especial de Hong Kong)</w:t>
            </w:r>
          </w:p>
        </w:tc>
      </w:tr>
      <w:tr w:rsidR="00FD1F3C" w:rsidRPr="00BC7AA5" w14:paraId="4121D2CF" w14:textId="77777777" w:rsidTr="0040398E">
        <w:tc>
          <w:tcPr>
            <w:tcW w:w="2876" w:type="dxa"/>
            <w:shd w:val="clear" w:color="auto" w:fill="auto"/>
          </w:tcPr>
          <w:p w14:paraId="576EFCA9" w14:textId="5B2CBD53"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49" w:history="1">
              <w:r w:rsidR="00FD1F3C" w:rsidRPr="00BC7AA5">
                <w:rPr>
                  <w:rStyle w:val="Hyperlink"/>
                </w:rPr>
                <w:t>CEDAW/C/CHN-MAC/9</w:t>
              </w:r>
            </w:hyperlink>
          </w:p>
        </w:tc>
        <w:tc>
          <w:tcPr>
            <w:tcW w:w="4444" w:type="dxa"/>
            <w:shd w:val="clear" w:color="auto" w:fill="auto"/>
          </w:tcPr>
          <w:p w14:paraId="57DFD601" w14:textId="5F4FEFDC"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China (Región Administrativa Especial de Macao)</w:t>
            </w:r>
          </w:p>
        </w:tc>
      </w:tr>
      <w:tr w:rsidR="00FD1F3C" w:rsidRPr="00BC7AA5" w14:paraId="3844BA61" w14:textId="77777777" w:rsidTr="0040398E">
        <w:tc>
          <w:tcPr>
            <w:tcW w:w="2876" w:type="dxa"/>
            <w:shd w:val="clear" w:color="auto" w:fill="auto"/>
          </w:tcPr>
          <w:p w14:paraId="49A11EFF" w14:textId="5890A186"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0" w:history="1">
              <w:r w:rsidR="00FD1F3C" w:rsidRPr="00BC7AA5">
                <w:rPr>
                  <w:rStyle w:val="Hyperlink"/>
                </w:rPr>
                <w:t>CEDAW/C/SVK/7</w:t>
              </w:r>
            </w:hyperlink>
          </w:p>
        </w:tc>
        <w:tc>
          <w:tcPr>
            <w:tcW w:w="4444" w:type="dxa"/>
            <w:shd w:val="clear" w:color="auto" w:fill="auto"/>
          </w:tcPr>
          <w:p w14:paraId="452F07A2" w14:textId="49F83DF0"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Séptimo informe periódico de Eslovaquia, presentado conforme al procedimiento simplificado</w:t>
            </w:r>
          </w:p>
        </w:tc>
      </w:tr>
      <w:tr w:rsidR="00FD1F3C" w:rsidRPr="00BC7AA5" w14:paraId="18AD6BBE" w14:textId="77777777" w:rsidTr="0040398E">
        <w:tc>
          <w:tcPr>
            <w:tcW w:w="2876" w:type="dxa"/>
            <w:shd w:val="clear" w:color="auto" w:fill="auto"/>
          </w:tcPr>
          <w:p w14:paraId="763C98A8" w14:textId="4D2C2D11"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1" w:history="1">
              <w:r w:rsidR="00FD1F3C" w:rsidRPr="00BC7AA5">
                <w:rPr>
                  <w:rStyle w:val="Hyperlink"/>
                </w:rPr>
                <w:t>CEDAW/C/ESP/9</w:t>
              </w:r>
            </w:hyperlink>
          </w:p>
        </w:tc>
        <w:tc>
          <w:tcPr>
            <w:tcW w:w="4444" w:type="dxa"/>
            <w:shd w:val="clear" w:color="auto" w:fill="auto"/>
          </w:tcPr>
          <w:p w14:paraId="0DB94C36" w14:textId="14B867A0"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España, presentado conforme al procedimiento simplificado</w:t>
            </w:r>
          </w:p>
        </w:tc>
      </w:tr>
      <w:tr w:rsidR="00FD1F3C" w:rsidRPr="00BC7AA5" w14:paraId="6AF745CC" w14:textId="77777777" w:rsidTr="0040398E">
        <w:tc>
          <w:tcPr>
            <w:tcW w:w="2876" w:type="dxa"/>
            <w:shd w:val="clear" w:color="auto" w:fill="auto"/>
          </w:tcPr>
          <w:p w14:paraId="3FAEDDA0" w14:textId="03B42B78"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2" w:history="1">
              <w:r w:rsidR="00FD1F3C" w:rsidRPr="00BC7AA5">
                <w:rPr>
                  <w:rStyle w:val="Hyperlink"/>
                </w:rPr>
                <w:t>CEDAW/C/ISL/9</w:t>
              </w:r>
            </w:hyperlink>
          </w:p>
        </w:tc>
        <w:tc>
          <w:tcPr>
            <w:tcW w:w="4444" w:type="dxa"/>
            <w:shd w:val="clear" w:color="auto" w:fill="auto"/>
          </w:tcPr>
          <w:p w14:paraId="32791A6B" w14:textId="5ECB104B"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 xml:space="preserve">Noveno informe periódico de Islandia </w:t>
            </w:r>
          </w:p>
        </w:tc>
      </w:tr>
      <w:tr w:rsidR="00FD1F3C" w:rsidRPr="00BC7AA5" w14:paraId="70E29AAC" w14:textId="77777777" w:rsidTr="0040398E">
        <w:tc>
          <w:tcPr>
            <w:tcW w:w="2876" w:type="dxa"/>
            <w:shd w:val="clear" w:color="auto" w:fill="auto"/>
          </w:tcPr>
          <w:p w14:paraId="2B3D9587" w14:textId="05890D06"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3" w:history="1">
              <w:r w:rsidR="00FD1F3C" w:rsidRPr="00BC7AA5">
                <w:rPr>
                  <w:rStyle w:val="Hyperlink"/>
                </w:rPr>
                <w:t>CEDAW/C/STP/1-5</w:t>
              </w:r>
            </w:hyperlink>
          </w:p>
        </w:tc>
        <w:tc>
          <w:tcPr>
            <w:tcW w:w="4444" w:type="dxa"/>
            <w:shd w:val="clear" w:color="auto" w:fill="auto"/>
          </w:tcPr>
          <w:p w14:paraId="749E1D9A" w14:textId="4F827CC4"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Informe inicial a quinto combinados de Santo Tomé y Príncipe</w:t>
            </w:r>
          </w:p>
        </w:tc>
      </w:tr>
      <w:tr w:rsidR="00FD1F3C" w:rsidRPr="00BC7AA5" w14:paraId="14C841A1" w14:textId="77777777" w:rsidTr="001E6632">
        <w:tc>
          <w:tcPr>
            <w:tcW w:w="2876" w:type="dxa"/>
            <w:shd w:val="clear" w:color="auto" w:fill="auto"/>
          </w:tcPr>
          <w:p w14:paraId="485E1E88" w14:textId="2E2EC6A3"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4" w:history="1">
              <w:r w:rsidR="00FD1F3C" w:rsidRPr="00BC7AA5">
                <w:rPr>
                  <w:rStyle w:val="Hyperlink"/>
                </w:rPr>
                <w:t>CEDAW/C/TLS/4</w:t>
              </w:r>
            </w:hyperlink>
          </w:p>
        </w:tc>
        <w:tc>
          <w:tcPr>
            <w:tcW w:w="4444" w:type="dxa"/>
            <w:shd w:val="clear" w:color="auto" w:fill="auto"/>
          </w:tcPr>
          <w:p w14:paraId="5DC6200C" w14:textId="1B2D1697"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Cuarto informe periódico de Timor-Leste</w:t>
            </w:r>
          </w:p>
        </w:tc>
      </w:tr>
      <w:tr w:rsidR="00FD1F3C" w:rsidRPr="00BC7AA5" w14:paraId="3DCB7848" w14:textId="77777777" w:rsidTr="001E6632">
        <w:tc>
          <w:tcPr>
            <w:tcW w:w="2876" w:type="dxa"/>
            <w:tcBorders>
              <w:bottom w:val="single" w:sz="12" w:space="0" w:color="auto"/>
            </w:tcBorders>
            <w:shd w:val="clear" w:color="auto" w:fill="auto"/>
          </w:tcPr>
          <w:p w14:paraId="179E74EE" w14:textId="00DDDBDF" w:rsidR="00FD1F3C" w:rsidRPr="00BC7AA5" w:rsidRDefault="00901BF9"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55" w:history="1">
              <w:r w:rsidR="00FD1F3C" w:rsidRPr="00BC7AA5">
                <w:rPr>
                  <w:rStyle w:val="Hyperlink"/>
                </w:rPr>
                <w:t>CEDAW/C/VEN/9</w:t>
              </w:r>
            </w:hyperlink>
          </w:p>
        </w:tc>
        <w:tc>
          <w:tcPr>
            <w:tcW w:w="4444" w:type="dxa"/>
            <w:tcBorders>
              <w:bottom w:val="single" w:sz="12" w:space="0" w:color="auto"/>
            </w:tcBorders>
            <w:shd w:val="clear" w:color="auto" w:fill="auto"/>
          </w:tcPr>
          <w:p w14:paraId="34F889CE" w14:textId="37A82A94" w:rsidR="00FD1F3C" w:rsidRPr="00BC7AA5" w:rsidRDefault="00FD1F3C" w:rsidP="00FD1F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C7AA5">
              <w:t>Noveno informe periódico de la República Bolivariana de Venezuela</w:t>
            </w:r>
          </w:p>
        </w:tc>
      </w:tr>
    </w:tbl>
    <w:p w14:paraId="35D35089" w14:textId="77777777" w:rsidR="0040398E" w:rsidRPr="00BC7AA5" w:rsidRDefault="0040398E" w:rsidP="00265313">
      <w:pPr>
        <w:pStyle w:val="SingleTxt"/>
        <w:rPr>
          <w:lang w:val="es-419"/>
        </w:rPr>
      </w:pPr>
    </w:p>
    <w:p w14:paraId="744EF45E" w14:textId="77777777" w:rsidR="00954421" w:rsidRPr="00BC7AA5" w:rsidRDefault="00954421" w:rsidP="00265313">
      <w:pPr>
        <w:pStyle w:val="SingleTxt"/>
        <w:rPr>
          <w:lang w:val="es-419"/>
        </w:rPr>
        <w:sectPr w:rsidR="00954421" w:rsidRPr="00BC7AA5" w:rsidSect="001C2FAD">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04E2EA12" w14:textId="77777777"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Segunda Parte</w:t>
      </w:r>
    </w:p>
    <w:p w14:paraId="103A6F5C" w14:textId="77777777"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BC7AA5">
        <w:tab/>
      </w:r>
      <w:r w:rsidRPr="00BC7AA5">
        <w:tab/>
        <w:t>Informe del Comité para la Eliminación de la Discriminación contra la Mujer en su 86º período de sesiones</w:t>
      </w:r>
    </w:p>
    <w:p w14:paraId="2CCEE674" w14:textId="77777777" w:rsidR="00EE336E" w:rsidRPr="00BC7AA5" w:rsidRDefault="00EE336E" w:rsidP="00EE336E">
      <w:pPr>
        <w:pStyle w:val="SingleTxt"/>
        <w:spacing w:after="0" w:line="120" w:lineRule="exact"/>
        <w:rPr>
          <w:sz w:val="10"/>
        </w:rPr>
      </w:pPr>
    </w:p>
    <w:p w14:paraId="698376AC" w14:textId="77777777" w:rsidR="00EE336E" w:rsidRPr="00BC7AA5" w:rsidRDefault="00EE336E" w:rsidP="00EE336E">
      <w:pPr>
        <w:pStyle w:val="SingleTxt"/>
        <w:spacing w:after="0" w:line="120" w:lineRule="exact"/>
        <w:rPr>
          <w:sz w:val="10"/>
        </w:rPr>
      </w:pPr>
    </w:p>
    <w:p w14:paraId="7717178C"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9 a 27 de octubre de 2023</w:t>
      </w:r>
    </w:p>
    <w:p w14:paraId="35AECD9D" w14:textId="77777777" w:rsidR="00EE336E" w:rsidRPr="00BC7AA5" w:rsidRDefault="00EE336E" w:rsidP="00EE336E">
      <w:pPr>
        <w:pStyle w:val="SingleTxt"/>
      </w:pPr>
    </w:p>
    <w:p w14:paraId="0E12DFA6" w14:textId="77777777" w:rsidR="00EE336E" w:rsidRPr="00BC7AA5" w:rsidRDefault="00EE336E" w:rsidP="00EE336E">
      <w:pPr>
        <w:pStyle w:val="SingleTxt"/>
      </w:pPr>
      <w:r w:rsidRPr="00BC7AA5">
        <w:br w:type="page"/>
      </w:r>
    </w:p>
    <w:p w14:paraId="051A8E18" w14:textId="77777777"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w:t>
      </w:r>
    </w:p>
    <w:p w14:paraId="66C9D754" w14:textId="77777777"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Decisiones adoptadas por el Comité </w:t>
      </w:r>
    </w:p>
    <w:p w14:paraId="68569C96" w14:textId="77777777" w:rsidR="00EE336E" w:rsidRPr="00BC7AA5" w:rsidRDefault="00EE336E" w:rsidP="00EE336E">
      <w:pPr>
        <w:pStyle w:val="SingleTxt"/>
        <w:spacing w:after="0" w:line="120" w:lineRule="exact"/>
        <w:rPr>
          <w:sz w:val="10"/>
        </w:rPr>
      </w:pPr>
    </w:p>
    <w:p w14:paraId="713439E5" w14:textId="77777777" w:rsidR="00EE336E" w:rsidRPr="00BC7AA5" w:rsidRDefault="00EE336E" w:rsidP="00EE336E">
      <w:pPr>
        <w:pStyle w:val="SingleTxt"/>
        <w:spacing w:after="0" w:line="120" w:lineRule="exact"/>
        <w:rPr>
          <w:sz w:val="10"/>
        </w:rPr>
      </w:pPr>
    </w:p>
    <w:p w14:paraId="79D2492C"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86/I</w:t>
      </w:r>
    </w:p>
    <w:p w14:paraId="134E1B04" w14:textId="77777777" w:rsidR="00EE336E" w:rsidRPr="00BC7AA5" w:rsidRDefault="00EE336E" w:rsidP="00EE336E">
      <w:pPr>
        <w:pStyle w:val="SingleTxt"/>
        <w:spacing w:after="0" w:line="120" w:lineRule="exact"/>
        <w:rPr>
          <w:sz w:val="10"/>
        </w:rPr>
      </w:pPr>
    </w:p>
    <w:p w14:paraId="366F3003" w14:textId="4B27F8CA" w:rsidR="00EE336E" w:rsidRPr="00BC7AA5" w:rsidRDefault="00EE336E" w:rsidP="00EE336E">
      <w:pPr>
        <w:pStyle w:val="SingleTxt"/>
      </w:pPr>
      <w:r w:rsidRPr="00BC7AA5">
        <w:tab/>
        <w:t xml:space="preserve">El 10 de octubre de 2023, el Comité adoptó una declaración titulada </w:t>
      </w:r>
      <w:r w:rsidR="002B2D9E" w:rsidRPr="00BC7AA5">
        <w:t>“</w:t>
      </w:r>
      <w:r w:rsidRPr="00BC7AA5">
        <w:t>Salvaguardar la vida, la salud y el futuro de las niñas reduciendo al mínimo los embarazos imprevistos y garantizando el acceso a abortos en condiciones de seguridad</w:t>
      </w:r>
      <w:r w:rsidR="002B2D9E" w:rsidRPr="00BC7AA5">
        <w:t>”</w:t>
      </w:r>
      <w:r w:rsidRPr="00BC7AA5">
        <w:t>, que hizo pública el Día Internacional de la Niña, el 11 de octubre</w:t>
      </w:r>
      <w:r w:rsidRPr="00BC7AA5">
        <w:rPr>
          <w:vertAlign w:val="superscript"/>
        </w:rPr>
        <w:footnoteReference w:id="4"/>
      </w:r>
      <w:r w:rsidRPr="00BC7AA5">
        <w:t>.</w:t>
      </w:r>
    </w:p>
    <w:p w14:paraId="6291A879" w14:textId="77777777" w:rsidR="00EE336E" w:rsidRPr="00BC7AA5" w:rsidRDefault="00EE336E" w:rsidP="00EE336E">
      <w:pPr>
        <w:pStyle w:val="SingleTxt"/>
        <w:spacing w:after="0" w:line="120" w:lineRule="exact"/>
        <w:rPr>
          <w:sz w:val="10"/>
        </w:rPr>
      </w:pPr>
    </w:p>
    <w:p w14:paraId="08F90B71"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86/II</w:t>
      </w:r>
    </w:p>
    <w:p w14:paraId="5538AD97" w14:textId="77777777" w:rsidR="00EE336E" w:rsidRPr="00BC7AA5" w:rsidRDefault="00EE336E" w:rsidP="00EE336E">
      <w:pPr>
        <w:pStyle w:val="SingleTxt"/>
        <w:spacing w:after="0" w:line="120" w:lineRule="exact"/>
        <w:rPr>
          <w:sz w:val="10"/>
        </w:rPr>
      </w:pPr>
    </w:p>
    <w:p w14:paraId="7A6854E4" w14:textId="327DD3DD" w:rsidR="00EE336E" w:rsidRPr="00BC7AA5" w:rsidRDefault="00EE336E" w:rsidP="00EE336E">
      <w:pPr>
        <w:pStyle w:val="SingleTxt"/>
      </w:pPr>
      <w:r w:rsidRPr="00BC7AA5">
        <w:tab/>
        <w:t xml:space="preserve">El 25 de octubre, el Comité emitió una declaración titulada </w:t>
      </w:r>
      <w:r w:rsidR="002B2D9E" w:rsidRPr="00BC7AA5">
        <w:t>“</w:t>
      </w:r>
      <w:r w:rsidRPr="00BC7AA5">
        <w:t>El Comité de Derechos de la Mujer de las Naciones Unidas deplora la retirada de la Embajadora de Nicaragua del examen público</w:t>
      </w:r>
      <w:r w:rsidR="002B2D9E" w:rsidRPr="00BC7AA5">
        <w:t>”</w:t>
      </w:r>
      <w:r w:rsidRPr="00BC7AA5">
        <w:rPr>
          <w:vertAlign w:val="superscript"/>
        </w:rPr>
        <w:footnoteReference w:id="5"/>
      </w:r>
      <w:r w:rsidRPr="00BC7AA5">
        <w:t>.</w:t>
      </w:r>
    </w:p>
    <w:p w14:paraId="0F8DA345" w14:textId="77777777" w:rsidR="00EE336E" w:rsidRPr="00BC7AA5" w:rsidRDefault="00EE336E" w:rsidP="00EE336E">
      <w:pPr>
        <w:pStyle w:val="SingleTxt"/>
        <w:spacing w:after="0" w:line="120" w:lineRule="exact"/>
        <w:rPr>
          <w:sz w:val="10"/>
        </w:rPr>
      </w:pPr>
    </w:p>
    <w:p w14:paraId="47BD4C08"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86/III</w:t>
      </w:r>
    </w:p>
    <w:p w14:paraId="441AB110" w14:textId="77777777" w:rsidR="00EE336E" w:rsidRPr="00BC7AA5" w:rsidRDefault="00EE336E" w:rsidP="00EE336E">
      <w:pPr>
        <w:pStyle w:val="SingleTxt"/>
        <w:spacing w:after="0" w:line="120" w:lineRule="exact"/>
        <w:rPr>
          <w:sz w:val="10"/>
        </w:rPr>
      </w:pPr>
    </w:p>
    <w:p w14:paraId="4F078AB4" w14:textId="0EAACB97" w:rsidR="00EE336E" w:rsidRPr="00BC7AA5" w:rsidRDefault="00EE336E" w:rsidP="00EE336E">
      <w:pPr>
        <w:pStyle w:val="SingleTxt"/>
      </w:pPr>
      <w:r w:rsidRPr="00BC7AA5">
        <w:tab/>
        <w:t xml:space="preserve">El 27 de octubre, el Comité aprobó una declaración titulada </w:t>
      </w:r>
      <w:r w:rsidR="002B2D9E" w:rsidRPr="00BC7AA5">
        <w:t>“</w:t>
      </w:r>
      <w:r w:rsidRPr="00BC7AA5">
        <w:t>La causa de la paz es la causa de las mujeres</w:t>
      </w:r>
      <w:r w:rsidR="002B2D9E" w:rsidRPr="00BC7AA5">
        <w:t>”</w:t>
      </w:r>
      <w:r w:rsidRPr="00BC7AA5">
        <w:rPr>
          <w:vertAlign w:val="superscript"/>
        </w:rPr>
        <w:footnoteReference w:id="6"/>
      </w:r>
      <w:r w:rsidR="009C5ABC">
        <w:t>.</w:t>
      </w:r>
    </w:p>
    <w:p w14:paraId="6F60F7B3" w14:textId="77777777" w:rsidR="00EE336E" w:rsidRPr="00BC7AA5" w:rsidRDefault="00EE336E" w:rsidP="00EE336E">
      <w:pPr>
        <w:pStyle w:val="SingleTxt"/>
        <w:spacing w:after="0" w:line="120" w:lineRule="exact"/>
        <w:rPr>
          <w:sz w:val="10"/>
        </w:rPr>
      </w:pPr>
    </w:p>
    <w:p w14:paraId="760B85D6"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86/IV</w:t>
      </w:r>
    </w:p>
    <w:p w14:paraId="331A4DAA" w14:textId="77777777" w:rsidR="00EE336E" w:rsidRPr="00BC7AA5" w:rsidRDefault="00EE336E" w:rsidP="00EE336E">
      <w:pPr>
        <w:pStyle w:val="SingleTxt"/>
        <w:spacing w:after="0" w:line="120" w:lineRule="exact"/>
        <w:rPr>
          <w:sz w:val="10"/>
        </w:rPr>
      </w:pPr>
    </w:p>
    <w:p w14:paraId="13225464" w14:textId="77777777" w:rsidR="00EE336E" w:rsidRPr="00BC7AA5" w:rsidRDefault="00EE336E" w:rsidP="00EE336E">
      <w:pPr>
        <w:pStyle w:val="SingleTxt"/>
      </w:pPr>
      <w:r w:rsidRPr="00BC7AA5">
        <w:tab/>
        <w:t xml:space="preserve"> El Comité decidió modificar su decisión 50/I relativa al diálogo constructivo reforzado con los Estados partes añadiendo los párrafos siguientes:</w:t>
      </w:r>
    </w:p>
    <w:p w14:paraId="270C4DCE" w14:textId="00F12F8A" w:rsidR="00EE336E" w:rsidRPr="00BC7AA5" w:rsidRDefault="00EE336E" w:rsidP="00EE336E">
      <w:pPr>
        <w:pStyle w:val="SingleTxt"/>
        <w:ind w:left="1742" w:hanging="475"/>
      </w:pPr>
      <w:r w:rsidRPr="00BC7AA5">
        <w:tab/>
        <w:t>9.</w:t>
      </w:r>
      <w:r w:rsidRPr="00BC7AA5">
        <w:tab/>
        <w:t>Antes del diálogo constructivo, el Comité programará en un futuro cercano una reunión de coordinación del equipo de tareas en el país para determinar los temas generales que se plantearán durante el diálogo, que se enviará al Estado parte.</w:t>
      </w:r>
    </w:p>
    <w:p w14:paraId="1E11AAA2" w14:textId="49512B62" w:rsidR="00EE336E" w:rsidRPr="00BC7AA5" w:rsidRDefault="00EE336E" w:rsidP="00EE336E">
      <w:pPr>
        <w:pStyle w:val="SingleTxt"/>
        <w:ind w:left="1742" w:hanging="475"/>
      </w:pPr>
      <w:r w:rsidRPr="00BC7AA5">
        <w:tab/>
        <w:t>10.</w:t>
      </w:r>
      <w:r w:rsidR="009C5ABC">
        <w:tab/>
      </w:r>
      <w:r w:rsidRPr="00BC7AA5">
        <w:t>En la sesión privada que se celebrará inmediatamente después del diálogo constructivo, el relator para el país deberá destacar las principales cuestiones debatidas e identificar los temas que se tratarán en las observaciones finales.</w:t>
      </w:r>
    </w:p>
    <w:p w14:paraId="26CBD7AE" w14:textId="77777777" w:rsidR="00EE336E" w:rsidRPr="00BC7AA5" w:rsidRDefault="00EE336E" w:rsidP="00EE336E">
      <w:pPr>
        <w:pStyle w:val="SingleTxt"/>
        <w:spacing w:after="0" w:line="120" w:lineRule="exact"/>
        <w:rPr>
          <w:sz w:val="10"/>
        </w:rPr>
      </w:pPr>
    </w:p>
    <w:p w14:paraId="751DE4FB"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86/V</w:t>
      </w:r>
    </w:p>
    <w:p w14:paraId="16E668EC" w14:textId="77777777" w:rsidR="00EE336E" w:rsidRPr="00BC7AA5" w:rsidRDefault="00EE336E" w:rsidP="00EE336E">
      <w:pPr>
        <w:pStyle w:val="SingleTxt"/>
        <w:spacing w:after="0" w:line="120" w:lineRule="exact"/>
        <w:rPr>
          <w:sz w:val="10"/>
        </w:rPr>
      </w:pPr>
    </w:p>
    <w:p w14:paraId="2053E367" w14:textId="77777777" w:rsidR="00EE336E" w:rsidRPr="00BC7AA5" w:rsidRDefault="00EE336E" w:rsidP="00EE336E">
      <w:pPr>
        <w:pStyle w:val="SingleTxt"/>
      </w:pPr>
      <w:r w:rsidRPr="00BC7AA5">
        <w:tab/>
        <w:t>Tras realizar una evaluación de su proyecto piloto para estructurar temáticamente los diálogos constructivos con los Estados partes, el Comité decidió mantener la estructura tradicional por grupos de artículos, conservando al mismo tiempo los siguientes elementos del proyecto piloto: a) de ser posible, adjuntar un cuadro sobre la aplicación de los artículos a la nota informativa del relator para el país; b) evitar superposiciones organizando los temas en las listas de preguntas sobre los artículos que se plantearán durante el diálogo; y c) reducir el número de preguntas que deben formularse centrándose en cuestiones específicas de cada país, omitiendo artículos que no sea necesario tratar y solicitando que los datos estadísticos se faciliten por escrito.</w:t>
      </w:r>
    </w:p>
    <w:p w14:paraId="4D47ACB3" w14:textId="77777777" w:rsidR="00EE336E" w:rsidRPr="00BC7AA5" w:rsidRDefault="00EE336E" w:rsidP="00EE336E">
      <w:pPr>
        <w:pStyle w:val="SingleTxt"/>
        <w:spacing w:after="0" w:line="120" w:lineRule="exact"/>
        <w:rPr>
          <w:sz w:val="10"/>
        </w:rPr>
      </w:pPr>
    </w:p>
    <w:p w14:paraId="7BB63F7E" w14:textId="77777777" w:rsidR="00EE336E" w:rsidRPr="00BC7AA5" w:rsidRDefault="00EE336E">
      <w:pPr>
        <w:suppressAutoHyphens w:val="0"/>
        <w:spacing w:after="160" w:line="259" w:lineRule="auto"/>
        <w:rPr>
          <w:b/>
          <w:spacing w:val="2"/>
          <w:kern w:val="14"/>
        </w:rPr>
      </w:pPr>
      <w:r w:rsidRPr="00BC7AA5">
        <w:br w:type="page"/>
      </w:r>
    </w:p>
    <w:p w14:paraId="51B93767" w14:textId="5765E95B"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86/VI</w:t>
      </w:r>
    </w:p>
    <w:p w14:paraId="498F453B" w14:textId="77777777" w:rsidR="00EE336E" w:rsidRPr="00BC7AA5" w:rsidRDefault="00EE336E" w:rsidP="00EE336E">
      <w:pPr>
        <w:pStyle w:val="SingleTxt"/>
        <w:spacing w:after="0" w:line="120" w:lineRule="exact"/>
        <w:rPr>
          <w:sz w:val="10"/>
        </w:rPr>
      </w:pPr>
    </w:p>
    <w:p w14:paraId="185FC7F8" w14:textId="77777777" w:rsidR="00EE336E" w:rsidRPr="00BC7AA5" w:rsidRDefault="00EE336E" w:rsidP="00EE336E">
      <w:pPr>
        <w:pStyle w:val="SingleTxt"/>
      </w:pPr>
      <w:r w:rsidRPr="00BC7AA5">
        <w:tab/>
        <w:t>El Comité decidió modificar su reglamento interno para insertar el siguiente nuevo artículo 53 3):</w:t>
      </w:r>
    </w:p>
    <w:p w14:paraId="2D873F46" w14:textId="74E9DFB2" w:rsidR="00EE336E" w:rsidRPr="00BC7AA5" w:rsidRDefault="00EE336E" w:rsidP="00EE336E">
      <w:pPr>
        <w:pStyle w:val="SingleTxt"/>
        <w:ind w:left="1742" w:hanging="475"/>
      </w:pPr>
      <w:r w:rsidRPr="00BC7AA5">
        <w:tab/>
      </w:r>
      <w:r w:rsidR="002B2D9E" w:rsidRPr="00BC7AA5">
        <w:t>“</w:t>
      </w:r>
      <w:r w:rsidRPr="00B212E1">
        <w:rPr>
          <w:spacing w:val="6"/>
        </w:rPr>
        <w:t>Cuando un Estado Parte haya presentado un informe con arreglo al artículo 18 1) b)</w:t>
      </w:r>
      <w:r w:rsidRPr="00BC7AA5">
        <w:t xml:space="preserve"> de la Convención pero no haya enviado a un representante para que asista a la reunión en la que se le ha notificado que se examinará su informe y el Comité ha decidido, de conformidad con el artículo 51 5) del presente reglamento, proceder al examen del informe en ausencia del representante del Estado parte, el Comité podrá, a su discreción, presentar al Estado parte sus observaciones finales con carácter provisional e indicar un plazo dentro del cual el Estado parte podrá presentar observaciones sobre estas</w:t>
      </w:r>
      <w:r w:rsidR="002B2D9E" w:rsidRPr="00BC7AA5">
        <w:t>”</w:t>
      </w:r>
      <w:r w:rsidRPr="00BC7AA5">
        <w:t>.</w:t>
      </w:r>
    </w:p>
    <w:p w14:paraId="4F47CB2E" w14:textId="77777777" w:rsidR="00EE336E" w:rsidRPr="00BC7AA5" w:rsidRDefault="00EE336E" w:rsidP="00EE336E">
      <w:pPr>
        <w:pStyle w:val="SingleTxt"/>
        <w:spacing w:after="0" w:line="120" w:lineRule="exact"/>
        <w:rPr>
          <w:sz w:val="10"/>
        </w:rPr>
      </w:pPr>
    </w:p>
    <w:p w14:paraId="38933387" w14:textId="4FDC3E1D"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86/VII</w:t>
      </w:r>
    </w:p>
    <w:p w14:paraId="022C8662" w14:textId="77777777" w:rsidR="00EE336E" w:rsidRPr="00BC7AA5" w:rsidRDefault="00EE336E" w:rsidP="00EE336E">
      <w:pPr>
        <w:pStyle w:val="SingleTxt"/>
        <w:spacing w:after="0" w:line="120" w:lineRule="exact"/>
        <w:rPr>
          <w:sz w:val="10"/>
        </w:rPr>
      </w:pPr>
    </w:p>
    <w:p w14:paraId="012C03E5" w14:textId="77777777" w:rsidR="00EE336E" w:rsidRPr="00BC7AA5" w:rsidRDefault="00EE336E" w:rsidP="00EE336E">
      <w:pPr>
        <w:pStyle w:val="SingleTxt"/>
      </w:pPr>
      <w:r w:rsidRPr="00BC7AA5">
        <w:tab/>
        <w:t>De conformidad con el artículo 18 1) b) de la Convención y la decisión 21/I, el Comité decidió solicitar al Gobierno de la República Democrática del Congo que presentara, en el plazo de seis meses, un informe de carácter excepcional sobre la violencia sexual contra las mujeres y las niñas relacionada con el conflicto en sus provincias orientales.</w:t>
      </w:r>
    </w:p>
    <w:p w14:paraId="109E14B4" w14:textId="77777777" w:rsidR="00EE336E" w:rsidRPr="00BC7AA5" w:rsidRDefault="00EE336E" w:rsidP="00EE336E">
      <w:pPr>
        <w:pStyle w:val="SingleTxt"/>
        <w:spacing w:after="0" w:line="120" w:lineRule="exact"/>
        <w:rPr>
          <w:sz w:val="10"/>
        </w:rPr>
      </w:pPr>
    </w:p>
    <w:p w14:paraId="1B8D03D2"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86/VIII</w:t>
      </w:r>
    </w:p>
    <w:p w14:paraId="0BD84C1E" w14:textId="77777777" w:rsidR="00EE336E" w:rsidRPr="00BC7AA5" w:rsidRDefault="00EE336E" w:rsidP="00EE336E">
      <w:pPr>
        <w:pStyle w:val="SingleTxt"/>
        <w:spacing w:after="0" w:line="120" w:lineRule="exact"/>
        <w:rPr>
          <w:sz w:val="10"/>
        </w:rPr>
      </w:pPr>
    </w:p>
    <w:p w14:paraId="03ECC2C4" w14:textId="77777777" w:rsidR="00EE336E" w:rsidRPr="00BC7AA5" w:rsidRDefault="00EE336E" w:rsidP="00EE336E">
      <w:pPr>
        <w:pStyle w:val="SingleTxt"/>
      </w:pPr>
      <w:r w:rsidRPr="00BC7AA5">
        <w:tab/>
        <w:t>El Comité confirmó a los miembros del grupo de trabajo anterior al 88º período de sesiones: Brenda Akia, Yamila González Ferrer, Nahla Haidar, Marianne Mikko y Natasha Stott Despoja.</w:t>
      </w:r>
    </w:p>
    <w:p w14:paraId="2CF87E98" w14:textId="77777777" w:rsidR="00EE336E" w:rsidRPr="00BC7AA5" w:rsidRDefault="00EE336E" w:rsidP="00EE336E">
      <w:pPr>
        <w:pStyle w:val="SingleTxt"/>
      </w:pPr>
      <w:r w:rsidRPr="00BC7AA5">
        <w:br w:type="page"/>
      </w:r>
    </w:p>
    <w:p w14:paraId="541D5932" w14:textId="77777777"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w:t>
      </w:r>
    </w:p>
    <w:p w14:paraId="04F3B40D" w14:textId="584A2AA5" w:rsidR="00EE336E" w:rsidRPr="00BC7AA5" w:rsidRDefault="00EE336E" w:rsidP="00EE33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Cuestiones de organización y otros asuntos</w:t>
      </w:r>
    </w:p>
    <w:p w14:paraId="144F04E2" w14:textId="77777777" w:rsidR="00EE336E" w:rsidRPr="00BC7AA5" w:rsidRDefault="00EE336E" w:rsidP="00EE336E">
      <w:pPr>
        <w:pStyle w:val="SingleTxt"/>
        <w:spacing w:after="0" w:line="120" w:lineRule="exact"/>
        <w:rPr>
          <w:sz w:val="10"/>
        </w:rPr>
      </w:pPr>
    </w:p>
    <w:p w14:paraId="796D7FEA" w14:textId="77777777" w:rsidR="00EE336E" w:rsidRPr="00BC7AA5" w:rsidRDefault="00EE336E" w:rsidP="00EE336E">
      <w:pPr>
        <w:pStyle w:val="SingleTxt"/>
        <w:spacing w:after="0" w:line="120" w:lineRule="exact"/>
        <w:rPr>
          <w:sz w:val="10"/>
        </w:rPr>
      </w:pPr>
    </w:p>
    <w:p w14:paraId="27F0D7AE"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Estados partes en la Convención y en el Protocolo Facultativo</w:t>
      </w:r>
    </w:p>
    <w:p w14:paraId="5D8F0833" w14:textId="77777777" w:rsidR="00EE336E" w:rsidRPr="00BC7AA5" w:rsidRDefault="00EE336E" w:rsidP="00EE336E">
      <w:pPr>
        <w:pStyle w:val="SingleTxt"/>
        <w:spacing w:after="0" w:line="120" w:lineRule="exact"/>
        <w:rPr>
          <w:sz w:val="10"/>
        </w:rPr>
      </w:pPr>
    </w:p>
    <w:p w14:paraId="29A553A1" w14:textId="77777777" w:rsidR="00EE336E" w:rsidRPr="00BC7AA5" w:rsidRDefault="00EE336E" w:rsidP="00EE336E">
      <w:pPr>
        <w:pStyle w:val="SingleTxt"/>
        <w:spacing w:after="0" w:line="120" w:lineRule="exact"/>
        <w:rPr>
          <w:sz w:val="10"/>
        </w:rPr>
      </w:pPr>
    </w:p>
    <w:p w14:paraId="03534BDE" w14:textId="77777777" w:rsidR="00EE336E" w:rsidRPr="00BC7AA5" w:rsidRDefault="00EE336E" w:rsidP="00EE336E">
      <w:pPr>
        <w:pStyle w:val="SingleTxt"/>
      </w:pPr>
      <w:r w:rsidRPr="00BC7AA5">
        <w:t>1.</w:t>
      </w:r>
      <w:r w:rsidRPr="00BC7AA5">
        <w:tab/>
        <w:t>Al 27 de octubre de 2023, fecha de clausura del 86º período de sesiones del Comité, el estado de ratificación de la Convención era de 189 Estados partes y el número de Estados partes que habían aceptado la enmienda al artículo 20 1) de la Convención, relativo al tiempo asignado a las reuniones del Comité, era de 81, cifras idénticas a las registradas el 26 de mayo, fecha de clausura del 85º período de sesiones.</w:t>
      </w:r>
    </w:p>
    <w:p w14:paraId="2D922C43" w14:textId="49FA2C09" w:rsidR="00EE336E" w:rsidRPr="00BC7AA5" w:rsidRDefault="00EE336E" w:rsidP="00EE336E">
      <w:pPr>
        <w:pStyle w:val="SingleTxt"/>
      </w:pPr>
      <w:r w:rsidRPr="00BC7AA5">
        <w:t>2.</w:t>
      </w:r>
      <w:r w:rsidRPr="00BC7AA5">
        <w:tab/>
        <w:t>El estado de ratificación del Protocolo Facultativo de la Convención era de 115</w:t>
      </w:r>
      <w:r w:rsidR="00DA4642">
        <w:t> </w:t>
      </w:r>
      <w:r w:rsidRPr="00BC7AA5">
        <w:t xml:space="preserve">Estados partes, cifra idéntica a la registrada el 26 de mayo, fecha de clausura del 85º período de sesiones. </w:t>
      </w:r>
    </w:p>
    <w:p w14:paraId="5BB8CB0D" w14:textId="77777777" w:rsidR="00EE336E" w:rsidRPr="00BC7AA5" w:rsidRDefault="00EE336E" w:rsidP="00EE336E">
      <w:pPr>
        <w:pStyle w:val="SingleTxt"/>
        <w:spacing w:after="0" w:line="120" w:lineRule="exact"/>
        <w:rPr>
          <w:sz w:val="10"/>
        </w:rPr>
      </w:pPr>
    </w:p>
    <w:p w14:paraId="7689982F" w14:textId="77777777" w:rsidR="00EE336E" w:rsidRPr="00BC7AA5" w:rsidRDefault="00EE336E" w:rsidP="00EE336E">
      <w:pPr>
        <w:pStyle w:val="SingleTxt"/>
        <w:spacing w:after="0" w:line="120" w:lineRule="exact"/>
        <w:rPr>
          <w:sz w:val="10"/>
        </w:rPr>
      </w:pPr>
    </w:p>
    <w:p w14:paraId="09B25A20"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 xml:space="preserve">Apertura del período de sesiones </w:t>
      </w:r>
    </w:p>
    <w:p w14:paraId="1A382FC1" w14:textId="77777777" w:rsidR="00EE336E" w:rsidRPr="00BC7AA5" w:rsidRDefault="00EE336E" w:rsidP="00EE336E">
      <w:pPr>
        <w:pStyle w:val="SingleTxt"/>
        <w:spacing w:after="0" w:line="120" w:lineRule="exact"/>
        <w:rPr>
          <w:sz w:val="10"/>
        </w:rPr>
      </w:pPr>
    </w:p>
    <w:p w14:paraId="21A2B2B3" w14:textId="77777777" w:rsidR="00EE336E" w:rsidRPr="00BC7AA5" w:rsidRDefault="00EE336E" w:rsidP="00EE336E">
      <w:pPr>
        <w:pStyle w:val="SingleTxt"/>
        <w:spacing w:after="0" w:line="120" w:lineRule="exact"/>
        <w:rPr>
          <w:sz w:val="10"/>
        </w:rPr>
      </w:pPr>
    </w:p>
    <w:p w14:paraId="4BA5DA41" w14:textId="77777777" w:rsidR="00EE336E" w:rsidRPr="00BC7AA5" w:rsidRDefault="00EE336E" w:rsidP="00EE336E">
      <w:pPr>
        <w:pStyle w:val="SingleTxt"/>
      </w:pPr>
      <w:r w:rsidRPr="00BC7AA5">
        <w:t>3.</w:t>
      </w:r>
      <w:r w:rsidRPr="00BC7AA5">
        <w:tab/>
        <w:t xml:space="preserve">El 86º período de sesiones del Comité se celebró en la Oficina de las Naciones Unidas en Ginebra, del 9 al 27 de octubre de 2023. El Comité celebró 21 sesiones plenarias y 9 sesiones para examinar los temas 5 a 8 del programa. En el anexo de la primera parte del presente informe figura una lista de los documentos que el Comité tuvo ante sí. </w:t>
      </w:r>
    </w:p>
    <w:p w14:paraId="34B2DD89" w14:textId="77777777" w:rsidR="00EE336E" w:rsidRPr="00BC7AA5" w:rsidRDefault="00EE336E" w:rsidP="00EE336E">
      <w:pPr>
        <w:pStyle w:val="SingleTxt"/>
      </w:pPr>
      <w:r w:rsidRPr="00BC7AA5">
        <w:t>4.</w:t>
      </w:r>
      <w:r w:rsidRPr="00BC7AA5">
        <w:tab/>
        <w:t>En la 1999</w:t>
      </w:r>
      <w:r w:rsidRPr="00BC7AA5">
        <w:rPr>
          <w:vertAlign w:val="superscript"/>
        </w:rPr>
        <w:t>a</w:t>
      </w:r>
      <w:r w:rsidRPr="00BC7AA5">
        <w:t xml:space="preserve"> sesión, celebrada el 9 de octubre, la Presidenta inauguró el período de sesiones.</w:t>
      </w:r>
    </w:p>
    <w:p w14:paraId="4CE99627" w14:textId="77777777" w:rsidR="00EE336E" w:rsidRPr="00BC7AA5" w:rsidRDefault="00EE336E" w:rsidP="00EE336E">
      <w:pPr>
        <w:pStyle w:val="SingleTxt"/>
        <w:spacing w:after="0" w:line="120" w:lineRule="exact"/>
        <w:rPr>
          <w:sz w:val="10"/>
        </w:rPr>
      </w:pPr>
    </w:p>
    <w:p w14:paraId="1A9249E2" w14:textId="77777777" w:rsidR="00EE336E" w:rsidRPr="00BC7AA5" w:rsidRDefault="00EE336E" w:rsidP="00EE336E">
      <w:pPr>
        <w:pStyle w:val="SingleTxt"/>
        <w:spacing w:after="0" w:line="120" w:lineRule="exact"/>
        <w:rPr>
          <w:sz w:val="10"/>
        </w:rPr>
      </w:pPr>
    </w:p>
    <w:p w14:paraId="798DC134"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Aprobación del programa</w:t>
      </w:r>
    </w:p>
    <w:p w14:paraId="4E39E94B" w14:textId="77777777" w:rsidR="00EE336E" w:rsidRPr="00BC7AA5" w:rsidRDefault="00EE336E" w:rsidP="00EE336E">
      <w:pPr>
        <w:pStyle w:val="SingleTxt"/>
        <w:spacing w:after="0" w:line="120" w:lineRule="exact"/>
        <w:rPr>
          <w:sz w:val="10"/>
        </w:rPr>
      </w:pPr>
    </w:p>
    <w:p w14:paraId="2C7AD0E8" w14:textId="77777777" w:rsidR="00EE336E" w:rsidRPr="00BC7AA5" w:rsidRDefault="00EE336E" w:rsidP="00EE336E">
      <w:pPr>
        <w:pStyle w:val="SingleTxt"/>
        <w:spacing w:after="0" w:line="120" w:lineRule="exact"/>
        <w:rPr>
          <w:sz w:val="10"/>
        </w:rPr>
      </w:pPr>
    </w:p>
    <w:p w14:paraId="07F6FDD8" w14:textId="30E9A972" w:rsidR="00EE336E" w:rsidRPr="00BC7AA5" w:rsidRDefault="00EE336E" w:rsidP="00EE336E">
      <w:pPr>
        <w:pStyle w:val="SingleTxt"/>
      </w:pPr>
      <w:r w:rsidRPr="00BC7AA5">
        <w:t>5.</w:t>
      </w:r>
      <w:r w:rsidRPr="00BC7AA5">
        <w:tab/>
        <w:t>El Comité aprobó el programa provisional (</w:t>
      </w:r>
      <w:hyperlink r:id="rId56" w:history="1">
        <w:r w:rsidRPr="00BC7AA5">
          <w:rPr>
            <w:rStyle w:val="Hyperlink"/>
          </w:rPr>
          <w:t>CEDAW/C/86/1</w:t>
        </w:r>
      </w:hyperlink>
      <w:r w:rsidRPr="00BC7AA5">
        <w:t>) en su 1999</w:t>
      </w:r>
      <w:r w:rsidRPr="00BC7AA5">
        <w:rPr>
          <w:vertAlign w:val="superscript"/>
        </w:rPr>
        <w:t>a</w:t>
      </w:r>
      <w:r w:rsidRPr="00BC7AA5">
        <w:t xml:space="preserve"> sesión, celebrada el 9 de octubre. </w:t>
      </w:r>
    </w:p>
    <w:p w14:paraId="2974F135" w14:textId="77777777" w:rsidR="00EE336E" w:rsidRPr="00BC7AA5" w:rsidRDefault="00EE336E" w:rsidP="00EE336E">
      <w:pPr>
        <w:pStyle w:val="SingleTxt"/>
        <w:spacing w:after="0" w:line="120" w:lineRule="exact"/>
        <w:rPr>
          <w:sz w:val="10"/>
        </w:rPr>
      </w:pPr>
    </w:p>
    <w:p w14:paraId="79BB61AF" w14:textId="77777777" w:rsidR="00EE336E" w:rsidRPr="00BC7AA5" w:rsidRDefault="00EE336E" w:rsidP="00EE336E">
      <w:pPr>
        <w:pStyle w:val="SingleTxt"/>
        <w:spacing w:after="0" w:line="120" w:lineRule="exact"/>
        <w:rPr>
          <w:sz w:val="10"/>
        </w:rPr>
      </w:pPr>
    </w:p>
    <w:p w14:paraId="34BE7919"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D.</w:t>
      </w:r>
      <w:r w:rsidRPr="00BC7AA5">
        <w:tab/>
        <w:t xml:space="preserve">Informe del grupo de trabajo anterior al período de sesiones </w:t>
      </w:r>
    </w:p>
    <w:p w14:paraId="0A3877F8" w14:textId="77777777" w:rsidR="00EE336E" w:rsidRPr="00BC7AA5" w:rsidRDefault="00EE336E" w:rsidP="00EE336E">
      <w:pPr>
        <w:pStyle w:val="SingleTxt"/>
        <w:spacing w:after="0" w:line="120" w:lineRule="exact"/>
        <w:rPr>
          <w:sz w:val="10"/>
        </w:rPr>
      </w:pPr>
    </w:p>
    <w:p w14:paraId="5085767B" w14:textId="77777777" w:rsidR="00EE336E" w:rsidRPr="00BC7AA5" w:rsidRDefault="00EE336E" w:rsidP="00EE336E">
      <w:pPr>
        <w:pStyle w:val="SingleTxt"/>
        <w:spacing w:after="0" w:line="120" w:lineRule="exact"/>
        <w:rPr>
          <w:sz w:val="10"/>
        </w:rPr>
      </w:pPr>
    </w:p>
    <w:p w14:paraId="65800534" w14:textId="6720EDFB" w:rsidR="00EE336E" w:rsidRPr="00BC7AA5" w:rsidRDefault="00EE336E" w:rsidP="00EE336E">
      <w:pPr>
        <w:pStyle w:val="SingleTxt"/>
      </w:pPr>
      <w:r w:rsidRPr="00BC7AA5">
        <w:t>6.</w:t>
      </w:r>
      <w:r w:rsidRPr="00BC7AA5">
        <w:tab/>
        <w:t>El informe del grupo de trabajo anterior al período de sesiones (</w:t>
      </w:r>
      <w:hyperlink r:id="rId57" w:history="1">
        <w:r w:rsidRPr="00BC7AA5">
          <w:rPr>
            <w:rStyle w:val="Hyperlink"/>
          </w:rPr>
          <w:t>CEDAW/C/PSWG/86/1</w:t>
        </w:r>
      </w:hyperlink>
      <w:r w:rsidRPr="00BC7AA5">
        <w:t xml:space="preserve">), que se había reunido del 27 de febrero al 3 de marzo, fue presentado por Leticia Bonifaz Alfonzo en la 1999ª sesión, que tuvo lugar el 9 de octubre. </w:t>
      </w:r>
    </w:p>
    <w:p w14:paraId="7B5495CC" w14:textId="77777777" w:rsidR="00EE336E" w:rsidRPr="00BC7AA5" w:rsidRDefault="00EE336E" w:rsidP="00EE336E">
      <w:pPr>
        <w:pStyle w:val="SingleTxt"/>
        <w:spacing w:after="0" w:line="120" w:lineRule="exact"/>
        <w:rPr>
          <w:sz w:val="10"/>
        </w:rPr>
      </w:pPr>
    </w:p>
    <w:p w14:paraId="06DAAABB" w14:textId="77777777" w:rsidR="00EE336E" w:rsidRPr="00BC7AA5" w:rsidRDefault="00EE336E" w:rsidP="00EE336E">
      <w:pPr>
        <w:pStyle w:val="SingleTxt"/>
        <w:spacing w:after="0" w:line="120" w:lineRule="exact"/>
        <w:rPr>
          <w:sz w:val="10"/>
        </w:rPr>
      </w:pPr>
    </w:p>
    <w:p w14:paraId="614E150D"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E.</w:t>
      </w:r>
      <w:r w:rsidRPr="00BC7AA5">
        <w:tab/>
        <w:t xml:space="preserve">Organización de los trabajos </w:t>
      </w:r>
    </w:p>
    <w:p w14:paraId="0B8A76DB" w14:textId="77777777" w:rsidR="00EE336E" w:rsidRPr="00BC7AA5" w:rsidRDefault="00EE336E" w:rsidP="00EE336E">
      <w:pPr>
        <w:pStyle w:val="SingleTxt"/>
        <w:spacing w:after="0" w:line="120" w:lineRule="exact"/>
        <w:rPr>
          <w:sz w:val="10"/>
        </w:rPr>
      </w:pPr>
    </w:p>
    <w:p w14:paraId="45129AC4" w14:textId="77777777" w:rsidR="00EE336E" w:rsidRPr="00BC7AA5" w:rsidRDefault="00EE336E" w:rsidP="00EE336E">
      <w:pPr>
        <w:pStyle w:val="SingleTxt"/>
        <w:spacing w:after="0" w:line="120" w:lineRule="exact"/>
        <w:rPr>
          <w:sz w:val="10"/>
        </w:rPr>
      </w:pPr>
    </w:p>
    <w:p w14:paraId="10F32D62" w14:textId="77777777" w:rsidR="00EE336E" w:rsidRPr="00BC7AA5" w:rsidRDefault="00EE336E" w:rsidP="00EE336E">
      <w:pPr>
        <w:pStyle w:val="SingleTxt"/>
      </w:pPr>
      <w:r w:rsidRPr="00BC7AA5">
        <w:t>7.</w:t>
      </w:r>
      <w:r w:rsidRPr="00BC7AA5">
        <w:tab/>
        <w:t>Los días 9 y 16 de octubre, el Comité celebró sesiones privadas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w:t>
      </w:r>
    </w:p>
    <w:p w14:paraId="5C20B88E" w14:textId="77777777" w:rsidR="00EE336E" w:rsidRPr="00BC7AA5" w:rsidRDefault="00EE336E" w:rsidP="00EE336E">
      <w:pPr>
        <w:pStyle w:val="SingleTxt"/>
      </w:pPr>
      <w:r w:rsidRPr="00BC7AA5">
        <w:t>8.</w:t>
      </w:r>
      <w:r w:rsidRPr="00BC7AA5">
        <w:tab/>
        <w:t>Además, el Comité celebró sesiones públicas oficiosas con representantes de organizaciones no gubernamentales e instituciones nacionales de derechos humanos, que informaron sobre la aplicación de la Convención en los Estados partes cuyos informes estaba examinando el Comité en su 86º período de sesiones.</w:t>
      </w:r>
    </w:p>
    <w:p w14:paraId="7946FC37" w14:textId="77777777" w:rsidR="00FD3B87" w:rsidRDefault="00FD3B87">
      <w:pPr>
        <w:suppressAutoHyphens w:val="0"/>
        <w:spacing w:after="160" w:line="259" w:lineRule="auto"/>
        <w:rPr>
          <w:kern w:val="14"/>
        </w:rPr>
      </w:pPr>
      <w:r>
        <w:br w:type="page"/>
      </w:r>
    </w:p>
    <w:p w14:paraId="6E550303" w14:textId="08ECA372" w:rsidR="00EE336E" w:rsidRPr="00BC7AA5" w:rsidRDefault="00EE336E" w:rsidP="00EE336E">
      <w:pPr>
        <w:pStyle w:val="SingleTxt"/>
      </w:pPr>
      <w:r w:rsidRPr="00BC7AA5">
        <w:t>9.</w:t>
      </w:r>
      <w:r w:rsidRPr="00BC7AA5">
        <w:tab/>
        <w:t>El 11 de octubre, el Comité celebró una sesión privada con el Grupo de Trabajo sobre la cuestión de la discriminación contra las mujeres y las niñas para discutir las prioridades comunes y la futura armonización de los trabajos y la cooperación entre ambos órganos.</w:t>
      </w:r>
    </w:p>
    <w:p w14:paraId="4E618BB7" w14:textId="77777777" w:rsidR="00EE336E" w:rsidRPr="00BC7AA5" w:rsidRDefault="00EE336E" w:rsidP="00EE336E">
      <w:pPr>
        <w:pStyle w:val="SingleTxt"/>
      </w:pPr>
      <w:r w:rsidRPr="00BC7AA5">
        <w:t>10.</w:t>
      </w:r>
      <w:r w:rsidRPr="00BC7AA5">
        <w:tab/>
        <w:t>El 16 de octubre, el Comité celebró una sesión privada oficiosa con el Experto Independiente sobre la protección contra la violencia y la discriminación por motivos de orientación sexual o identidad de género, Víctor Madrigal-Borloz, quien informó al Comité sobre su trabajo al final de su mandato.</w:t>
      </w:r>
    </w:p>
    <w:p w14:paraId="0F39CE9D" w14:textId="77777777" w:rsidR="00EE336E" w:rsidRPr="00BC7AA5" w:rsidRDefault="00EE336E" w:rsidP="00EE336E">
      <w:pPr>
        <w:pStyle w:val="SingleTxt"/>
      </w:pPr>
      <w:r w:rsidRPr="00BC7AA5">
        <w:t>11.</w:t>
      </w:r>
      <w:r w:rsidRPr="00BC7AA5">
        <w:tab/>
        <w:t>También el 16 de octubre, el Comité se reunió de manera oficiosa con Sven Pfeiffer, Oficial de Prevención del Delito y Justicia Penal, de la División de Tratados de la Oficina de las Naciones Unidas contra la Droga y el Delito (UNODC), quien informó al Comité sobre un documento de referencia de la UNODC acerca de los comités nacionales de examen del femicidio.</w:t>
      </w:r>
    </w:p>
    <w:p w14:paraId="37B81C6D" w14:textId="77777777" w:rsidR="00EE336E" w:rsidRPr="00BC7AA5" w:rsidRDefault="00EE336E" w:rsidP="00EE336E">
      <w:pPr>
        <w:pStyle w:val="SingleTxt"/>
      </w:pPr>
      <w:r w:rsidRPr="00BC7AA5">
        <w:t>12.</w:t>
      </w:r>
      <w:r w:rsidRPr="00BC7AA5">
        <w:tab/>
        <w:t>El 26 de octubre, el Comité celebró una sesión privada oficiosa a distancia con la Representante Especial del Secretario General sobre la Violencia Sexual en los Conflictos, Pramila Patten, quien informó al Comité de los resultados de su reciente visita a un país.</w:t>
      </w:r>
    </w:p>
    <w:p w14:paraId="2D274EB3" w14:textId="77777777" w:rsidR="00EE336E" w:rsidRPr="00BC7AA5" w:rsidRDefault="00EE336E" w:rsidP="00EE336E">
      <w:pPr>
        <w:pStyle w:val="SingleTxt"/>
        <w:spacing w:after="0" w:line="120" w:lineRule="exact"/>
        <w:rPr>
          <w:sz w:val="10"/>
        </w:rPr>
      </w:pPr>
    </w:p>
    <w:p w14:paraId="70E15131" w14:textId="77777777" w:rsidR="00EE336E" w:rsidRPr="00BC7AA5" w:rsidRDefault="00EE336E" w:rsidP="00EE336E">
      <w:pPr>
        <w:pStyle w:val="SingleTxt"/>
        <w:spacing w:after="0" w:line="120" w:lineRule="exact"/>
        <w:rPr>
          <w:sz w:val="10"/>
        </w:rPr>
      </w:pPr>
    </w:p>
    <w:p w14:paraId="060AB667" w14:textId="77777777" w:rsidR="00EE336E" w:rsidRPr="00BC7AA5" w:rsidRDefault="00EE336E" w:rsidP="00EE33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F.</w:t>
      </w:r>
      <w:r w:rsidRPr="00BC7AA5">
        <w:tab/>
        <w:t xml:space="preserve">Composición del Comité </w:t>
      </w:r>
    </w:p>
    <w:p w14:paraId="64044251" w14:textId="77777777" w:rsidR="00EE336E" w:rsidRPr="00BC7AA5" w:rsidRDefault="00EE336E" w:rsidP="00EE336E">
      <w:pPr>
        <w:pStyle w:val="SingleTxt"/>
        <w:spacing w:after="0" w:line="120" w:lineRule="exact"/>
        <w:rPr>
          <w:sz w:val="10"/>
        </w:rPr>
      </w:pPr>
    </w:p>
    <w:p w14:paraId="2AA916C4" w14:textId="77777777" w:rsidR="00EE336E" w:rsidRPr="00BC7AA5" w:rsidRDefault="00EE336E" w:rsidP="00EE336E">
      <w:pPr>
        <w:pStyle w:val="SingleTxt"/>
        <w:spacing w:after="0" w:line="120" w:lineRule="exact"/>
        <w:rPr>
          <w:sz w:val="10"/>
        </w:rPr>
      </w:pPr>
    </w:p>
    <w:p w14:paraId="14296D9A" w14:textId="77777777" w:rsidR="00EE336E" w:rsidRPr="00BC7AA5" w:rsidRDefault="00EE336E" w:rsidP="00EE33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Participación en el 86º período de sesiones</w:t>
      </w:r>
    </w:p>
    <w:p w14:paraId="145E5BEE" w14:textId="77777777" w:rsidR="00EE336E" w:rsidRPr="00BC7AA5" w:rsidRDefault="00EE336E" w:rsidP="00EE336E">
      <w:pPr>
        <w:pStyle w:val="SingleTxt"/>
        <w:spacing w:after="0" w:line="120" w:lineRule="exact"/>
        <w:rPr>
          <w:sz w:val="10"/>
        </w:rPr>
      </w:pPr>
    </w:p>
    <w:p w14:paraId="02F968AB" w14:textId="1D784284" w:rsidR="00EE336E" w:rsidRPr="00BC7AA5" w:rsidRDefault="00EE336E" w:rsidP="00EE336E">
      <w:pPr>
        <w:pStyle w:val="SingleTxt"/>
      </w:pPr>
      <w:r w:rsidRPr="00BC7AA5">
        <w:t>13.</w:t>
      </w:r>
      <w:r w:rsidRPr="00BC7AA5">
        <w:tab/>
        <w:t>Todos los miembros participaron en el 86º período de sesiones. L</w:t>
      </w:r>
      <w:r w:rsidR="0091314C">
        <w:t>o</w:t>
      </w:r>
      <w:r w:rsidRPr="00BC7AA5">
        <w:t>s siguientes miembros no asistieron en las fechas indicadas: Daphna Hacker, los días 9 y 27 de octubre; y Natasha Stott Despoja, del 9 al 13 de octubre. En el anexo II de la tercera parte del presente informe figura una lista de los miembros del Comité, en la que se indica la duración del mandato de cada uno.</w:t>
      </w:r>
    </w:p>
    <w:p w14:paraId="35312C3B" w14:textId="77777777" w:rsidR="00EE336E" w:rsidRPr="00BC7AA5" w:rsidRDefault="00EE336E" w:rsidP="00EE336E">
      <w:pPr>
        <w:pStyle w:val="SingleTxt"/>
      </w:pPr>
      <w:r w:rsidRPr="00BC7AA5">
        <w:br w:type="page"/>
      </w:r>
    </w:p>
    <w:p w14:paraId="3A7AB18C" w14:textId="77777777" w:rsidR="00EE336E" w:rsidRPr="00BC7AA5" w:rsidRDefault="00EE336E" w:rsidP="008554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III</w:t>
      </w:r>
    </w:p>
    <w:p w14:paraId="0FFA17BC" w14:textId="77777777" w:rsidR="00EE336E" w:rsidRPr="00BC7AA5" w:rsidRDefault="00EE336E" w:rsidP="008554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Informe de la Presidencia sobre las actividades realizadas entre períodos de sesiones</w:t>
      </w:r>
    </w:p>
    <w:p w14:paraId="086D52E7" w14:textId="77777777" w:rsidR="00EE336E" w:rsidRPr="00BC7AA5" w:rsidRDefault="00EE336E" w:rsidP="008554D3">
      <w:pPr>
        <w:pStyle w:val="SingleTxt"/>
        <w:spacing w:after="0" w:line="120" w:lineRule="exact"/>
        <w:rPr>
          <w:sz w:val="10"/>
        </w:rPr>
      </w:pPr>
    </w:p>
    <w:p w14:paraId="56850055" w14:textId="77777777" w:rsidR="008554D3" w:rsidRPr="00BC7AA5" w:rsidRDefault="008554D3" w:rsidP="008554D3">
      <w:pPr>
        <w:pStyle w:val="SingleTxt"/>
        <w:spacing w:after="0" w:line="120" w:lineRule="exact"/>
        <w:rPr>
          <w:sz w:val="10"/>
        </w:rPr>
      </w:pPr>
    </w:p>
    <w:p w14:paraId="04471122" w14:textId="77777777" w:rsidR="00EE336E" w:rsidRPr="00BC7AA5" w:rsidRDefault="00EE336E" w:rsidP="00EE336E">
      <w:pPr>
        <w:pStyle w:val="SingleTxt"/>
      </w:pPr>
      <w:r w:rsidRPr="00BC7AA5">
        <w:t>14.</w:t>
      </w:r>
      <w:r w:rsidRPr="00BC7AA5">
        <w:tab/>
        <w:t>En la 1999ª sesión, celebrada el 9 de octubre de 2023, la Presidenta presentó un informe sobre las actividades que había realizado desde el 85º período de sesiones.</w:t>
      </w:r>
    </w:p>
    <w:p w14:paraId="3568F2C2" w14:textId="77777777" w:rsidR="00EE336E" w:rsidRPr="00BC7AA5" w:rsidRDefault="00EE336E" w:rsidP="00EE336E">
      <w:pPr>
        <w:pStyle w:val="SingleTxt"/>
      </w:pPr>
      <w:r w:rsidRPr="00BC7AA5">
        <w:br w:type="page"/>
      </w:r>
    </w:p>
    <w:p w14:paraId="1635D92A" w14:textId="77777777" w:rsidR="00EE336E" w:rsidRPr="00BC7AA5" w:rsidRDefault="00EE336E" w:rsidP="008554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IV</w:t>
      </w:r>
    </w:p>
    <w:p w14:paraId="2AD8EE2F" w14:textId="2253E4CE" w:rsidR="00EE336E" w:rsidRPr="00BC7AA5" w:rsidRDefault="008554D3" w:rsidP="008554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 xml:space="preserve">Examen de los informes presentados por los Estados partes en virtud </w:t>
      </w:r>
      <w:r w:rsidRPr="00BC7AA5">
        <w:t>del</w:t>
      </w:r>
      <w:r w:rsidR="00EE336E" w:rsidRPr="00BC7AA5">
        <w:t xml:space="preserve"> artículo 18 de la Convención </w:t>
      </w:r>
    </w:p>
    <w:p w14:paraId="5F365751" w14:textId="77777777" w:rsidR="00EE336E" w:rsidRPr="00BC7AA5" w:rsidRDefault="00EE336E" w:rsidP="008554D3">
      <w:pPr>
        <w:pStyle w:val="SingleTxt"/>
        <w:spacing w:after="0" w:line="120" w:lineRule="exact"/>
        <w:rPr>
          <w:sz w:val="10"/>
        </w:rPr>
      </w:pPr>
    </w:p>
    <w:p w14:paraId="75E10226" w14:textId="77777777" w:rsidR="008554D3" w:rsidRPr="00BC7AA5" w:rsidRDefault="008554D3" w:rsidP="008554D3">
      <w:pPr>
        <w:pStyle w:val="SingleTxt"/>
        <w:spacing w:after="0" w:line="120" w:lineRule="exact"/>
        <w:rPr>
          <w:sz w:val="10"/>
        </w:rPr>
      </w:pPr>
    </w:p>
    <w:p w14:paraId="7202D5D9" w14:textId="77777777" w:rsidR="00EE336E" w:rsidRPr="00BC7AA5" w:rsidRDefault="00EE336E" w:rsidP="00EE336E">
      <w:pPr>
        <w:pStyle w:val="SingleTxt"/>
      </w:pPr>
      <w:r w:rsidRPr="00BC7AA5">
        <w:t>15.</w:t>
      </w:r>
      <w:r w:rsidRPr="00BC7AA5">
        <w:tab/>
        <w:t xml:space="preserve">El Comité examinó los informes de nueve Estados partes presentados con arreglo al artículo 18 de la Convención y preparó las siguientes observaciones finales al respecto, así como las observaciones finales con carácter provisional sobre Nicaragua: </w:t>
      </w:r>
    </w:p>
    <w:p w14:paraId="71D2C86F" w14:textId="77777777" w:rsidR="00EE336E" w:rsidRPr="00BC7AA5" w:rsidRDefault="00EE336E" w:rsidP="008554D3">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8554D3" w:rsidRPr="00BC7AA5" w14:paraId="741E2816" w14:textId="77777777" w:rsidTr="00517422">
        <w:tc>
          <w:tcPr>
            <w:tcW w:w="3663" w:type="dxa"/>
            <w:shd w:val="clear" w:color="auto" w:fill="auto"/>
          </w:tcPr>
          <w:p w14:paraId="2604A29B" w14:textId="77777777" w:rsidR="008554D3" w:rsidRPr="00BC7AA5" w:rsidRDefault="008554D3" w:rsidP="008554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Albania</w:t>
            </w:r>
          </w:p>
        </w:tc>
        <w:tc>
          <w:tcPr>
            <w:tcW w:w="3663" w:type="dxa"/>
            <w:shd w:val="clear" w:color="auto" w:fill="auto"/>
          </w:tcPr>
          <w:p w14:paraId="1ADEE5AF" w14:textId="183B8130" w:rsidR="008554D3" w:rsidRPr="00BC7AA5" w:rsidRDefault="008554D3" w:rsidP="008554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58" w:history="1">
              <w:r w:rsidRPr="00BC7AA5">
                <w:rPr>
                  <w:rStyle w:val="Hyperlink"/>
                </w:rPr>
                <w:t>CEDAW/C/ALB/CO/5</w:t>
              </w:r>
            </w:hyperlink>
            <w:r w:rsidRPr="00BC7AA5">
              <w:t>)</w:t>
            </w:r>
          </w:p>
        </w:tc>
      </w:tr>
      <w:tr w:rsidR="008554D3" w:rsidRPr="00BC7AA5" w14:paraId="3CE6F506" w14:textId="77777777" w:rsidTr="00517422">
        <w:tc>
          <w:tcPr>
            <w:tcW w:w="3663" w:type="dxa"/>
            <w:shd w:val="clear" w:color="auto" w:fill="auto"/>
          </w:tcPr>
          <w:p w14:paraId="43F4D911" w14:textId="77777777" w:rsidR="008554D3" w:rsidRPr="00BC7AA5" w:rsidRDefault="008554D3" w:rsidP="008554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Bhután</w:t>
            </w:r>
          </w:p>
        </w:tc>
        <w:tc>
          <w:tcPr>
            <w:tcW w:w="3663" w:type="dxa"/>
            <w:shd w:val="clear" w:color="auto" w:fill="auto"/>
          </w:tcPr>
          <w:p w14:paraId="23382B6F" w14:textId="18794838" w:rsidR="008554D3" w:rsidRPr="00BC7AA5" w:rsidRDefault="008554D3" w:rsidP="008554D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59" w:history="1">
              <w:r w:rsidRPr="00BC7AA5">
                <w:rPr>
                  <w:rStyle w:val="Hyperlink"/>
                </w:rPr>
                <w:t>CEDAW/C/BTN/CO/10</w:t>
              </w:r>
            </w:hyperlink>
            <w:r w:rsidRPr="00BC7AA5">
              <w:t>)</w:t>
            </w:r>
          </w:p>
        </w:tc>
      </w:tr>
      <w:tr w:rsidR="00E34241" w:rsidRPr="00BC7AA5" w14:paraId="5EF3E1DC" w14:textId="77777777" w:rsidTr="00517422">
        <w:tc>
          <w:tcPr>
            <w:tcW w:w="3663" w:type="dxa"/>
            <w:shd w:val="clear" w:color="auto" w:fill="auto"/>
          </w:tcPr>
          <w:p w14:paraId="761141F8" w14:textId="7E0D79C6"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Filipinas</w:t>
            </w:r>
          </w:p>
        </w:tc>
        <w:tc>
          <w:tcPr>
            <w:tcW w:w="3663" w:type="dxa"/>
            <w:shd w:val="clear" w:color="auto" w:fill="auto"/>
          </w:tcPr>
          <w:p w14:paraId="0F1CCD12" w14:textId="0D1427CB"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0" w:history="1">
              <w:r w:rsidRPr="00BC7AA5">
                <w:rPr>
                  <w:rStyle w:val="Hyperlink"/>
                </w:rPr>
                <w:t>CEDAW/C/PHL/CO/9</w:t>
              </w:r>
            </w:hyperlink>
            <w:r w:rsidRPr="00BC7AA5">
              <w:t>)</w:t>
            </w:r>
          </w:p>
        </w:tc>
      </w:tr>
      <w:tr w:rsidR="00E34241" w:rsidRPr="00BC7AA5" w14:paraId="60CC1C37" w14:textId="77777777" w:rsidTr="00517422">
        <w:tc>
          <w:tcPr>
            <w:tcW w:w="3663" w:type="dxa"/>
            <w:shd w:val="clear" w:color="auto" w:fill="auto"/>
          </w:tcPr>
          <w:p w14:paraId="0352CDC3"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Francia</w:t>
            </w:r>
          </w:p>
        </w:tc>
        <w:tc>
          <w:tcPr>
            <w:tcW w:w="3663" w:type="dxa"/>
            <w:shd w:val="clear" w:color="auto" w:fill="auto"/>
          </w:tcPr>
          <w:p w14:paraId="1AAC5881" w14:textId="1D36D28E"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1" w:history="1">
              <w:r w:rsidRPr="00BC7AA5">
                <w:rPr>
                  <w:rStyle w:val="Hyperlink"/>
                </w:rPr>
                <w:t>CEDAW/C/FRA/CO/9</w:t>
              </w:r>
            </w:hyperlink>
            <w:r w:rsidRPr="00BC7AA5">
              <w:t>)</w:t>
            </w:r>
          </w:p>
        </w:tc>
      </w:tr>
      <w:tr w:rsidR="00E34241" w:rsidRPr="00BC7AA5" w14:paraId="7F77BD29" w14:textId="77777777" w:rsidTr="00517422">
        <w:tc>
          <w:tcPr>
            <w:tcW w:w="3663" w:type="dxa"/>
            <w:shd w:val="clear" w:color="auto" w:fill="auto"/>
          </w:tcPr>
          <w:p w14:paraId="1163422D"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Guatemala</w:t>
            </w:r>
          </w:p>
        </w:tc>
        <w:tc>
          <w:tcPr>
            <w:tcW w:w="3663" w:type="dxa"/>
            <w:shd w:val="clear" w:color="auto" w:fill="auto"/>
          </w:tcPr>
          <w:p w14:paraId="27EE63CF" w14:textId="1D085716"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2" w:history="1">
              <w:r w:rsidRPr="00BC7AA5">
                <w:rPr>
                  <w:rStyle w:val="Hyperlink"/>
                </w:rPr>
                <w:t>CEDAW/C/GTM/CO/10</w:t>
              </w:r>
            </w:hyperlink>
            <w:r w:rsidRPr="00BC7AA5">
              <w:t>)</w:t>
            </w:r>
          </w:p>
        </w:tc>
      </w:tr>
      <w:tr w:rsidR="00E34241" w:rsidRPr="00BC7AA5" w14:paraId="0E07F639" w14:textId="77777777" w:rsidTr="00517422">
        <w:tc>
          <w:tcPr>
            <w:tcW w:w="3663" w:type="dxa"/>
            <w:shd w:val="clear" w:color="auto" w:fill="auto"/>
          </w:tcPr>
          <w:p w14:paraId="2FA0BA3E"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Jamaica</w:t>
            </w:r>
          </w:p>
        </w:tc>
        <w:tc>
          <w:tcPr>
            <w:tcW w:w="3663" w:type="dxa"/>
            <w:shd w:val="clear" w:color="auto" w:fill="auto"/>
          </w:tcPr>
          <w:p w14:paraId="4415A92D" w14:textId="2C4AC25F"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3" w:history="1">
              <w:r w:rsidRPr="00BC7AA5">
                <w:rPr>
                  <w:rStyle w:val="Hyperlink"/>
                </w:rPr>
                <w:t>CEDAW/C/JAM/CO/8</w:t>
              </w:r>
            </w:hyperlink>
            <w:r w:rsidRPr="00BC7AA5">
              <w:t>)</w:t>
            </w:r>
          </w:p>
        </w:tc>
      </w:tr>
      <w:tr w:rsidR="00E34241" w:rsidRPr="00BC7AA5" w14:paraId="15F98AAF" w14:textId="77777777" w:rsidTr="00517422">
        <w:tc>
          <w:tcPr>
            <w:tcW w:w="3663" w:type="dxa"/>
            <w:shd w:val="clear" w:color="auto" w:fill="auto"/>
          </w:tcPr>
          <w:p w14:paraId="627D9823"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Malawi</w:t>
            </w:r>
          </w:p>
        </w:tc>
        <w:tc>
          <w:tcPr>
            <w:tcW w:w="3663" w:type="dxa"/>
            <w:shd w:val="clear" w:color="auto" w:fill="auto"/>
          </w:tcPr>
          <w:p w14:paraId="07424FBC" w14:textId="2CA37B14"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4" w:history="1">
              <w:r w:rsidRPr="00BC7AA5">
                <w:rPr>
                  <w:rStyle w:val="Hyperlink"/>
                </w:rPr>
                <w:t>CEDAW/C/MWI/CO/8</w:t>
              </w:r>
            </w:hyperlink>
            <w:r w:rsidRPr="00BC7AA5">
              <w:t>)</w:t>
            </w:r>
          </w:p>
        </w:tc>
      </w:tr>
      <w:tr w:rsidR="00E34241" w:rsidRPr="00BC7AA5" w14:paraId="1BB7F392" w14:textId="77777777" w:rsidTr="00517422">
        <w:tc>
          <w:tcPr>
            <w:tcW w:w="3663" w:type="dxa"/>
            <w:shd w:val="clear" w:color="auto" w:fill="auto"/>
          </w:tcPr>
          <w:p w14:paraId="214A1592"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Nicaragua</w:t>
            </w:r>
          </w:p>
        </w:tc>
        <w:tc>
          <w:tcPr>
            <w:tcW w:w="3663" w:type="dxa"/>
            <w:shd w:val="clear" w:color="auto" w:fill="auto"/>
          </w:tcPr>
          <w:p w14:paraId="322A4C25" w14:textId="4C41D058"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5" w:history="1">
              <w:r w:rsidRPr="00BC7AA5">
                <w:rPr>
                  <w:rStyle w:val="Hyperlink"/>
                </w:rPr>
                <w:t>CEDAW/C/NIC/PCO/7-10</w:t>
              </w:r>
            </w:hyperlink>
            <w:r w:rsidRPr="00BC7AA5">
              <w:t>)</w:t>
            </w:r>
          </w:p>
        </w:tc>
      </w:tr>
      <w:tr w:rsidR="00E34241" w:rsidRPr="00BC7AA5" w14:paraId="6547564E" w14:textId="77777777" w:rsidTr="00517422">
        <w:tc>
          <w:tcPr>
            <w:tcW w:w="3663" w:type="dxa"/>
            <w:shd w:val="clear" w:color="auto" w:fill="auto"/>
          </w:tcPr>
          <w:p w14:paraId="1A1D1DC6" w14:textId="77777777"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BC7AA5">
              <w:t>Uruguay</w:t>
            </w:r>
          </w:p>
        </w:tc>
        <w:tc>
          <w:tcPr>
            <w:tcW w:w="3663" w:type="dxa"/>
            <w:shd w:val="clear" w:color="auto" w:fill="auto"/>
          </w:tcPr>
          <w:p w14:paraId="6A0BE46F" w14:textId="7744AB18" w:rsidR="00E34241" w:rsidRPr="00BC7AA5" w:rsidRDefault="00E34241" w:rsidP="00E342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w:t>
            </w:r>
            <w:hyperlink r:id="rId66" w:history="1">
              <w:r w:rsidRPr="00BC7AA5">
                <w:rPr>
                  <w:rStyle w:val="Hyperlink"/>
                </w:rPr>
                <w:t>CEDAW/C/URY/CO/10</w:t>
              </w:r>
            </w:hyperlink>
            <w:r w:rsidRPr="00BC7AA5">
              <w:t>)</w:t>
            </w:r>
          </w:p>
        </w:tc>
      </w:tr>
    </w:tbl>
    <w:p w14:paraId="11396C04" w14:textId="77777777" w:rsidR="00EE336E" w:rsidRPr="00BC7AA5" w:rsidRDefault="00EE336E" w:rsidP="008554D3">
      <w:pPr>
        <w:pStyle w:val="SingleTxt"/>
        <w:spacing w:after="0" w:line="120" w:lineRule="exact"/>
        <w:rPr>
          <w:sz w:val="10"/>
        </w:rPr>
      </w:pPr>
    </w:p>
    <w:p w14:paraId="67C59CA1" w14:textId="355BD266" w:rsidR="00EE336E" w:rsidRPr="00BC7AA5" w:rsidRDefault="008554D3" w:rsidP="00855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 xml:space="preserve">Seguimiento de las observaciones finales </w:t>
      </w:r>
    </w:p>
    <w:p w14:paraId="2316C367" w14:textId="77777777" w:rsidR="00EE336E" w:rsidRPr="00BC7AA5" w:rsidRDefault="00EE336E" w:rsidP="008554D3">
      <w:pPr>
        <w:pStyle w:val="SingleTxt"/>
        <w:spacing w:after="0" w:line="120" w:lineRule="exact"/>
        <w:rPr>
          <w:sz w:val="10"/>
        </w:rPr>
      </w:pPr>
    </w:p>
    <w:p w14:paraId="3B530402" w14:textId="77777777" w:rsidR="00EE336E" w:rsidRPr="00BC7AA5" w:rsidRDefault="00EE336E" w:rsidP="00EE336E">
      <w:pPr>
        <w:pStyle w:val="SingleTxt"/>
      </w:pPr>
      <w:r w:rsidRPr="00BC7AA5">
        <w:t>16.</w:t>
      </w:r>
      <w:r w:rsidRPr="00BC7AA5">
        <w:tab/>
        <w:t>El Comité examinó los informes de seguimiento recibidos de los siguientes Estados partes:</w:t>
      </w:r>
    </w:p>
    <w:p w14:paraId="7ACDA667" w14:textId="77777777" w:rsidR="00EE336E" w:rsidRPr="00BC7AA5" w:rsidRDefault="00EE336E" w:rsidP="008554D3">
      <w:pPr>
        <w:pStyle w:val="SingleTxt"/>
        <w:spacing w:after="0" w:line="120" w:lineRule="exact"/>
        <w:rPr>
          <w:sz w:val="10"/>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27"/>
        <w:gridCol w:w="3463"/>
      </w:tblGrid>
      <w:tr w:rsidR="008554D3" w:rsidRPr="00BC7AA5" w14:paraId="643F88C3" w14:textId="77777777" w:rsidTr="008554D3">
        <w:tc>
          <w:tcPr>
            <w:tcW w:w="3627" w:type="dxa"/>
            <w:shd w:val="clear" w:color="auto" w:fill="auto"/>
          </w:tcPr>
          <w:p w14:paraId="7EA978AF" w14:textId="77777777" w:rsidR="008554D3" w:rsidRPr="00BC7AA5" w:rsidRDefault="008554D3" w:rsidP="008554D3">
            <w:pPr>
              <w:tabs>
                <w:tab w:val="left" w:pos="288"/>
                <w:tab w:val="left" w:pos="576"/>
                <w:tab w:val="left" w:pos="864"/>
                <w:tab w:val="left" w:pos="1152"/>
              </w:tabs>
              <w:spacing w:before="40" w:after="80"/>
              <w:ind w:right="43"/>
              <w:rPr>
                <w:rFonts w:eastAsia="Calibri"/>
              </w:rPr>
            </w:pPr>
            <w:r w:rsidRPr="00BC7AA5">
              <w:t>Kirguistán</w:t>
            </w:r>
          </w:p>
        </w:tc>
        <w:tc>
          <w:tcPr>
            <w:tcW w:w="3463" w:type="dxa"/>
            <w:shd w:val="clear" w:color="auto" w:fill="auto"/>
          </w:tcPr>
          <w:p w14:paraId="4687D692" w14:textId="4F2AD5EF" w:rsidR="008554D3" w:rsidRPr="00BC7AA5" w:rsidRDefault="008554D3" w:rsidP="008554D3">
            <w:pPr>
              <w:tabs>
                <w:tab w:val="left" w:pos="288"/>
                <w:tab w:val="left" w:pos="576"/>
                <w:tab w:val="left" w:pos="864"/>
                <w:tab w:val="left" w:pos="1152"/>
              </w:tabs>
              <w:spacing w:before="40" w:after="80"/>
              <w:ind w:right="43"/>
              <w:rPr>
                <w:rFonts w:eastAsia="Calibri"/>
              </w:rPr>
            </w:pPr>
            <w:r w:rsidRPr="00BC7AA5">
              <w:t>(</w:t>
            </w:r>
            <w:hyperlink r:id="rId67" w:history="1">
              <w:r w:rsidRPr="00BC7AA5">
                <w:rPr>
                  <w:rStyle w:val="Hyperlink"/>
                </w:rPr>
                <w:t>CEDAW/C/KGZ/FCO/5</w:t>
              </w:r>
            </w:hyperlink>
            <w:r w:rsidRPr="00BC7AA5">
              <w:t xml:space="preserve">) </w:t>
            </w:r>
          </w:p>
        </w:tc>
      </w:tr>
      <w:tr w:rsidR="008554D3" w:rsidRPr="00BC7AA5" w14:paraId="4A7FCB0E" w14:textId="77777777" w:rsidTr="008554D3">
        <w:tc>
          <w:tcPr>
            <w:tcW w:w="3627" w:type="dxa"/>
            <w:shd w:val="clear" w:color="auto" w:fill="auto"/>
          </w:tcPr>
          <w:p w14:paraId="746E85FD" w14:textId="77777777" w:rsidR="008554D3" w:rsidRPr="00BC7AA5" w:rsidRDefault="008554D3" w:rsidP="008554D3">
            <w:pPr>
              <w:tabs>
                <w:tab w:val="left" w:pos="288"/>
                <w:tab w:val="left" w:pos="576"/>
                <w:tab w:val="left" w:pos="864"/>
                <w:tab w:val="left" w:pos="1152"/>
              </w:tabs>
              <w:spacing w:before="40" w:after="80"/>
              <w:ind w:right="43"/>
              <w:rPr>
                <w:rFonts w:eastAsia="Calibri"/>
              </w:rPr>
            </w:pPr>
            <w:r w:rsidRPr="00BC7AA5">
              <w:t>Pakistán</w:t>
            </w:r>
          </w:p>
        </w:tc>
        <w:tc>
          <w:tcPr>
            <w:tcW w:w="3463" w:type="dxa"/>
            <w:shd w:val="clear" w:color="auto" w:fill="auto"/>
          </w:tcPr>
          <w:p w14:paraId="4F17435B" w14:textId="697658F8" w:rsidR="008554D3" w:rsidRPr="00BC7AA5" w:rsidRDefault="008554D3" w:rsidP="008554D3">
            <w:pPr>
              <w:tabs>
                <w:tab w:val="left" w:pos="288"/>
                <w:tab w:val="left" w:pos="576"/>
                <w:tab w:val="left" w:pos="864"/>
                <w:tab w:val="left" w:pos="1152"/>
              </w:tabs>
              <w:spacing w:before="40" w:after="80"/>
              <w:ind w:right="43"/>
              <w:rPr>
                <w:rFonts w:eastAsia="Calibri"/>
              </w:rPr>
            </w:pPr>
            <w:r w:rsidRPr="00BC7AA5">
              <w:t>(</w:t>
            </w:r>
            <w:hyperlink r:id="rId68" w:history="1">
              <w:r w:rsidRPr="00BC7AA5">
                <w:rPr>
                  <w:rStyle w:val="Hyperlink"/>
                </w:rPr>
                <w:t>CEDAW/C/PAK/FCO/5</w:t>
              </w:r>
            </w:hyperlink>
            <w:r w:rsidRPr="00BC7AA5">
              <w:t xml:space="preserve">) </w:t>
            </w:r>
          </w:p>
        </w:tc>
      </w:tr>
    </w:tbl>
    <w:p w14:paraId="34AD5427" w14:textId="77777777" w:rsidR="00EE336E" w:rsidRPr="00BC7AA5" w:rsidRDefault="00EE336E" w:rsidP="00EE336E">
      <w:pPr>
        <w:pStyle w:val="SingleTxt"/>
      </w:pPr>
    </w:p>
    <w:p w14:paraId="788225AB" w14:textId="77777777" w:rsidR="00EE336E" w:rsidRPr="00BC7AA5" w:rsidRDefault="00EE336E" w:rsidP="00EE336E">
      <w:pPr>
        <w:pStyle w:val="SingleTxt"/>
      </w:pPr>
      <w:r w:rsidRPr="00BC7AA5">
        <w:br w:type="page"/>
      </w:r>
    </w:p>
    <w:p w14:paraId="33EC1898" w14:textId="77777777" w:rsidR="00EE336E" w:rsidRPr="00BC7AA5" w:rsidRDefault="00EE336E" w:rsidP="00B95E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w:t>
      </w:r>
    </w:p>
    <w:p w14:paraId="03784249" w14:textId="41F70501" w:rsidR="00EE336E" w:rsidRPr="00BC7AA5" w:rsidRDefault="00B95E79" w:rsidP="00B95E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Actividades llevadas a cabo en virtud del Protocolo Facultativo</w:t>
      </w:r>
    </w:p>
    <w:p w14:paraId="37938D70" w14:textId="77777777" w:rsidR="00EE336E" w:rsidRPr="00BC7AA5" w:rsidRDefault="00EE336E" w:rsidP="00B95E79">
      <w:pPr>
        <w:pStyle w:val="SingleTxt"/>
        <w:spacing w:after="0" w:line="120" w:lineRule="exact"/>
        <w:rPr>
          <w:sz w:val="10"/>
        </w:rPr>
      </w:pPr>
    </w:p>
    <w:p w14:paraId="1D31ECC9" w14:textId="77777777" w:rsidR="00B95E79" w:rsidRPr="00BC7AA5" w:rsidRDefault="00B95E79" w:rsidP="00B95E79">
      <w:pPr>
        <w:pStyle w:val="SingleTxt"/>
        <w:spacing w:after="0" w:line="120" w:lineRule="exact"/>
        <w:rPr>
          <w:sz w:val="10"/>
        </w:rPr>
      </w:pPr>
    </w:p>
    <w:p w14:paraId="1DD87341" w14:textId="77777777" w:rsidR="00EE336E" w:rsidRPr="00BC7AA5" w:rsidRDefault="00EE336E" w:rsidP="00EE336E">
      <w:pPr>
        <w:pStyle w:val="SingleTxt"/>
      </w:pPr>
      <w:r w:rsidRPr="00BC7AA5">
        <w:t>17.</w:t>
      </w:r>
      <w:r w:rsidRPr="00BC7AA5">
        <w:tab/>
        <w:t>El artículo 12 del Protocolo Facultativo establece que el Comité incluirá en su informe anual un resumen de las actividades llevadas a cabo en virtud del Protocolo Facultativo.</w:t>
      </w:r>
    </w:p>
    <w:p w14:paraId="13CA4CC6" w14:textId="77777777" w:rsidR="00EE336E" w:rsidRPr="00BC7AA5" w:rsidRDefault="00EE336E" w:rsidP="00FC0E38">
      <w:pPr>
        <w:pStyle w:val="SingleTxt"/>
        <w:spacing w:after="0" w:line="120" w:lineRule="exact"/>
        <w:rPr>
          <w:sz w:val="10"/>
        </w:rPr>
      </w:pPr>
    </w:p>
    <w:p w14:paraId="301F53F6" w14:textId="77777777" w:rsidR="00FC0E38" w:rsidRPr="00BC7AA5" w:rsidRDefault="00FC0E38" w:rsidP="00FC0E38">
      <w:pPr>
        <w:pStyle w:val="SingleTxt"/>
        <w:spacing w:after="0" w:line="120" w:lineRule="exact"/>
        <w:rPr>
          <w:sz w:val="10"/>
        </w:rPr>
      </w:pPr>
    </w:p>
    <w:p w14:paraId="5B16BBC1" w14:textId="77777777" w:rsidR="00EE336E" w:rsidRPr="00BC7AA5" w:rsidRDefault="00EE336E" w:rsidP="00FC0E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Medidas adoptadas por el Comité con respecto a las cuestiones previstas en el artículo 2 del Protocolo Facultativo</w:t>
      </w:r>
    </w:p>
    <w:p w14:paraId="122DC404" w14:textId="77777777" w:rsidR="00EE336E" w:rsidRPr="00BC7AA5" w:rsidRDefault="00EE336E" w:rsidP="00FC0E38">
      <w:pPr>
        <w:pStyle w:val="SingleTxt"/>
        <w:spacing w:after="0" w:line="120" w:lineRule="exact"/>
        <w:rPr>
          <w:sz w:val="10"/>
        </w:rPr>
      </w:pPr>
    </w:p>
    <w:p w14:paraId="5A1BBDFB" w14:textId="77777777" w:rsidR="00FC0E38" w:rsidRPr="00BC7AA5" w:rsidRDefault="00FC0E38" w:rsidP="00FC0E38">
      <w:pPr>
        <w:pStyle w:val="SingleTxt"/>
        <w:spacing w:after="0" w:line="120" w:lineRule="exact"/>
        <w:rPr>
          <w:sz w:val="10"/>
        </w:rPr>
      </w:pPr>
    </w:p>
    <w:p w14:paraId="35A4E87A" w14:textId="77777777" w:rsidR="00EE336E" w:rsidRPr="00BC7AA5" w:rsidRDefault="00EE336E" w:rsidP="00EE336E">
      <w:pPr>
        <w:pStyle w:val="SingleTxt"/>
      </w:pPr>
      <w:r w:rsidRPr="00BC7AA5">
        <w:t>18.</w:t>
      </w:r>
      <w:r w:rsidRPr="00BC7AA5">
        <w:tab/>
        <w:t xml:space="preserve">El 24 de octubre de 2023, el Comité examinó las actividades realizadas en virtud del artículo 2 del Protocolo Facultativo. </w:t>
      </w:r>
    </w:p>
    <w:p w14:paraId="12775D20" w14:textId="77777777" w:rsidR="00EE336E" w:rsidRPr="00BC7AA5" w:rsidRDefault="00EE336E" w:rsidP="00EE336E">
      <w:pPr>
        <w:pStyle w:val="SingleTxt"/>
      </w:pPr>
      <w:r w:rsidRPr="00BC7AA5">
        <w:t>19.</w:t>
      </w:r>
      <w:r w:rsidRPr="00BC7AA5">
        <w:tab/>
        <w:t>El Comité hizo suyo el informe del Grupo de Trabajo sobre las Comunicaciones presentadas en virtud del Protocolo Facultativo acerca de su 57º período de sesiones</w:t>
      </w:r>
      <w:r w:rsidRPr="00BC7AA5">
        <w:rPr>
          <w:vertAlign w:val="superscript"/>
        </w:rPr>
        <w:footnoteReference w:id="7"/>
      </w:r>
      <w:r w:rsidRPr="00BC7AA5">
        <w:t>.</w:t>
      </w:r>
    </w:p>
    <w:p w14:paraId="083C5A89" w14:textId="3BD1192C" w:rsidR="00EE336E" w:rsidRPr="00BC7AA5" w:rsidRDefault="00EE336E" w:rsidP="00EE336E">
      <w:pPr>
        <w:pStyle w:val="SingleTxt"/>
      </w:pPr>
      <w:r w:rsidRPr="00BC7AA5">
        <w:t>20.</w:t>
      </w:r>
      <w:r w:rsidRPr="00BC7AA5">
        <w:tab/>
        <w:t xml:space="preserve">El Comité adoptó decisiones finales sobre tres comunicaciones individuales presentadas con arreglo al artículo 2 del Protocolo Facultativo. El Comité declaró la inadmisibilidad en </w:t>
      </w:r>
      <w:r w:rsidRPr="00BC7AA5">
        <w:rPr>
          <w:i/>
          <w:iCs/>
        </w:rPr>
        <w:t>S.I. c. Chequia</w:t>
      </w:r>
      <w:r w:rsidRPr="00BC7AA5">
        <w:t xml:space="preserve"> (</w:t>
      </w:r>
      <w:hyperlink r:id="rId69" w:history="1">
        <w:r w:rsidRPr="00BC7AA5">
          <w:rPr>
            <w:rStyle w:val="Hyperlink"/>
          </w:rPr>
          <w:t>CEDAW/C/86/D/152/2019</w:t>
        </w:r>
      </w:hyperlink>
      <w:r w:rsidRPr="00BC7AA5">
        <w:t xml:space="preserve">). También aprobó un dictamen en el cual se declaraba que se habían cometido violaciones en </w:t>
      </w:r>
      <w:r w:rsidRPr="00BC7AA5">
        <w:rPr>
          <w:i/>
          <w:iCs/>
        </w:rPr>
        <w:t>A.L.P., A.M.E. y F.F.B. c. República de Corea</w:t>
      </w:r>
      <w:r w:rsidRPr="00BC7AA5">
        <w:t xml:space="preserve"> (</w:t>
      </w:r>
      <w:hyperlink r:id="rId70" w:history="1">
        <w:r w:rsidRPr="00BC7AA5">
          <w:rPr>
            <w:rStyle w:val="Hyperlink"/>
          </w:rPr>
          <w:t>CEDAW/C/86/D/139/2018</w:t>
        </w:r>
      </w:hyperlink>
      <w:r w:rsidRPr="00BC7AA5">
        <w:t xml:space="preserve">). Además, decidió suspender el examen de </w:t>
      </w:r>
      <w:r w:rsidRPr="00B212E1">
        <w:rPr>
          <w:i/>
          <w:iCs/>
        </w:rPr>
        <w:t>O.R.D. c. Argentina</w:t>
      </w:r>
      <w:r w:rsidRPr="00BC7AA5">
        <w:t xml:space="preserve"> (</w:t>
      </w:r>
      <w:hyperlink r:id="rId71" w:history="1">
        <w:r w:rsidRPr="00BC7AA5">
          <w:rPr>
            <w:rStyle w:val="Hyperlink"/>
          </w:rPr>
          <w:t>CEDAW/C/86/D/127/2018</w:t>
        </w:r>
      </w:hyperlink>
      <w:r w:rsidRPr="00BC7AA5">
        <w:t xml:space="preserve">). Todas las decisiones finales se adoptaron por consenso. </w:t>
      </w:r>
    </w:p>
    <w:p w14:paraId="0E69FF4E" w14:textId="77777777" w:rsidR="00EE336E" w:rsidRPr="00BC7AA5" w:rsidRDefault="00EE336E" w:rsidP="00FC0E38">
      <w:pPr>
        <w:pStyle w:val="SingleTxt"/>
        <w:spacing w:after="0" w:line="120" w:lineRule="exact"/>
        <w:rPr>
          <w:sz w:val="10"/>
        </w:rPr>
      </w:pPr>
    </w:p>
    <w:p w14:paraId="028B5207" w14:textId="77777777" w:rsidR="00FC0E38" w:rsidRPr="00BC7AA5" w:rsidRDefault="00FC0E38" w:rsidP="00FC0E38">
      <w:pPr>
        <w:pStyle w:val="SingleTxt"/>
        <w:spacing w:after="0" w:line="120" w:lineRule="exact"/>
        <w:rPr>
          <w:sz w:val="10"/>
        </w:rPr>
      </w:pPr>
    </w:p>
    <w:p w14:paraId="687205FD" w14:textId="77777777" w:rsidR="00EE336E" w:rsidRPr="00BC7AA5" w:rsidRDefault="00EE336E" w:rsidP="00FC0E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Seguimiento de los dictámenes del Comité sobre comunicaciones individuales</w:t>
      </w:r>
    </w:p>
    <w:p w14:paraId="795C96B2" w14:textId="77777777" w:rsidR="00EE336E" w:rsidRPr="00BC7AA5" w:rsidRDefault="00EE336E" w:rsidP="00FC0E38">
      <w:pPr>
        <w:pStyle w:val="SingleTxt"/>
        <w:spacing w:after="0" w:line="120" w:lineRule="exact"/>
        <w:rPr>
          <w:sz w:val="10"/>
        </w:rPr>
      </w:pPr>
    </w:p>
    <w:p w14:paraId="787CBB7C" w14:textId="77777777" w:rsidR="00FC0E38" w:rsidRPr="00BC7AA5" w:rsidRDefault="00FC0E38" w:rsidP="00FC0E38">
      <w:pPr>
        <w:pStyle w:val="SingleTxt"/>
        <w:spacing w:after="0" w:line="120" w:lineRule="exact"/>
        <w:rPr>
          <w:sz w:val="10"/>
        </w:rPr>
      </w:pPr>
    </w:p>
    <w:p w14:paraId="67BDD8C7" w14:textId="123A2E60" w:rsidR="00EE336E" w:rsidRPr="00BC7AA5" w:rsidRDefault="00EE336E" w:rsidP="00EE336E">
      <w:pPr>
        <w:pStyle w:val="SingleTxt"/>
      </w:pPr>
      <w:r w:rsidRPr="00BC7AA5">
        <w:t>21.</w:t>
      </w:r>
      <w:r w:rsidRPr="00BC7AA5">
        <w:tab/>
        <w:t xml:space="preserve">Se informó al Comité de que el Grupo de Trabajo había examinado la información sobre el seguimiento de los dictámenes relativos a las comunicaciones individuales y había aprobado su informe sobre el seguimiento de los dictámenes durante su 57º período de sesiones, celebrado del 4 al 6 de octubre de 2023. El Comité hizo suyas las recomendaciones del Grupo de Trabajo de que continuara el diálogo de seguimiento en relación con </w:t>
      </w:r>
      <w:r w:rsidRPr="00BC7AA5">
        <w:rPr>
          <w:i/>
          <w:iCs/>
        </w:rPr>
        <w:t>Trujillo Reyes y Arguello Morales c. México</w:t>
      </w:r>
      <w:r w:rsidRPr="00BC7AA5">
        <w:t xml:space="preserve"> (</w:t>
      </w:r>
      <w:hyperlink r:id="rId72" w:history="1">
        <w:r w:rsidRPr="00BC7AA5">
          <w:rPr>
            <w:rStyle w:val="Hyperlink"/>
          </w:rPr>
          <w:t>CEDAW/C/67/D/75/2014</w:t>
        </w:r>
      </w:hyperlink>
      <w:r w:rsidRPr="00BC7AA5">
        <w:t xml:space="preserve">) y de que se cerrara el diálogo de seguimiento en relación con </w:t>
      </w:r>
      <w:r w:rsidRPr="00BC7AA5">
        <w:rPr>
          <w:i/>
          <w:iCs/>
        </w:rPr>
        <w:t>Medvedeva c. la Federación de Rusia</w:t>
      </w:r>
      <w:r w:rsidRPr="00BC7AA5">
        <w:t xml:space="preserve"> (</w:t>
      </w:r>
      <w:hyperlink r:id="rId73" w:history="1">
        <w:r w:rsidRPr="00BC7AA5">
          <w:rPr>
            <w:rStyle w:val="Hyperlink"/>
          </w:rPr>
          <w:t>CEDAW/C/63/D/60/2013</w:t>
        </w:r>
      </w:hyperlink>
      <w:r w:rsidRPr="00BC7AA5">
        <w:t xml:space="preserve">), a la luz de la inacción de la autora y su abogado. También hizo suyas las recomendaciones del Grupo de Trabajo de institucionalizar la práctica de plantear el seguimiento de los dictámenes del Comité sobre denuncias individuales durante el examen por el Comité de los informes periódicos de los respectivos Estados Partes. Asimismo, solicitó a la secretaría que organizara una reunión con la Misión Permanente de la República Unida de Tanzanía ante la Oficina de las Naciones Unidas y otras organizaciones internacionales en Ginebra para examinar el seguimiento del dictamen del Comité en </w:t>
      </w:r>
      <w:r w:rsidRPr="00B212E1">
        <w:rPr>
          <w:spacing w:val="2"/>
          <w:w w:val="102"/>
        </w:rPr>
        <w:t xml:space="preserve">relación con </w:t>
      </w:r>
      <w:r w:rsidRPr="00B212E1">
        <w:rPr>
          <w:i/>
          <w:iCs/>
          <w:spacing w:val="2"/>
          <w:w w:val="102"/>
        </w:rPr>
        <w:t>E. S. y S. C. c. la República Unida de Tanzanía</w:t>
      </w:r>
      <w:r w:rsidRPr="00B212E1">
        <w:rPr>
          <w:spacing w:val="2"/>
          <w:w w:val="102"/>
        </w:rPr>
        <w:t xml:space="preserve"> (</w:t>
      </w:r>
      <w:hyperlink r:id="rId74" w:history="1">
        <w:r w:rsidRPr="00B212E1">
          <w:rPr>
            <w:rStyle w:val="Hyperlink"/>
            <w:spacing w:val="2"/>
            <w:w w:val="102"/>
          </w:rPr>
          <w:t>CEDAW/C/60/D/48/2013</w:t>
        </w:r>
      </w:hyperlink>
      <w:r w:rsidRPr="00BC7AA5">
        <w:t>).</w:t>
      </w:r>
    </w:p>
    <w:p w14:paraId="793248B2" w14:textId="6D4ED21E" w:rsidR="00FC0E38" w:rsidRPr="00BC7AA5" w:rsidRDefault="00FC0E38">
      <w:pPr>
        <w:suppressAutoHyphens w:val="0"/>
        <w:spacing w:after="160" w:line="259" w:lineRule="auto"/>
        <w:rPr>
          <w:kern w:val="14"/>
        </w:rPr>
      </w:pPr>
      <w:r w:rsidRPr="00BC7AA5">
        <w:br w:type="page"/>
      </w:r>
    </w:p>
    <w:p w14:paraId="5877E05D" w14:textId="77777777" w:rsidR="00EE336E" w:rsidRPr="00BC7AA5" w:rsidRDefault="00EE336E" w:rsidP="00FC0E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Medidas adoptadas por el Comité con respecto a las cuestiones previstas en el artículo 8 del Protocolo Facultativo</w:t>
      </w:r>
    </w:p>
    <w:p w14:paraId="09E722F6" w14:textId="77777777" w:rsidR="00EE336E" w:rsidRPr="00BC7AA5" w:rsidRDefault="00EE336E" w:rsidP="00FC0E38">
      <w:pPr>
        <w:pStyle w:val="SingleTxt"/>
        <w:spacing w:after="0" w:line="120" w:lineRule="exact"/>
        <w:rPr>
          <w:sz w:val="10"/>
        </w:rPr>
      </w:pPr>
    </w:p>
    <w:p w14:paraId="0E6FED4D" w14:textId="77777777" w:rsidR="00FC0E38" w:rsidRPr="00BC7AA5" w:rsidRDefault="00FC0E38" w:rsidP="00FC0E38">
      <w:pPr>
        <w:pStyle w:val="SingleTxt"/>
        <w:spacing w:after="0" w:line="120" w:lineRule="exact"/>
        <w:rPr>
          <w:sz w:val="10"/>
        </w:rPr>
      </w:pPr>
    </w:p>
    <w:p w14:paraId="1DF48B3B" w14:textId="77777777" w:rsidR="00EE336E" w:rsidRPr="00BC7AA5" w:rsidRDefault="00EE336E" w:rsidP="00EE336E">
      <w:pPr>
        <w:pStyle w:val="SingleTxt"/>
      </w:pPr>
      <w:r w:rsidRPr="00BC7AA5">
        <w:t>22.</w:t>
      </w:r>
      <w:r w:rsidRPr="00BC7AA5">
        <w:tab/>
        <w:t>El 26 de octubre el Comité examinó las actividades realizadas en virtud del artículo 8 del Protocolo Facultativo. El Comité hizo suyo el informe del Grupo de Trabajo sobre Investigaciones con arreglo al Protocolo Facultativo en su 26º período de sesiones</w:t>
      </w:r>
      <w:r w:rsidRPr="00BC7AA5">
        <w:rPr>
          <w:vertAlign w:val="superscript"/>
        </w:rPr>
        <w:footnoteReference w:id="8"/>
      </w:r>
      <w:r w:rsidRPr="00BC7AA5">
        <w:t>.</w:t>
      </w:r>
    </w:p>
    <w:p w14:paraId="498E29AE" w14:textId="299C955A" w:rsidR="00EE336E" w:rsidRPr="00BC7AA5" w:rsidRDefault="00EE336E" w:rsidP="00EE336E">
      <w:pPr>
        <w:pStyle w:val="SingleTxt"/>
      </w:pPr>
      <w:r w:rsidRPr="00BC7AA5">
        <w:t>23.</w:t>
      </w:r>
      <w:r w:rsidRPr="00BC7AA5">
        <w:tab/>
        <w:t xml:space="preserve">El 25 de octubre, el Comité realizó su primera lectura del proyecto de informe sobre la investigación núm. </w:t>
      </w:r>
      <w:r w:rsidR="00FD3B87" w:rsidRPr="00B212E1">
        <w:t>2019/1</w:t>
      </w:r>
      <w:r w:rsidRPr="00BC7AA5">
        <w:t>.</w:t>
      </w:r>
    </w:p>
    <w:p w14:paraId="6DE1E17C" w14:textId="77777777" w:rsidR="00EE336E" w:rsidRPr="00BC7AA5" w:rsidRDefault="00EE336E" w:rsidP="00EE336E">
      <w:pPr>
        <w:pStyle w:val="SingleTxt"/>
      </w:pPr>
      <w:r w:rsidRPr="00BC7AA5">
        <w:t>24.</w:t>
      </w:r>
      <w:r w:rsidRPr="00BC7AA5">
        <w:tab/>
        <w:t xml:space="preserve">El Comité aprobó las siguientes recomendaciones del Grupo de Trabajo: </w:t>
      </w:r>
    </w:p>
    <w:p w14:paraId="0D9433C2" w14:textId="771A5789" w:rsidR="00EE336E" w:rsidRPr="00BC7AA5" w:rsidRDefault="00FC0E38" w:rsidP="00EE336E">
      <w:pPr>
        <w:pStyle w:val="SingleTxt"/>
      </w:pPr>
      <w:r w:rsidRPr="00BC7AA5">
        <w:tab/>
      </w:r>
      <w:r w:rsidR="00EE336E" w:rsidRPr="00BC7AA5">
        <w:t>a)</w:t>
      </w:r>
      <w:r w:rsidR="00EE336E" w:rsidRPr="00BC7AA5">
        <w:tab/>
        <w:t xml:space="preserve">En relación con la investigación núm. </w:t>
      </w:r>
      <w:r w:rsidR="00FD3B87" w:rsidRPr="00B212E1">
        <w:t>2017/3</w:t>
      </w:r>
      <w:r w:rsidR="00EE336E" w:rsidRPr="00BC7AA5">
        <w:t>, que la secretaría envíe un recordatorio al Estado parte en cuestión para que responda a su correspondencia y recabe información adicional con miras a recomendar una decisión final sobre el estado de la investigación en el 27º período de sesiones del Grupo de Trabajo;</w:t>
      </w:r>
    </w:p>
    <w:p w14:paraId="09924790" w14:textId="489D2BAA" w:rsidR="00EE336E" w:rsidRPr="00BC7AA5" w:rsidRDefault="00FC0E38" w:rsidP="00EE336E">
      <w:pPr>
        <w:pStyle w:val="SingleTxt"/>
      </w:pPr>
      <w:r w:rsidRPr="00BC7AA5">
        <w:tab/>
      </w:r>
      <w:r w:rsidR="00EE336E" w:rsidRPr="00BC7AA5">
        <w:t>b)</w:t>
      </w:r>
      <w:r w:rsidR="00EE336E" w:rsidRPr="00BC7AA5">
        <w:tab/>
        <w:t xml:space="preserve">En relación con la investigación núm. </w:t>
      </w:r>
      <w:r w:rsidR="00FD3B87" w:rsidRPr="00B212E1">
        <w:t>2016/1</w:t>
      </w:r>
      <w:r w:rsidR="00EE336E" w:rsidRPr="00BC7AA5">
        <w:t xml:space="preserve">, que la secretaría estudie la metodología remota para llevar a cabo una investigación, utilizada por el Comité sobre los Derechos de las Personas con Discapacidad para informar sobre la metodología del Comité; desarrolle una estrategia y mecanismos institucionales para colaborar con los Estados partes en contextos políticos difíciles o de otro tipo e iniciar la comunicación con los organismos pertinentes de las Naciones Unidas sobre el terreno para una posible cooperación; y explore modalidades para mejorar la colaboración con el programa de desarrollo de capacidades de la Oficina del Alto Comisionado de las Naciones Unidas para los Derechos Humanos; </w:t>
      </w:r>
    </w:p>
    <w:p w14:paraId="4BD007A0" w14:textId="50A0ED34" w:rsidR="00EE336E" w:rsidRPr="00BC7AA5" w:rsidRDefault="00FC0E38" w:rsidP="00EE336E">
      <w:pPr>
        <w:pStyle w:val="SingleTxt"/>
      </w:pPr>
      <w:r w:rsidRPr="00BC7AA5">
        <w:tab/>
      </w:r>
      <w:r w:rsidR="00EE336E" w:rsidRPr="00BC7AA5">
        <w:t>c)</w:t>
      </w:r>
      <w:r w:rsidR="00EE336E" w:rsidRPr="00BC7AA5">
        <w:tab/>
        <w:t xml:space="preserve">En relación con la investigación núm. </w:t>
      </w:r>
      <w:r w:rsidR="00FD3B87" w:rsidRPr="00B212E1">
        <w:t>2014/3</w:t>
      </w:r>
      <w:r w:rsidR="00EE336E" w:rsidRPr="00BC7AA5">
        <w:t>, que los miembros designados propongan fechas posibles para una visita de investigación en 2024 o 2025 y que comuniquen al Estado parte interesado al respecto;</w:t>
      </w:r>
    </w:p>
    <w:p w14:paraId="06C15454" w14:textId="48B8B291" w:rsidR="00EE336E" w:rsidRPr="00BC7AA5" w:rsidRDefault="00FC0E38" w:rsidP="00EE336E">
      <w:pPr>
        <w:pStyle w:val="SingleTxt"/>
      </w:pPr>
      <w:r w:rsidRPr="00BC7AA5">
        <w:tab/>
      </w:r>
      <w:r w:rsidR="00EE336E" w:rsidRPr="00BC7AA5">
        <w:t>d)</w:t>
      </w:r>
      <w:r w:rsidR="00EE336E" w:rsidRPr="00BC7AA5">
        <w:tab/>
        <w:t xml:space="preserve">En relación con la investigación núm. </w:t>
      </w:r>
      <w:r w:rsidR="00FD3B87" w:rsidRPr="00B212E1">
        <w:t>2014/2</w:t>
      </w:r>
      <w:r w:rsidR="00EE336E" w:rsidRPr="00BC7AA5">
        <w:t>, siempre que el Estado parte en cuestión diera su consentimiento a una visita de investigación, se estudien nuevas fechas para dicha visita durante la primera quincena de diciembre de 2023;</w:t>
      </w:r>
    </w:p>
    <w:p w14:paraId="41CCCDC4" w14:textId="70A733DF" w:rsidR="00EE336E" w:rsidRPr="00BC7AA5" w:rsidRDefault="00FC0E38" w:rsidP="00EE336E">
      <w:pPr>
        <w:pStyle w:val="SingleTxt"/>
      </w:pPr>
      <w:r w:rsidRPr="00BC7AA5">
        <w:tab/>
      </w:r>
      <w:r w:rsidR="00EE336E" w:rsidRPr="00BC7AA5">
        <w:t>e)</w:t>
      </w:r>
      <w:r w:rsidR="00EE336E" w:rsidRPr="00BC7AA5">
        <w:tab/>
        <w:t xml:space="preserve">En relación con la investigación núm. </w:t>
      </w:r>
      <w:r w:rsidR="00FD3B87" w:rsidRPr="00B212E1">
        <w:t>2013/1</w:t>
      </w:r>
      <w:r w:rsidR="00EE336E" w:rsidRPr="00BC7AA5">
        <w:t>, relativa a Sudáfrica, que los dos miembros designados aprueben un modelo de cuadro de evaluación de seguimiento que el Grupo de Trabajo está examinando a título experimental, que se adjuntará a la carta de evaluación; que el Comité examine el modelo para su empleo en el futuro; y que la secretaría solicite que se incluya dicho modelo, una vez finalizado y aceptado, entre sus documentos que deben ser objeto de traducción como documento oficial;</w:t>
      </w:r>
    </w:p>
    <w:p w14:paraId="68FEBB55" w14:textId="14C01763" w:rsidR="00EE336E" w:rsidRPr="00BC7AA5" w:rsidRDefault="00FC0E38" w:rsidP="00EE336E">
      <w:pPr>
        <w:pStyle w:val="SingleTxt"/>
      </w:pPr>
      <w:r w:rsidRPr="00BC7AA5">
        <w:tab/>
      </w:r>
      <w:r w:rsidR="00EE336E" w:rsidRPr="00BC7AA5">
        <w:t>f)</w:t>
      </w:r>
      <w:r w:rsidR="00EE336E" w:rsidRPr="00BC7AA5">
        <w:tab/>
        <w:t xml:space="preserve">En relación con la investigación núm. </w:t>
      </w:r>
      <w:r w:rsidR="00FD3B87" w:rsidRPr="00B212E1">
        <w:t>2012/1</w:t>
      </w:r>
      <w:r w:rsidR="00EE336E" w:rsidRPr="00BC7AA5">
        <w:t xml:space="preserve">, que el Estado parte en cuestión sea el próximo en recibir una visita de investigación, tras las visitas previstas en relación con las investigaciones núms. </w:t>
      </w:r>
      <w:r w:rsidR="00FD3B87" w:rsidRPr="00B212E1">
        <w:t>2014/2</w:t>
      </w:r>
      <w:r w:rsidR="00EE336E" w:rsidRPr="00BC7AA5">
        <w:t xml:space="preserve"> y </w:t>
      </w:r>
      <w:r w:rsidR="00FD3B87" w:rsidRPr="00B212E1">
        <w:t>2014/3</w:t>
      </w:r>
      <w:r w:rsidR="00EE336E" w:rsidRPr="00BC7AA5">
        <w:t>;</w:t>
      </w:r>
    </w:p>
    <w:p w14:paraId="0F6591A3" w14:textId="6C365A62" w:rsidR="00EE336E" w:rsidRPr="00BC7AA5" w:rsidRDefault="00FC0E38" w:rsidP="00EE336E">
      <w:pPr>
        <w:pStyle w:val="SingleTxt"/>
      </w:pPr>
      <w:r w:rsidRPr="00BC7AA5">
        <w:tab/>
      </w:r>
      <w:r w:rsidR="00EE336E" w:rsidRPr="00BC7AA5">
        <w:t>g)</w:t>
      </w:r>
      <w:r w:rsidR="00EE336E" w:rsidRPr="00BC7AA5">
        <w:tab/>
        <w:t xml:space="preserve">En relación con la investigación núm. 2011/4 relativa a Malí, que la Presidencia del Grupo de Trabajo solicite a un miembro del Comité que se una a la llamada de seguimiento con la Misión Permanente del Estado parte ante la Oficina de las Naciones Unidas y otras organizaciones internacionales en Ginebra; </w:t>
      </w:r>
    </w:p>
    <w:p w14:paraId="4690C0F4" w14:textId="77411F26" w:rsidR="00EE336E" w:rsidRPr="00BC7AA5" w:rsidRDefault="00FC0E38" w:rsidP="00EE336E">
      <w:pPr>
        <w:pStyle w:val="SingleTxt"/>
      </w:pPr>
      <w:r w:rsidRPr="00BC7AA5">
        <w:tab/>
      </w:r>
      <w:r w:rsidR="00EE336E" w:rsidRPr="00BC7AA5">
        <w:t>h)</w:t>
      </w:r>
      <w:r w:rsidR="00EE336E" w:rsidRPr="00BC7AA5">
        <w:tab/>
        <w:t xml:space="preserve">En relación con la investigación núm. 2011/2 relativa al Reino Unido de Gran Bretaña e Irlanda del Norte, que una vez recibida la información de seguimiento de las fuentes de información y la </w:t>
      </w:r>
      <w:r w:rsidR="00F146D9">
        <w:t>c</w:t>
      </w:r>
      <w:r w:rsidR="00EE336E" w:rsidRPr="00BC7AA5">
        <w:t xml:space="preserve">omisión </w:t>
      </w:r>
      <w:r w:rsidR="00F146D9">
        <w:t>n</w:t>
      </w:r>
      <w:r w:rsidR="00EE336E" w:rsidRPr="00BC7AA5">
        <w:t xml:space="preserve">acional de </w:t>
      </w:r>
      <w:r w:rsidR="00F146D9">
        <w:t>d</w:t>
      </w:r>
      <w:r w:rsidR="00EE336E" w:rsidRPr="00BC7AA5">
        <w:t xml:space="preserve">erechos </w:t>
      </w:r>
      <w:r w:rsidR="00F146D9">
        <w:t>h</w:t>
      </w:r>
      <w:r w:rsidR="00EE336E" w:rsidRPr="00BC7AA5">
        <w:t>umanos, el miembro designado presente al Comité, en su 87º período de sesiones, una evaluación de seguimiento en el formato del modelo estudiado, en respuesta a cada una de las recomendaciones;</w:t>
      </w:r>
    </w:p>
    <w:p w14:paraId="3A4726F5" w14:textId="1854FE4D" w:rsidR="00EE336E" w:rsidRPr="00BC7AA5" w:rsidRDefault="00FC0E38" w:rsidP="00EE336E">
      <w:pPr>
        <w:pStyle w:val="SingleTxt"/>
      </w:pPr>
      <w:r w:rsidRPr="00BC7AA5">
        <w:tab/>
        <w:t>i</w:t>
      </w:r>
      <w:r w:rsidR="00EE336E" w:rsidRPr="00BC7AA5">
        <w:t>)</w:t>
      </w:r>
      <w:r w:rsidR="00EE336E" w:rsidRPr="00BC7AA5">
        <w:tab/>
        <w:t xml:space="preserve">En relación con la presentación núm. </w:t>
      </w:r>
      <w:r w:rsidR="00C104DA" w:rsidRPr="00B212E1">
        <w:t>2023/3</w:t>
      </w:r>
      <w:r w:rsidR="00EE336E" w:rsidRPr="00BC7AA5">
        <w:t>, que la secretaría se ponga en contacto con la fuente de información para acusar recibo y solicitar una versión electrónica de la presentación que permita la traducción automática;</w:t>
      </w:r>
    </w:p>
    <w:p w14:paraId="56AE686F" w14:textId="0FAC8F71" w:rsidR="00EE336E" w:rsidRPr="00BC7AA5" w:rsidRDefault="00FC0E38" w:rsidP="00EE336E">
      <w:pPr>
        <w:pStyle w:val="SingleTxt"/>
      </w:pPr>
      <w:r w:rsidRPr="00BC7AA5">
        <w:tab/>
        <w:t>j</w:t>
      </w:r>
      <w:r w:rsidR="00EE336E" w:rsidRPr="00BC7AA5">
        <w:t>)</w:t>
      </w:r>
      <w:r w:rsidR="00EE336E" w:rsidRPr="00BC7AA5">
        <w:tab/>
        <w:t xml:space="preserve">En relación con la comunicación núm. </w:t>
      </w:r>
      <w:r w:rsidR="00C104DA" w:rsidRPr="00B212E1">
        <w:t>2023/2</w:t>
      </w:r>
      <w:r w:rsidR="00EE336E" w:rsidRPr="00BC7AA5">
        <w:t>, que la secretaría realice consultas con la secretaría del Subcomité para la Prevención de la Tortura y Otros Tratos o Penas Crueles, Inhumanos o Degradantes sobre posibles formas de cooperación;</w:t>
      </w:r>
    </w:p>
    <w:p w14:paraId="7BE94595" w14:textId="6A078FC1" w:rsidR="00EE336E" w:rsidRPr="00BC7AA5" w:rsidRDefault="00FC0E38" w:rsidP="00EE336E">
      <w:pPr>
        <w:pStyle w:val="SingleTxt"/>
      </w:pPr>
      <w:r w:rsidRPr="00BC7AA5">
        <w:tab/>
        <w:t>k</w:t>
      </w:r>
      <w:r w:rsidR="00EE336E" w:rsidRPr="00BC7AA5">
        <w:t>)</w:t>
      </w:r>
      <w:r w:rsidR="00EE336E" w:rsidRPr="00BC7AA5">
        <w:tab/>
        <w:t xml:space="preserve">En relación con la comunicación núm. </w:t>
      </w:r>
      <w:r w:rsidR="00C104DA" w:rsidRPr="00B212E1">
        <w:t>2022/2</w:t>
      </w:r>
      <w:r w:rsidR="00EE336E" w:rsidRPr="00BC7AA5">
        <w:t>, que la secretaría consulte con los titulares de mandatos de los procedimientos especiales de las Naciones Unidas pertinentes sobre posibles formas de cooperación;</w:t>
      </w:r>
    </w:p>
    <w:p w14:paraId="3F1F6E79" w14:textId="3F22D7AC" w:rsidR="00EE336E" w:rsidRPr="00BC7AA5" w:rsidRDefault="00FC0E38" w:rsidP="00EE336E">
      <w:pPr>
        <w:pStyle w:val="SingleTxt"/>
      </w:pPr>
      <w:r w:rsidRPr="00BC7AA5">
        <w:tab/>
        <w:t>l</w:t>
      </w:r>
      <w:r w:rsidR="00EE336E" w:rsidRPr="00BC7AA5">
        <w:t>)</w:t>
      </w:r>
      <w:r w:rsidR="00EE336E" w:rsidRPr="00BC7AA5">
        <w:tab/>
        <w:t xml:space="preserve">En relación con la comunicación núm. </w:t>
      </w:r>
      <w:r w:rsidR="00C104DA" w:rsidRPr="00B212E1">
        <w:t>2021/1</w:t>
      </w:r>
      <w:r w:rsidR="00EE336E" w:rsidRPr="00BC7AA5">
        <w:t>, que la secretaría solicite información adicional a las entidades y organismos especializados de las Naciones Unidas pertinentes.</w:t>
      </w:r>
    </w:p>
    <w:p w14:paraId="33DDEFD9" w14:textId="77777777" w:rsidR="00EE336E" w:rsidRPr="00BC7AA5" w:rsidRDefault="00EE336E" w:rsidP="00EE336E">
      <w:pPr>
        <w:pStyle w:val="SingleTxt"/>
      </w:pPr>
      <w:r w:rsidRPr="00BC7AA5">
        <w:br w:type="page"/>
      </w:r>
    </w:p>
    <w:p w14:paraId="64473424" w14:textId="77777777" w:rsidR="00EE336E" w:rsidRPr="00BC7AA5" w:rsidRDefault="00EE336E" w:rsidP="00150F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w:t>
      </w:r>
    </w:p>
    <w:p w14:paraId="1AA840E4" w14:textId="2E7152A9" w:rsidR="00EE336E" w:rsidRPr="00BC7AA5" w:rsidRDefault="00150F09" w:rsidP="00150F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Medios de agilizar los trabajos del Comité</w:t>
      </w:r>
    </w:p>
    <w:p w14:paraId="43CE2F50" w14:textId="77777777" w:rsidR="00EE336E" w:rsidRPr="00BC7AA5" w:rsidRDefault="00EE336E" w:rsidP="00150F09">
      <w:pPr>
        <w:pStyle w:val="SingleTxt"/>
        <w:spacing w:after="0" w:line="120" w:lineRule="exact"/>
        <w:rPr>
          <w:sz w:val="10"/>
        </w:rPr>
      </w:pPr>
    </w:p>
    <w:p w14:paraId="6DB0324C" w14:textId="77777777" w:rsidR="00150F09" w:rsidRPr="00BC7AA5" w:rsidRDefault="00150F09" w:rsidP="00150F09">
      <w:pPr>
        <w:pStyle w:val="SingleTxt"/>
        <w:spacing w:after="0" w:line="120" w:lineRule="exact"/>
        <w:rPr>
          <w:sz w:val="10"/>
        </w:rPr>
      </w:pPr>
    </w:p>
    <w:p w14:paraId="29ABD34C" w14:textId="36B8C54A" w:rsidR="00EE336E" w:rsidRPr="00BC7AA5" w:rsidRDefault="00EE336E" w:rsidP="00EE336E">
      <w:pPr>
        <w:pStyle w:val="SingleTxt"/>
      </w:pPr>
      <w:r w:rsidRPr="00BC7AA5">
        <w:t>25.</w:t>
      </w:r>
      <w:r w:rsidRPr="00BC7AA5">
        <w:tab/>
        <w:t>La secretaría informó al Comité sobre la situación relativa a la presentación de</w:t>
      </w:r>
      <w:r w:rsidR="00362627">
        <w:t> </w:t>
      </w:r>
      <w:r w:rsidRPr="00BC7AA5">
        <w:t xml:space="preserve">los informes atrasados que los Estados partes debían presentar en virtud del artículo 18 de la Convención. </w:t>
      </w:r>
    </w:p>
    <w:p w14:paraId="3FD5E127" w14:textId="77777777" w:rsidR="00EE336E" w:rsidRPr="00BC7AA5" w:rsidRDefault="00EE336E" w:rsidP="00150F09">
      <w:pPr>
        <w:pStyle w:val="SingleTxt"/>
        <w:spacing w:after="0" w:line="120" w:lineRule="exact"/>
        <w:rPr>
          <w:sz w:val="10"/>
        </w:rPr>
      </w:pPr>
    </w:p>
    <w:p w14:paraId="0CA2D243" w14:textId="77777777" w:rsidR="00150F09" w:rsidRPr="00BC7AA5" w:rsidRDefault="00150F09" w:rsidP="00150F09">
      <w:pPr>
        <w:pStyle w:val="SingleTxt"/>
        <w:spacing w:after="0" w:line="120" w:lineRule="exact"/>
        <w:rPr>
          <w:sz w:val="10"/>
        </w:rPr>
      </w:pPr>
    </w:p>
    <w:p w14:paraId="1B209EFB" w14:textId="067C490F" w:rsidR="00EE336E" w:rsidRPr="00BC7AA5" w:rsidRDefault="00150F09"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C7AA5">
        <w:tab/>
      </w:r>
      <w:r w:rsidRPr="00BC7AA5">
        <w:tab/>
      </w:r>
      <w:r w:rsidR="00EE336E" w:rsidRPr="00BC7AA5">
        <w:t>Medidas adoptadas por el Comité en relación con el tema 7 del programa</w:t>
      </w:r>
    </w:p>
    <w:p w14:paraId="4D7FC0ED" w14:textId="77777777" w:rsidR="00EE336E" w:rsidRPr="00BC7AA5" w:rsidRDefault="00EE336E" w:rsidP="00150F09">
      <w:pPr>
        <w:pStyle w:val="SingleTxt"/>
        <w:spacing w:after="0" w:line="120" w:lineRule="exact"/>
        <w:rPr>
          <w:sz w:val="10"/>
        </w:rPr>
      </w:pPr>
    </w:p>
    <w:p w14:paraId="7A4206F7" w14:textId="77777777" w:rsidR="00150F09" w:rsidRPr="00BC7AA5" w:rsidRDefault="00150F09" w:rsidP="00150F09">
      <w:pPr>
        <w:pStyle w:val="SingleTxt"/>
        <w:spacing w:after="0" w:line="120" w:lineRule="exact"/>
        <w:rPr>
          <w:sz w:val="10"/>
        </w:rPr>
      </w:pPr>
    </w:p>
    <w:p w14:paraId="11BB6797" w14:textId="03E1C0FF" w:rsidR="00EE336E" w:rsidRPr="00BC7AA5" w:rsidRDefault="00150F09" w:rsidP="00150F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Fechas de los períodos de sesiones futuros</w:t>
      </w:r>
    </w:p>
    <w:p w14:paraId="5D81C0AE" w14:textId="77777777" w:rsidR="00EE336E" w:rsidRPr="00BC7AA5" w:rsidRDefault="00EE336E" w:rsidP="00150F09">
      <w:pPr>
        <w:pStyle w:val="SingleTxt"/>
        <w:spacing w:after="0" w:line="120" w:lineRule="exact"/>
        <w:rPr>
          <w:sz w:val="10"/>
        </w:rPr>
      </w:pPr>
    </w:p>
    <w:p w14:paraId="55C9AF39" w14:textId="77777777" w:rsidR="00EE336E" w:rsidRPr="00BC7AA5" w:rsidRDefault="00EE336E" w:rsidP="00EE336E">
      <w:pPr>
        <w:pStyle w:val="SingleTxt"/>
      </w:pPr>
      <w:r w:rsidRPr="00BC7AA5">
        <w:t>26.</w:t>
      </w:r>
      <w:r w:rsidRPr="00BC7AA5">
        <w:tab/>
        <w:t xml:space="preserve">De acuerdo con el calendario de conferencias, se confirmaron las siguientes fechas tentativas para los períodos de sesiones 87º y 88º del Comité y las reuniones conexas: </w:t>
      </w:r>
    </w:p>
    <w:p w14:paraId="719D03E8" w14:textId="77777777" w:rsidR="00EE336E" w:rsidRPr="00BC7AA5" w:rsidRDefault="00EE336E" w:rsidP="00EE336E">
      <w:pPr>
        <w:pStyle w:val="SingleTxt"/>
        <w:rPr>
          <w:i/>
          <w:iCs/>
        </w:rPr>
      </w:pPr>
      <w:r w:rsidRPr="00BC7AA5">
        <w:tab/>
      </w:r>
      <w:r w:rsidRPr="00BC7AA5">
        <w:rPr>
          <w:i/>
          <w:iCs/>
        </w:rPr>
        <w:t>87º período de sesiones (Ginebra)</w:t>
      </w:r>
    </w:p>
    <w:p w14:paraId="2FABDABC" w14:textId="1A757C38" w:rsidR="00EE336E" w:rsidRPr="00BC7AA5" w:rsidRDefault="00150F09" w:rsidP="00EE336E">
      <w:pPr>
        <w:pStyle w:val="SingleTxt"/>
      </w:pPr>
      <w:r w:rsidRPr="00BC7AA5">
        <w:tab/>
      </w:r>
      <w:r w:rsidR="00EE336E" w:rsidRPr="00BC7AA5">
        <w:t>a)</w:t>
      </w:r>
      <w:r w:rsidR="00EE336E" w:rsidRPr="00BC7AA5">
        <w:tab/>
        <w:t>58º período de sesiones del Grupo de Trabajo sobre las Comunicaciones presentadas en virtud del Protocolo Facultativo: 24 a 26 de enero de 2024;</w:t>
      </w:r>
    </w:p>
    <w:p w14:paraId="6EF33716" w14:textId="282B21E0" w:rsidR="00EE336E" w:rsidRPr="00BC7AA5" w:rsidRDefault="00150F09" w:rsidP="00EE336E">
      <w:pPr>
        <w:pStyle w:val="SingleTxt"/>
      </w:pPr>
      <w:r w:rsidRPr="00BC7AA5">
        <w:tab/>
      </w:r>
      <w:r w:rsidR="00EE336E" w:rsidRPr="00BC7AA5">
        <w:t>b)</w:t>
      </w:r>
      <w:r w:rsidR="00EE336E" w:rsidRPr="00BC7AA5">
        <w:tab/>
        <w:t>27º período de sesiones del Grupo de Trabajo sobre Investigaciones con arreglo al Protocolo Facultativo: 25 y 26 de enero de 2024;</w:t>
      </w:r>
    </w:p>
    <w:p w14:paraId="03952A34" w14:textId="19BF52B2" w:rsidR="00EE336E" w:rsidRPr="00BC7AA5" w:rsidRDefault="00150F09" w:rsidP="00EE336E">
      <w:pPr>
        <w:pStyle w:val="SingleTxt"/>
      </w:pPr>
      <w:r w:rsidRPr="00BC7AA5">
        <w:tab/>
      </w:r>
      <w:r w:rsidR="00EE336E" w:rsidRPr="00BC7AA5">
        <w:t>c)</w:t>
      </w:r>
      <w:r w:rsidR="00EE336E" w:rsidRPr="00BC7AA5">
        <w:tab/>
        <w:t>87º período de sesiones: 29 de enero a 16 de febrero de 2024;</w:t>
      </w:r>
    </w:p>
    <w:p w14:paraId="0C80ACE3" w14:textId="556936A1" w:rsidR="00EE336E" w:rsidRPr="00BC7AA5" w:rsidRDefault="00150F09" w:rsidP="00EE336E">
      <w:pPr>
        <w:pStyle w:val="SingleTxt"/>
      </w:pPr>
      <w:r w:rsidRPr="00BC7AA5">
        <w:tab/>
      </w:r>
      <w:r w:rsidR="00EE336E" w:rsidRPr="00BC7AA5">
        <w:t>d)</w:t>
      </w:r>
      <w:r w:rsidR="00EE336E" w:rsidRPr="00BC7AA5">
        <w:tab/>
        <w:t>Grupo de trabajo anterior al 89º período de sesiones: 19 a 23 de febrero de</w:t>
      </w:r>
      <w:r w:rsidRPr="00BC7AA5">
        <w:t> </w:t>
      </w:r>
      <w:r w:rsidR="00EE336E" w:rsidRPr="00BC7AA5">
        <w:t>2024;</w:t>
      </w:r>
    </w:p>
    <w:p w14:paraId="3F754972" w14:textId="77777777" w:rsidR="00EE336E" w:rsidRPr="00BC7AA5" w:rsidRDefault="00EE336E" w:rsidP="00EE336E">
      <w:pPr>
        <w:pStyle w:val="SingleTxt"/>
        <w:rPr>
          <w:i/>
          <w:iCs/>
        </w:rPr>
      </w:pPr>
      <w:r w:rsidRPr="00BC7AA5">
        <w:tab/>
      </w:r>
      <w:r w:rsidRPr="00BC7AA5">
        <w:rPr>
          <w:i/>
          <w:iCs/>
        </w:rPr>
        <w:t>88º período de sesiones (Ginebra)</w:t>
      </w:r>
    </w:p>
    <w:p w14:paraId="118F711C" w14:textId="749561EE" w:rsidR="00EE336E" w:rsidRPr="00BC7AA5" w:rsidRDefault="00150F09" w:rsidP="00EE336E">
      <w:pPr>
        <w:pStyle w:val="SingleTxt"/>
      </w:pPr>
      <w:r w:rsidRPr="00BC7AA5">
        <w:tab/>
      </w:r>
      <w:r w:rsidR="00EE336E" w:rsidRPr="00BC7AA5">
        <w:t>e)</w:t>
      </w:r>
      <w:r w:rsidR="00EE336E" w:rsidRPr="00BC7AA5">
        <w:tab/>
        <w:t>59º período de sesiones del Grupo de Trabajo sobre las Comunicaciones presentadas en virtud del Protocolo Facultativo: 9 y 10 de mayo de 2024;</w:t>
      </w:r>
    </w:p>
    <w:p w14:paraId="46F2F8B7" w14:textId="21DAD8E8" w:rsidR="00EE336E" w:rsidRPr="00BC7AA5" w:rsidRDefault="00150F09" w:rsidP="00EE336E">
      <w:pPr>
        <w:pStyle w:val="SingleTxt"/>
      </w:pPr>
      <w:r w:rsidRPr="00BC7AA5">
        <w:tab/>
      </w:r>
      <w:r w:rsidR="00EE336E" w:rsidRPr="00BC7AA5">
        <w:t>f)</w:t>
      </w:r>
      <w:r w:rsidR="00EE336E" w:rsidRPr="00BC7AA5">
        <w:tab/>
        <w:t>28º período de sesiones del Grupo de Trabajo sobre Investigaciones con arreglo al Protocolo Facultativo: 9 y 10 de mayo de 2024;</w:t>
      </w:r>
    </w:p>
    <w:p w14:paraId="723C7180" w14:textId="4061ADC2" w:rsidR="00EE336E" w:rsidRPr="00BC7AA5" w:rsidRDefault="00150F09" w:rsidP="00EE336E">
      <w:pPr>
        <w:pStyle w:val="SingleTxt"/>
      </w:pPr>
      <w:r w:rsidRPr="00BC7AA5">
        <w:tab/>
      </w:r>
      <w:r w:rsidR="00EE336E" w:rsidRPr="00BC7AA5">
        <w:t>g)</w:t>
      </w:r>
      <w:r w:rsidR="00EE336E" w:rsidRPr="00BC7AA5">
        <w:tab/>
        <w:t>88º período de sesiones: 13 a 31 de mayo de 2024;</w:t>
      </w:r>
    </w:p>
    <w:p w14:paraId="13DB205B" w14:textId="7E53BB32" w:rsidR="00EE336E" w:rsidRPr="00BC7AA5" w:rsidRDefault="00150F09" w:rsidP="00EE336E">
      <w:pPr>
        <w:pStyle w:val="SingleTxt"/>
      </w:pPr>
      <w:r w:rsidRPr="00BC7AA5">
        <w:tab/>
      </w:r>
      <w:r w:rsidR="00EE336E" w:rsidRPr="00BC7AA5">
        <w:t>h)</w:t>
      </w:r>
      <w:r w:rsidR="00EE336E" w:rsidRPr="00BC7AA5">
        <w:tab/>
      </w:r>
      <w:r w:rsidR="00EE336E" w:rsidRPr="00B212E1">
        <w:rPr>
          <w:spacing w:val="2"/>
        </w:rPr>
        <w:t>Grupo de trabajo anterior al 90º período de sesiones: 3 a 7 de junio de 2024.</w:t>
      </w:r>
    </w:p>
    <w:p w14:paraId="5875096A" w14:textId="77777777" w:rsidR="00EE336E" w:rsidRPr="00BC7AA5" w:rsidRDefault="00EE336E" w:rsidP="00150F09">
      <w:pPr>
        <w:pStyle w:val="SingleTxt"/>
        <w:spacing w:after="0" w:line="120" w:lineRule="exact"/>
        <w:rPr>
          <w:sz w:val="10"/>
        </w:rPr>
      </w:pPr>
    </w:p>
    <w:p w14:paraId="1CF716DB" w14:textId="6FDE7748" w:rsidR="00EE336E" w:rsidRPr="00BC7AA5" w:rsidRDefault="00150F09" w:rsidP="00150F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 xml:space="preserve">Informes que se examinarán en períodos de sesiones futuros </w:t>
      </w:r>
    </w:p>
    <w:p w14:paraId="4E347FE3" w14:textId="77777777" w:rsidR="00EE336E" w:rsidRPr="00BC7AA5" w:rsidRDefault="00EE336E" w:rsidP="00150F09">
      <w:pPr>
        <w:pStyle w:val="SingleTxt"/>
        <w:spacing w:after="0" w:line="120" w:lineRule="exact"/>
        <w:rPr>
          <w:sz w:val="10"/>
        </w:rPr>
      </w:pPr>
    </w:p>
    <w:p w14:paraId="4F1B075F" w14:textId="77777777" w:rsidR="00EE336E" w:rsidRPr="00BC7AA5" w:rsidRDefault="00EE336E" w:rsidP="00EE336E">
      <w:pPr>
        <w:pStyle w:val="SingleTxt"/>
      </w:pPr>
      <w:r w:rsidRPr="00BC7AA5">
        <w:t>27.</w:t>
      </w:r>
      <w:r w:rsidRPr="00BC7AA5">
        <w:tab/>
        <w:t>El Comité confirmó que, en su 87º período de sesiones, examinaría los informes de Djibouti, Grecia, Italia, el Níger (estos tres últimos con arreglo al procedimiento simplificado de presentación de informes), Omán, la República Centroafricana, Tayikistán y Turkmenistán y que, en su 88º período de sesiones, examinaría los del Brasil, Estonia (ambos con arreglo al procedimiento simplificado de presentación de informes), Kuwait, Malasia, Montenegro, la República de Corea, Rwanda y Singapur.</w:t>
      </w:r>
    </w:p>
    <w:p w14:paraId="5AF6B488" w14:textId="77777777" w:rsidR="00EE336E" w:rsidRPr="00BC7AA5" w:rsidRDefault="00EE336E" w:rsidP="00EE336E">
      <w:pPr>
        <w:pStyle w:val="SingleTxt"/>
      </w:pPr>
    </w:p>
    <w:p w14:paraId="4578AA42" w14:textId="77777777" w:rsidR="00EE336E" w:rsidRPr="00BC7AA5" w:rsidRDefault="00EE336E" w:rsidP="00EE336E">
      <w:pPr>
        <w:pStyle w:val="SingleTxt"/>
      </w:pPr>
      <w:r w:rsidRPr="00BC7AA5">
        <w:br w:type="page"/>
      </w:r>
    </w:p>
    <w:p w14:paraId="4128928C" w14:textId="77777777" w:rsidR="00EE336E" w:rsidRPr="00BC7AA5" w:rsidRDefault="00EE336E" w:rsidP="00DB4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w:t>
      </w:r>
    </w:p>
    <w:p w14:paraId="4C8AE644" w14:textId="304924FC" w:rsidR="00EE336E" w:rsidRPr="00BC7AA5" w:rsidRDefault="00DB4C41" w:rsidP="00DB4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BC7AA5">
        <w:tab/>
      </w:r>
      <w:r w:rsidRPr="00BC7AA5">
        <w:tab/>
      </w:r>
      <w:r w:rsidR="00EE336E" w:rsidRPr="00BC7AA5">
        <w:t>Información sobre la aplicación del artículo 21 de la Convención</w:t>
      </w:r>
    </w:p>
    <w:p w14:paraId="07B09DA4" w14:textId="77777777" w:rsidR="00EE336E" w:rsidRPr="00BC7AA5" w:rsidRDefault="00EE336E" w:rsidP="00DB4C41">
      <w:pPr>
        <w:pStyle w:val="SingleTxt"/>
        <w:spacing w:after="0" w:line="120" w:lineRule="exact"/>
        <w:rPr>
          <w:sz w:val="10"/>
        </w:rPr>
      </w:pPr>
    </w:p>
    <w:p w14:paraId="7D5A9A76" w14:textId="77777777" w:rsidR="00DB4C41" w:rsidRPr="00BC7AA5" w:rsidRDefault="00DB4C41" w:rsidP="00DB4C41">
      <w:pPr>
        <w:pStyle w:val="SingleTxt"/>
        <w:spacing w:after="0" w:line="120" w:lineRule="exact"/>
        <w:rPr>
          <w:sz w:val="10"/>
        </w:rPr>
      </w:pPr>
    </w:p>
    <w:p w14:paraId="11841194" w14:textId="77777777"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Grupo de trabajo sobre métodos de trabajo</w:t>
      </w:r>
    </w:p>
    <w:p w14:paraId="12A31C1B" w14:textId="77777777" w:rsidR="00EE336E" w:rsidRPr="00BC7AA5" w:rsidRDefault="00EE336E" w:rsidP="00DB4C41">
      <w:pPr>
        <w:pStyle w:val="SingleTxt"/>
        <w:spacing w:after="0" w:line="120" w:lineRule="exact"/>
        <w:rPr>
          <w:sz w:val="10"/>
        </w:rPr>
      </w:pPr>
    </w:p>
    <w:p w14:paraId="1679FA46" w14:textId="77777777" w:rsidR="00EE336E" w:rsidRPr="00BC7AA5" w:rsidRDefault="00EE336E" w:rsidP="00EE336E">
      <w:pPr>
        <w:pStyle w:val="SingleTxt"/>
      </w:pPr>
      <w:r w:rsidRPr="00BC7AA5">
        <w:t>28.</w:t>
      </w:r>
      <w:r w:rsidRPr="00BC7AA5">
        <w:tab/>
        <w:t>El grupo de trabajo se reunió una vez durante el período de sesiones. El grupo de trabajo examinó y presentó al Comité tres proyectos de decisión, relativos a la mejora de los diálogos constructivos (véase la decisión 86/IV), la evaluación de su proyecto piloto para revisar la estructura de los diálogos constructivos con los Estados partes (véase la decisión 86/V) y una enmienda a su reglamento sobre las observaciones finales con carácter provisional (véase la decisión 86/VI).</w:t>
      </w:r>
    </w:p>
    <w:p w14:paraId="60830753" w14:textId="77777777" w:rsidR="00EE336E" w:rsidRPr="00BC7AA5" w:rsidRDefault="00EE336E" w:rsidP="00DB4C41">
      <w:pPr>
        <w:pStyle w:val="SingleTxt"/>
        <w:spacing w:after="0" w:line="120" w:lineRule="exact"/>
        <w:rPr>
          <w:sz w:val="10"/>
        </w:rPr>
      </w:pPr>
    </w:p>
    <w:p w14:paraId="1AD00619" w14:textId="77777777"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Grupo de trabajo sobre la violencia por razón de género contra la mujer </w:t>
      </w:r>
    </w:p>
    <w:p w14:paraId="3986A8F3" w14:textId="77777777" w:rsidR="00EE336E" w:rsidRPr="00BC7AA5" w:rsidRDefault="00EE336E" w:rsidP="00DB4C41">
      <w:pPr>
        <w:pStyle w:val="SingleTxt"/>
        <w:spacing w:after="0" w:line="120" w:lineRule="exact"/>
        <w:rPr>
          <w:sz w:val="10"/>
        </w:rPr>
      </w:pPr>
    </w:p>
    <w:p w14:paraId="7E0C5122" w14:textId="77777777" w:rsidR="00EE336E" w:rsidRPr="00BC7AA5" w:rsidRDefault="00EE336E" w:rsidP="00EE336E">
      <w:pPr>
        <w:pStyle w:val="SingleTxt"/>
      </w:pPr>
      <w:r w:rsidRPr="00BC7AA5">
        <w:t>29.</w:t>
      </w:r>
      <w:r w:rsidRPr="00BC7AA5">
        <w:tab/>
        <w:t>El grupo de trabajo se reunió dos veces durante el período de sesiones. El grupo de trabajo trató la candidatura del Comité para presidir la Plataforma de Mecanismos de Expertos Independientes sobre la Eliminación de la Discriminación y la Violencia contra la Mujer en 2024, así como el mandato del Comité en relación con la violencia de género contra las mujeres.</w:t>
      </w:r>
    </w:p>
    <w:p w14:paraId="55AD9F0D" w14:textId="77777777" w:rsidR="00DB4C41" w:rsidRPr="00BC7AA5" w:rsidRDefault="00DB4C41" w:rsidP="00DB4C41">
      <w:pPr>
        <w:pStyle w:val="SingleTxt"/>
        <w:spacing w:after="0" w:line="120" w:lineRule="exact"/>
        <w:rPr>
          <w:sz w:val="10"/>
        </w:rPr>
      </w:pPr>
    </w:p>
    <w:p w14:paraId="399183E8" w14:textId="39503929"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BC7AA5">
        <w:tab/>
      </w:r>
      <w:r w:rsidRPr="00BC7AA5">
        <w:tab/>
        <w:t xml:space="preserve">Grupo de trabajo sobre la representación igualitaria e inclusiva de las mujeres en los sistemas de toma de decisiones </w:t>
      </w:r>
    </w:p>
    <w:p w14:paraId="1E7E2D2E" w14:textId="77777777" w:rsidR="00EE336E" w:rsidRPr="00BC7AA5" w:rsidRDefault="00EE336E" w:rsidP="00DB4C41">
      <w:pPr>
        <w:pStyle w:val="SingleTxt"/>
        <w:spacing w:after="0" w:line="120" w:lineRule="exact"/>
        <w:rPr>
          <w:sz w:val="10"/>
        </w:rPr>
      </w:pPr>
    </w:p>
    <w:p w14:paraId="699805A4" w14:textId="43F52F2A" w:rsidR="00EE336E" w:rsidRPr="00BC7AA5" w:rsidRDefault="00EE336E" w:rsidP="00EE336E">
      <w:pPr>
        <w:pStyle w:val="SingleTxt"/>
      </w:pPr>
      <w:r w:rsidRPr="00BC7AA5">
        <w:t>30.</w:t>
      </w:r>
      <w:r w:rsidRPr="00BC7AA5">
        <w:tab/>
        <w:t>El grupo de trabajo se reunió una vez durante el período de sesiones. El grupo de trabajo examinó los resultados de las recientes reuniones de grupos de expertos que habían hecho aportaciones al proyecto de recomendación general sobre la representación igualitaria e inclusiva de las mujeres en los sistemas de toma de decisiones, así como los actos paralelos entre sesiones sobre el proyecto de recomendación general que habían tenido lugar. El grupo de trabajo también estudió los pasos a seguir en el proceso que conducirá a la aprobación de la recomendación general,</w:t>
      </w:r>
      <w:r w:rsidR="002B2D9E" w:rsidRPr="00BC7AA5">
        <w:t xml:space="preserve"> </w:t>
      </w:r>
      <w:r w:rsidRPr="00BC7AA5">
        <w:t>prevista para el 89º período de sesiones del Comité en octubre de 2024, incluida la publicación en línea del proyecto inicial de recomendación general, y la convocatoria de cinco reuniones regionales.</w:t>
      </w:r>
    </w:p>
    <w:p w14:paraId="55161422" w14:textId="77777777" w:rsidR="00DB4C41" w:rsidRPr="00BC7AA5" w:rsidRDefault="00DB4C41" w:rsidP="00DB4C41">
      <w:pPr>
        <w:pStyle w:val="SingleTxt"/>
        <w:spacing w:after="0" w:line="120" w:lineRule="exact"/>
        <w:rPr>
          <w:sz w:val="10"/>
        </w:rPr>
      </w:pPr>
    </w:p>
    <w:p w14:paraId="081D4CCF" w14:textId="2C8A6A20"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Equipo de tareas sobre los estereotipos de género</w:t>
      </w:r>
    </w:p>
    <w:p w14:paraId="671847B6" w14:textId="77777777" w:rsidR="00EE336E" w:rsidRPr="00BC7AA5" w:rsidRDefault="00EE336E" w:rsidP="00DB4C41">
      <w:pPr>
        <w:pStyle w:val="SingleTxt"/>
        <w:spacing w:after="0" w:line="120" w:lineRule="exact"/>
        <w:rPr>
          <w:sz w:val="10"/>
        </w:rPr>
      </w:pPr>
    </w:p>
    <w:p w14:paraId="2983F8E5" w14:textId="5BADEB80" w:rsidR="00EE336E" w:rsidRPr="00BC7AA5" w:rsidRDefault="00EE336E" w:rsidP="00EE336E">
      <w:pPr>
        <w:pStyle w:val="SingleTxt"/>
      </w:pPr>
      <w:r w:rsidRPr="00BC7AA5">
        <w:t>31.</w:t>
      </w:r>
      <w:r w:rsidRPr="00BC7AA5">
        <w:tab/>
        <w:t>El equipo de tareas se reunió con el Fondo de Población de las Naciones Unidas (UNFPA) durante el período de sesiones para estudiar la posibilidad de apoyar la preparación de un proyecto de recomendación general sobre los estereotipos de género. El equipo de tareas también está estudiando la posibilidad de obtener apoyo financiero de los Estados partes. Está previsto que el proyecto de nota conceptual para la recomendación general se presente al pleno para su aprobación durante el 87º</w:t>
      </w:r>
      <w:r w:rsidR="00744EFB">
        <w:t> </w:t>
      </w:r>
      <w:r w:rsidRPr="00BC7AA5">
        <w:t>período de sesiones del Comité.</w:t>
      </w:r>
    </w:p>
    <w:p w14:paraId="46F0329F" w14:textId="77777777" w:rsidR="00EE336E" w:rsidRPr="00BC7AA5" w:rsidRDefault="00EE336E" w:rsidP="00DB4C41">
      <w:pPr>
        <w:pStyle w:val="SingleTxt"/>
        <w:spacing w:after="0" w:line="120" w:lineRule="exact"/>
        <w:rPr>
          <w:sz w:val="10"/>
        </w:rPr>
      </w:pPr>
    </w:p>
    <w:p w14:paraId="07D2D7E7" w14:textId="77777777"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Equipo de tareas sobre el Afganistán</w:t>
      </w:r>
    </w:p>
    <w:p w14:paraId="3EB1801A" w14:textId="77777777" w:rsidR="00EE336E" w:rsidRPr="00BC7AA5" w:rsidRDefault="00EE336E" w:rsidP="00DB4C41">
      <w:pPr>
        <w:pStyle w:val="SingleTxt"/>
        <w:spacing w:after="0" w:line="120" w:lineRule="exact"/>
        <w:rPr>
          <w:sz w:val="10"/>
        </w:rPr>
      </w:pPr>
    </w:p>
    <w:p w14:paraId="3A8C2E5A" w14:textId="77777777" w:rsidR="00EE336E" w:rsidRPr="00BC7AA5" w:rsidRDefault="00EE336E" w:rsidP="00EE336E">
      <w:pPr>
        <w:pStyle w:val="SingleTxt"/>
      </w:pPr>
      <w:r w:rsidRPr="00BC7AA5">
        <w:t>32.</w:t>
      </w:r>
      <w:r w:rsidRPr="00BC7AA5">
        <w:tab/>
        <w:t>El equipo de tareas sobre el Afganistán se reunió dos veces durante el período de sesiones. El equipo de tareas examinó la posibilidad de elaborar un documento de posición sobre la persecución de género y el apartheid de género. El Comité hizo suya la recomendación del equipo de tareas de redactar una declaración sobre la situación de las mujeres y las niñas en el Afganistán, para su adopción en su 87º período de sesiones.</w:t>
      </w:r>
    </w:p>
    <w:p w14:paraId="2EDB026C" w14:textId="0C771CA9" w:rsidR="00DB4C41" w:rsidRPr="00BC7AA5" w:rsidRDefault="00DB4C41">
      <w:pPr>
        <w:suppressAutoHyphens w:val="0"/>
        <w:spacing w:after="160" w:line="259" w:lineRule="auto"/>
        <w:rPr>
          <w:kern w:val="14"/>
        </w:rPr>
      </w:pPr>
      <w:r w:rsidRPr="00BC7AA5">
        <w:br w:type="page"/>
      </w:r>
    </w:p>
    <w:p w14:paraId="22F8A6E7" w14:textId="77777777"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Ucrania </w:t>
      </w:r>
    </w:p>
    <w:p w14:paraId="3827B234" w14:textId="77777777" w:rsidR="00EE336E" w:rsidRPr="00BC7AA5" w:rsidRDefault="00EE336E" w:rsidP="00DB4C41">
      <w:pPr>
        <w:pStyle w:val="SingleTxt"/>
        <w:spacing w:after="0" w:line="120" w:lineRule="exact"/>
        <w:rPr>
          <w:sz w:val="10"/>
        </w:rPr>
      </w:pPr>
    </w:p>
    <w:p w14:paraId="65EC36E7" w14:textId="77777777" w:rsidR="00EE336E" w:rsidRPr="00BC7AA5" w:rsidRDefault="00EE336E" w:rsidP="00EE336E">
      <w:pPr>
        <w:pStyle w:val="SingleTxt"/>
      </w:pPr>
      <w:r w:rsidRPr="00BC7AA5">
        <w:t>33.</w:t>
      </w:r>
      <w:r w:rsidRPr="00BC7AA5">
        <w:tab/>
        <w:t>El equipo de tareas sobre Ucrania se reunió una vez durante el período de sesiones. El equipo de tareas decidió solicitar una sesión informativa de la Comisión Internacional Independiente de Investigación sobre Ucrania y el ACNUR durante el 87º período de sesiones del Comité. El Comité hizo suya la recomendación del equipo de tareas de redactar una declaración sobre la situación de las mujeres y las niñas en Ucrania para aprobarla en su 87º período de sesiones.</w:t>
      </w:r>
    </w:p>
    <w:p w14:paraId="441BA57F" w14:textId="77777777" w:rsidR="00DB4C41" w:rsidRPr="00BC7AA5" w:rsidRDefault="00DB4C41" w:rsidP="00DB4C41">
      <w:pPr>
        <w:pStyle w:val="SingleTxt"/>
        <w:spacing w:after="0" w:line="120" w:lineRule="exact"/>
        <w:rPr>
          <w:sz w:val="10"/>
        </w:rPr>
      </w:pPr>
    </w:p>
    <w:p w14:paraId="320316BB" w14:textId="1CC81D60" w:rsidR="00EE336E" w:rsidRPr="00BC7AA5" w:rsidRDefault="00EE336E" w:rsidP="00DB4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autoidentificación de sexo/género </w:t>
      </w:r>
    </w:p>
    <w:p w14:paraId="3B8BE378" w14:textId="77777777" w:rsidR="00EE336E" w:rsidRPr="00BC7AA5" w:rsidRDefault="00EE336E" w:rsidP="00DB4C41">
      <w:pPr>
        <w:pStyle w:val="SingleTxt"/>
        <w:spacing w:after="0" w:line="120" w:lineRule="exact"/>
        <w:rPr>
          <w:sz w:val="10"/>
        </w:rPr>
      </w:pPr>
    </w:p>
    <w:p w14:paraId="00A23CC7" w14:textId="3A306731" w:rsidR="00EE336E" w:rsidRPr="00BC7AA5" w:rsidRDefault="00EE336E" w:rsidP="00EE336E">
      <w:pPr>
        <w:pStyle w:val="SingleTxt"/>
      </w:pPr>
      <w:r w:rsidRPr="00BC7AA5">
        <w:t>34.</w:t>
      </w:r>
      <w:r w:rsidRPr="00BC7AA5">
        <w:tab/>
        <w:t>El equipo de tareas se reunió durante el período de sesiones para estudiar los pasos a seguir, incluida la invitación a expertos, investigadores y partes interesadas clave para que informen al Comité sobre la cuestión de la autoidentificación de sexo/género. El Comité decidió invitar a un orador a cada período de sesiones en</w:t>
      </w:r>
      <w:r w:rsidR="00744EFB">
        <w:t> </w:t>
      </w:r>
      <w:r w:rsidRPr="00BC7AA5">
        <w:t>2024. Además, el equipo de tareas decidió organizar sesiones informativas en línea entre períodos de sesiones.</w:t>
      </w:r>
    </w:p>
    <w:p w14:paraId="6B024B06" w14:textId="77777777" w:rsidR="00EE336E" w:rsidRPr="00BC7AA5" w:rsidRDefault="00EE336E" w:rsidP="00EE336E">
      <w:pPr>
        <w:pStyle w:val="SingleTxt"/>
      </w:pPr>
      <w:r w:rsidRPr="00BC7AA5">
        <w:br w:type="page"/>
      </w:r>
    </w:p>
    <w:p w14:paraId="52050FE1" w14:textId="77777777" w:rsidR="00EE336E" w:rsidRPr="00BC7AA5" w:rsidRDefault="00EE336E" w:rsidP="00DB4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VIII</w:t>
      </w:r>
    </w:p>
    <w:p w14:paraId="273F02EE" w14:textId="6A1562E3" w:rsidR="00EE336E" w:rsidRPr="00BC7AA5" w:rsidRDefault="00DB4C41" w:rsidP="00DB4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Programa provisional del 87º período de sesiones</w:t>
      </w:r>
    </w:p>
    <w:p w14:paraId="37603649" w14:textId="77777777" w:rsidR="00EE336E" w:rsidRPr="00BC7AA5" w:rsidRDefault="00EE336E" w:rsidP="00DB4C41">
      <w:pPr>
        <w:pStyle w:val="SingleTxt"/>
        <w:spacing w:after="0" w:line="120" w:lineRule="exact"/>
        <w:rPr>
          <w:sz w:val="10"/>
        </w:rPr>
      </w:pPr>
    </w:p>
    <w:p w14:paraId="282D7556" w14:textId="77777777" w:rsidR="00DB4C41" w:rsidRPr="00BC7AA5" w:rsidRDefault="00DB4C41" w:rsidP="00DB4C41">
      <w:pPr>
        <w:pStyle w:val="SingleTxt"/>
        <w:spacing w:after="0" w:line="120" w:lineRule="exact"/>
        <w:rPr>
          <w:sz w:val="10"/>
        </w:rPr>
      </w:pPr>
    </w:p>
    <w:p w14:paraId="43690E08" w14:textId="77777777" w:rsidR="00EE336E" w:rsidRPr="00BC7AA5" w:rsidRDefault="00EE336E" w:rsidP="00EE336E">
      <w:pPr>
        <w:pStyle w:val="SingleTxt"/>
      </w:pPr>
      <w:r w:rsidRPr="00BC7AA5">
        <w:t>35.</w:t>
      </w:r>
      <w:r w:rsidRPr="00BC7AA5">
        <w:tab/>
        <w:t>En su 2028ª sesión, celebrada el 27 de octubre de 2023, el Comité examinó y aprobó el proyecto de programa provisional de su 87º período de sesiones.</w:t>
      </w:r>
    </w:p>
    <w:p w14:paraId="304C1569" w14:textId="77777777" w:rsidR="00EE336E" w:rsidRPr="00BC7AA5" w:rsidRDefault="00EE336E" w:rsidP="00EE336E">
      <w:pPr>
        <w:pStyle w:val="SingleTxt"/>
      </w:pPr>
      <w:r w:rsidRPr="00BC7AA5">
        <w:br w:type="page"/>
      </w:r>
    </w:p>
    <w:p w14:paraId="71DE2D8A" w14:textId="77777777" w:rsidR="00EE336E" w:rsidRPr="00BC7AA5" w:rsidRDefault="00EE336E" w:rsidP="00BA64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IX</w:t>
      </w:r>
    </w:p>
    <w:p w14:paraId="73860383" w14:textId="7EF587C7" w:rsidR="00EE336E" w:rsidRPr="00BC7AA5" w:rsidRDefault="00BA64E0" w:rsidP="00BA64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EE336E" w:rsidRPr="00BC7AA5">
        <w:t>Aprobación del programa</w:t>
      </w:r>
    </w:p>
    <w:p w14:paraId="7741A682" w14:textId="77777777" w:rsidR="00EE336E" w:rsidRPr="00BC7AA5" w:rsidRDefault="00EE336E" w:rsidP="00BA64E0">
      <w:pPr>
        <w:pStyle w:val="SingleTxt"/>
        <w:spacing w:after="0" w:line="120" w:lineRule="exact"/>
        <w:rPr>
          <w:sz w:val="10"/>
        </w:rPr>
      </w:pPr>
    </w:p>
    <w:p w14:paraId="01D8FC7A" w14:textId="77777777" w:rsidR="00BA64E0" w:rsidRPr="00BC7AA5" w:rsidRDefault="00BA64E0" w:rsidP="00BA64E0">
      <w:pPr>
        <w:pStyle w:val="SingleTxt"/>
        <w:spacing w:after="0" w:line="120" w:lineRule="exact"/>
        <w:rPr>
          <w:sz w:val="10"/>
        </w:rPr>
      </w:pPr>
    </w:p>
    <w:p w14:paraId="393775E3" w14:textId="77777777" w:rsidR="00EE336E" w:rsidRPr="00BC7AA5" w:rsidRDefault="00EE336E" w:rsidP="00EE336E">
      <w:pPr>
        <w:pStyle w:val="SingleTxt"/>
      </w:pPr>
      <w:r w:rsidRPr="00BC7AA5">
        <w:t>36.</w:t>
      </w:r>
      <w:r w:rsidRPr="00BC7AA5">
        <w:tab/>
        <w:t>En su 2028ª sesión, celebrada el 27 de octubre de 2023, el Comité examinó y aprobó, en su forma revisada oralmente, el proyecto de programa provisional de su 86º período de sesiones.</w:t>
      </w:r>
    </w:p>
    <w:p w14:paraId="1FB247DB" w14:textId="77777777" w:rsidR="00EE336E" w:rsidRPr="00BC7AA5" w:rsidRDefault="00EE336E" w:rsidP="00EE336E">
      <w:pPr>
        <w:pStyle w:val="SingleTxt"/>
      </w:pPr>
      <w:r w:rsidRPr="00BC7AA5">
        <w:br w:type="page"/>
      </w:r>
    </w:p>
    <w:p w14:paraId="157B4D7D" w14:textId="77777777" w:rsidR="00EE336E" w:rsidRPr="00BC7AA5" w:rsidRDefault="00EE336E" w:rsidP="00BA6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Anexo</w:t>
      </w:r>
    </w:p>
    <w:p w14:paraId="1DF20DDD" w14:textId="77777777" w:rsidR="00BA64E0" w:rsidRPr="00BC7AA5" w:rsidRDefault="00BA64E0" w:rsidP="00BA64E0">
      <w:pPr>
        <w:pStyle w:val="SingleTxt"/>
        <w:spacing w:after="0" w:line="120" w:lineRule="exact"/>
        <w:rPr>
          <w:sz w:val="10"/>
        </w:rPr>
      </w:pPr>
    </w:p>
    <w:p w14:paraId="7C19F8A8" w14:textId="39A8DB4E" w:rsidR="00EE336E" w:rsidRPr="00BC7AA5" w:rsidRDefault="00EE336E" w:rsidP="00BA6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BC7AA5">
        <w:tab/>
      </w:r>
      <w:r w:rsidRPr="00BC7AA5">
        <w:tab/>
        <w:t>Documentos que el Comité tuvo ante sí en su 86º período de sesiones</w:t>
      </w:r>
    </w:p>
    <w:p w14:paraId="0B652CE3" w14:textId="77777777" w:rsidR="00EE336E" w:rsidRPr="00BC7AA5" w:rsidRDefault="00EE336E" w:rsidP="00BA64E0">
      <w:pPr>
        <w:pStyle w:val="SingleTxt"/>
        <w:spacing w:after="0" w:line="120" w:lineRule="exact"/>
        <w:rPr>
          <w:sz w:val="10"/>
        </w:rPr>
      </w:pPr>
    </w:p>
    <w:p w14:paraId="6CDF5CE5" w14:textId="77777777" w:rsidR="00BA64E0" w:rsidRPr="00BC7AA5" w:rsidRDefault="00BA64E0" w:rsidP="00BA64E0">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6"/>
        <w:gridCol w:w="4444"/>
      </w:tblGrid>
      <w:tr w:rsidR="00BA64E0" w:rsidRPr="00BC7AA5" w14:paraId="2DD3B9AE" w14:textId="77777777" w:rsidTr="00BA64E0">
        <w:trPr>
          <w:tblHeader/>
        </w:trPr>
        <w:tc>
          <w:tcPr>
            <w:tcW w:w="2876" w:type="dxa"/>
            <w:tcBorders>
              <w:top w:val="single" w:sz="4" w:space="0" w:color="auto"/>
              <w:bottom w:val="single" w:sz="12" w:space="0" w:color="auto"/>
            </w:tcBorders>
            <w:shd w:val="clear" w:color="auto" w:fill="auto"/>
            <w:vAlign w:val="bottom"/>
          </w:tcPr>
          <w:p w14:paraId="78E51731" w14:textId="77777777" w:rsidR="00BA64E0" w:rsidRPr="00BC7AA5" w:rsidRDefault="00BA64E0" w:rsidP="00517422">
            <w:pPr>
              <w:tabs>
                <w:tab w:val="left" w:pos="288"/>
                <w:tab w:val="left" w:pos="576"/>
                <w:tab w:val="left" w:pos="864"/>
                <w:tab w:val="left" w:pos="1152"/>
              </w:tabs>
              <w:spacing w:before="81" w:after="81" w:line="160" w:lineRule="exact"/>
              <w:ind w:right="40"/>
              <w:rPr>
                <w:i/>
                <w:sz w:val="14"/>
                <w:szCs w:val="14"/>
              </w:rPr>
            </w:pPr>
            <w:r w:rsidRPr="00BC7AA5">
              <w:rPr>
                <w:i/>
                <w:iCs/>
                <w:sz w:val="14"/>
                <w:szCs w:val="14"/>
              </w:rPr>
              <w:t>Signatura</w:t>
            </w:r>
          </w:p>
        </w:tc>
        <w:tc>
          <w:tcPr>
            <w:tcW w:w="4444" w:type="dxa"/>
            <w:tcBorders>
              <w:top w:val="single" w:sz="4" w:space="0" w:color="auto"/>
              <w:bottom w:val="single" w:sz="12" w:space="0" w:color="auto"/>
            </w:tcBorders>
            <w:shd w:val="clear" w:color="auto" w:fill="auto"/>
            <w:vAlign w:val="bottom"/>
          </w:tcPr>
          <w:p w14:paraId="07B7B627" w14:textId="77777777" w:rsidR="00BA64E0" w:rsidRPr="00BC7AA5" w:rsidRDefault="00BA64E0" w:rsidP="00BA64E0">
            <w:pPr>
              <w:tabs>
                <w:tab w:val="left" w:pos="288"/>
                <w:tab w:val="left" w:pos="576"/>
                <w:tab w:val="left" w:pos="864"/>
                <w:tab w:val="left" w:pos="1152"/>
              </w:tabs>
              <w:spacing w:before="81" w:after="81" w:line="160" w:lineRule="exact"/>
              <w:ind w:left="72" w:right="40"/>
              <w:rPr>
                <w:i/>
                <w:sz w:val="14"/>
                <w:szCs w:val="14"/>
              </w:rPr>
            </w:pPr>
            <w:r w:rsidRPr="00BC7AA5">
              <w:rPr>
                <w:i/>
                <w:iCs/>
                <w:sz w:val="14"/>
                <w:szCs w:val="14"/>
              </w:rPr>
              <w:t>Título o descripción</w:t>
            </w:r>
          </w:p>
        </w:tc>
      </w:tr>
      <w:tr w:rsidR="00BA64E0" w:rsidRPr="00BC7AA5" w14:paraId="68A27F36" w14:textId="77777777" w:rsidTr="00BA64E0">
        <w:trPr>
          <w:trHeight w:hRule="exact" w:val="115"/>
          <w:tblHeader/>
        </w:trPr>
        <w:tc>
          <w:tcPr>
            <w:tcW w:w="2876" w:type="dxa"/>
            <w:tcBorders>
              <w:top w:val="single" w:sz="12" w:space="0" w:color="auto"/>
            </w:tcBorders>
            <w:shd w:val="clear" w:color="auto" w:fill="auto"/>
            <w:vAlign w:val="bottom"/>
          </w:tcPr>
          <w:p w14:paraId="2E8714F0" w14:textId="77777777" w:rsidR="00BA64E0" w:rsidRPr="00BC7AA5" w:rsidRDefault="00BA64E0" w:rsidP="005174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4444" w:type="dxa"/>
            <w:tcBorders>
              <w:top w:val="single" w:sz="12" w:space="0" w:color="auto"/>
            </w:tcBorders>
            <w:shd w:val="clear" w:color="auto" w:fill="auto"/>
            <w:vAlign w:val="bottom"/>
          </w:tcPr>
          <w:p w14:paraId="0F3B1508" w14:textId="77777777" w:rsidR="00BA64E0" w:rsidRPr="00BC7AA5" w:rsidRDefault="00BA64E0" w:rsidP="00BA6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72" w:right="40"/>
              <w:jc w:val="left"/>
            </w:pPr>
          </w:p>
        </w:tc>
      </w:tr>
      <w:tr w:rsidR="00BA64E0" w:rsidRPr="00BC7AA5" w14:paraId="21664A6A" w14:textId="77777777" w:rsidTr="00BA64E0">
        <w:tc>
          <w:tcPr>
            <w:tcW w:w="2876" w:type="dxa"/>
            <w:shd w:val="clear" w:color="auto" w:fill="auto"/>
          </w:tcPr>
          <w:p w14:paraId="3CF73A5F" w14:textId="0DBFB70B" w:rsidR="00BA64E0" w:rsidRPr="00BC7AA5" w:rsidRDefault="00901BF9"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75" w:history="1">
              <w:r w:rsidR="00BA64E0" w:rsidRPr="00BC7AA5">
                <w:rPr>
                  <w:rStyle w:val="Hyperlink"/>
                </w:rPr>
                <w:t>CEDAW/C/86/1</w:t>
              </w:r>
            </w:hyperlink>
          </w:p>
        </w:tc>
        <w:tc>
          <w:tcPr>
            <w:tcW w:w="4444" w:type="dxa"/>
            <w:shd w:val="clear" w:color="auto" w:fill="auto"/>
          </w:tcPr>
          <w:p w14:paraId="73871CBC" w14:textId="77777777" w:rsidR="00BA64E0" w:rsidRPr="00BC7AA5" w:rsidRDefault="00BA64E0"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 xml:space="preserve">Programa provisional anotado </w:t>
            </w:r>
          </w:p>
        </w:tc>
      </w:tr>
      <w:tr w:rsidR="00BA64E0" w:rsidRPr="00BC7AA5" w14:paraId="660C7A05" w14:textId="77777777" w:rsidTr="00BA64E0">
        <w:tc>
          <w:tcPr>
            <w:tcW w:w="2876" w:type="dxa"/>
            <w:shd w:val="clear" w:color="auto" w:fill="auto"/>
          </w:tcPr>
          <w:p w14:paraId="6C41908F" w14:textId="77777777" w:rsidR="00BA64E0" w:rsidRPr="00BC7AA5" w:rsidRDefault="00BA64E0"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rPr>
                <w:b/>
                <w:bCs/>
              </w:rPr>
              <w:t>Informes de los Estados partes</w:t>
            </w:r>
          </w:p>
        </w:tc>
        <w:tc>
          <w:tcPr>
            <w:tcW w:w="4444" w:type="dxa"/>
            <w:shd w:val="clear" w:color="auto" w:fill="auto"/>
          </w:tcPr>
          <w:p w14:paraId="2A53A5CD" w14:textId="77777777" w:rsidR="00BA64E0" w:rsidRPr="00BC7AA5" w:rsidRDefault="00BA64E0"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p>
        </w:tc>
      </w:tr>
      <w:tr w:rsidR="00BA64E0" w:rsidRPr="00BC7AA5" w14:paraId="7CFB7304" w14:textId="77777777" w:rsidTr="00BA64E0">
        <w:tc>
          <w:tcPr>
            <w:tcW w:w="2876" w:type="dxa"/>
            <w:shd w:val="clear" w:color="auto" w:fill="auto"/>
          </w:tcPr>
          <w:p w14:paraId="07B1F5C6" w14:textId="7223D57C" w:rsidR="00BA64E0" w:rsidRPr="00BC7AA5" w:rsidRDefault="00901BF9"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b/>
                <w:bCs/>
              </w:rPr>
            </w:pPr>
            <w:hyperlink r:id="rId76" w:history="1">
              <w:r w:rsidR="00BA64E0" w:rsidRPr="00BC7AA5">
                <w:rPr>
                  <w:rStyle w:val="Hyperlink"/>
                </w:rPr>
                <w:t>CEDAW/C/ALB/5</w:t>
              </w:r>
            </w:hyperlink>
          </w:p>
        </w:tc>
        <w:tc>
          <w:tcPr>
            <w:tcW w:w="4444" w:type="dxa"/>
            <w:shd w:val="clear" w:color="auto" w:fill="auto"/>
          </w:tcPr>
          <w:p w14:paraId="512E6C3E" w14:textId="77777777" w:rsidR="00BA64E0" w:rsidRPr="00BC7AA5" w:rsidRDefault="00BA64E0"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Quinto informe periódico de Albania</w:t>
            </w:r>
          </w:p>
        </w:tc>
      </w:tr>
      <w:tr w:rsidR="00BA64E0" w:rsidRPr="00BC7AA5" w14:paraId="2842A7C7" w14:textId="77777777" w:rsidTr="00BA64E0">
        <w:tc>
          <w:tcPr>
            <w:tcW w:w="2876" w:type="dxa"/>
            <w:shd w:val="clear" w:color="auto" w:fill="auto"/>
          </w:tcPr>
          <w:p w14:paraId="55786141" w14:textId="20EE9F92" w:rsidR="00BA64E0" w:rsidRPr="00BC7AA5" w:rsidRDefault="00901BF9"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77" w:history="1">
              <w:r w:rsidR="00BA64E0" w:rsidRPr="00BC7AA5">
                <w:rPr>
                  <w:rStyle w:val="Hyperlink"/>
                </w:rPr>
                <w:t>CEDAW/C/BTN/10</w:t>
              </w:r>
            </w:hyperlink>
          </w:p>
        </w:tc>
        <w:tc>
          <w:tcPr>
            <w:tcW w:w="4444" w:type="dxa"/>
            <w:shd w:val="clear" w:color="auto" w:fill="auto"/>
          </w:tcPr>
          <w:p w14:paraId="0637DDBF" w14:textId="77777777" w:rsidR="00BA64E0" w:rsidRPr="00BC7AA5" w:rsidRDefault="00BA64E0" w:rsidP="00A143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Décimo informe periódico de Bhután, presentado conforme al procedimiento simplificado</w:t>
            </w:r>
          </w:p>
        </w:tc>
      </w:tr>
      <w:tr w:rsidR="00F146D9" w:rsidRPr="00BC7AA5" w14:paraId="4632DCA1" w14:textId="77777777" w:rsidTr="00BA64E0">
        <w:tc>
          <w:tcPr>
            <w:tcW w:w="2876" w:type="dxa"/>
            <w:shd w:val="clear" w:color="auto" w:fill="auto"/>
          </w:tcPr>
          <w:p w14:paraId="229724D8" w14:textId="43BBEE37" w:rsidR="00F146D9"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78" w:history="1">
              <w:r w:rsidR="00F146D9" w:rsidRPr="00BC7AA5">
                <w:rPr>
                  <w:rStyle w:val="Hyperlink"/>
                </w:rPr>
                <w:t>CEDAW/C/PHL/9</w:t>
              </w:r>
            </w:hyperlink>
          </w:p>
        </w:tc>
        <w:tc>
          <w:tcPr>
            <w:tcW w:w="4444" w:type="dxa"/>
            <w:shd w:val="clear" w:color="auto" w:fill="auto"/>
          </w:tcPr>
          <w:p w14:paraId="1B6D2BB7" w14:textId="64E41D3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Noveno informe periódico de Filipinas</w:t>
            </w:r>
          </w:p>
        </w:tc>
      </w:tr>
      <w:tr w:rsidR="00F146D9" w:rsidRPr="00BC7AA5" w14:paraId="08CBBF29" w14:textId="77777777" w:rsidTr="00BA64E0">
        <w:tc>
          <w:tcPr>
            <w:tcW w:w="2876" w:type="dxa"/>
            <w:shd w:val="clear" w:color="auto" w:fill="auto"/>
          </w:tcPr>
          <w:p w14:paraId="202B4A65" w14:textId="1301FD46"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79" w:history="1">
              <w:r w:rsidR="00F146D9" w:rsidRPr="00BC7AA5">
                <w:rPr>
                  <w:rStyle w:val="Hyperlink"/>
                </w:rPr>
                <w:t>CEDAW/C/FRA/9</w:t>
              </w:r>
            </w:hyperlink>
          </w:p>
        </w:tc>
        <w:tc>
          <w:tcPr>
            <w:tcW w:w="4444" w:type="dxa"/>
            <w:shd w:val="clear" w:color="auto" w:fill="auto"/>
          </w:tcPr>
          <w:p w14:paraId="37D1DB02"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Noveno informe periódico de Francia</w:t>
            </w:r>
          </w:p>
        </w:tc>
      </w:tr>
      <w:tr w:rsidR="00F146D9" w:rsidRPr="00BC7AA5" w14:paraId="40AC2963" w14:textId="77777777" w:rsidTr="00BA64E0">
        <w:tc>
          <w:tcPr>
            <w:tcW w:w="2876" w:type="dxa"/>
            <w:shd w:val="clear" w:color="auto" w:fill="auto"/>
          </w:tcPr>
          <w:p w14:paraId="0B713CCC" w14:textId="0C95D9A0"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80" w:history="1">
              <w:r w:rsidR="00F146D9" w:rsidRPr="00BC7AA5">
                <w:rPr>
                  <w:rStyle w:val="Hyperlink"/>
                </w:rPr>
                <w:t>CEDAW/C/GTM/10</w:t>
              </w:r>
            </w:hyperlink>
          </w:p>
        </w:tc>
        <w:tc>
          <w:tcPr>
            <w:tcW w:w="4444" w:type="dxa"/>
            <w:shd w:val="clear" w:color="auto" w:fill="auto"/>
          </w:tcPr>
          <w:p w14:paraId="12361ABB"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Décimo informe periódico de Guatemala</w:t>
            </w:r>
          </w:p>
        </w:tc>
      </w:tr>
      <w:tr w:rsidR="00F146D9" w:rsidRPr="00BC7AA5" w14:paraId="75F2A72C" w14:textId="77777777" w:rsidTr="00BA64E0">
        <w:tc>
          <w:tcPr>
            <w:tcW w:w="2876" w:type="dxa"/>
            <w:shd w:val="clear" w:color="auto" w:fill="auto"/>
          </w:tcPr>
          <w:p w14:paraId="27BC904F" w14:textId="566AF84D"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81" w:history="1">
              <w:r w:rsidR="00F146D9" w:rsidRPr="00BC7AA5">
                <w:rPr>
                  <w:rStyle w:val="Hyperlink"/>
                </w:rPr>
                <w:t>CEDAW/C/JAM/8</w:t>
              </w:r>
            </w:hyperlink>
          </w:p>
        </w:tc>
        <w:tc>
          <w:tcPr>
            <w:tcW w:w="4444" w:type="dxa"/>
            <w:shd w:val="clear" w:color="auto" w:fill="auto"/>
          </w:tcPr>
          <w:p w14:paraId="07F8FC45"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Octavo informe periódico de Jamaica</w:t>
            </w:r>
          </w:p>
        </w:tc>
      </w:tr>
      <w:tr w:rsidR="00F146D9" w:rsidRPr="00BC7AA5" w14:paraId="1E455168" w14:textId="77777777" w:rsidTr="00BA64E0">
        <w:tc>
          <w:tcPr>
            <w:tcW w:w="2876" w:type="dxa"/>
            <w:shd w:val="clear" w:color="auto" w:fill="auto"/>
          </w:tcPr>
          <w:p w14:paraId="79044774" w14:textId="6EBD15FD"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82" w:history="1">
              <w:r w:rsidR="00F146D9" w:rsidRPr="00BC7AA5">
                <w:rPr>
                  <w:rStyle w:val="Hyperlink"/>
                </w:rPr>
                <w:t>CEDAW/C/MWI/8</w:t>
              </w:r>
            </w:hyperlink>
          </w:p>
        </w:tc>
        <w:tc>
          <w:tcPr>
            <w:tcW w:w="4444" w:type="dxa"/>
            <w:shd w:val="clear" w:color="auto" w:fill="auto"/>
          </w:tcPr>
          <w:p w14:paraId="343632BD"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Octavo informe periódico de Malawi</w:t>
            </w:r>
          </w:p>
        </w:tc>
      </w:tr>
      <w:tr w:rsidR="00F146D9" w:rsidRPr="00BC7AA5" w14:paraId="04569E51" w14:textId="77777777" w:rsidTr="00BA64E0">
        <w:tc>
          <w:tcPr>
            <w:tcW w:w="2876" w:type="dxa"/>
            <w:shd w:val="clear" w:color="auto" w:fill="auto"/>
          </w:tcPr>
          <w:p w14:paraId="6450C6F7" w14:textId="3E74099D"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83" w:history="1">
              <w:r w:rsidR="00F146D9" w:rsidRPr="00BC7AA5">
                <w:rPr>
                  <w:rStyle w:val="Hyperlink"/>
                </w:rPr>
                <w:t>CEDAW/C/NIC/7-10</w:t>
              </w:r>
            </w:hyperlink>
          </w:p>
        </w:tc>
        <w:tc>
          <w:tcPr>
            <w:tcW w:w="4444" w:type="dxa"/>
            <w:shd w:val="clear" w:color="auto" w:fill="auto"/>
          </w:tcPr>
          <w:p w14:paraId="09EDD6D0"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Informes periódicos séptimo a décimo combinados de Nicaragua</w:t>
            </w:r>
          </w:p>
        </w:tc>
      </w:tr>
      <w:tr w:rsidR="00F146D9" w:rsidRPr="00BC7AA5" w14:paraId="327340D9" w14:textId="77777777" w:rsidTr="00BA64E0">
        <w:tc>
          <w:tcPr>
            <w:tcW w:w="2876" w:type="dxa"/>
            <w:tcBorders>
              <w:bottom w:val="single" w:sz="12" w:space="0" w:color="auto"/>
            </w:tcBorders>
            <w:shd w:val="clear" w:color="auto" w:fill="auto"/>
          </w:tcPr>
          <w:p w14:paraId="0B27D723" w14:textId="488AB25E" w:rsidR="00F146D9" w:rsidRPr="00BC7AA5" w:rsidRDefault="00901BF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84" w:history="1">
              <w:r w:rsidR="00F146D9" w:rsidRPr="00BC7AA5">
                <w:rPr>
                  <w:rStyle w:val="Hyperlink"/>
                </w:rPr>
                <w:t>CEDAW/C/URY/10</w:t>
              </w:r>
            </w:hyperlink>
          </w:p>
        </w:tc>
        <w:tc>
          <w:tcPr>
            <w:tcW w:w="4444" w:type="dxa"/>
            <w:tcBorders>
              <w:bottom w:val="single" w:sz="12" w:space="0" w:color="auto"/>
            </w:tcBorders>
            <w:shd w:val="clear" w:color="auto" w:fill="auto"/>
          </w:tcPr>
          <w:p w14:paraId="127520AD" w14:textId="77777777" w:rsidR="00F146D9" w:rsidRPr="00BC7AA5" w:rsidRDefault="00F146D9" w:rsidP="00F146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Décimo informe periódico del Uruguay, presentado conforme al procedimiento simplificado</w:t>
            </w:r>
          </w:p>
        </w:tc>
      </w:tr>
    </w:tbl>
    <w:p w14:paraId="064A6CB4" w14:textId="77777777" w:rsidR="00BA64E0" w:rsidRPr="00BC7AA5" w:rsidRDefault="00BA64E0" w:rsidP="00EE336E">
      <w:pPr>
        <w:pStyle w:val="SingleTxt"/>
      </w:pPr>
    </w:p>
    <w:p w14:paraId="511E0E94" w14:textId="77777777" w:rsidR="00DC67D5" w:rsidRPr="00BC7AA5" w:rsidRDefault="00DC67D5">
      <w:pPr>
        <w:suppressAutoHyphens w:val="0"/>
        <w:spacing w:after="160" w:line="259" w:lineRule="auto"/>
        <w:rPr>
          <w:kern w:val="14"/>
        </w:rPr>
        <w:sectPr w:rsidR="00DC67D5" w:rsidRPr="00BC7AA5" w:rsidSect="001C2FAD">
          <w:footnotePr>
            <w:numRestart w:val="eachSect"/>
          </w:footnotePr>
          <w:endnotePr>
            <w:numFmt w:val="decimal"/>
          </w:endnotePr>
          <w:pgSz w:w="12240" w:h="15840"/>
          <w:pgMar w:top="1440" w:right="1200" w:bottom="1152" w:left="1200" w:header="432" w:footer="504" w:gutter="0"/>
          <w:cols w:space="720"/>
          <w:noEndnote/>
          <w:docGrid w:linePitch="360"/>
        </w:sectPr>
      </w:pPr>
    </w:p>
    <w:p w14:paraId="6A2B808E"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Tercera parte</w:t>
      </w:r>
    </w:p>
    <w:p w14:paraId="21EFB416" w14:textId="0CC2CDA6" w:rsidR="00DC67D5" w:rsidRPr="00BC7AA5" w:rsidRDefault="00744EFB"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tab/>
      </w:r>
      <w:r>
        <w:tab/>
      </w:r>
      <w:r w:rsidR="00DC67D5" w:rsidRPr="00BC7AA5">
        <w:t>Informe del Comité para la Eliminación de la Discriminación contra la Mujer en su 87º período de sesiones</w:t>
      </w:r>
    </w:p>
    <w:p w14:paraId="03DC6412" w14:textId="77777777" w:rsidR="00DC67D5" w:rsidRPr="00B212E1" w:rsidRDefault="00DC67D5" w:rsidP="00B212E1">
      <w:pPr>
        <w:pStyle w:val="SingleTxt"/>
        <w:spacing w:after="0" w:line="120" w:lineRule="exact"/>
        <w:rPr>
          <w:sz w:val="10"/>
        </w:rPr>
      </w:pPr>
    </w:p>
    <w:p w14:paraId="5764D914" w14:textId="77777777" w:rsidR="00744EFB" w:rsidRPr="00B212E1" w:rsidRDefault="00744EFB" w:rsidP="00B212E1">
      <w:pPr>
        <w:pStyle w:val="SingleTxt"/>
        <w:spacing w:after="0" w:line="120" w:lineRule="exact"/>
        <w:rPr>
          <w:sz w:val="10"/>
        </w:rPr>
      </w:pPr>
    </w:p>
    <w:p w14:paraId="14098D39" w14:textId="29EFB32C" w:rsidR="00DC67D5" w:rsidRPr="00BC7AA5" w:rsidRDefault="00744EFB"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29 de enero a 16 de febrero de 2024</w:t>
      </w:r>
    </w:p>
    <w:p w14:paraId="4D7B6E91" w14:textId="77777777" w:rsidR="00DC67D5" w:rsidRPr="00BC7AA5" w:rsidRDefault="00DC67D5" w:rsidP="00DC67D5">
      <w:pPr>
        <w:pStyle w:val="SingleTxt"/>
      </w:pPr>
    </w:p>
    <w:p w14:paraId="134D869F" w14:textId="77777777" w:rsidR="00DC67D5" w:rsidRPr="00BC7AA5" w:rsidRDefault="00DC67D5" w:rsidP="00DC67D5">
      <w:pPr>
        <w:pStyle w:val="SingleTxt"/>
      </w:pPr>
      <w:r w:rsidRPr="00BC7AA5">
        <w:br w:type="page"/>
      </w:r>
    </w:p>
    <w:p w14:paraId="2032425A"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w:t>
      </w:r>
    </w:p>
    <w:p w14:paraId="43284033" w14:textId="7317D3EE" w:rsidR="00DC67D5" w:rsidRPr="00BC7AA5" w:rsidRDefault="00744EFB"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Decisiones adoptadas por el Comité</w:t>
      </w:r>
    </w:p>
    <w:p w14:paraId="7A33C5A2" w14:textId="77777777" w:rsidR="00DC67D5" w:rsidRPr="00B212E1" w:rsidRDefault="00DC67D5" w:rsidP="00B212E1">
      <w:pPr>
        <w:pStyle w:val="SingleTxt"/>
        <w:spacing w:after="0" w:line="120" w:lineRule="exact"/>
        <w:rPr>
          <w:sz w:val="10"/>
        </w:rPr>
      </w:pPr>
    </w:p>
    <w:p w14:paraId="78687835" w14:textId="77777777" w:rsidR="00744EFB" w:rsidRPr="00B212E1" w:rsidRDefault="00744EFB" w:rsidP="00B212E1">
      <w:pPr>
        <w:pStyle w:val="SingleTxt"/>
        <w:spacing w:after="0" w:line="120" w:lineRule="exact"/>
        <w:rPr>
          <w:sz w:val="10"/>
        </w:rPr>
      </w:pPr>
    </w:p>
    <w:p w14:paraId="22D08A26"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87/I</w:t>
      </w:r>
    </w:p>
    <w:p w14:paraId="3550A6FA" w14:textId="77777777" w:rsidR="00DC67D5" w:rsidRPr="00B212E1" w:rsidRDefault="00DC67D5" w:rsidP="00B212E1">
      <w:pPr>
        <w:pStyle w:val="SingleTxt"/>
        <w:spacing w:after="0" w:line="120" w:lineRule="exact"/>
        <w:rPr>
          <w:sz w:val="10"/>
        </w:rPr>
      </w:pPr>
    </w:p>
    <w:p w14:paraId="7222901F" w14:textId="2E09D75F" w:rsidR="00DC67D5" w:rsidRPr="00BC7AA5" w:rsidRDefault="00DC67D5" w:rsidP="00DC67D5">
      <w:pPr>
        <w:pStyle w:val="SingleTxt"/>
      </w:pPr>
      <w:r w:rsidRPr="00BC7AA5">
        <w:tab/>
        <w:t xml:space="preserve">El 14 de febrero de 2024, el Comité adoptó una declaración titulada </w:t>
      </w:r>
      <w:r w:rsidR="002B2D9E" w:rsidRPr="00BC7AA5">
        <w:t>“</w:t>
      </w:r>
      <w:r w:rsidRPr="00BC7AA5">
        <w:t>Persecución por motivos de género: violaciones institucionalizadas de los derechos humanos de las mujeres en el Afganistán</w:t>
      </w:r>
      <w:r w:rsidR="002B2D9E" w:rsidRPr="00BC7AA5">
        <w:t>”</w:t>
      </w:r>
      <w:r w:rsidRPr="00BC7AA5">
        <w:rPr>
          <w:vertAlign w:val="superscript"/>
        </w:rPr>
        <w:footnoteReference w:id="9"/>
      </w:r>
      <w:r w:rsidRPr="00BC7AA5">
        <w:t>.</w:t>
      </w:r>
    </w:p>
    <w:p w14:paraId="32FFE428" w14:textId="77777777" w:rsidR="00DC67D5" w:rsidRPr="00B212E1" w:rsidRDefault="00DC67D5" w:rsidP="00B212E1">
      <w:pPr>
        <w:pStyle w:val="SingleTxt"/>
        <w:spacing w:after="0" w:line="120" w:lineRule="exact"/>
        <w:rPr>
          <w:sz w:val="10"/>
        </w:rPr>
      </w:pPr>
    </w:p>
    <w:p w14:paraId="1DE0A5C7"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87/II</w:t>
      </w:r>
    </w:p>
    <w:p w14:paraId="4E449590" w14:textId="77777777" w:rsidR="00DC67D5" w:rsidRPr="00B212E1" w:rsidRDefault="00DC67D5" w:rsidP="00B212E1">
      <w:pPr>
        <w:pStyle w:val="SingleTxt"/>
        <w:spacing w:after="0" w:line="120" w:lineRule="exact"/>
        <w:rPr>
          <w:sz w:val="10"/>
        </w:rPr>
      </w:pPr>
    </w:p>
    <w:p w14:paraId="382AA016" w14:textId="4AB1C24C" w:rsidR="00DC67D5" w:rsidRPr="00BC7AA5" w:rsidRDefault="00DC67D5" w:rsidP="00DC67D5">
      <w:pPr>
        <w:pStyle w:val="SingleTxt"/>
      </w:pPr>
      <w:r w:rsidRPr="00BC7AA5">
        <w:tab/>
        <w:t xml:space="preserve">El 30 de enero, el Comité hizo suya una declaración titulada </w:t>
      </w:r>
      <w:r w:rsidR="002B2D9E" w:rsidRPr="00BC7AA5">
        <w:t>“</w:t>
      </w:r>
      <w:r w:rsidRPr="00BC7AA5">
        <w:t>El Afganistán: los arrestos y las detenciones arbitrarias de mujeres y niñas por parte de los talibanes a causa del código de vestimenta deben terminar inmediatamente</w:t>
      </w:r>
      <w:r w:rsidR="002B2D9E" w:rsidRPr="00BC7AA5">
        <w:t>”</w:t>
      </w:r>
      <w:r w:rsidRPr="00BC7AA5">
        <w:t>, emitida conjuntamente por el Relator Especial sobre la situación de los derechos humanos en el Afganistán, la Relatora Especial sobre la violencia contra las mujeres y las niñas, sus causas y consecuencias, el Grupo de Trabajo sobre la cuestión de la discriminación contra las mujeres y las niñas, el Grupo de Trabajo sobre la Detención Arbitraria y el Comité el 2 de febrero de 2024</w:t>
      </w:r>
      <w:r w:rsidRPr="00BC7AA5">
        <w:rPr>
          <w:vertAlign w:val="superscript"/>
        </w:rPr>
        <w:footnoteReference w:id="10"/>
      </w:r>
      <w:r w:rsidRPr="00BC7AA5">
        <w:t>.</w:t>
      </w:r>
    </w:p>
    <w:p w14:paraId="564C3F9C" w14:textId="77777777" w:rsidR="00DC67D5" w:rsidRPr="00B212E1" w:rsidRDefault="00DC67D5" w:rsidP="00B212E1">
      <w:pPr>
        <w:pStyle w:val="SingleTxt"/>
        <w:spacing w:after="0" w:line="120" w:lineRule="exact"/>
        <w:rPr>
          <w:sz w:val="10"/>
        </w:rPr>
      </w:pPr>
    </w:p>
    <w:p w14:paraId="463138C9"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87/III</w:t>
      </w:r>
    </w:p>
    <w:p w14:paraId="695C4D2F" w14:textId="77777777" w:rsidR="00DC67D5" w:rsidRPr="00B212E1" w:rsidRDefault="00DC67D5" w:rsidP="00B212E1">
      <w:pPr>
        <w:pStyle w:val="SingleTxt"/>
        <w:spacing w:after="0" w:line="120" w:lineRule="exact"/>
        <w:rPr>
          <w:sz w:val="10"/>
        </w:rPr>
      </w:pPr>
    </w:p>
    <w:p w14:paraId="1509FFEF" w14:textId="77777777" w:rsidR="00DC67D5" w:rsidRPr="00BC7AA5" w:rsidRDefault="00DC67D5" w:rsidP="00DC67D5">
      <w:pPr>
        <w:pStyle w:val="SingleTxt"/>
      </w:pPr>
      <w:r w:rsidRPr="00BC7AA5">
        <w:tab/>
        <w:t>El 16 de febrero, el Comité adoptó una declaración en la que pedía un alto el fuego y una resolución pacífica y duradera de la guerra en Gaza/Territorio Palestino Ocupado e Israel</w:t>
      </w:r>
      <w:r w:rsidRPr="00BC7AA5">
        <w:rPr>
          <w:vertAlign w:val="superscript"/>
        </w:rPr>
        <w:footnoteReference w:id="11"/>
      </w:r>
      <w:r w:rsidRPr="00BC7AA5">
        <w:t xml:space="preserve">. </w:t>
      </w:r>
    </w:p>
    <w:p w14:paraId="3BAC30F7" w14:textId="77777777" w:rsidR="00DC67D5" w:rsidRPr="00B212E1" w:rsidRDefault="00DC67D5" w:rsidP="00B212E1">
      <w:pPr>
        <w:pStyle w:val="SingleTxt"/>
        <w:spacing w:after="0" w:line="120" w:lineRule="exact"/>
        <w:rPr>
          <w:sz w:val="10"/>
        </w:rPr>
      </w:pPr>
    </w:p>
    <w:p w14:paraId="57DF55F6"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87/IV</w:t>
      </w:r>
    </w:p>
    <w:p w14:paraId="2DF19D3A" w14:textId="77777777" w:rsidR="00DC67D5" w:rsidRPr="00B212E1" w:rsidRDefault="00DC67D5" w:rsidP="00B212E1">
      <w:pPr>
        <w:pStyle w:val="SingleTxt"/>
        <w:spacing w:after="0" w:line="120" w:lineRule="exact"/>
        <w:rPr>
          <w:sz w:val="10"/>
        </w:rPr>
      </w:pPr>
    </w:p>
    <w:p w14:paraId="29299243" w14:textId="47ABB369" w:rsidR="00DC67D5" w:rsidRPr="00BC7AA5" w:rsidRDefault="00DC67D5" w:rsidP="00DC67D5">
      <w:pPr>
        <w:pStyle w:val="SingleTxt"/>
      </w:pPr>
      <w:r w:rsidRPr="00BC7AA5">
        <w:tab/>
        <w:t xml:space="preserve">El 16 de febrero, el Comité adoptó una declaración conjunta titulada </w:t>
      </w:r>
      <w:r w:rsidR="002B2D9E" w:rsidRPr="00BC7AA5">
        <w:t>“</w:t>
      </w:r>
      <w:r w:rsidRPr="00BC7AA5">
        <w:t>Sensibilización y acción: pobreza, desigualdad y violencia de género contra las mujeres</w:t>
      </w:r>
      <w:r w:rsidR="002B2D9E" w:rsidRPr="00BC7AA5">
        <w:t>”</w:t>
      </w:r>
      <w:r w:rsidRPr="00BC7AA5">
        <w:t>, emitida por la Plataforma de Mecanismos de Expertos Independientes sobre la Eliminación de la Discriminación y la Violencia contra la Mujer con motivo del Día Internacional de la Mujer, el 8 de marzo de 2024</w:t>
      </w:r>
      <w:r w:rsidRPr="00BC7AA5">
        <w:rPr>
          <w:vertAlign w:val="superscript"/>
        </w:rPr>
        <w:footnoteReference w:id="12"/>
      </w:r>
      <w:r w:rsidRPr="00BC7AA5">
        <w:t>.</w:t>
      </w:r>
    </w:p>
    <w:p w14:paraId="3ADCE62A" w14:textId="77777777" w:rsidR="00DC67D5" w:rsidRPr="00B212E1" w:rsidRDefault="00DC67D5" w:rsidP="00B212E1">
      <w:pPr>
        <w:pStyle w:val="SingleTxt"/>
        <w:spacing w:after="0" w:line="120" w:lineRule="exact"/>
        <w:rPr>
          <w:sz w:val="10"/>
        </w:rPr>
      </w:pPr>
    </w:p>
    <w:p w14:paraId="47769A38"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87/V</w:t>
      </w:r>
    </w:p>
    <w:p w14:paraId="2C0742B1" w14:textId="77777777" w:rsidR="00DC67D5" w:rsidRPr="00B212E1" w:rsidRDefault="00DC67D5" w:rsidP="00B212E1">
      <w:pPr>
        <w:pStyle w:val="SingleTxt"/>
        <w:spacing w:after="0" w:line="120" w:lineRule="exact"/>
        <w:rPr>
          <w:sz w:val="10"/>
        </w:rPr>
      </w:pPr>
    </w:p>
    <w:p w14:paraId="2D964CCE" w14:textId="28446B2A" w:rsidR="00DC67D5" w:rsidRPr="00BC7AA5" w:rsidRDefault="00DC67D5" w:rsidP="00DC67D5">
      <w:pPr>
        <w:pStyle w:val="SingleTxt"/>
      </w:pPr>
      <w:r w:rsidRPr="00BC7AA5">
        <w:tab/>
        <w:t>El 13 de febrero, el Comité decidió aprobar definitivamente sus observaciones finales con carácter provisional sobre los informes periódicos séptimo a décimo combinados de Nicaragua (</w:t>
      </w:r>
      <w:hyperlink r:id="rId85" w:history="1">
        <w:r w:rsidRPr="00BC7AA5">
          <w:rPr>
            <w:rStyle w:val="Hyperlink"/>
          </w:rPr>
          <w:t>CEDAW/C/NIC/PCO/7-10</w:t>
        </w:r>
      </w:hyperlink>
      <w:r w:rsidRPr="00BC7AA5">
        <w:t>) y publicarlas como documento oficial (</w:t>
      </w:r>
      <w:hyperlink r:id="rId86" w:history="1">
        <w:r w:rsidRPr="00BC7AA5">
          <w:rPr>
            <w:rStyle w:val="Hyperlink"/>
          </w:rPr>
          <w:t>CEDAW/C/NIC/CO/7-10</w:t>
        </w:r>
      </w:hyperlink>
      <w:r w:rsidRPr="00BC7AA5">
        <w:t xml:space="preserve">). </w:t>
      </w:r>
    </w:p>
    <w:p w14:paraId="7A0D3FC4" w14:textId="77777777" w:rsidR="00DC67D5" w:rsidRPr="00B212E1" w:rsidRDefault="00DC67D5" w:rsidP="00B212E1">
      <w:pPr>
        <w:pStyle w:val="SingleTxt"/>
        <w:spacing w:after="0" w:line="120" w:lineRule="exact"/>
        <w:rPr>
          <w:sz w:val="10"/>
        </w:rPr>
      </w:pPr>
    </w:p>
    <w:p w14:paraId="69544699"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87/VI</w:t>
      </w:r>
    </w:p>
    <w:p w14:paraId="61255A49" w14:textId="77777777" w:rsidR="00DC67D5" w:rsidRPr="00B212E1" w:rsidRDefault="00DC67D5" w:rsidP="00B212E1">
      <w:pPr>
        <w:pStyle w:val="SingleTxt"/>
        <w:spacing w:after="0" w:line="120" w:lineRule="exact"/>
        <w:rPr>
          <w:sz w:val="10"/>
        </w:rPr>
      </w:pPr>
    </w:p>
    <w:p w14:paraId="71058246" w14:textId="3D3190A7" w:rsidR="00DC67D5" w:rsidRPr="00BC7AA5" w:rsidRDefault="00DC67D5" w:rsidP="00DC67D5">
      <w:pPr>
        <w:pStyle w:val="SingleTxt"/>
      </w:pPr>
      <w:r w:rsidRPr="00BC7AA5">
        <w:tab/>
        <w:t>De conformidad con el artículo 18 1) b) de la Convención y en cumplimiento de su decisión 87/VII, el Comité hizo suya una lista de cuestiones y preguntas previas a la presentación del informe (</w:t>
      </w:r>
      <w:hyperlink r:id="rId87" w:history="1">
        <w:r w:rsidRPr="00BC7AA5">
          <w:rPr>
            <w:rStyle w:val="Hyperlink"/>
          </w:rPr>
          <w:t>CEDAW/C/COD/QPR/EP/1</w:t>
        </w:r>
      </w:hyperlink>
      <w:r w:rsidRPr="00BC7AA5">
        <w:t>) en relación con el informe de carácter excepcional que había solicitado al Gobierno de la República Democrática del Congo sobre la violencia sexual relacionada con el conflicto contra las mujeres y las niñas en sus provincias orientales (véase la decisión 86/VII).</w:t>
      </w:r>
    </w:p>
    <w:p w14:paraId="3C51CA8C"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87/VII</w:t>
      </w:r>
    </w:p>
    <w:p w14:paraId="28D4295D" w14:textId="77777777" w:rsidR="00DC67D5" w:rsidRPr="00B212E1" w:rsidRDefault="00DC67D5" w:rsidP="00B212E1">
      <w:pPr>
        <w:pStyle w:val="SingleTxt"/>
        <w:spacing w:after="0" w:line="120" w:lineRule="exact"/>
        <w:rPr>
          <w:sz w:val="10"/>
        </w:rPr>
      </w:pPr>
    </w:p>
    <w:p w14:paraId="6E4399B7" w14:textId="299F0570" w:rsidR="00DC67D5" w:rsidRPr="00BC7AA5" w:rsidRDefault="00DC67D5" w:rsidP="00DC67D5">
      <w:pPr>
        <w:pStyle w:val="SingleTxt"/>
      </w:pPr>
      <w:r w:rsidRPr="00BC7AA5">
        <w:tab/>
        <w:t>Para poner en práctica las directrices de Addis Abeba sobre la independencia y la imparcialidad de los miembros de los órganos creados en virtud de tratados de derechos humanos (</w:t>
      </w:r>
      <w:hyperlink r:id="rId88" w:history="1">
        <w:r w:rsidRPr="00BC7AA5">
          <w:rPr>
            <w:rStyle w:val="Hyperlink"/>
          </w:rPr>
          <w:t>A/67/222</w:t>
        </w:r>
      </w:hyperlink>
      <w:r w:rsidRPr="00BC7AA5">
        <w:t xml:space="preserve">, anexo I), el Comité decidió que sus proyectos de observaciones finales ya no se compartirían con los miembros del Comité que fueran nacionales del Estado parte interesado y que las comunicaciones confidenciales de los equipos de las Naciones Unidas en los países, las organizaciones no gubernamentales y otras fuentes de información no se publicarían en la extranet confidencial para los miembros del Comité si la fuente de la información así lo solicitaba. En ese caso, se distribuirían únicamente a los miembros del equipo de tareas sobre el país. </w:t>
      </w:r>
    </w:p>
    <w:p w14:paraId="326D05E1" w14:textId="77777777" w:rsidR="00DC67D5" w:rsidRPr="00B212E1" w:rsidRDefault="00DC67D5" w:rsidP="00B212E1">
      <w:pPr>
        <w:pStyle w:val="SingleTxt"/>
        <w:spacing w:after="0" w:line="120" w:lineRule="exact"/>
        <w:rPr>
          <w:sz w:val="10"/>
        </w:rPr>
      </w:pPr>
    </w:p>
    <w:p w14:paraId="1B876115"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87/VIII</w:t>
      </w:r>
    </w:p>
    <w:p w14:paraId="33A41C06" w14:textId="77777777" w:rsidR="00DC67D5" w:rsidRPr="00B212E1" w:rsidRDefault="00DC67D5" w:rsidP="00B212E1">
      <w:pPr>
        <w:pStyle w:val="SingleTxt"/>
        <w:spacing w:after="0" w:line="120" w:lineRule="exact"/>
        <w:rPr>
          <w:sz w:val="10"/>
        </w:rPr>
      </w:pPr>
    </w:p>
    <w:p w14:paraId="39D3F144" w14:textId="77777777" w:rsidR="00DC67D5" w:rsidRPr="00BC7AA5" w:rsidRDefault="00DC67D5" w:rsidP="00DC67D5">
      <w:pPr>
        <w:pStyle w:val="SingleTxt"/>
      </w:pPr>
      <w:r w:rsidRPr="00BC7AA5">
        <w:tab/>
        <w:t>El 16 de febrero, el Comité aprobó la nota conceptual para un proyecto de recomendación general sobre los estereotipos de género.</w:t>
      </w:r>
    </w:p>
    <w:p w14:paraId="5E093232" w14:textId="77777777" w:rsidR="00D71DB2" w:rsidRPr="00B212E1" w:rsidRDefault="00D71DB2" w:rsidP="00B212E1">
      <w:pPr>
        <w:pStyle w:val="SingleTxt"/>
        <w:spacing w:after="0" w:line="120" w:lineRule="exact"/>
        <w:rPr>
          <w:b/>
          <w:sz w:val="10"/>
        </w:rPr>
      </w:pPr>
    </w:p>
    <w:p w14:paraId="12DB8470" w14:textId="7D631AD4"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87/IX</w:t>
      </w:r>
    </w:p>
    <w:p w14:paraId="0A748226" w14:textId="77777777" w:rsidR="00DC67D5" w:rsidRPr="00B212E1" w:rsidRDefault="00DC67D5" w:rsidP="00B212E1">
      <w:pPr>
        <w:pStyle w:val="SingleTxt"/>
        <w:spacing w:after="0" w:line="120" w:lineRule="exact"/>
        <w:rPr>
          <w:sz w:val="10"/>
        </w:rPr>
      </w:pPr>
    </w:p>
    <w:p w14:paraId="32B1ADE5" w14:textId="77777777" w:rsidR="00DC67D5" w:rsidRPr="00BC7AA5" w:rsidRDefault="00DC67D5" w:rsidP="00DC67D5">
      <w:pPr>
        <w:pStyle w:val="SingleTxt"/>
      </w:pPr>
      <w:r w:rsidRPr="00BC7AA5">
        <w:tab/>
        <w:t>El 16 de febrero, el Comité hizo suya su contribución al foro político de alto nivel sobre el desarrollo sostenible en 2024</w:t>
      </w:r>
      <w:r w:rsidRPr="00BC7AA5">
        <w:rPr>
          <w:vertAlign w:val="superscript"/>
        </w:rPr>
        <w:footnoteReference w:id="13"/>
      </w:r>
      <w:r w:rsidRPr="00BC7AA5">
        <w:t>.</w:t>
      </w:r>
    </w:p>
    <w:p w14:paraId="5EC16114" w14:textId="77777777" w:rsidR="00D71DB2" w:rsidRPr="00B212E1" w:rsidRDefault="00D71DB2" w:rsidP="00B212E1">
      <w:pPr>
        <w:pStyle w:val="SingleTxt"/>
        <w:spacing w:after="0" w:line="120" w:lineRule="exact"/>
        <w:rPr>
          <w:b/>
          <w:sz w:val="10"/>
        </w:rPr>
      </w:pPr>
    </w:p>
    <w:p w14:paraId="6568E59C" w14:textId="6553E692"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87/X</w:t>
      </w:r>
    </w:p>
    <w:p w14:paraId="7575128B" w14:textId="77777777" w:rsidR="00D71DB2" w:rsidRPr="00D71DB2" w:rsidRDefault="00D71DB2" w:rsidP="00B212E1">
      <w:pPr>
        <w:pStyle w:val="SingleTxt"/>
        <w:spacing w:after="0" w:line="120" w:lineRule="exact"/>
        <w:rPr>
          <w:sz w:val="10"/>
        </w:rPr>
      </w:pPr>
    </w:p>
    <w:p w14:paraId="438EAF8C" w14:textId="77777777" w:rsidR="00DC67D5" w:rsidRPr="00BC7AA5" w:rsidRDefault="00DC67D5" w:rsidP="00DC67D5">
      <w:pPr>
        <w:pStyle w:val="SingleTxt"/>
      </w:pPr>
      <w:r w:rsidRPr="00BC7AA5">
        <w:tab/>
        <w:t>El Comité decidió convocar su reunión oficiosa bienal con los Estados partes en la Convención durante su 89º período de sesiones, en octubre de 2024, en una sesión pública, y pidió a la secretaría que adoptara las disposiciones necesarias.</w:t>
      </w:r>
    </w:p>
    <w:p w14:paraId="53F15D6F" w14:textId="77777777" w:rsidR="00DC67D5" w:rsidRPr="00B212E1" w:rsidRDefault="00DC67D5" w:rsidP="00B212E1">
      <w:pPr>
        <w:pStyle w:val="SingleTxt"/>
        <w:spacing w:after="0" w:line="120" w:lineRule="exact"/>
        <w:rPr>
          <w:sz w:val="10"/>
        </w:rPr>
      </w:pPr>
    </w:p>
    <w:p w14:paraId="6D9A416A"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Decisión 87/XI</w:t>
      </w:r>
    </w:p>
    <w:p w14:paraId="51CC7465" w14:textId="77777777" w:rsidR="00DC67D5" w:rsidRPr="00B212E1" w:rsidRDefault="00DC67D5" w:rsidP="00B212E1">
      <w:pPr>
        <w:pStyle w:val="SingleTxt"/>
        <w:spacing w:after="0" w:line="120" w:lineRule="exact"/>
        <w:rPr>
          <w:sz w:val="10"/>
        </w:rPr>
      </w:pPr>
    </w:p>
    <w:p w14:paraId="2B9A2E52" w14:textId="77777777" w:rsidR="00DC67D5" w:rsidRPr="00BC7AA5" w:rsidRDefault="00DC67D5" w:rsidP="00DC67D5">
      <w:pPr>
        <w:pStyle w:val="SingleTxt"/>
      </w:pPr>
      <w:r w:rsidRPr="00BC7AA5">
        <w:tab/>
        <w:t>El Comité confirmó a los miembros del grupo de trabajo anterior al 89º período de sesiones: Hiroko Akizuki, Leticia Bonifaz Alfonzo, Corinne Dettmeijer-Vermeulen, Esther Eghobamien-Mshelia y Genoveva Tisheva.</w:t>
      </w:r>
    </w:p>
    <w:p w14:paraId="54EFBB48" w14:textId="77777777" w:rsidR="00DC67D5" w:rsidRPr="00BC7AA5" w:rsidRDefault="00DC67D5" w:rsidP="00DC67D5">
      <w:pPr>
        <w:pStyle w:val="SingleTxt"/>
      </w:pPr>
      <w:r w:rsidRPr="00BC7AA5">
        <w:br w:type="page"/>
      </w:r>
    </w:p>
    <w:p w14:paraId="0BF09B8A"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w:t>
      </w:r>
    </w:p>
    <w:p w14:paraId="288BC391" w14:textId="450B3D99" w:rsidR="00DC67D5" w:rsidRPr="00BC7AA5" w:rsidRDefault="001F3CF8"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Cuestiones de organización y otros asuntos</w:t>
      </w:r>
    </w:p>
    <w:p w14:paraId="14DA61A1" w14:textId="3949134F" w:rsidR="00DC67D5" w:rsidRPr="00B212E1" w:rsidRDefault="00DC67D5" w:rsidP="00B212E1">
      <w:pPr>
        <w:pStyle w:val="SingleTxt"/>
        <w:spacing w:after="0" w:line="120" w:lineRule="exact"/>
        <w:rPr>
          <w:sz w:val="10"/>
        </w:rPr>
      </w:pPr>
    </w:p>
    <w:p w14:paraId="0AB8D730" w14:textId="77777777" w:rsidR="001F3CF8" w:rsidRPr="00B212E1" w:rsidRDefault="001F3CF8" w:rsidP="00B212E1">
      <w:pPr>
        <w:pStyle w:val="SingleTxt"/>
        <w:spacing w:after="0" w:line="120" w:lineRule="exact"/>
        <w:rPr>
          <w:sz w:val="10"/>
        </w:rPr>
      </w:pPr>
    </w:p>
    <w:p w14:paraId="65E0D1F2"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Estados partes en la Convención y en el Protocolo Facultativo</w:t>
      </w:r>
    </w:p>
    <w:p w14:paraId="7CE31A69" w14:textId="77777777" w:rsidR="00DC67D5" w:rsidRPr="00B212E1" w:rsidRDefault="00DC67D5" w:rsidP="00B212E1">
      <w:pPr>
        <w:pStyle w:val="SingleTxt"/>
        <w:spacing w:after="0" w:line="120" w:lineRule="exact"/>
        <w:rPr>
          <w:sz w:val="10"/>
        </w:rPr>
      </w:pPr>
    </w:p>
    <w:p w14:paraId="1DF7561B" w14:textId="77777777" w:rsidR="001F3CF8" w:rsidRPr="00B212E1" w:rsidRDefault="001F3CF8" w:rsidP="00B212E1">
      <w:pPr>
        <w:pStyle w:val="SingleTxt"/>
        <w:spacing w:after="0" w:line="120" w:lineRule="exact"/>
        <w:rPr>
          <w:sz w:val="10"/>
        </w:rPr>
      </w:pPr>
    </w:p>
    <w:p w14:paraId="5583EEA2" w14:textId="77777777" w:rsidR="00DC67D5" w:rsidRPr="00BC7AA5" w:rsidRDefault="00DC67D5" w:rsidP="00DC67D5">
      <w:pPr>
        <w:pStyle w:val="SingleTxt"/>
      </w:pPr>
      <w:r w:rsidRPr="00BC7AA5">
        <w:t>1.</w:t>
      </w:r>
      <w:r w:rsidRPr="00BC7AA5">
        <w:tab/>
        <w:t xml:space="preserve">Al 16 de febrero de 2024, fecha de clausura del 87º período de sesiones del Comité, el estado de ratificación de la Convención era de 189 Estados partes y el número de Estados partes que habían aceptado la enmienda del artículo 20 1) de la Convención, relativo al tiempo asignado a las reuniones del Comité, era de 81, cifras idénticas a las registradas el 27 de octubre de 2023, fecha de clausura del 86º período de sesiones. </w:t>
      </w:r>
    </w:p>
    <w:p w14:paraId="4166939E" w14:textId="6DF38689" w:rsidR="00DC67D5" w:rsidRPr="00BC7AA5" w:rsidRDefault="00DC67D5" w:rsidP="00DC67D5">
      <w:pPr>
        <w:pStyle w:val="SingleTxt"/>
      </w:pPr>
      <w:r w:rsidRPr="00BC7AA5">
        <w:t>2.</w:t>
      </w:r>
      <w:r w:rsidRPr="00BC7AA5">
        <w:tab/>
        <w:t>El estado de ratificación del Protocolo Facultativo de la Convención era de 115</w:t>
      </w:r>
      <w:r w:rsidR="003457BF">
        <w:t> </w:t>
      </w:r>
      <w:r w:rsidRPr="00BC7AA5">
        <w:t xml:space="preserve">Estados partes, cifra idéntica a la registrada el 27 de octubre, fecha de clausura del 86º período de sesiones. </w:t>
      </w:r>
    </w:p>
    <w:p w14:paraId="1739FB47" w14:textId="77777777" w:rsidR="00DC67D5" w:rsidRPr="00B212E1" w:rsidRDefault="00DC67D5" w:rsidP="00B212E1">
      <w:pPr>
        <w:pStyle w:val="SingleTxt"/>
        <w:spacing w:after="0" w:line="120" w:lineRule="exact"/>
        <w:rPr>
          <w:sz w:val="10"/>
        </w:rPr>
      </w:pPr>
    </w:p>
    <w:p w14:paraId="5F3217B1" w14:textId="77777777" w:rsidR="003457BF" w:rsidRPr="00B212E1" w:rsidRDefault="003457BF" w:rsidP="00B212E1">
      <w:pPr>
        <w:pStyle w:val="SingleTxt"/>
        <w:spacing w:after="0" w:line="120" w:lineRule="exact"/>
        <w:rPr>
          <w:sz w:val="10"/>
        </w:rPr>
      </w:pPr>
    </w:p>
    <w:p w14:paraId="3B929CBF"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Apertura del período de sesiones</w:t>
      </w:r>
    </w:p>
    <w:p w14:paraId="02940E14" w14:textId="77777777" w:rsidR="00DC67D5" w:rsidRPr="00B212E1" w:rsidRDefault="00DC67D5" w:rsidP="00B212E1">
      <w:pPr>
        <w:pStyle w:val="SingleTxt"/>
        <w:spacing w:after="0" w:line="120" w:lineRule="exact"/>
        <w:rPr>
          <w:sz w:val="10"/>
        </w:rPr>
      </w:pPr>
    </w:p>
    <w:p w14:paraId="4FA2369B" w14:textId="77777777" w:rsidR="003457BF" w:rsidRPr="00B212E1" w:rsidRDefault="003457BF" w:rsidP="00B212E1">
      <w:pPr>
        <w:pStyle w:val="SingleTxt"/>
        <w:spacing w:after="0" w:line="120" w:lineRule="exact"/>
        <w:rPr>
          <w:sz w:val="10"/>
        </w:rPr>
      </w:pPr>
    </w:p>
    <w:p w14:paraId="08E9C934" w14:textId="327D1767" w:rsidR="00DC67D5" w:rsidRPr="00BC7AA5" w:rsidRDefault="00DC67D5" w:rsidP="00DC67D5">
      <w:pPr>
        <w:pStyle w:val="SingleTxt"/>
      </w:pPr>
      <w:r w:rsidRPr="00BC7AA5">
        <w:t>3.</w:t>
      </w:r>
      <w:r w:rsidRPr="00BC7AA5">
        <w:tab/>
        <w:t>El 87º período de sesiones del Comité se celebró en la Oficina de las Naciones Unidas en Ginebra, del 29 de enero al 16 de febrero de 2024. El Comité celebró 20</w:t>
      </w:r>
      <w:r w:rsidR="003457BF">
        <w:t> </w:t>
      </w:r>
      <w:r w:rsidRPr="00BC7AA5">
        <w:t>sesiones plenarias y 10 sesiones para examinar los temas 5 a 8 del programa. En el anexo I de la tercera parte del presente informe figura una lista de los documentos que tuvo ante sí el Comité.</w:t>
      </w:r>
    </w:p>
    <w:p w14:paraId="0BD88E13" w14:textId="77777777" w:rsidR="00DC67D5" w:rsidRPr="00BC7AA5" w:rsidRDefault="00DC67D5" w:rsidP="00DC67D5">
      <w:pPr>
        <w:pStyle w:val="SingleTxt"/>
      </w:pPr>
      <w:r w:rsidRPr="00BC7AA5">
        <w:t>4.</w:t>
      </w:r>
      <w:r w:rsidRPr="00BC7AA5">
        <w:tab/>
        <w:t>En la 2029ª sesión, celebrada el 29 de enero, la Presidenta, Ana Peláez Narváez, inauguró el período de sesiones.</w:t>
      </w:r>
    </w:p>
    <w:p w14:paraId="0DCF3059" w14:textId="77777777" w:rsidR="00DC67D5" w:rsidRPr="00B212E1" w:rsidRDefault="00DC67D5" w:rsidP="00B212E1">
      <w:pPr>
        <w:pStyle w:val="SingleTxt"/>
        <w:spacing w:after="0" w:line="120" w:lineRule="exact"/>
        <w:rPr>
          <w:sz w:val="10"/>
        </w:rPr>
      </w:pPr>
    </w:p>
    <w:p w14:paraId="1C2E40D3" w14:textId="77777777" w:rsidR="003457BF" w:rsidRPr="00B212E1" w:rsidRDefault="003457BF" w:rsidP="00B212E1">
      <w:pPr>
        <w:pStyle w:val="SingleTxt"/>
        <w:spacing w:after="0" w:line="120" w:lineRule="exact"/>
        <w:rPr>
          <w:sz w:val="10"/>
        </w:rPr>
      </w:pPr>
    </w:p>
    <w:p w14:paraId="6DBA7F6A"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Aprobación del programa</w:t>
      </w:r>
    </w:p>
    <w:p w14:paraId="26B6EF4F" w14:textId="77777777" w:rsidR="00DC67D5" w:rsidRPr="00B212E1" w:rsidRDefault="00DC67D5" w:rsidP="00B212E1">
      <w:pPr>
        <w:pStyle w:val="SingleTxt"/>
        <w:spacing w:after="0" w:line="120" w:lineRule="exact"/>
        <w:rPr>
          <w:sz w:val="10"/>
        </w:rPr>
      </w:pPr>
    </w:p>
    <w:p w14:paraId="0BD5B9B1" w14:textId="77777777" w:rsidR="003457BF" w:rsidRPr="00B212E1" w:rsidRDefault="003457BF" w:rsidP="00B212E1">
      <w:pPr>
        <w:pStyle w:val="SingleTxt"/>
        <w:spacing w:after="0" w:line="120" w:lineRule="exact"/>
        <w:rPr>
          <w:sz w:val="10"/>
        </w:rPr>
      </w:pPr>
    </w:p>
    <w:p w14:paraId="5F4BB976" w14:textId="253010C2" w:rsidR="00DC67D5" w:rsidRPr="00BC7AA5" w:rsidRDefault="00DC67D5" w:rsidP="00DC67D5">
      <w:pPr>
        <w:pStyle w:val="SingleTxt"/>
      </w:pPr>
      <w:r w:rsidRPr="00BC7AA5">
        <w:t>5.</w:t>
      </w:r>
      <w:r w:rsidRPr="00BC7AA5">
        <w:tab/>
        <w:t>El Comité aprobó el programa provisional (</w:t>
      </w:r>
      <w:hyperlink r:id="rId89" w:history="1">
        <w:r w:rsidRPr="00BC7AA5">
          <w:rPr>
            <w:rStyle w:val="Hyperlink"/>
          </w:rPr>
          <w:t>CEDAW/C/87/1</w:t>
        </w:r>
      </w:hyperlink>
      <w:r w:rsidRPr="00BC7AA5">
        <w:t>) en su 2029ª sesión, celebrada el 29 de enero.</w:t>
      </w:r>
    </w:p>
    <w:p w14:paraId="7716DB86" w14:textId="77777777" w:rsidR="00DC67D5" w:rsidRPr="00B212E1" w:rsidRDefault="00DC67D5" w:rsidP="00B212E1">
      <w:pPr>
        <w:pStyle w:val="SingleTxt"/>
        <w:spacing w:after="0" w:line="120" w:lineRule="exact"/>
        <w:rPr>
          <w:sz w:val="10"/>
        </w:rPr>
      </w:pPr>
    </w:p>
    <w:p w14:paraId="70DB1EB2" w14:textId="77777777" w:rsidR="003457BF" w:rsidRPr="00B212E1" w:rsidRDefault="003457BF" w:rsidP="00B212E1">
      <w:pPr>
        <w:pStyle w:val="SingleTxt"/>
        <w:spacing w:after="0" w:line="120" w:lineRule="exact"/>
        <w:rPr>
          <w:sz w:val="10"/>
        </w:rPr>
      </w:pPr>
    </w:p>
    <w:p w14:paraId="2541C179"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D.</w:t>
      </w:r>
      <w:r w:rsidRPr="00BC7AA5">
        <w:tab/>
        <w:t>Informe del grupo de trabajo anterior al período de sesiones</w:t>
      </w:r>
    </w:p>
    <w:p w14:paraId="66A808D6" w14:textId="77777777" w:rsidR="00DC67D5" w:rsidRPr="00B212E1" w:rsidRDefault="00DC67D5" w:rsidP="00B212E1">
      <w:pPr>
        <w:pStyle w:val="SingleTxt"/>
        <w:spacing w:after="0" w:line="120" w:lineRule="exact"/>
        <w:rPr>
          <w:sz w:val="10"/>
        </w:rPr>
      </w:pPr>
    </w:p>
    <w:p w14:paraId="5B926B23" w14:textId="77777777" w:rsidR="003457BF" w:rsidRPr="00B212E1" w:rsidRDefault="003457BF" w:rsidP="00B212E1">
      <w:pPr>
        <w:pStyle w:val="SingleTxt"/>
        <w:spacing w:after="0" w:line="120" w:lineRule="exact"/>
        <w:rPr>
          <w:sz w:val="10"/>
        </w:rPr>
      </w:pPr>
    </w:p>
    <w:p w14:paraId="45BC8656" w14:textId="4F221588" w:rsidR="00DC67D5" w:rsidRPr="00BC7AA5" w:rsidRDefault="00DC67D5" w:rsidP="00DC67D5">
      <w:pPr>
        <w:pStyle w:val="SingleTxt"/>
      </w:pPr>
      <w:r w:rsidRPr="00BC7AA5">
        <w:t>6.</w:t>
      </w:r>
      <w:r w:rsidRPr="00BC7AA5">
        <w:tab/>
        <w:t>El informe del grupo de trabajo anterior al período de sesiones (</w:t>
      </w:r>
      <w:hyperlink r:id="rId90" w:history="1">
        <w:r w:rsidRPr="00BC7AA5">
          <w:rPr>
            <w:rStyle w:val="Hyperlink"/>
          </w:rPr>
          <w:t>CEDAW/C/PSWG/87/1</w:t>
        </w:r>
      </w:hyperlink>
      <w:r w:rsidRPr="00BC7AA5">
        <w:t>), que se había reunido del 30 de mayo al 2 de junio de 2023, fue presentado por Marion Bethel en la 2029ª sesión, que tuvo lugar el 29 de enero.</w:t>
      </w:r>
    </w:p>
    <w:p w14:paraId="6C7A5C65" w14:textId="77777777" w:rsidR="00DC67D5" w:rsidRPr="00B212E1" w:rsidRDefault="00DC67D5" w:rsidP="00B212E1">
      <w:pPr>
        <w:pStyle w:val="SingleTxt"/>
        <w:spacing w:after="0" w:line="120" w:lineRule="exact"/>
        <w:rPr>
          <w:sz w:val="10"/>
        </w:rPr>
      </w:pPr>
    </w:p>
    <w:p w14:paraId="1404F34C" w14:textId="77777777" w:rsidR="003457BF" w:rsidRPr="00B212E1" w:rsidRDefault="003457BF" w:rsidP="00B212E1">
      <w:pPr>
        <w:pStyle w:val="SingleTxt"/>
        <w:spacing w:after="0" w:line="120" w:lineRule="exact"/>
        <w:rPr>
          <w:sz w:val="10"/>
        </w:rPr>
      </w:pPr>
    </w:p>
    <w:p w14:paraId="42C30EF1"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E.</w:t>
      </w:r>
      <w:r w:rsidRPr="00BC7AA5">
        <w:tab/>
        <w:t>Organización de los trabajos</w:t>
      </w:r>
    </w:p>
    <w:p w14:paraId="50211302" w14:textId="77777777" w:rsidR="00DC67D5" w:rsidRPr="00B212E1" w:rsidRDefault="00DC67D5" w:rsidP="00B212E1">
      <w:pPr>
        <w:pStyle w:val="SingleTxt"/>
        <w:spacing w:after="0" w:line="120" w:lineRule="exact"/>
        <w:rPr>
          <w:sz w:val="10"/>
        </w:rPr>
      </w:pPr>
    </w:p>
    <w:p w14:paraId="7AC2E1A4" w14:textId="77777777" w:rsidR="003457BF" w:rsidRPr="00B212E1" w:rsidRDefault="003457BF" w:rsidP="00B212E1">
      <w:pPr>
        <w:pStyle w:val="SingleTxt"/>
        <w:spacing w:after="0" w:line="120" w:lineRule="exact"/>
        <w:rPr>
          <w:sz w:val="10"/>
        </w:rPr>
      </w:pPr>
    </w:p>
    <w:p w14:paraId="6A101DC2" w14:textId="77777777" w:rsidR="00DC67D5" w:rsidRPr="00BC7AA5" w:rsidRDefault="00DC67D5" w:rsidP="00DC67D5">
      <w:pPr>
        <w:pStyle w:val="SingleTxt"/>
      </w:pPr>
      <w:r w:rsidRPr="00BC7AA5">
        <w:t>7.</w:t>
      </w:r>
      <w:r w:rsidRPr="00BC7AA5">
        <w:tab/>
        <w:t>Los días 29 de enero y 5 de febrero de 2024, el Comité celebró sesiones privadas a distancia con representantes de los organismos especializados, fondos y programas del sistema de las Naciones Unidas y de otras organizaciones intergubernamentales, que facilitaron información sobre determinados países y sobre las actividades que habían realizado esos órganos para apoyar la aplicación de la Convención.</w:t>
      </w:r>
    </w:p>
    <w:p w14:paraId="07529204" w14:textId="77777777" w:rsidR="00DC67D5" w:rsidRDefault="00DC67D5" w:rsidP="00DC67D5">
      <w:pPr>
        <w:pStyle w:val="SingleTxt"/>
      </w:pPr>
      <w:r w:rsidRPr="00BC7AA5">
        <w:t>8.</w:t>
      </w:r>
      <w:r w:rsidRPr="00BC7AA5">
        <w:tab/>
        <w:t>Además, el Comité celebró sesiones públicas oficiosas a distancia con representantes de organizaciones no gubernamentales e instituciones nacionales de derechos humanos, que informaron sobre la aplicación de la Convención en los Estados partes cuyos informes estaba examinando el Comité en su 87º período de sesiones.</w:t>
      </w:r>
    </w:p>
    <w:p w14:paraId="78C2F466" w14:textId="2CE1576A" w:rsidR="00992166" w:rsidRDefault="00992166">
      <w:pPr>
        <w:suppressAutoHyphens w:val="0"/>
        <w:spacing w:after="160" w:line="259" w:lineRule="auto"/>
        <w:rPr>
          <w:kern w:val="14"/>
        </w:rPr>
      </w:pPr>
      <w:r>
        <w:br w:type="page"/>
      </w:r>
    </w:p>
    <w:p w14:paraId="05B86492" w14:textId="77777777" w:rsidR="00DC67D5" w:rsidRPr="00BC7AA5" w:rsidRDefault="00DC67D5" w:rsidP="00DC67D5">
      <w:pPr>
        <w:pStyle w:val="SingleTxt"/>
      </w:pPr>
      <w:r w:rsidRPr="00BC7AA5">
        <w:t>9.</w:t>
      </w:r>
      <w:r w:rsidRPr="00BC7AA5">
        <w:tab/>
        <w:t>El 8 de febrero, el Comité se reunió de manera oficiosa con la Jefa, Pernille Fenger, y el Jefe Adjunto, Alfonso Barragues, de la Oficina del UNFPA en Ginebra, quienes informaron al Comité sobre datos relativos a la meta 5.6 de los Objetivos de Desarrollo Sostenible y proporcionaron información actualizada sobre el examen de los 30 años de implementación del Programa de Acción de la Conferencia Internacional sobre la Población y el Desarrollo.</w:t>
      </w:r>
    </w:p>
    <w:p w14:paraId="0DF6E299" w14:textId="77777777" w:rsidR="00DC67D5" w:rsidRPr="00BC7AA5" w:rsidRDefault="00DC67D5" w:rsidP="00DC67D5">
      <w:pPr>
        <w:pStyle w:val="SingleTxt"/>
      </w:pPr>
      <w:r w:rsidRPr="00BC7AA5">
        <w:t>10.</w:t>
      </w:r>
      <w:r w:rsidRPr="00BC7AA5">
        <w:tab/>
        <w:t>El 5 de febrero, Felix Kirchmeier, Director Ejecutivo, y Domenico Zipoli, Coordinador de Proyectos, de la Plataforma de Derechos Humanos de Ginebra, Academia de Derecho Internacional Humanitario y Derechos Humanos de Ginebra, informaron al Comité sobre un reciente examen piloto de seguimiento realizado en Fiji para probar un método de seguimiento de las recomendaciones de los órganos de tratados a nivel regional.</w:t>
      </w:r>
    </w:p>
    <w:p w14:paraId="535FCBD7" w14:textId="77777777" w:rsidR="00DC67D5" w:rsidRPr="00BC7AA5" w:rsidRDefault="00DC67D5" w:rsidP="00DC67D5">
      <w:pPr>
        <w:pStyle w:val="SingleTxt"/>
      </w:pPr>
      <w:r w:rsidRPr="00BC7AA5">
        <w:t>11.</w:t>
      </w:r>
      <w:r w:rsidRPr="00BC7AA5">
        <w:tab/>
        <w:t>El 6 de febrero, el Comité celebró una sesión privada en línea con la Relatora Especial sobre la violencia contra las mujeres y las niñas, sus causas y consecuencias, Reem Alsalem, quien informó al Comité sobre el riesgo de que se supriman los derechos y el lenguaje basado en el sexo y sobre su informe al Consejo de Derechos Humanos sobre la custodia, la violencia contra las mujeres y la violencia contra los niños.</w:t>
      </w:r>
    </w:p>
    <w:p w14:paraId="1D1BE328" w14:textId="77777777" w:rsidR="00DC67D5" w:rsidRPr="00BC7AA5" w:rsidRDefault="00DC67D5" w:rsidP="00DC67D5">
      <w:pPr>
        <w:pStyle w:val="SingleTxt"/>
      </w:pPr>
      <w:r w:rsidRPr="00BC7AA5">
        <w:t>12.</w:t>
      </w:r>
      <w:r w:rsidRPr="00BC7AA5">
        <w:tab/>
        <w:t>El 7 de febrero, el Comité asistió a una recepción y una reunión técnica de alto nivel que versaban sobre la propuesta de un Segundo Protocolo Facultativo de la Convención relativo a la violencia de género contra las mujeres, organizadas por las Misiones Permanentes de Antigua y Barbuda, Costa Rica, la República Democrática del Congo y Sierra Leona.</w:t>
      </w:r>
    </w:p>
    <w:p w14:paraId="51E62629" w14:textId="77777777" w:rsidR="00DC67D5" w:rsidRPr="00BC7AA5" w:rsidRDefault="00DC67D5" w:rsidP="00DC67D5">
      <w:pPr>
        <w:pStyle w:val="SingleTxt"/>
      </w:pPr>
      <w:r w:rsidRPr="00BC7AA5">
        <w:t>13.</w:t>
      </w:r>
      <w:r w:rsidRPr="00BC7AA5">
        <w:tab/>
        <w:t>El 12 de febrero, el Comité celebró una sesión privada en línea con el Relator Especial sobre la situación de los derechos humanos en Myanmar, Thomas Andrews, quien informó al Comité sobre la situación de las mujeres y las niñas en Myanmar.</w:t>
      </w:r>
    </w:p>
    <w:p w14:paraId="0552C851" w14:textId="77777777" w:rsidR="00DC67D5" w:rsidRPr="00BC7AA5" w:rsidRDefault="00DC67D5" w:rsidP="00DC67D5">
      <w:pPr>
        <w:pStyle w:val="SingleTxt"/>
      </w:pPr>
      <w:r w:rsidRPr="00BC7AA5">
        <w:t>14.</w:t>
      </w:r>
      <w:r w:rsidRPr="00BC7AA5">
        <w:tab/>
        <w:t>El 13 de febrero, el Comité se reunió oficiosamente con el Comité de Derechos Económicos, Sociales y Culturales para examinar el proyecto de observación general de este último sobre el impacto de las políticas en materia de drogas en los derechos económicos, sociales y culturales. La reunión fue organizada por la Academia de Derecho Internacional Humanitario y Derechos Humanos de Ginebra, en el marco de la Plataforma de Derechos Humanos de Ginebra.</w:t>
      </w:r>
    </w:p>
    <w:p w14:paraId="53DB8199" w14:textId="77777777" w:rsidR="00DC67D5" w:rsidRPr="00B212E1" w:rsidRDefault="00DC67D5" w:rsidP="00B212E1">
      <w:pPr>
        <w:pStyle w:val="SingleTxt"/>
        <w:spacing w:after="0" w:line="120" w:lineRule="exact"/>
        <w:rPr>
          <w:sz w:val="10"/>
        </w:rPr>
      </w:pPr>
    </w:p>
    <w:p w14:paraId="66633CD9" w14:textId="77777777" w:rsidR="003457BF" w:rsidRPr="00B212E1" w:rsidRDefault="003457BF" w:rsidP="00B212E1">
      <w:pPr>
        <w:pStyle w:val="SingleTxt"/>
        <w:spacing w:after="0" w:line="120" w:lineRule="exact"/>
        <w:rPr>
          <w:sz w:val="10"/>
        </w:rPr>
      </w:pPr>
    </w:p>
    <w:p w14:paraId="6D1B9F4E"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F.</w:t>
      </w:r>
      <w:r w:rsidRPr="00BC7AA5">
        <w:tab/>
        <w:t>Composición del Comité</w:t>
      </w:r>
    </w:p>
    <w:p w14:paraId="57BB7569" w14:textId="77777777" w:rsidR="00DC67D5" w:rsidRPr="00B212E1" w:rsidRDefault="00DC67D5" w:rsidP="00B212E1">
      <w:pPr>
        <w:pStyle w:val="SingleTxt"/>
        <w:spacing w:after="0" w:line="120" w:lineRule="exact"/>
        <w:rPr>
          <w:sz w:val="10"/>
        </w:rPr>
      </w:pPr>
    </w:p>
    <w:p w14:paraId="1CC4BF77" w14:textId="77777777" w:rsidR="003457BF" w:rsidRPr="00B212E1" w:rsidRDefault="003457BF" w:rsidP="00B212E1">
      <w:pPr>
        <w:pStyle w:val="SingleTxt"/>
        <w:spacing w:after="0" w:line="120" w:lineRule="exact"/>
        <w:rPr>
          <w:sz w:val="10"/>
        </w:rPr>
      </w:pPr>
    </w:p>
    <w:p w14:paraId="47257D7E"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Participación en el 87º período de sesiones</w:t>
      </w:r>
    </w:p>
    <w:p w14:paraId="044C225E" w14:textId="77777777" w:rsidR="00DC67D5" w:rsidRPr="00B212E1" w:rsidRDefault="00DC67D5" w:rsidP="00B212E1">
      <w:pPr>
        <w:pStyle w:val="SingleTxt"/>
        <w:spacing w:after="0" w:line="120" w:lineRule="exact"/>
        <w:rPr>
          <w:sz w:val="10"/>
        </w:rPr>
      </w:pPr>
    </w:p>
    <w:p w14:paraId="77CF3095" w14:textId="77777777" w:rsidR="00DC67D5" w:rsidRPr="00BC7AA5" w:rsidRDefault="00DC67D5" w:rsidP="00DC67D5">
      <w:pPr>
        <w:pStyle w:val="SingleTxt"/>
      </w:pPr>
      <w:r w:rsidRPr="00BC7AA5">
        <w:t>15.</w:t>
      </w:r>
      <w:r w:rsidRPr="00BC7AA5">
        <w:tab/>
        <w:t>Todos los miembros participaron en el 87º período de sesiones. Los siguientes miembros no asistieron en las fechas indicadas: Rosario Manalo, el 16 de febrero; Rhoda Reddock, los días 1 y 2 de febrero; y Natasha Stott Despoja, el 16 de febrero de 2024. En el anexo II de la tercera parte del presente informe figura una lista de los miembros del Comité, en la que se indica la duración del mandato de cada uno.</w:t>
      </w:r>
    </w:p>
    <w:p w14:paraId="6287CC6C" w14:textId="77777777" w:rsidR="00DC67D5" w:rsidRPr="00BC7AA5" w:rsidRDefault="00DC67D5" w:rsidP="00DC67D5">
      <w:pPr>
        <w:pStyle w:val="SingleTxt"/>
      </w:pPr>
      <w:r w:rsidRPr="00BC7AA5">
        <w:br w:type="page"/>
      </w:r>
    </w:p>
    <w:p w14:paraId="0EBA34A9"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III</w:t>
      </w:r>
    </w:p>
    <w:p w14:paraId="188300AD" w14:textId="01CD5887" w:rsidR="00DC67D5" w:rsidRPr="00BC7AA5" w:rsidRDefault="00D95246"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Informe de la Presidencia sobre las actividades realizadas entre períodos de sesiones</w:t>
      </w:r>
    </w:p>
    <w:p w14:paraId="74BDB90C" w14:textId="77777777" w:rsidR="00DC67D5" w:rsidRPr="00B212E1" w:rsidRDefault="00DC67D5" w:rsidP="00B212E1">
      <w:pPr>
        <w:pStyle w:val="SingleTxt"/>
        <w:spacing w:after="0" w:line="120" w:lineRule="exact"/>
        <w:rPr>
          <w:sz w:val="10"/>
        </w:rPr>
      </w:pPr>
    </w:p>
    <w:p w14:paraId="76C3C48A" w14:textId="77777777" w:rsidR="00D95246" w:rsidRPr="00B212E1" w:rsidRDefault="00D95246" w:rsidP="00B212E1">
      <w:pPr>
        <w:pStyle w:val="SingleTxt"/>
        <w:spacing w:after="0" w:line="120" w:lineRule="exact"/>
        <w:rPr>
          <w:sz w:val="10"/>
        </w:rPr>
      </w:pPr>
    </w:p>
    <w:p w14:paraId="61C634F5" w14:textId="03F797F9" w:rsidR="00DC67D5" w:rsidRPr="00BC7AA5" w:rsidRDefault="00DC67D5" w:rsidP="00DC67D5">
      <w:pPr>
        <w:pStyle w:val="SingleTxt"/>
      </w:pPr>
      <w:r w:rsidRPr="00BC7AA5">
        <w:t>16.</w:t>
      </w:r>
      <w:r w:rsidRPr="00BC7AA5">
        <w:tab/>
        <w:t>En la 2029ª sesión, celebrada el 29 de enero de 2024, la Presidenta, Ana Peláez Narváez, presentó un informe sobre las actividades que había realizado desde el 86º</w:t>
      </w:r>
      <w:r w:rsidR="00D95246">
        <w:t> </w:t>
      </w:r>
      <w:r w:rsidRPr="00BC7AA5">
        <w:t>período de sesiones.</w:t>
      </w:r>
    </w:p>
    <w:p w14:paraId="0BEA9823" w14:textId="77777777" w:rsidR="00DC67D5" w:rsidRPr="00BC7AA5" w:rsidRDefault="00DC67D5" w:rsidP="00DC67D5">
      <w:pPr>
        <w:pStyle w:val="SingleTxt"/>
      </w:pPr>
      <w:r w:rsidRPr="00BC7AA5">
        <w:br w:type="page"/>
      </w:r>
    </w:p>
    <w:p w14:paraId="41DB373A"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IV</w:t>
      </w:r>
    </w:p>
    <w:p w14:paraId="11E294F9" w14:textId="0ADCA42A" w:rsidR="00DC67D5" w:rsidRPr="00BC7AA5" w:rsidRDefault="00D95246"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Examen de los informes presentados por los Estados partes en virtud del artículo 18 de la Convención</w:t>
      </w:r>
    </w:p>
    <w:p w14:paraId="3C79D353" w14:textId="77777777" w:rsidR="00DC67D5" w:rsidRPr="00B212E1" w:rsidRDefault="00DC67D5" w:rsidP="00B212E1">
      <w:pPr>
        <w:pStyle w:val="SingleTxt"/>
        <w:spacing w:after="0" w:line="120" w:lineRule="exact"/>
        <w:rPr>
          <w:sz w:val="10"/>
        </w:rPr>
      </w:pPr>
    </w:p>
    <w:p w14:paraId="1720A2D9" w14:textId="77777777" w:rsidR="00D95246" w:rsidRPr="00B212E1" w:rsidRDefault="00D95246" w:rsidP="00B212E1">
      <w:pPr>
        <w:pStyle w:val="SingleTxt"/>
        <w:spacing w:after="0" w:line="120" w:lineRule="exact"/>
        <w:rPr>
          <w:sz w:val="10"/>
        </w:rPr>
      </w:pPr>
    </w:p>
    <w:p w14:paraId="0A2DD9E9" w14:textId="5AF4B125" w:rsidR="00DC67D5" w:rsidRPr="00BC7AA5" w:rsidRDefault="00DC67D5" w:rsidP="00DC67D5">
      <w:pPr>
        <w:pStyle w:val="SingleTxt"/>
      </w:pPr>
      <w:r w:rsidRPr="00BC7AA5">
        <w:t>17.</w:t>
      </w:r>
      <w:r w:rsidRPr="00BC7AA5">
        <w:tab/>
        <w:t>El Comité examinó los informes de ocho Estados partes presentados en virtud del artículo 18 de la Convención, preparó las siguientes observaciones finales al respecto e hizo definitivas las observaciones finales con carácter provisional sobre los informes periódicos séptimo a décimo combinados de Nicaragua (</w:t>
      </w:r>
      <w:hyperlink r:id="rId91" w:history="1">
        <w:r w:rsidRPr="00BC7AA5">
          <w:rPr>
            <w:rStyle w:val="Hyperlink"/>
          </w:rPr>
          <w:t>CEDAW/C/NIC/PCO/7-10</w:t>
        </w:r>
      </w:hyperlink>
      <w:r w:rsidRPr="00BC7AA5">
        <w:t xml:space="preserve">) aprobadas en su 86º período de sesiones: </w:t>
      </w:r>
    </w:p>
    <w:p w14:paraId="4C1191E8" w14:textId="77777777" w:rsidR="00DC67D5" w:rsidRPr="00B212E1" w:rsidRDefault="00DC67D5" w:rsidP="00B212E1">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665DD" w:rsidRPr="000A59E6" w14:paraId="73EF5043" w14:textId="77777777" w:rsidTr="00517422">
        <w:tc>
          <w:tcPr>
            <w:tcW w:w="3660" w:type="dxa"/>
            <w:shd w:val="clear" w:color="auto" w:fill="auto"/>
          </w:tcPr>
          <w:p w14:paraId="14271D3A" w14:textId="2E69C2C1"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Djibouti</w:t>
            </w:r>
          </w:p>
        </w:tc>
        <w:tc>
          <w:tcPr>
            <w:tcW w:w="3660" w:type="dxa"/>
            <w:shd w:val="clear" w:color="auto" w:fill="auto"/>
          </w:tcPr>
          <w:p w14:paraId="3B98E754" w14:textId="4C597CC6"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2" w:history="1">
              <w:r w:rsidRPr="00D728E4">
                <w:rPr>
                  <w:rStyle w:val="Hyperlink"/>
                </w:rPr>
                <w:t>CEDAW/C/DJI/CO/4-5</w:t>
              </w:r>
            </w:hyperlink>
            <w:r w:rsidRPr="000A59E6">
              <w:t>)</w:t>
            </w:r>
          </w:p>
        </w:tc>
      </w:tr>
      <w:tr w:rsidR="00F665DD" w:rsidRPr="000A59E6" w14:paraId="41217E1C" w14:textId="77777777" w:rsidTr="00517422">
        <w:tc>
          <w:tcPr>
            <w:tcW w:w="3660" w:type="dxa"/>
            <w:shd w:val="clear" w:color="auto" w:fill="auto"/>
          </w:tcPr>
          <w:p w14:paraId="3EE716DF" w14:textId="3D951277"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Grecia</w:t>
            </w:r>
          </w:p>
        </w:tc>
        <w:tc>
          <w:tcPr>
            <w:tcW w:w="3660" w:type="dxa"/>
            <w:shd w:val="clear" w:color="auto" w:fill="auto"/>
          </w:tcPr>
          <w:p w14:paraId="42653EA8" w14:textId="52DAE533"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3" w:history="1">
              <w:r w:rsidRPr="00D728E4">
                <w:rPr>
                  <w:rStyle w:val="Hyperlink"/>
                </w:rPr>
                <w:t>CEDAW/C/GRC/CO/8-9</w:t>
              </w:r>
            </w:hyperlink>
            <w:r w:rsidRPr="000A59E6">
              <w:t>)</w:t>
            </w:r>
          </w:p>
        </w:tc>
      </w:tr>
      <w:tr w:rsidR="00F665DD" w:rsidRPr="000A59E6" w14:paraId="57F67C02" w14:textId="77777777" w:rsidTr="00517422">
        <w:tc>
          <w:tcPr>
            <w:tcW w:w="3660" w:type="dxa"/>
            <w:shd w:val="clear" w:color="auto" w:fill="auto"/>
          </w:tcPr>
          <w:p w14:paraId="3CEFD229" w14:textId="2B17ACEF"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Italia</w:t>
            </w:r>
          </w:p>
        </w:tc>
        <w:tc>
          <w:tcPr>
            <w:tcW w:w="3660" w:type="dxa"/>
            <w:shd w:val="clear" w:color="auto" w:fill="auto"/>
          </w:tcPr>
          <w:p w14:paraId="575E4E80" w14:textId="01602D1E"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4" w:history="1">
              <w:r w:rsidRPr="00D728E4">
                <w:rPr>
                  <w:rStyle w:val="Hyperlink"/>
                </w:rPr>
                <w:t>CEDAW/C/ITA/CO/8</w:t>
              </w:r>
            </w:hyperlink>
            <w:r w:rsidRPr="000A59E6">
              <w:t>)</w:t>
            </w:r>
          </w:p>
        </w:tc>
      </w:tr>
      <w:tr w:rsidR="00F665DD" w:rsidRPr="000A59E6" w14:paraId="77721B98" w14:textId="77777777" w:rsidTr="00517422">
        <w:tc>
          <w:tcPr>
            <w:tcW w:w="3660" w:type="dxa"/>
            <w:shd w:val="clear" w:color="auto" w:fill="auto"/>
          </w:tcPr>
          <w:p w14:paraId="26004E11" w14:textId="704B78A4"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Nicaragua</w:t>
            </w:r>
          </w:p>
        </w:tc>
        <w:tc>
          <w:tcPr>
            <w:tcW w:w="3660" w:type="dxa"/>
            <w:shd w:val="clear" w:color="auto" w:fill="auto"/>
          </w:tcPr>
          <w:p w14:paraId="74BFA6E2" w14:textId="24384DEF"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5" w:history="1">
              <w:r w:rsidRPr="00D728E4">
                <w:rPr>
                  <w:rStyle w:val="Hyperlink"/>
                </w:rPr>
                <w:t>CEDAW/C/NIC/CO/7-10</w:t>
              </w:r>
            </w:hyperlink>
            <w:r w:rsidRPr="000A59E6">
              <w:t>)</w:t>
            </w:r>
          </w:p>
        </w:tc>
      </w:tr>
      <w:tr w:rsidR="00F665DD" w:rsidRPr="000A59E6" w14:paraId="2AD80BDB" w14:textId="77777777" w:rsidTr="00517422">
        <w:tc>
          <w:tcPr>
            <w:tcW w:w="3660" w:type="dxa"/>
            <w:shd w:val="clear" w:color="auto" w:fill="auto"/>
          </w:tcPr>
          <w:p w14:paraId="6F997AD8" w14:textId="23C2AD15"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Níger</w:t>
            </w:r>
          </w:p>
        </w:tc>
        <w:tc>
          <w:tcPr>
            <w:tcW w:w="3660" w:type="dxa"/>
            <w:shd w:val="clear" w:color="auto" w:fill="auto"/>
          </w:tcPr>
          <w:p w14:paraId="6E0AAE92" w14:textId="2485D753"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6" w:history="1">
              <w:r w:rsidRPr="00D728E4">
                <w:rPr>
                  <w:rStyle w:val="Hyperlink"/>
                </w:rPr>
                <w:t>CEDAW/C/NER/CO/5</w:t>
              </w:r>
            </w:hyperlink>
            <w:r w:rsidRPr="000A59E6">
              <w:t>)</w:t>
            </w:r>
          </w:p>
        </w:tc>
      </w:tr>
      <w:tr w:rsidR="00F665DD" w:rsidRPr="000A59E6" w14:paraId="079EEAE3" w14:textId="77777777" w:rsidTr="00517422">
        <w:tc>
          <w:tcPr>
            <w:tcW w:w="3660" w:type="dxa"/>
            <w:shd w:val="clear" w:color="auto" w:fill="auto"/>
          </w:tcPr>
          <w:p w14:paraId="3D4B8AEE" w14:textId="7FCEF2F4"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Omán</w:t>
            </w:r>
          </w:p>
        </w:tc>
        <w:tc>
          <w:tcPr>
            <w:tcW w:w="3660" w:type="dxa"/>
            <w:shd w:val="clear" w:color="auto" w:fill="auto"/>
          </w:tcPr>
          <w:p w14:paraId="161D930C" w14:textId="19991AFE"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7" w:history="1">
              <w:r w:rsidRPr="00D728E4">
                <w:rPr>
                  <w:rStyle w:val="Hyperlink"/>
                </w:rPr>
                <w:t>CEDAW/C/OMN/CO/4</w:t>
              </w:r>
            </w:hyperlink>
            <w:r w:rsidRPr="000A59E6">
              <w:t>)</w:t>
            </w:r>
          </w:p>
        </w:tc>
      </w:tr>
      <w:tr w:rsidR="00F665DD" w:rsidRPr="000A59E6" w14:paraId="60B3DE98" w14:textId="77777777" w:rsidTr="00517422">
        <w:tc>
          <w:tcPr>
            <w:tcW w:w="3660" w:type="dxa"/>
            <w:shd w:val="clear" w:color="auto" w:fill="auto"/>
          </w:tcPr>
          <w:p w14:paraId="164B79F7" w14:textId="4C77D233" w:rsidR="00F665DD" w:rsidRPr="000A59E6" w:rsidRDefault="00F665DD" w:rsidP="00F665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República Centroafricana</w:t>
            </w:r>
          </w:p>
        </w:tc>
        <w:tc>
          <w:tcPr>
            <w:tcW w:w="3660" w:type="dxa"/>
            <w:shd w:val="clear" w:color="auto" w:fill="auto"/>
          </w:tcPr>
          <w:p w14:paraId="6892BEF0" w14:textId="0DF96CA8" w:rsidR="00F665DD" w:rsidRPr="000A59E6" w:rsidRDefault="00F665DD" w:rsidP="00F665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8" w:history="1">
              <w:r w:rsidRPr="00D728E4">
                <w:rPr>
                  <w:rStyle w:val="Hyperlink"/>
                </w:rPr>
                <w:t>CEDAW/C/CA</w:t>
              </w:r>
              <w:r w:rsidR="00804824">
                <w:rPr>
                  <w:rStyle w:val="Hyperlink"/>
                </w:rPr>
                <w:t>F</w:t>
              </w:r>
              <w:r w:rsidRPr="00D728E4">
                <w:rPr>
                  <w:rStyle w:val="Hyperlink"/>
                </w:rPr>
                <w:t>/CO/6</w:t>
              </w:r>
            </w:hyperlink>
            <w:r w:rsidRPr="000A59E6">
              <w:t>)</w:t>
            </w:r>
          </w:p>
        </w:tc>
      </w:tr>
      <w:tr w:rsidR="00F665DD" w:rsidRPr="000A59E6" w14:paraId="1D19D8CE" w14:textId="77777777" w:rsidTr="00517422">
        <w:tc>
          <w:tcPr>
            <w:tcW w:w="3660" w:type="dxa"/>
            <w:shd w:val="clear" w:color="auto" w:fill="auto"/>
          </w:tcPr>
          <w:p w14:paraId="76A5AA6D" w14:textId="64609705"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pPr>
            <w:r w:rsidRPr="000A59E6">
              <w:t>Tayikistán</w:t>
            </w:r>
          </w:p>
        </w:tc>
        <w:tc>
          <w:tcPr>
            <w:tcW w:w="3660" w:type="dxa"/>
            <w:shd w:val="clear" w:color="auto" w:fill="auto"/>
          </w:tcPr>
          <w:p w14:paraId="4C881EFE" w14:textId="49EDCACD" w:rsidR="00F665DD" w:rsidRPr="000A59E6" w:rsidRDefault="00F665DD" w:rsidP="00B212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20" w:lineRule="exact"/>
              <w:ind w:left="0" w:right="43"/>
              <w:jc w:val="left"/>
            </w:pPr>
            <w:r w:rsidRPr="000A59E6">
              <w:t>(</w:t>
            </w:r>
            <w:hyperlink r:id="rId99" w:history="1">
              <w:r w:rsidRPr="00D728E4">
                <w:rPr>
                  <w:rStyle w:val="Hyperlink"/>
                </w:rPr>
                <w:t>CEDAW/C/TJK/CO/7</w:t>
              </w:r>
            </w:hyperlink>
            <w:r w:rsidRPr="000A59E6">
              <w:t>)</w:t>
            </w:r>
          </w:p>
        </w:tc>
      </w:tr>
    </w:tbl>
    <w:p w14:paraId="5530A042" w14:textId="77777777" w:rsidR="00D95246" w:rsidRPr="00B212E1" w:rsidRDefault="00D95246" w:rsidP="00B212E1">
      <w:pPr>
        <w:pStyle w:val="SingleTxt"/>
        <w:spacing w:after="0" w:line="120" w:lineRule="exact"/>
        <w:rPr>
          <w:sz w:val="10"/>
        </w:rPr>
      </w:pPr>
    </w:p>
    <w:p w14:paraId="32EF6856" w14:textId="4309803E" w:rsidR="00DC67D5" w:rsidRPr="00BC7AA5" w:rsidRDefault="00DC67D5" w:rsidP="00D95246">
      <w:pPr>
        <w:pStyle w:val="SingleTxt"/>
        <w:rPr>
          <w:bCs/>
        </w:rPr>
      </w:pPr>
      <w:r w:rsidRPr="00BC7AA5">
        <w:rPr>
          <w:bCs/>
        </w:rPr>
        <w:t>18.</w:t>
      </w:r>
      <w:r w:rsidRPr="00BC7AA5">
        <w:tab/>
        <w:t xml:space="preserve">El Comité </w:t>
      </w:r>
      <w:r w:rsidRPr="00D95246">
        <w:t>también aprobó una lista de cuestiones y preguntas antes de la presentación del informe (</w:t>
      </w:r>
      <w:hyperlink r:id="rId100" w:history="1">
        <w:r w:rsidRPr="00B212E1">
          <w:rPr>
            <w:rStyle w:val="Hyperlink"/>
          </w:rPr>
          <w:t>CEDAW/C/COD/QPR/EP/1</w:t>
        </w:r>
      </w:hyperlink>
      <w:r w:rsidRPr="00BC7AA5">
        <w:t>) en relación con el informe excepcional que había solicitado a la República Democrática del Congo sobre la violencia sexual relacionada con el conflicto contra las mujeres y las niñas en sus provincias orientales (véase la decisión 86/VII).</w:t>
      </w:r>
    </w:p>
    <w:p w14:paraId="7DF11701" w14:textId="77777777" w:rsidR="00D95246" w:rsidRPr="00B212E1" w:rsidRDefault="00D95246" w:rsidP="00B212E1">
      <w:pPr>
        <w:pStyle w:val="SingleTxt"/>
        <w:spacing w:after="0" w:line="120" w:lineRule="exact"/>
        <w:rPr>
          <w:b/>
          <w:sz w:val="10"/>
        </w:rPr>
      </w:pPr>
    </w:p>
    <w:p w14:paraId="1A32B412" w14:textId="77777777" w:rsidR="00DC67D5" w:rsidRPr="00BC7AA5" w:rsidRDefault="00DC67D5" w:rsidP="00B21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Seguimiento de las observaciones finales</w:t>
      </w:r>
    </w:p>
    <w:p w14:paraId="2632E750" w14:textId="77777777" w:rsidR="00DC67D5" w:rsidRPr="00B212E1" w:rsidRDefault="00DC67D5" w:rsidP="00B212E1">
      <w:pPr>
        <w:pStyle w:val="SingleTxt"/>
        <w:spacing w:after="0" w:line="120" w:lineRule="exact"/>
        <w:rPr>
          <w:sz w:val="10"/>
        </w:rPr>
      </w:pPr>
    </w:p>
    <w:p w14:paraId="09E0BA90" w14:textId="77777777" w:rsidR="00DC67D5" w:rsidRPr="00BC7AA5" w:rsidRDefault="00DC67D5" w:rsidP="00DC67D5">
      <w:pPr>
        <w:pStyle w:val="SingleTxt"/>
      </w:pPr>
      <w:r w:rsidRPr="00BC7AA5">
        <w:t>19.</w:t>
      </w:r>
      <w:r w:rsidRPr="00BC7AA5">
        <w:tab/>
        <w:t>El Comité examinó los informes de seguimiento recibidos de los siguientes Estados partes:</w:t>
      </w:r>
    </w:p>
    <w:p w14:paraId="0D61D944" w14:textId="77777777" w:rsidR="00DC67D5" w:rsidRPr="00B212E1" w:rsidRDefault="00DC67D5" w:rsidP="00B212E1">
      <w:pPr>
        <w:pStyle w:val="SingleTxt"/>
        <w:spacing w:after="0" w:line="120" w:lineRule="exact"/>
        <w:rPr>
          <w:sz w:val="10"/>
        </w:rPr>
      </w:pP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3"/>
        <w:gridCol w:w="3427"/>
      </w:tblGrid>
      <w:tr w:rsidR="004851BB" w:rsidRPr="004851BB" w14:paraId="047A43C0" w14:textId="77777777" w:rsidTr="00B212E1">
        <w:tc>
          <w:tcPr>
            <w:tcW w:w="3663" w:type="dxa"/>
            <w:shd w:val="clear" w:color="auto" w:fill="auto"/>
          </w:tcPr>
          <w:p w14:paraId="3047EF53" w14:textId="4F7ED4D3" w:rsidR="004851BB" w:rsidRPr="004851BB" w:rsidRDefault="004851BB" w:rsidP="004851BB">
            <w:pPr>
              <w:tabs>
                <w:tab w:val="left" w:pos="288"/>
                <w:tab w:val="left" w:pos="576"/>
                <w:tab w:val="left" w:pos="864"/>
                <w:tab w:val="left" w:pos="1152"/>
              </w:tabs>
              <w:spacing w:before="40" w:after="120"/>
              <w:ind w:right="43"/>
              <w:rPr>
                <w:rFonts w:eastAsia="Calibri"/>
              </w:rPr>
            </w:pPr>
            <w:bookmarkStart w:id="11" w:name="_Hlk166147843"/>
            <w:r w:rsidRPr="004851BB">
              <w:rPr>
                <w:rFonts w:eastAsia="Calibri"/>
              </w:rPr>
              <w:t>Ecuador</w:t>
            </w:r>
          </w:p>
        </w:tc>
        <w:tc>
          <w:tcPr>
            <w:tcW w:w="3427" w:type="dxa"/>
            <w:shd w:val="clear" w:color="auto" w:fill="auto"/>
          </w:tcPr>
          <w:p w14:paraId="52B4FDD2" w14:textId="5F4E4E28" w:rsidR="004851BB" w:rsidRPr="004851BB" w:rsidRDefault="004851BB" w:rsidP="00B212E1">
            <w:pPr>
              <w:tabs>
                <w:tab w:val="left" w:pos="288"/>
                <w:tab w:val="left" w:pos="576"/>
                <w:tab w:val="left" w:pos="864"/>
                <w:tab w:val="left" w:pos="1152"/>
              </w:tabs>
              <w:spacing w:before="40" w:after="120"/>
              <w:ind w:right="43"/>
              <w:rPr>
                <w:rFonts w:eastAsia="Calibri"/>
              </w:rPr>
            </w:pPr>
            <w:r w:rsidRPr="004851BB">
              <w:rPr>
                <w:rFonts w:eastAsia="Calibri"/>
              </w:rPr>
              <w:t>(</w:t>
            </w:r>
            <w:hyperlink r:id="rId101" w:history="1">
              <w:r w:rsidRPr="004851BB">
                <w:rPr>
                  <w:rStyle w:val="Hyperlink"/>
                  <w:rFonts w:eastAsia="Calibri"/>
                </w:rPr>
                <w:t>CEDAW/C/ECU/FCO/10</w:t>
              </w:r>
            </w:hyperlink>
            <w:r w:rsidRPr="004851BB">
              <w:rPr>
                <w:rFonts w:eastAsia="Calibri"/>
              </w:rPr>
              <w:t xml:space="preserve">) </w:t>
            </w:r>
          </w:p>
        </w:tc>
      </w:tr>
      <w:tr w:rsidR="004851BB" w:rsidRPr="004851BB" w14:paraId="2E3D3290" w14:textId="77777777" w:rsidTr="00B212E1">
        <w:tc>
          <w:tcPr>
            <w:tcW w:w="3663" w:type="dxa"/>
            <w:shd w:val="clear" w:color="auto" w:fill="auto"/>
          </w:tcPr>
          <w:p w14:paraId="6185C3C9" w14:textId="7F1D656E" w:rsidR="004851BB" w:rsidRPr="004851BB" w:rsidRDefault="004851BB" w:rsidP="004851BB">
            <w:pPr>
              <w:tabs>
                <w:tab w:val="left" w:pos="288"/>
                <w:tab w:val="left" w:pos="576"/>
                <w:tab w:val="left" w:pos="864"/>
                <w:tab w:val="left" w:pos="1152"/>
              </w:tabs>
              <w:spacing w:before="40" w:after="120"/>
              <w:ind w:right="43"/>
              <w:rPr>
                <w:rFonts w:eastAsia="Calibri"/>
              </w:rPr>
            </w:pPr>
            <w:r w:rsidRPr="004851BB">
              <w:rPr>
                <w:rFonts w:eastAsia="Calibri"/>
              </w:rPr>
              <w:t>Egipto</w:t>
            </w:r>
          </w:p>
        </w:tc>
        <w:tc>
          <w:tcPr>
            <w:tcW w:w="3427" w:type="dxa"/>
            <w:shd w:val="clear" w:color="auto" w:fill="auto"/>
          </w:tcPr>
          <w:p w14:paraId="63B4E835" w14:textId="15FD42B1" w:rsidR="004851BB" w:rsidRPr="004851BB" w:rsidRDefault="004851BB" w:rsidP="00B212E1">
            <w:pPr>
              <w:tabs>
                <w:tab w:val="left" w:pos="288"/>
                <w:tab w:val="left" w:pos="576"/>
                <w:tab w:val="left" w:pos="864"/>
                <w:tab w:val="left" w:pos="1152"/>
              </w:tabs>
              <w:spacing w:before="40" w:after="120"/>
              <w:ind w:right="43"/>
              <w:rPr>
                <w:rFonts w:eastAsia="Calibri"/>
              </w:rPr>
            </w:pPr>
            <w:r w:rsidRPr="004851BB">
              <w:rPr>
                <w:rFonts w:eastAsia="Calibri"/>
              </w:rPr>
              <w:t>(</w:t>
            </w:r>
            <w:hyperlink r:id="rId102" w:history="1">
              <w:r w:rsidRPr="004851BB">
                <w:rPr>
                  <w:rStyle w:val="Hyperlink"/>
                  <w:rFonts w:eastAsia="Calibri"/>
                </w:rPr>
                <w:t>CEDAW/C/EGY/FCO/8-10</w:t>
              </w:r>
            </w:hyperlink>
            <w:r w:rsidRPr="004851BB">
              <w:rPr>
                <w:rFonts w:eastAsia="Calibri"/>
              </w:rPr>
              <w:t xml:space="preserve">) </w:t>
            </w:r>
          </w:p>
        </w:tc>
      </w:tr>
      <w:tr w:rsidR="004851BB" w:rsidRPr="004851BB" w14:paraId="3A44F04E" w14:textId="77777777" w:rsidTr="00B212E1">
        <w:tc>
          <w:tcPr>
            <w:tcW w:w="3663" w:type="dxa"/>
            <w:shd w:val="clear" w:color="auto" w:fill="auto"/>
          </w:tcPr>
          <w:p w14:paraId="7CC99B12" w14:textId="62394A24" w:rsidR="004851BB" w:rsidRPr="004851BB" w:rsidRDefault="004851BB" w:rsidP="004851BB">
            <w:pPr>
              <w:tabs>
                <w:tab w:val="left" w:pos="288"/>
                <w:tab w:val="left" w:pos="576"/>
                <w:tab w:val="left" w:pos="864"/>
                <w:tab w:val="left" w:pos="1152"/>
              </w:tabs>
              <w:spacing w:before="40" w:after="120"/>
              <w:ind w:right="43"/>
              <w:rPr>
                <w:rFonts w:eastAsia="Calibri"/>
              </w:rPr>
            </w:pPr>
            <w:r w:rsidRPr="004851BB">
              <w:rPr>
                <w:rFonts w:eastAsia="Calibri"/>
              </w:rPr>
              <w:t>Maldivas</w:t>
            </w:r>
          </w:p>
        </w:tc>
        <w:tc>
          <w:tcPr>
            <w:tcW w:w="3427" w:type="dxa"/>
            <w:shd w:val="clear" w:color="auto" w:fill="auto"/>
          </w:tcPr>
          <w:p w14:paraId="5D4EFCCB" w14:textId="47677FF9" w:rsidR="004851BB" w:rsidRPr="004851BB" w:rsidRDefault="004851BB" w:rsidP="00B212E1">
            <w:pPr>
              <w:tabs>
                <w:tab w:val="left" w:pos="288"/>
                <w:tab w:val="left" w:pos="576"/>
                <w:tab w:val="left" w:pos="864"/>
                <w:tab w:val="left" w:pos="1152"/>
              </w:tabs>
              <w:spacing w:before="40" w:after="120"/>
              <w:ind w:right="43"/>
              <w:rPr>
                <w:rFonts w:eastAsia="Calibri"/>
              </w:rPr>
            </w:pPr>
            <w:r w:rsidRPr="004851BB">
              <w:rPr>
                <w:rFonts w:eastAsia="Calibri"/>
              </w:rPr>
              <w:t>(</w:t>
            </w:r>
            <w:hyperlink r:id="rId103" w:history="1">
              <w:r w:rsidRPr="004851BB">
                <w:rPr>
                  <w:rStyle w:val="Hyperlink"/>
                  <w:rFonts w:eastAsia="Calibri"/>
                </w:rPr>
                <w:t>CEDAW/C/MDV/FCO/6</w:t>
              </w:r>
            </w:hyperlink>
            <w:r w:rsidRPr="004851BB">
              <w:rPr>
                <w:rFonts w:eastAsia="Calibri"/>
              </w:rPr>
              <w:t xml:space="preserve">) </w:t>
            </w:r>
          </w:p>
        </w:tc>
      </w:tr>
      <w:bookmarkEnd w:id="11"/>
    </w:tbl>
    <w:p w14:paraId="2FC9F5A7" w14:textId="77777777" w:rsidR="00DC67D5" w:rsidRPr="00BC7AA5" w:rsidRDefault="00DC67D5" w:rsidP="00DC67D5">
      <w:pPr>
        <w:pStyle w:val="SingleTxt"/>
      </w:pPr>
    </w:p>
    <w:p w14:paraId="71E1E5A1" w14:textId="77777777" w:rsidR="00DC67D5" w:rsidRPr="00BC7AA5" w:rsidRDefault="00DC67D5" w:rsidP="00DC67D5">
      <w:pPr>
        <w:pStyle w:val="SingleTxt"/>
      </w:pPr>
      <w:r w:rsidRPr="00BC7AA5">
        <w:br w:type="page"/>
      </w:r>
    </w:p>
    <w:p w14:paraId="023339CB" w14:textId="77777777" w:rsidR="00DC67D5" w:rsidRPr="00BC7AA5" w:rsidRDefault="00DC67D5"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w:t>
      </w:r>
    </w:p>
    <w:p w14:paraId="023CCE3B" w14:textId="3D54753D" w:rsidR="00DC67D5" w:rsidRPr="00BC7AA5" w:rsidRDefault="00393B7E" w:rsidP="00B212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67D5" w:rsidRPr="00BC7AA5">
        <w:t>Actividades llevadas a cabo en virtud del Protocolo Facultativo</w:t>
      </w:r>
    </w:p>
    <w:p w14:paraId="71C06AB9" w14:textId="77777777" w:rsidR="00DC67D5" w:rsidRPr="00B212E1" w:rsidRDefault="00DC67D5" w:rsidP="00B212E1">
      <w:pPr>
        <w:pStyle w:val="SingleTxt"/>
        <w:spacing w:after="0" w:line="120" w:lineRule="exact"/>
        <w:rPr>
          <w:sz w:val="10"/>
        </w:rPr>
      </w:pPr>
    </w:p>
    <w:p w14:paraId="0B68CBC1" w14:textId="77777777" w:rsidR="00393B7E" w:rsidRPr="00B212E1" w:rsidRDefault="00393B7E" w:rsidP="00B212E1">
      <w:pPr>
        <w:pStyle w:val="SingleTxt"/>
        <w:spacing w:after="0" w:line="120" w:lineRule="exact"/>
        <w:rPr>
          <w:sz w:val="10"/>
        </w:rPr>
      </w:pPr>
    </w:p>
    <w:p w14:paraId="79BE22EE" w14:textId="77777777" w:rsidR="00DC67D5" w:rsidRPr="00BC7AA5" w:rsidRDefault="00DC67D5" w:rsidP="00DC67D5">
      <w:pPr>
        <w:pStyle w:val="SingleTxt"/>
      </w:pPr>
      <w:r w:rsidRPr="00BC7AA5">
        <w:t>20.</w:t>
      </w:r>
      <w:r w:rsidRPr="00BC7AA5">
        <w:tab/>
        <w:t>El artículo 12 del Protocolo Facultativo establece que el Comité incluirá en su informe anual un resumen de las actividades llevadas a cabo en virtud del Protocolo Facultativo.</w:t>
      </w:r>
    </w:p>
    <w:p w14:paraId="0E4EFE5F" w14:textId="77777777" w:rsidR="00DC67D5" w:rsidRPr="00B212E1" w:rsidRDefault="00DC67D5" w:rsidP="00B212E1">
      <w:pPr>
        <w:pStyle w:val="SingleTxt"/>
        <w:spacing w:after="0" w:line="120" w:lineRule="exact"/>
        <w:rPr>
          <w:sz w:val="10"/>
        </w:rPr>
      </w:pPr>
    </w:p>
    <w:p w14:paraId="22E5A581" w14:textId="77777777" w:rsidR="00393B7E" w:rsidRPr="00B212E1" w:rsidRDefault="00393B7E" w:rsidP="00B212E1">
      <w:pPr>
        <w:pStyle w:val="SingleTxt"/>
        <w:spacing w:after="0" w:line="120" w:lineRule="exact"/>
        <w:rPr>
          <w:sz w:val="10"/>
        </w:rPr>
      </w:pPr>
    </w:p>
    <w:p w14:paraId="060ED969"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A.</w:t>
      </w:r>
      <w:r w:rsidRPr="00BC7AA5">
        <w:tab/>
        <w:t>Medidas adoptadas por el Comité con respecto a las cuestiones previstas en el artículo 2 del Protocolo Facultativo</w:t>
      </w:r>
    </w:p>
    <w:p w14:paraId="02B73BC8" w14:textId="77777777" w:rsidR="00DC67D5" w:rsidRPr="00B212E1" w:rsidRDefault="00DC67D5" w:rsidP="00B212E1">
      <w:pPr>
        <w:pStyle w:val="SingleTxt"/>
        <w:spacing w:after="0" w:line="120" w:lineRule="exact"/>
        <w:rPr>
          <w:sz w:val="10"/>
        </w:rPr>
      </w:pPr>
    </w:p>
    <w:p w14:paraId="186CB2C7" w14:textId="77777777" w:rsidR="00393B7E" w:rsidRPr="00B212E1" w:rsidRDefault="00393B7E" w:rsidP="00B212E1">
      <w:pPr>
        <w:pStyle w:val="SingleTxt"/>
        <w:spacing w:after="0" w:line="120" w:lineRule="exact"/>
        <w:rPr>
          <w:sz w:val="10"/>
        </w:rPr>
      </w:pPr>
    </w:p>
    <w:p w14:paraId="3E8F019E" w14:textId="77777777" w:rsidR="00DC67D5" w:rsidRPr="00BC7AA5" w:rsidRDefault="00DC67D5" w:rsidP="00DC67D5">
      <w:pPr>
        <w:pStyle w:val="SingleTxt"/>
      </w:pPr>
      <w:r w:rsidRPr="00BC7AA5">
        <w:t>21.</w:t>
      </w:r>
      <w:r w:rsidRPr="00BC7AA5">
        <w:tab/>
        <w:t xml:space="preserve">Los días 12 y 16 de febrero de 2024, el Comité examinó las actividades realizadas en virtud del artículo 2 del Protocolo Facultativo. </w:t>
      </w:r>
    </w:p>
    <w:p w14:paraId="0F3DE9C9" w14:textId="77777777" w:rsidR="00DC67D5" w:rsidRPr="00BC7AA5" w:rsidRDefault="00DC67D5" w:rsidP="00DC67D5">
      <w:pPr>
        <w:pStyle w:val="SingleTxt"/>
      </w:pPr>
      <w:r w:rsidRPr="00BC7AA5">
        <w:t>22.</w:t>
      </w:r>
      <w:r w:rsidRPr="00BC7AA5">
        <w:tab/>
        <w:t>El Comité hizo suyo el informe del Grupo de Trabajo sobre las Comunicaciones presentadas en virtud del Protocolo Facultativo acerca de su 58º período de sesiones</w:t>
      </w:r>
      <w:r w:rsidRPr="00BC7AA5">
        <w:rPr>
          <w:vertAlign w:val="superscript"/>
        </w:rPr>
        <w:footnoteReference w:id="14"/>
      </w:r>
      <w:r w:rsidRPr="00BC7AA5">
        <w:t>.</w:t>
      </w:r>
    </w:p>
    <w:p w14:paraId="553E8043" w14:textId="1F55D1C3" w:rsidR="00DC67D5" w:rsidRPr="00BC7AA5" w:rsidRDefault="00DC67D5" w:rsidP="00DC67D5">
      <w:pPr>
        <w:pStyle w:val="SingleTxt"/>
      </w:pPr>
      <w:r w:rsidRPr="00BC7AA5">
        <w:t>23.</w:t>
      </w:r>
      <w:r w:rsidRPr="00BC7AA5">
        <w:tab/>
        <w:t xml:space="preserve">El Comité adoptó decisiones finales sobre tres comunicaciones individuales presentadas con arreglo al artículo 2 del Protocolo Facultativo. El Comité declaró la inadmisibilidad en </w:t>
      </w:r>
      <w:r w:rsidRPr="00BC7AA5">
        <w:rPr>
          <w:i/>
          <w:iCs/>
        </w:rPr>
        <w:t>S.S. c. Austria</w:t>
      </w:r>
      <w:r w:rsidRPr="00BC7AA5">
        <w:t xml:space="preserve"> (</w:t>
      </w:r>
      <w:hyperlink r:id="rId104" w:history="1">
        <w:r w:rsidRPr="00BC7AA5">
          <w:rPr>
            <w:rStyle w:val="Hyperlink"/>
          </w:rPr>
          <w:t>CEDAW/C/87/D/158/2020</w:t>
        </w:r>
      </w:hyperlink>
      <w:r w:rsidRPr="00BC7AA5">
        <w:t xml:space="preserve">) y </w:t>
      </w:r>
      <w:r w:rsidRPr="00BC7AA5">
        <w:rPr>
          <w:i/>
          <w:iCs/>
        </w:rPr>
        <w:t>S.T.H. c. Suiza</w:t>
      </w:r>
      <w:r w:rsidRPr="00BC7AA5">
        <w:t xml:space="preserve"> (</w:t>
      </w:r>
      <w:hyperlink r:id="rId105" w:history="1">
        <w:r w:rsidRPr="00BC7AA5">
          <w:rPr>
            <w:rStyle w:val="Hyperlink"/>
          </w:rPr>
          <w:t>CEDAW/C/87/D/165/2021</w:t>
        </w:r>
      </w:hyperlink>
      <w:r w:rsidRPr="00BC7AA5">
        <w:t xml:space="preserve">) y emitió dictámenes en los cuales se declaraba que se habían cometido violaciones en </w:t>
      </w:r>
      <w:r w:rsidRPr="00BC7AA5">
        <w:rPr>
          <w:i/>
          <w:iCs/>
        </w:rPr>
        <w:t>E.D. y M.D. c. Belarús</w:t>
      </w:r>
      <w:r w:rsidRPr="00BC7AA5">
        <w:t xml:space="preserve"> (</w:t>
      </w:r>
      <w:hyperlink r:id="rId106" w:history="1">
        <w:r w:rsidRPr="00BC7AA5">
          <w:rPr>
            <w:rStyle w:val="Hyperlink"/>
          </w:rPr>
          <w:t>CEDAW/C/87/D/157/2020</w:t>
        </w:r>
      </w:hyperlink>
      <w:r w:rsidRPr="00BC7AA5">
        <w:t>). Todas las decisiones finales se adoptaron por consenso.</w:t>
      </w:r>
    </w:p>
    <w:p w14:paraId="59CB65AD" w14:textId="77777777" w:rsidR="00DC67D5" w:rsidRPr="00B212E1" w:rsidRDefault="00DC67D5" w:rsidP="00B212E1">
      <w:pPr>
        <w:pStyle w:val="SingleTxt"/>
        <w:spacing w:after="0" w:line="120" w:lineRule="exact"/>
        <w:rPr>
          <w:sz w:val="10"/>
        </w:rPr>
      </w:pPr>
    </w:p>
    <w:p w14:paraId="4BA4D9CE" w14:textId="77777777" w:rsidR="00523485" w:rsidRPr="00B212E1" w:rsidRDefault="00523485" w:rsidP="00B212E1">
      <w:pPr>
        <w:pStyle w:val="SingleTxt"/>
        <w:spacing w:after="0" w:line="120" w:lineRule="exact"/>
        <w:rPr>
          <w:sz w:val="10"/>
        </w:rPr>
      </w:pPr>
    </w:p>
    <w:p w14:paraId="414E70CE"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B.</w:t>
      </w:r>
      <w:r w:rsidRPr="00BC7AA5">
        <w:tab/>
        <w:t>Seguimiento de los dictámenes del Comité sobre comunicaciones individuales</w:t>
      </w:r>
    </w:p>
    <w:p w14:paraId="794A64A0" w14:textId="77777777" w:rsidR="00DC67D5" w:rsidRPr="00B212E1" w:rsidRDefault="00DC67D5" w:rsidP="00B212E1">
      <w:pPr>
        <w:pStyle w:val="SingleTxt"/>
        <w:spacing w:after="0" w:line="120" w:lineRule="exact"/>
        <w:rPr>
          <w:sz w:val="10"/>
        </w:rPr>
      </w:pPr>
    </w:p>
    <w:p w14:paraId="2E471D15" w14:textId="77777777" w:rsidR="00523485" w:rsidRPr="00B212E1" w:rsidRDefault="00523485" w:rsidP="00B212E1">
      <w:pPr>
        <w:pStyle w:val="SingleTxt"/>
        <w:spacing w:after="0" w:line="120" w:lineRule="exact"/>
        <w:rPr>
          <w:sz w:val="10"/>
        </w:rPr>
      </w:pPr>
    </w:p>
    <w:p w14:paraId="37C11F9C" w14:textId="187119EF" w:rsidR="00DC67D5" w:rsidRDefault="00DC67D5" w:rsidP="00DC67D5">
      <w:pPr>
        <w:pStyle w:val="SingleTxt"/>
      </w:pPr>
      <w:r w:rsidRPr="00BC7AA5">
        <w:t>24.</w:t>
      </w:r>
      <w:r w:rsidRPr="00BC7AA5">
        <w:tab/>
        <w:t xml:space="preserve">Se informó al Comité de que el Grupo de Trabajo había proseguido su debate sobre los medios para reforzar el procedimiento de seguimiento de los dictámenes y que había celebrado una reunión con el Representante Permanente de la República Unida de Tanzanía para examinar el seguimiento de la aplicación de las recomendaciones del Comité en </w:t>
      </w:r>
      <w:r w:rsidRPr="00BC7AA5">
        <w:rPr>
          <w:i/>
          <w:iCs/>
        </w:rPr>
        <w:t>E. S. y S. C. c. la República Unida de Tanzanía</w:t>
      </w:r>
      <w:r w:rsidRPr="00BC7AA5">
        <w:t xml:space="preserve"> (</w:t>
      </w:r>
      <w:hyperlink r:id="rId107" w:history="1">
        <w:r w:rsidRPr="00BC7AA5">
          <w:rPr>
            <w:rStyle w:val="Hyperlink"/>
          </w:rPr>
          <w:t>CEDAW/C/60/D/48/2013</w:t>
        </w:r>
      </w:hyperlink>
      <w:r w:rsidRPr="00BC7AA5">
        <w:t>). El Comité hizo suyas las recomendaciones del Grupo de Trabajo de que el diálogo de seguimiento con respecto a la comunicación mencionada debía continuarse mientras se aguardaban las observaciones de seguimiento del Estado parte. También tomó nota de la recomendación del Grupo de Trabajo de plantear de forma sistemática el seguimiento de los dictámenes sobre denuncias individuales durante el examen de los informes periódicos de los respectivos Estados partes.</w:t>
      </w:r>
    </w:p>
    <w:p w14:paraId="5A79833F" w14:textId="77777777" w:rsidR="00261268" w:rsidRPr="00B212E1" w:rsidRDefault="00261268" w:rsidP="00B212E1">
      <w:pPr>
        <w:pStyle w:val="SingleTxt"/>
        <w:spacing w:after="0" w:line="120" w:lineRule="exact"/>
        <w:rPr>
          <w:sz w:val="10"/>
        </w:rPr>
      </w:pPr>
    </w:p>
    <w:p w14:paraId="3442C01C" w14:textId="77777777" w:rsidR="00261268" w:rsidRPr="00B212E1" w:rsidRDefault="00261268" w:rsidP="00B212E1">
      <w:pPr>
        <w:pStyle w:val="SingleTxt"/>
        <w:spacing w:after="0" w:line="120" w:lineRule="exact"/>
        <w:rPr>
          <w:sz w:val="10"/>
        </w:rPr>
      </w:pPr>
    </w:p>
    <w:p w14:paraId="1921CC38" w14:textId="77777777" w:rsidR="00DC67D5" w:rsidRPr="00BC7AA5" w:rsidRDefault="00DC67D5" w:rsidP="003A7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t>C.</w:t>
      </w:r>
      <w:r w:rsidRPr="00BC7AA5">
        <w:tab/>
        <w:t>Medidas adoptadas por el Comité con respecto a las cuestiones previstas en el artículo 8 del Protocolo Facultativo</w:t>
      </w:r>
    </w:p>
    <w:p w14:paraId="40A448CD" w14:textId="77777777" w:rsidR="00DC67D5" w:rsidRPr="00BC7AA5" w:rsidRDefault="00DC67D5" w:rsidP="003A7E51">
      <w:pPr>
        <w:pStyle w:val="SingleTxt"/>
        <w:spacing w:after="0" w:line="120" w:lineRule="exact"/>
        <w:rPr>
          <w:sz w:val="10"/>
        </w:rPr>
      </w:pPr>
    </w:p>
    <w:p w14:paraId="430F7D7D" w14:textId="77777777" w:rsidR="003A7E51" w:rsidRPr="00BC7AA5" w:rsidRDefault="003A7E51" w:rsidP="003A7E51">
      <w:pPr>
        <w:pStyle w:val="SingleTxt"/>
        <w:spacing w:after="0" w:line="120" w:lineRule="exact"/>
        <w:rPr>
          <w:sz w:val="10"/>
        </w:rPr>
      </w:pPr>
    </w:p>
    <w:p w14:paraId="31B51825" w14:textId="77777777" w:rsidR="00DC67D5" w:rsidRPr="00BC7AA5" w:rsidRDefault="00DC67D5" w:rsidP="00DC67D5">
      <w:pPr>
        <w:pStyle w:val="SingleTxt"/>
      </w:pPr>
      <w:r w:rsidRPr="00BC7AA5">
        <w:t>25.</w:t>
      </w:r>
      <w:r w:rsidRPr="00BC7AA5">
        <w:tab/>
        <w:t>El 13 de febrero de 2024 el Comité examinó las actividades realizadas en virtud del artículo 8 del Protocolo Facultativo. El Comité hizo suyo el informe del Grupo de Trabajo sobre Investigaciones con arreglo al Protocolo Facultativo en su 27º período de sesiones</w:t>
      </w:r>
      <w:r w:rsidRPr="00BC7AA5">
        <w:rPr>
          <w:vertAlign w:val="superscript"/>
        </w:rPr>
        <w:footnoteReference w:id="15"/>
      </w:r>
      <w:r w:rsidRPr="00BC7AA5">
        <w:t>.</w:t>
      </w:r>
    </w:p>
    <w:p w14:paraId="0B6C078E" w14:textId="1AC8E1BD" w:rsidR="00DC67D5" w:rsidRPr="00BC7AA5" w:rsidRDefault="00DC67D5" w:rsidP="00DC67D5">
      <w:pPr>
        <w:pStyle w:val="SingleTxt"/>
      </w:pPr>
      <w:r w:rsidRPr="00BC7AA5">
        <w:t>26.</w:t>
      </w:r>
      <w:r w:rsidRPr="00BC7AA5">
        <w:tab/>
        <w:t xml:space="preserve">El 13 de febrero, el Comité aprobó sus conclusiones, comentarios y recomendaciones sobre la investigación núm. </w:t>
      </w:r>
      <w:r w:rsidR="001B2CAD" w:rsidRPr="00B212E1">
        <w:t>2019/1</w:t>
      </w:r>
      <w:r w:rsidRPr="00BC7AA5">
        <w:t>. El Comité decidió transmitirlos al Estado parte interesado para que formulara sus observaciones en un plazo de seis meses y publicar el informe relativo a la investigación una vez transcurrido dicho plazo.</w:t>
      </w:r>
    </w:p>
    <w:p w14:paraId="4A6A8A55" w14:textId="77777777" w:rsidR="00DC67D5" w:rsidRPr="00BC7AA5" w:rsidRDefault="00DC67D5" w:rsidP="00DC67D5">
      <w:pPr>
        <w:pStyle w:val="SingleTxt"/>
      </w:pPr>
      <w:r w:rsidRPr="00BC7AA5">
        <w:t>27.</w:t>
      </w:r>
      <w:r w:rsidRPr="00BC7AA5">
        <w:tab/>
        <w:t>El Comité aprobó las siguientes recomendaciones del Grupo de Trabajo:</w:t>
      </w:r>
    </w:p>
    <w:p w14:paraId="7449BE1C" w14:textId="2788D02D" w:rsidR="00DC67D5" w:rsidRPr="00BC7AA5" w:rsidRDefault="003A7E51" w:rsidP="00DC67D5">
      <w:pPr>
        <w:pStyle w:val="SingleTxt"/>
      </w:pPr>
      <w:r w:rsidRPr="00BC7AA5">
        <w:tab/>
      </w:r>
      <w:r w:rsidR="00DC67D5" w:rsidRPr="00BC7AA5">
        <w:t>a)</w:t>
      </w:r>
      <w:r w:rsidR="00DC67D5" w:rsidRPr="00BC7AA5">
        <w:tab/>
        <w:t xml:space="preserve">En relación con la investigación núm. </w:t>
      </w:r>
      <w:r w:rsidR="001B2CAD" w:rsidRPr="00B212E1">
        <w:t>2017/3</w:t>
      </w:r>
      <w:r w:rsidR="00DC67D5" w:rsidRPr="00BC7AA5">
        <w:t>, que la secretaría envíe un recordatorio al Estado parte interesado para que responda a su correspondencia;</w:t>
      </w:r>
    </w:p>
    <w:p w14:paraId="4C0F3334" w14:textId="46A710E2" w:rsidR="00DC67D5" w:rsidRPr="00BC7AA5" w:rsidRDefault="003A7E51" w:rsidP="00DC67D5">
      <w:pPr>
        <w:pStyle w:val="SingleTxt"/>
      </w:pPr>
      <w:r w:rsidRPr="00BC7AA5">
        <w:tab/>
      </w:r>
      <w:r w:rsidR="00DC67D5" w:rsidRPr="00BC7AA5">
        <w:t>b)</w:t>
      </w:r>
      <w:r w:rsidR="00DC67D5" w:rsidRPr="00BC7AA5">
        <w:tab/>
        <w:t xml:space="preserve">En relación con la investigación núm. </w:t>
      </w:r>
      <w:r w:rsidR="001B2CAD" w:rsidRPr="00B212E1">
        <w:t>2016/1</w:t>
      </w:r>
      <w:r w:rsidR="00DC67D5" w:rsidRPr="00BC7AA5">
        <w:t>, que la secretaría siga colaborando con la oficina en el país de la Oficina del Alto Comisionado de las Naciones Unidas para los Derechos Humanos, en el Estado parte en cuestión, a los efectos de organizar la invitación de uno de los miembros designados a un acto regional para que lleve a cabo la investigación, y estudie la posibilidad de celebrar reuniones con las partes interesadas pertinentes en esa ocasión;</w:t>
      </w:r>
    </w:p>
    <w:p w14:paraId="7E2C359E" w14:textId="123F9355" w:rsidR="00DC67D5" w:rsidRPr="00BC7AA5" w:rsidRDefault="003A7E51" w:rsidP="00DC67D5">
      <w:pPr>
        <w:pStyle w:val="SingleTxt"/>
      </w:pPr>
      <w:r w:rsidRPr="00BC7AA5">
        <w:tab/>
      </w:r>
      <w:r w:rsidR="00DC67D5" w:rsidRPr="00BC7AA5">
        <w:t>c)</w:t>
      </w:r>
      <w:r w:rsidR="00DC67D5" w:rsidRPr="00BC7AA5">
        <w:tab/>
        <w:t xml:space="preserve">En relación con la investigación núm. </w:t>
      </w:r>
      <w:r w:rsidR="001B2CAD" w:rsidRPr="00B212E1">
        <w:t>2014/3</w:t>
      </w:r>
      <w:r w:rsidR="00DC67D5" w:rsidRPr="00BC7AA5">
        <w:t>, que la secretaría envíe una respuesta a la nota verbal de fecha 12 de diciembre de 2023 del Estado parte en cuestión en la que se proponen fechas para una visita de investigación;</w:t>
      </w:r>
    </w:p>
    <w:p w14:paraId="0111E58A" w14:textId="2C03E691" w:rsidR="00DC67D5" w:rsidRPr="00BC7AA5" w:rsidRDefault="003A7E51" w:rsidP="00DC67D5">
      <w:pPr>
        <w:pStyle w:val="SingleTxt"/>
      </w:pPr>
      <w:r w:rsidRPr="00BC7AA5">
        <w:tab/>
      </w:r>
      <w:r w:rsidR="00DC67D5" w:rsidRPr="00BC7AA5">
        <w:t>d)</w:t>
      </w:r>
      <w:r w:rsidR="00DC67D5" w:rsidRPr="00BC7AA5">
        <w:tab/>
        <w:t xml:space="preserve">En relación con la investigación núm. </w:t>
      </w:r>
      <w:r w:rsidR="001B2CAD" w:rsidRPr="00B212E1">
        <w:t>2014/2</w:t>
      </w:r>
      <w:r w:rsidR="00DC67D5" w:rsidRPr="00BC7AA5">
        <w:t>, que los miembros del Comité designados para llevar a cabo la investigación informen al Comité sobre su visita de investigación al Estado parte en cuestión realizada en diciembre de 2023;</w:t>
      </w:r>
    </w:p>
    <w:p w14:paraId="269F8B6B" w14:textId="2CB1157B" w:rsidR="00DC67D5" w:rsidRPr="00BC7AA5" w:rsidRDefault="003A7E51" w:rsidP="00DC67D5">
      <w:pPr>
        <w:pStyle w:val="SingleTxt"/>
      </w:pPr>
      <w:r w:rsidRPr="00BC7AA5">
        <w:tab/>
      </w:r>
      <w:r w:rsidR="00DC67D5" w:rsidRPr="00BC7AA5">
        <w:t>e)</w:t>
      </w:r>
      <w:r w:rsidR="00DC67D5" w:rsidRPr="00BC7AA5">
        <w:tab/>
        <w:t xml:space="preserve">En relación con la investigación núm. </w:t>
      </w:r>
      <w:r w:rsidR="001B2CAD" w:rsidRPr="00B212E1">
        <w:t>2013/1</w:t>
      </w:r>
      <w:r w:rsidR="00DC67D5" w:rsidRPr="00BC7AA5">
        <w:t xml:space="preserve"> relativa a Sudáfrica que, habiendo los dos miembros designados aprobado el modelo de cuadro de evaluación de seguimiento examinado por el Grupo de Trabajo a título experimental, la secretaría adjunte el cuadro a la carta de evaluación que se enviará al Estado parte; que el Comité examine el modelo, incluidas las nuevas categorías de evaluación, para su adopción y empleo en el futuro; y que la secretaría solicite que se incluya dicho modelo, una vez finalizado y aceptado por el Comité, entre sus documentos que deben ser objeto traducción como documento oficial;</w:t>
      </w:r>
    </w:p>
    <w:p w14:paraId="51B448C2" w14:textId="2091CA21" w:rsidR="00DC67D5" w:rsidRPr="00BC7AA5" w:rsidRDefault="003A7E51" w:rsidP="00DC67D5">
      <w:pPr>
        <w:pStyle w:val="SingleTxt"/>
      </w:pPr>
      <w:r w:rsidRPr="00BC7AA5">
        <w:tab/>
      </w:r>
      <w:r w:rsidR="00DC67D5" w:rsidRPr="00BC7AA5">
        <w:t>f)</w:t>
      </w:r>
      <w:r w:rsidR="00DC67D5" w:rsidRPr="00BC7AA5">
        <w:tab/>
        <w:t xml:space="preserve">En relación con la investigación núm. </w:t>
      </w:r>
      <w:r w:rsidR="001B2CAD" w:rsidRPr="00B212E1">
        <w:t>2012/1</w:t>
      </w:r>
      <w:r w:rsidR="00DC67D5" w:rsidRPr="00BC7AA5">
        <w:t>, que la secretaría envíe una nota verbal al Estado parte interesado para solicitar su consentimiento a una visita de investigación durante el último trimestre de 2024;</w:t>
      </w:r>
    </w:p>
    <w:p w14:paraId="0C582B5C" w14:textId="58979466" w:rsidR="00DC67D5" w:rsidRPr="00BC7AA5" w:rsidRDefault="003A7E51" w:rsidP="00DC67D5">
      <w:pPr>
        <w:pStyle w:val="SingleTxt"/>
      </w:pPr>
      <w:r w:rsidRPr="00BC7AA5">
        <w:tab/>
      </w:r>
      <w:r w:rsidR="00DC67D5" w:rsidRPr="00BC7AA5">
        <w:t>g)</w:t>
      </w:r>
      <w:r w:rsidR="00DC67D5" w:rsidRPr="00BC7AA5">
        <w:tab/>
        <w:t>En relación con la investigación núm. 2011/2 relativa al Reino Unido de Gran Bretaña e Irlanda del Norte, que, tras recibir información adicional de las fuentes de información y de la institución nacional de derechos humanos, el miembro designado presente su evaluación de seguimiento al Comité en su 88º período de sesiones;</w:t>
      </w:r>
    </w:p>
    <w:p w14:paraId="2D84215E" w14:textId="4A24EA4D" w:rsidR="00DC67D5" w:rsidRPr="00BC7AA5" w:rsidRDefault="003A7E51" w:rsidP="00DC67D5">
      <w:pPr>
        <w:pStyle w:val="SingleTxt"/>
      </w:pPr>
      <w:r w:rsidRPr="00BC7AA5">
        <w:tab/>
      </w:r>
      <w:r w:rsidR="00DC67D5" w:rsidRPr="00BC7AA5">
        <w:t>h)</w:t>
      </w:r>
      <w:r w:rsidR="00DC67D5" w:rsidRPr="00BC7AA5">
        <w:tab/>
        <w:t>En relación con la investigación núm. 2011/1 relativa al Canadá, que la secretaría transmita el informe de seguimiento del Estado parte a las fuentes de información y, si procede, a la institución nacional de derechos humanos, para que formulen observaciones; y que el Comité designe a la Sra. Eghobamien-Mshelia para que evalúe la información de seguimiento recibida y presente una evaluación de seguimiento al Comité;</w:t>
      </w:r>
      <w:bookmarkStart w:id="12" w:name="_Hlk156572179"/>
      <w:bookmarkEnd w:id="12"/>
    </w:p>
    <w:p w14:paraId="4100EEC9" w14:textId="1404218B" w:rsidR="00DC67D5" w:rsidRPr="00BC7AA5" w:rsidRDefault="003A7E51" w:rsidP="00DC67D5">
      <w:pPr>
        <w:pStyle w:val="SingleTxt"/>
      </w:pPr>
      <w:r w:rsidRPr="00BC7AA5">
        <w:tab/>
      </w:r>
      <w:r w:rsidR="00DC67D5" w:rsidRPr="00BC7AA5">
        <w:t>i)</w:t>
      </w:r>
      <w:r w:rsidR="00DC67D5" w:rsidRPr="00BC7AA5">
        <w:tab/>
        <w:t xml:space="preserve">En relación con la comunicación núm. </w:t>
      </w:r>
      <w:r w:rsidR="00476BE2" w:rsidRPr="00B212E1">
        <w:t>2023/3</w:t>
      </w:r>
      <w:r w:rsidR="00DC67D5" w:rsidRPr="00BC7AA5">
        <w:t>, que la secretaría solicite información adicional a las entidades y organismos especializados pertinentes de las Naciones Unidas y las instituciones nacionales de derechos humanos, manteniendo la confidencialidad durante todo el proceso;</w:t>
      </w:r>
    </w:p>
    <w:p w14:paraId="5BD5747A" w14:textId="7D8784E5" w:rsidR="00DC67D5" w:rsidRPr="00BC7AA5" w:rsidRDefault="003A7E51" w:rsidP="00DC67D5">
      <w:pPr>
        <w:pStyle w:val="SingleTxt"/>
      </w:pPr>
      <w:r w:rsidRPr="00BC7AA5">
        <w:tab/>
      </w:r>
      <w:r w:rsidR="00DC67D5" w:rsidRPr="00BC7AA5">
        <w:t>j)</w:t>
      </w:r>
      <w:r w:rsidR="00DC67D5" w:rsidRPr="00BC7AA5">
        <w:tab/>
        <w:t xml:space="preserve">En relación con la comunicación núm. </w:t>
      </w:r>
      <w:r w:rsidR="00476BE2" w:rsidRPr="00B212E1">
        <w:t>2023/2</w:t>
      </w:r>
      <w:r w:rsidR="00DC67D5" w:rsidRPr="00BC7AA5">
        <w:t>, que la secretaría estudie la posibilidad y los requisitos para que el Comité realice investigaciones conjuntamente con otros órganos creados en virtud de tratados de derechos humanos;</w:t>
      </w:r>
    </w:p>
    <w:p w14:paraId="26E255E5" w14:textId="53023642" w:rsidR="00DC67D5" w:rsidRPr="00BC7AA5" w:rsidRDefault="003A7E51" w:rsidP="00DC67D5">
      <w:pPr>
        <w:pStyle w:val="SingleTxt"/>
      </w:pPr>
      <w:r w:rsidRPr="00BC7AA5">
        <w:tab/>
      </w:r>
      <w:r w:rsidR="00DC67D5" w:rsidRPr="00BC7AA5">
        <w:t>k)</w:t>
      </w:r>
      <w:r w:rsidR="00DC67D5" w:rsidRPr="00BC7AA5">
        <w:tab/>
        <w:t xml:space="preserve">En relación con la comunicación núm. </w:t>
      </w:r>
      <w:r w:rsidR="00476BE2" w:rsidRPr="00B212E1">
        <w:t>2022/2</w:t>
      </w:r>
      <w:r w:rsidR="00DC67D5" w:rsidRPr="00BC7AA5">
        <w:t>, que la secretaría prepare una solicitud detallada de información al órgano de investigación encargado de la situación de los derechos humanos en el Estado parte en cuestión, y prosiga su investigación sobre la utilización por los titulares de mandatos de procedimientos especiales para países concretos de fondos para visitas al país objeto de su mandato para visitas a terceros países, cuando sea necesario;</w:t>
      </w:r>
    </w:p>
    <w:p w14:paraId="54060968" w14:textId="16E85F91" w:rsidR="00DC67D5" w:rsidRPr="00BC7AA5" w:rsidRDefault="003A7E51" w:rsidP="00DC67D5">
      <w:pPr>
        <w:pStyle w:val="SingleTxt"/>
      </w:pPr>
      <w:r w:rsidRPr="00BC7AA5">
        <w:tab/>
      </w:r>
      <w:r w:rsidR="00DC67D5" w:rsidRPr="00BC7AA5">
        <w:t>l)</w:t>
      </w:r>
      <w:r w:rsidR="00DC67D5" w:rsidRPr="00BC7AA5">
        <w:tab/>
        <w:t xml:space="preserve">En relación con la comunicación núm. </w:t>
      </w:r>
      <w:r w:rsidR="00476BE2" w:rsidRPr="00B212E1">
        <w:t>2021/1</w:t>
      </w:r>
      <w:r w:rsidR="00DC67D5" w:rsidRPr="00BC7AA5">
        <w:t>, que la secretaría solicite información adicional a la entidad pertinente de las Naciones Unidas.</w:t>
      </w:r>
    </w:p>
    <w:p w14:paraId="06A3C51C" w14:textId="77777777" w:rsidR="00DC67D5" w:rsidRPr="00BC7AA5" w:rsidRDefault="00DC67D5" w:rsidP="00DC67D5">
      <w:pPr>
        <w:pStyle w:val="SingleTxt"/>
      </w:pPr>
      <w:r w:rsidRPr="00BC7AA5">
        <w:br w:type="page"/>
      </w:r>
    </w:p>
    <w:p w14:paraId="53CD6CFB" w14:textId="77777777" w:rsidR="00DC67D5" w:rsidRPr="00BC7AA5" w:rsidRDefault="00DC67D5"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w:t>
      </w:r>
    </w:p>
    <w:p w14:paraId="0ADAC0AA" w14:textId="67D68C2E" w:rsidR="00DC67D5" w:rsidRPr="00BC7AA5" w:rsidRDefault="003A7E51"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DC67D5" w:rsidRPr="00BC7AA5">
        <w:t>Medios de agilizar los trabajos del Comité</w:t>
      </w:r>
    </w:p>
    <w:p w14:paraId="051DE751" w14:textId="77777777" w:rsidR="00DC67D5" w:rsidRPr="00BC7AA5" w:rsidRDefault="00DC67D5" w:rsidP="003A7E51">
      <w:pPr>
        <w:pStyle w:val="SingleTxt"/>
        <w:spacing w:after="0" w:line="120" w:lineRule="exact"/>
        <w:rPr>
          <w:sz w:val="10"/>
        </w:rPr>
      </w:pPr>
    </w:p>
    <w:p w14:paraId="4628A1A5" w14:textId="77777777" w:rsidR="003A7E51" w:rsidRPr="00BC7AA5" w:rsidRDefault="003A7E51" w:rsidP="003A7E51">
      <w:pPr>
        <w:pStyle w:val="SingleTxt"/>
        <w:spacing w:after="0" w:line="120" w:lineRule="exact"/>
        <w:rPr>
          <w:sz w:val="10"/>
        </w:rPr>
      </w:pPr>
    </w:p>
    <w:p w14:paraId="16826FA0" w14:textId="6BA6EC21" w:rsidR="00DC67D5" w:rsidRPr="00BC7AA5" w:rsidRDefault="00DC67D5" w:rsidP="00DC67D5">
      <w:pPr>
        <w:pStyle w:val="SingleTxt"/>
      </w:pPr>
      <w:r w:rsidRPr="00BC7AA5">
        <w:t>28.</w:t>
      </w:r>
      <w:r w:rsidRPr="00BC7AA5">
        <w:tab/>
        <w:t>La secretaría informó al Comité sobre la situación relativa a la presentación de</w:t>
      </w:r>
      <w:r w:rsidR="00E233F3">
        <w:t> </w:t>
      </w:r>
      <w:r w:rsidRPr="00BC7AA5">
        <w:t>los informes atrasados que los Estados partes debían presentar en virtud del artículo 18 de la Convención.</w:t>
      </w:r>
    </w:p>
    <w:p w14:paraId="2500FDC1" w14:textId="77777777" w:rsidR="00DC67D5" w:rsidRPr="00BC7AA5" w:rsidRDefault="00DC67D5" w:rsidP="003A7E51">
      <w:pPr>
        <w:pStyle w:val="SingleTxt"/>
        <w:spacing w:after="0" w:line="120" w:lineRule="exact"/>
        <w:rPr>
          <w:sz w:val="10"/>
        </w:rPr>
      </w:pPr>
    </w:p>
    <w:p w14:paraId="00D47CE5" w14:textId="77777777" w:rsidR="003A7E51" w:rsidRPr="00BC7AA5" w:rsidRDefault="003A7E51" w:rsidP="003A7E51">
      <w:pPr>
        <w:pStyle w:val="SingleTxt"/>
        <w:spacing w:after="0" w:line="120" w:lineRule="exact"/>
        <w:rPr>
          <w:sz w:val="10"/>
        </w:rPr>
      </w:pPr>
    </w:p>
    <w:p w14:paraId="3781FFF2" w14:textId="77777777" w:rsidR="00DC67D5" w:rsidRPr="00BC7AA5" w:rsidRDefault="00DC67D5" w:rsidP="00B212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BC7AA5">
        <w:tab/>
      </w:r>
      <w:r w:rsidRPr="00BC7AA5">
        <w:tab/>
        <w:t>Medidas adoptadas por el Comité en relación con el tema 7 del programa</w:t>
      </w:r>
    </w:p>
    <w:p w14:paraId="1144A6E8" w14:textId="77777777" w:rsidR="00DC67D5" w:rsidRPr="00BC7AA5" w:rsidRDefault="00DC67D5" w:rsidP="003A7E51">
      <w:pPr>
        <w:pStyle w:val="SingleTxt"/>
        <w:spacing w:after="0" w:line="120" w:lineRule="exact"/>
        <w:rPr>
          <w:sz w:val="10"/>
        </w:rPr>
      </w:pPr>
    </w:p>
    <w:p w14:paraId="5445C10E" w14:textId="77777777" w:rsidR="003A7E51" w:rsidRPr="00BC7AA5" w:rsidRDefault="003A7E51" w:rsidP="003A7E51">
      <w:pPr>
        <w:pStyle w:val="SingleTxt"/>
        <w:spacing w:after="0" w:line="120" w:lineRule="exact"/>
        <w:rPr>
          <w:sz w:val="10"/>
        </w:rPr>
      </w:pPr>
    </w:p>
    <w:p w14:paraId="1F38AD22"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Fechas de los períodos de sesiones futuros </w:t>
      </w:r>
    </w:p>
    <w:p w14:paraId="5C56B16A" w14:textId="77777777" w:rsidR="00DC67D5" w:rsidRPr="00BC7AA5" w:rsidRDefault="00DC67D5" w:rsidP="003A7E51">
      <w:pPr>
        <w:pStyle w:val="SingleTxt"/>
        <w:spacing w:after="0" w:line="120" w:lineRule="exact"/>
        <w:rPr>
          <w:sz w:val="10"/>
        </w:rPr>
      </w:pPr>
    </w:p>
    <w:p w14:paraId="04E114F7" w14:textId="77777777" w:rsidR="00DC67D5" w:rsidRPr="00BC7AA5" w:rsidRDefault="00DC67D5" w:rsidP="00DC67D5">
      <w:pPr>
        <w:pStyle w:val="SingleTxt"/>
      </w:pPr>
      <w:r w:rsidRPr="00BC7AA5">
        <w:t>29.</w:t>
      </w:r>
      <w:r w:rsidRPr="00BC7AA5">
        <w:tab/>
        <w:t>De acuerdo con el calendario de conferencias, se confirmaron las siguientes fechas tentativas para los períodos de sesiones 88º y 89º del Comité y las reuniones conexas:</w:t>
      </w:r>
    </w:p>
    <w:p w14:paraId="49EDF8F5" w14:textId="52F3507C" w:rsidR="00DC67D5" w:rsidRPr="00BC7AA5" w:rsidRDefault="00E233F3" w:rsidP="00DC67D5">
      <w:pPr>
        <w:pStyle w:val="SingleTxt"/>
        <w:rPr>
          <w:i/>
          <w:iCs/>
        </w:rPr>
      </w:pPr>
      <w:r>
        <w:rPr>
          <w:i/>
          <w:iCs/>
        </w:rPr>
        <w:tab/>
      </w:r>
      <w:r w:rsidR="00DC67D5" w:rsidRPr="00BC7AA5">
        <w:rPr>
          <w:i/>
          <w:iCs/>
        </w:rPr>
        <w:t>88º período de sesiones (Ginebra)</w:t>
      </w:r>
    </w:p>
    <w:p w14:paraId="4974B5CE" w14:textId="7D5B4F32" w:rsidR="00DC67D5" w:rsidRPr="00BC7AA5" w:rsidRDefault="003A7E51" w:rsidP="00DC67D5">
      <w:pPr>
        <w:pStyle w:val="SingleTxt"/>
      </w:pPr>
      <w:r w:rsidRPr="00BC7AA5">
        <w:tab/>
      </w:r>
      <w:r w:rsidR="00DC67D5" w:rsidRPr="00BC7AA5">
        <w:t>a)</w:t>
      </w:r>
      <w:r w:rsidR="00DC67D5" w:rsidRPr="00BC7AA5">
        <w:tab/>
        <w:t>Según se indica en el párrafo 26 de la segunda parte del presente informe;</w:t>
      </w:r>
    </w:p>
    <w:p w14:paraId="1D6F81C5" w14:textId="076E4C6F" w:rsidR="00DC67D5" w:rsidRPr="00BC7AA5" w:rsidRDefault="00E233F3" w:rsidP="00DC67D5">
      <w:pPr>
        <w:pStyle w:val="SingleTxt"/>
        <w:rPr>
          <w:i/>
          <w:iCs/>
        </w:rPr>
      </w:pPr>
      <w:r>
        <w:rPr>
          <w:i/>
          <w:iCs/>
        </w:rPr>
        <w:tab/>
      </w:r>
      <w:r w:rsidR="00DC67D5" w:rsidRPr="00BC7AA5">
        <w:rPr>
          <w:i/>
          <w:iCs/>
        </w:rPr>
        <w:t>89º período de sesiones (Ginebra)</w:t>
      </w:r>
    </w:p>
    <w:p w14:paraId="59D2258D" w14:textId="32FA2A2D" w:rsidR="00DC67D5" w:rsidRPr="00BC7AA5" w:rsidRDefault="003A7E51" w:rsidP="00DC67D5">
      <w:pPr>
        <w:pStyle w:val="SingleTxt"/>
      </w:pPr>
      <w:r w:rsidRPr="00BC7AA5">
        <w:tab/>
      </w:r>
      <w:r w:rsidR="00DC67D5" w:rsidRPr="00BC7AA5">
        <w:t>b)</w:t>
      </w:r>
      <w:r w:rsidR="00DC67D5" w:rsidRPr="00BC7AA5">
        <w:tab/>
        <w:t>60º período de sesiones del Grupo de Trabajo sobre las Comunicaciones presentadas en virtud del Protocolo Facultativo: 3 y 4 de octubre de 2024;</w:t>
      </w:r>
    </w:p>
    <w:p w14:paraId="6DF77AE5" w14:textId="4230C150" w:rsidR="00DC67D5" w:rsidRPr="00BC7AA5" w:rsidRDefault="003A7E51" w:rsidP="00DC67D5">
      <w:pPr>
        <w:pStyle w:val="SingleTxt"/>
      </w:pPr>
      <w:r w:rsidRPr="00BC7AA5">
        <w:tab/>
      </w:r>
      <w:r w:rsidR="00DC67D5" w:rsidRPr="00BC7AA5">
        <w:t>c)</w:t>
      </w:r>
      <w:r w:rsidR="00DC67D5" w:rsidRPr="00BC7AA5">
        <w:tab/>
        <w:t>29º período de sesiones del Grupo de Trabajo sobre Investigaciones con arreglo al Protocolo Facultativo: 3 y 4 de octubre de 2024;</w:t>
      </w:r>
    </w:p>
    <w:p w14:paraId="4A3299E1" w14:textId="6374E00B" w:rsidR="00DC67D5" w:rsidRPr="00BC7AA5" w:rsidRDefault="003A7E51" w:rsidP="00DC67D5">
      <w:pPr>
        <w:pStyle w:val="SingleTxt"/>
      </w:pPr>
      <w:r w:rsidRPr="00BC7AA5">
        <w:tab/>
      </w:r>
      <w:r w:rsidR="00DC67D5" w:rsidRPr="00BC7AA5">
        <w:t>d)</w:t>
      </w:r>
      <w:r w:rsidR="00DC67D5" w:rsidRPr="00BC7AA5">
        <w:tab/>
        <w:t xml:space="preserve">89º período de sesiones: 7 a 25 de octubre de 2024; </w:t>
      </w:r>
    </w:p>
    <w:p w14:paraId="12461BCA" w14:textId="15C3F8DD" w:rsidR="00DC67D5" w:rsidRPr="00BC7AA5" w:rsidRDefault="003A7E51" w:rsidP="00DC67D5">
      <w:pPr>
        <w:pStyle w:val="SingleTxt"/>
      </w:pPr>
      <w:r w:rsidRPr="00BC7AA5">
        <w:tab/>
      </w:r>
      <w:r w:rsidR="00DC67D5" w:rsidRPr="00BC7AA5">
        <w:t>e)</w:t>
      </w:r>
      <w:r w:rsidR="00DC67D5" w:rsidRPr="00BC7AA5">
        <w:tab/>
        <w:t>Grupo de trabajo anterior al 90º período de sesiones: 28 de octubre a 1 de noviembre de 2024.</w:t>
      </w:r>
    </w:p>
    <w:p w14:paraId="26A4E010" w14:textId="77777777" w:rsidR="00DC67D5" w:rsidRPr="00BC7AA5" w:rsidRDefault="00DC67D5" w:rsidP="003A7E51">
      <w:pPr>
        <w:pStyle w:val="SingleTxt"/>
        <w:spacing w:after="0" w:line="120" w:lineRule="exact"/>
        <w:rPr>
          <w:sz w:val="10"/>
        </w:rPr>
      </w:pPr>
    </w:p>
    <w:p w14:paraId="1E348AD3"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Informes que se examinarán en períodos de sesiones futuros </w:t>
      </w:r>
    </w:p>
    <w:p w14:paraId="60BE7F4A" w14:textId="77777777" w:rsidR="00DC67D5" w:rsidRPr="00BC7AA5" w:rsidRDefault="00DC67D5" w:rsidP="003A7E51">
      <w:pPr>
        <w:pStyle w:val="SingleTxt"/>
        <w:spacing w:after="0" w:line="120" w:lineRule="exact"/>
        <w:rPr>
          <w:sz w:val="10"/>
        </w:rPr>
      </w:pPr>
    </w:p>
    <w:p w14:paraId="07263465" w14:textId="77777777" w:rsidR="00DC67D5" w:rsidRPr="00BC7AA5" w:rsidRDefault="00DC67D5" w:rsidP="00DC67D5">
      <w:pPr>
        <w:pStyle w:val="SingleTxt"/>
      </w:pPr>
      <w:r w:rsidRPr="00BC7AA5">
        <w:t>30.</w:t>
      </w:r>
      <w:r w:rsidRPr="00BC7AA5">
        <w:tab/>
        <w:t>El Comité confirmó que, en su 88º período de sesiones, examinaría los informes de los Estados partes enumerados en el párrafo 27 de la segunda parte del presente informe y que, en su 89º período de sesiones, examinaría ocho informes de entre los de Benin, el Canadá, Chile (los dos últimos con arreglo al procedimiento simplificado de presentación de informes), Cuba, el Japón (con arreglo al procedimiento simplificado de presentación de informes), Nueva Zelandia, los Países Bajos (Reino de los) (los dos últimos con arreglo al procedimiento simplificado de presentación de informes), la República Democrática Popular Lao y la Arabia Saudita.</w:t>
      </w:r>
    </w:p>
    <w:p w14:paraId="5FB4B97E" w14:textId="77777777" w:rsidR="00DC67D5" w:rsidRPr="00BC7AA5" w:rsidRDefault="00DC67D5" w:rsidP="00DC67D5">
      <w:pPr>
        <w:pStyle w:val="SingleTxt"/>
      </w:pPr>
      <w:r w:rsidRPr="00BC7AA5">
        <w:br w:type="page"/>
      </w:r>
    </w:p>
    <w:p w14:paraId="333CF675" w14:textId="77777777" w:rsidR="00DC67D5" w:rsidRPr="00BC7AA5" w:rsidRDefault="00DC67D5"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w:t>
      </w:r>
    </w:p>
    <w:p w14:paraId="44C7BE9F" w14:textId="5C307469" w:rsidR="00DC67D5" w:rsidRPr="00BC7AA5" w:rsidRDefault="003A7E51"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BC7AA5">
        <w:tab/>
      </w:r>
      <w:r w:rsidRPr="00BC7AA5">
        <w:tab/>
      </w:r>
      <w:r w:rsidR="00DC67D5" w:rsidRPr="00BC7AA5">
        <w:t>Información sobre la aplicación del artículo 21 de la Convención</w:t>
      </w:r>
    </w:p>
    <w:p w14:paraId="3DE8A49E" w14:textId="77777777" w:rsidR="00DC67D5" w:rsidRPr="00BC7AA5" w:rsidRDefault="00DC67D5" w:rsidP="003A7E51">
      <w:pPr>
        <w:pStyle w:val="SingleTxt"/>
        <w:spacing w:after="0" w:line="120" w:lineRule="exact"/>
        <w:rPr>
          <w:sz w:val="10"/>
        </w:rPr>
      </w:pPr>
    </w:p>
    <w:p w14:paraId="6ADCB69E" w14:textId="77777777" w:rsidR="003A7E51" w:rsidRPr="00BC7AA5" w:rsidRDefault="003A7E51" w:rsidP="003A7E51">
      <w:pPr>
        <w:pStyle w:val="SingleTxt"/>
        <w:spacing w:after="0" w:line="120" w:lineRule="exact"/>
        <w:rPr>
          <w:sz w:val="10"/>
        </w:rPr>
      </w:pPr>
    </w:p>
    <w:p w14:paraId="190588A8"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Grupo de trabajo sobre métodos de trabajo</w:t>
      </w:r>
    </w:p>
    <w:p w14:paraId="0458650F" w14:textId="77777777" w:rsidR="00DC67D5" w:rsidRPr="00BC7AA5" w:rsidRDefault="00DC67D5" w:rsidP="003A7E51">
      <w:pPr>
        <w:pStyle w:val="SingleTxt"/>
        <w:spacing w:after="0" w:line="120" w:lineRule="exact"/>
        <w:rPr>
          <w:sz w:val="10"/>
        </w:rPr>
      </w:pPr>
    </w:p>
    <w:p w14:paraId="4E29A3A0" w14:textId="77777777" w:rsidR="00DC67D5" w:rsidRPr="00BC7AA5" w:rsidRDefault="00DC67D5" w:rsidP="00DC67D5">
      <w:pPr>
        <w:pStyle w:val="SingleTxt"/>
      </w:pPr>
      <w:r w:rsidRPr="00BC7AA5">
        <w:t>31.</w:t>
      </w:r>
      <w:r w:rsidRPr="00BC7AA5">
        <w:tab/>
        <w:t>El grupo de trabajo se reunió una vez durante el período de sesiones. El grupo de trabajo examinó y presentó un proyecto de decisión al Comité, relativo a la confidencialidad de la documentación (véase la decisión 87/VII). También trató la transparencia de la composición de los equipos de tareas y el formato de las listas no exhaustivas de temas generales que se enviarán al Estado parte interesado antes de la celebración del diálogo constructivo (véase la decisión 86/IV).</w:t>
      </w:r>
    </w:p>
    <w:p w14:paraId="2E770D4A" w14:textId="77777777" w:rsidR="00DC67D5" w:rsidRPr="00BC7AA5" w:rsidRDefault="00DC67D5" w:rsidP="003A7E51">
      <w:pPr>
        <w:pStyle w:val="SingleTxt"/>
        <w:spacing w:after="0" w:line="120" w:lineRule="exact"/>
        <w:rPr>
          <w:sz w:val="10"/>
        </w:rPr>
      </w:pPr>
    </w:p>
    <w:p w14:paraId="28459365"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Grupo de trabajo sobre la violencia por razón de género contra la mujer</w:t>
      </w:r>
    </w:p>
    <w:p w14:paraId="1034566C" w14:textId="77777777" w:rsidR="00DC67D5" w:rsidRPr="00BC7AA5" w:rsidRDefault="00DC67D5" w:rsidP="003A7E51">
      <w:pPr>
        <w:pStyle w:val="SingleTxt"/>
        <w:spacing w:after="0" w:line="120" w:lineRule="exact"/>
        <w:rPr>
          <w:sz w:val="10"/>
        </w:rPr>
      </w:pPr>
    </w:p>
    <w:p w14:paraId="42E420B6" w14:textId="77777777" w:rsidR="00DC67D5" w:rsidRPr="00BC7AA5" w:rsidRDefault="00DC67D5" w:rsidP="00DC67D5">
      <w:pPr>
        <w:pStyle w:val="SingleTxt"/>
      </w:pPr>
      <w:r w:rsidRPr="00BC7AA5">
        <w:t>32.</w:t>
      </w:r>
      <w:r w:rsidRPr="00BC7AA5">
        <w:tab/>
        <w:t xml:space="preserve">El grupo de trabajo se reunió dos veces durante el período de sesiones. El grupo de trabajo examinó las reuniones y eventos paralelos previstos por la Plataforma de Mecanismos de Expertos Independientes sobre la Eliminación de la Discriminación y la Violencia contra la Mujer durante el 68º período de sesiones de la Comisión de la Condición Jurídica y Social de la Mujer y finalizó la preparación de un proyecto de declaración conjunta que la Plataforma hará pública el 8 de marzo de 2024 (véase la decisión 87/IV). También se debatió sobre el mandato del Comité en relación con la violencia de género contra las mujeres, incluidos los temas seleccionados para la investigación y el análisis. </w:t>
      </w:r>
    </w:p>
    <w:p w14:paraId="44C7B7CA" w14:textId="77777777" w:rsidR="00DC67D5" w:rsidRPr="00BC7AA5" w:rsidRDefault="00DC67D5" w:rsidP="003A7E51">
      <w:pPr>
        <w:pStyle w:val="SingleTxt"/>
        <w:spacing w:after="0" w:line="120" w:lineRule="exact"/>
        <w:rPr>
          <w:sz w:val="10"/>
        </w:rPr>
      </w:pPr>
    </w:p>
    <w:p w14:paraId="5C320F27" w14:textId="40C5DE5C" w:rsidR="00DC67D5" w:rsidRPr="00BC7AA5" w:rsidRDefault="003A7E51"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BC7AA5">
        <w:tab/>
      </w:r>
      <w:r w:rsidRPr="00BC7AA5">
        <w:tab/>
      </w:r>
      <w:r w:rsidR="00DC67D5" w:rsidRPr="00BC7AA5">
        <w:t>Grupo de trabajo sobre la representación igualitaria e inclusiva de las mujeres en los sistemas de toma de decisiones</w:t>
      </w:r>
    </w:p>
    <w:p w14:paraId="077C3D4A" w14:textId="77777777" w:rsidR="00DC67D5" w:rsidRPr="00BC7AA5" w:rsidRDefault="00DC67D5" w:rsidP="003A7E51">
      <w:pPr>
        <w:pStyle w:val="SingleTxt"/>
        <w:spacing w:after="0" w:line="120" w:lineRule="exact"/>
        <w:rPr>
          <w:sz w:val="10"/>
        </w:rPr>
      </w:pPr>
    </w:p>
    <w:p w14:paraId="4447E57F" w14:textId="77777777" w:rsidR="00DC67D5" w:rsidRPr="00BC7AA5" w:rsidRDefault="00DC67D5" w:rsidP="00DC67D5">
      <w:pPr>
        <w:pStyle w:val="SingleTxt"/>
      </w:pPr>
      <w:r w:rsidRPr="00BC7AA5">
        <w:t>33.</w:t>
      </w:r>
      <w:r w:rsidRPr="00BC7AA5">
        <w:tab/>
        <w:t>El grupo de trabajo se reunió dos veces durante el período de sesiones. El grupo de trabajo examinó el borrador inicial de la recomendación general sobre la representación igualitaria e inclusiva de las mujeres en los sistemas de toma de decisiones, que se publicará en línea, junto con una convocatoria a realizar comentarios. También estudió los próximos pasos para la adopción de la recomendación general, prevista para el 89º período de sesiones del Comité, en octubre de 2024, incluidas las consultas regionales de expertos y la primera lectura del proyecto de recomendación general durante el 88º período de sesiones del Comité, en mayo de 2024.</w:t>
      </w:r>
    </w:p>
    <w:p w14:paraId="153C1A06" w14:textId="77777777" w:rsidR="00DC67D5" w:rsidRPr="00BC7AA5" w:rsidRDefault="00DC67D5" w:rsidP="003A7E51">
      <w:pPr>
        <w:pStyle w:val="SingleTxt"/>
        <w:spacing w:after="0" w:line="120" w:lineRule="exact"/>
        <w:rPr>
          <w:sz w:val="10"/>
        </w:rPr>
      </w:pPr>
    </w:p>
    <w:p w14:paraId="3DBF0656"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Equipo de tareas sobre los estereotipos de género</w:t>
      </w:r>
    </w:p>
    <w:p w14:paraId="6462E6E2" w14:textId="77777777" w:rsidR="00DC67D5" w:rsidRPr="00BC7AA5" w:rsidRDefault="00DC67D5" w:rsidP="003A7E51">
      <w:pPr>
        <w:pStyle w:val="SingleTxt"/>
        <w:spacing w:after="0" w:line="120" w:lineRule="exact"/>
        <w:rPr>
          <w:sz w:val="10"/>
        </w:rPr>
      </w:pPr>
    </w:p>
    <w:p w14:paraId="41405D8B" w14:textId="7DBD9F80" w:rsidR="00DC67D5" w:rsidRPr="00BC7AA5" w:rsidRDefault="00DC67D5" w:rsidP="00DC67D5">
      <w:pPr>
        <w:pStyle w:val="SingleTxt"/>
      </w:pPr>
      <w:r w:rsidRPr="00BC7AA5">
        <w:t>34.</w:t>
      </w:r>
      <w:r w:rsidRPr="00BC7AA5">
        <w:tab/>
        <w:t>El equipo de tareas se reunió con el UNFPA durante el período de sesiones para debatir acerca de los avances en la preparación de un proyecto de recomendación general sobre los estereotipos de género y las posibles formas de colaboración con el UNFPA en 2024, así como en 2025, cuando se pondrá en marcha el proceso oficial para la preparación de la recomendación general. El equipo de tareas indicó que compartiría con el UNFPA la nota conceptual para la recomendación general, cuya presentación al Comité estaba prevista durante el 87º período de sesiones, una vez que hubiera sido aprobada. Los miembros del equipo de tareas acordaron continuar las conversaciones con el UNFPA en Nueva York durante el 68º per</w:t>
      </w:r>
      <w:r w:rsidR="00CF3804">
        <w:t>í</w:t>
      </w:r>
      <w:r w:rsidRPr="00BC7AA5">
        <w:t>odo de sesiones de la Comisión de la Condición Jurídica y Social de la Mujer.</w:t>
      </w:r>
    </w:p>
    <w:p w14:paraId="5D51777C" w14:textId="77777777" w:rsidR="00DC67D5" w:rsidRPr="00BC7AA5" w:rsidRDefault="00DC67D5" w:rsidP="003A7E51">
      <w:pPr>
        <w:pStyle w:val="SingleTxt"/>
        <w:spacing w:after="0" w:line="120" w:lineRule="exact"/>
        <w:rPr>
          <w:sz w:val="10"/>
        </w:rPr>
      </w:pPr>
    </w:p>
    <w:p w14:paraId="1961AFA8"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Equipo de tareas sobre el Afganistán</w:t>
      </w:r>
    </w:p>
    <w:p w14:paraId="539C912D" w14:textId="77777777" w:rsidR="00DC67D5" w:rsidRPr="00BC7AA5" w:rsidRDefault="00DC67D5" w:rsidP="003A7E51">
      <w:pPr>
        <w:pStyle w:val="SingleTxt"/>
        <w:spacing w:after="0" w:line="120" w:lineRule="exact"/>
        <w:rPr>
          <w:sz w:val="10"/>
        </w:rPr>
      </w:pPr>
    </w:p>
    <w:p w14:paraId="387A60B0" w14:textId="77777777" w:rsidR="00DC67D5" w:rsidRPr="00BC7AA5" w:rsidRDefault="00DC67D5" w:rsidP="00DC67D5">
      <w:pPr>
        <w:pStyle w:val="SingleTxt"/>
      </w:pPr>
      <w:r w:rsidRPr="00BC7AA5">
        <w:t>35.</w:t>
      </w:r>
      <w:r w:rsidRPr="00BC7AA5">
        <w:tab/>
        <w:t>El equipo de tareas se reunió una vez durante el período de sesiones. El equipo de tareas finalizó un proyecto de declaración sobre la situación de las mujeres y las niñas en el Afganistán para su adopción por el Comité (véase la decisión 87/I).</w:t>
      </w:r>
    </w:p>
    <w:p w14:paraId="18AB1D70" w14:textId="7777777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Ucrania </w:t>
      </w:r>
    </w:p>
    <w:p w14:paraId="77950FF3" w14:textId="77777777" w:rsidR="00DC67D5" w:rsidRPr="00BC7AA5" w:rsidRDefault="00DC67D5" w:rsidP="003A7E51">
      <w:pPr>
        <w:pStyle w:val="SingleTxt"/>
        <w:spacing w:after="0" w:line="120" w:lineRule="exact"/>
        <w:rPr>
          <w:sz w:val="10"/>
        </w:rPr>
      </w:pPr>
    </w:p>
    <w:p w14:paraId="2C91DB4F" w14:textId="77777777" w:rsidR="00DC67D5" w:rsidRPr="00BC7AA5" w:rsidRDefault="00DC67D5" w:rsidP="00DC67D5">
      <w:pPr>
        <w:pStyle w:val="SingleTxt"/>
      </w:pPr>
      <w:r w:rsidRPr="00BC7AA5">
        <w:t>36.</w:t>
      </w:r>
      <w:r w:rsidRPr="00BC7AA5">
        <w:tab/>
        <w:t>El equipo de tareas se reunió durante el período de sesiones para convocar una reunión virtual con un Comisionado y el coordinador de la Comisión Internacional Independiente de Investigación sobre Ucrania, que ofreció una sesión informativa al equipo de tareas sobre la situación de las mujeres y las niñas en Ucrania.</w:t>
      </w:r>
    </w:p>
    <w:p w14:paraId="787095A5" w14:textId="77777777" w:rsidR="003A7E51" w:rsidRPr="00BC7AA5" w:rsidRDefault="003A7E51" w:rsidP="003A7E51">
      <w:pPr>
        <w:pStyle w:val="SingleTxt"/>
        <w:spacing w:after="0" w:line="120" w:lineRule="exact"/>
        <w:rPr>
          <w:b/>
          <w:sz w:val="10"/>
        </w:rPr>
      </w:pPr>
    </w:p>
    <w:p w14:paraId="72972D41" w14:textId="1F4A1767" w:rsidR="00DC67D5" w:rsidRPr="00BC7AA5" w:rsidRDefault="00DC67D5" w:rsidP="003A7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 xml:space="preserve">Equipo de tareas sobre autoidentificación de sexo/género </w:t>
      </w:r>
    </w:p>
    <w:p w14:paraId="2CB0025D" w14:textId="77777777" w:rsidR="00DC67D5" w:rsidRPr="00BC7AA5" w:rsidRDefault="00DC67D5" w:rsidP="003A7E51">
      <w:pPr>
        <w:pStyle w:val="SingleTxt"/>
        <w:spacing w:after="0" w:line="120" w:lineRule="exact"/>
        <w:rPr>
          <w:sz w:val="10"/>
        </w:rPr>
      </w:pPr>
    </w:p>
    <w:p w14:paraId="7757650D" w14:textId="77777777" w:rsidR="00DC67D5" w:rsidRPr="00BC7AA5" w:rsidRDefault="00DC67D5" w:rsidP="00DC67D5">
      <w:pPr>
        <w:pStyle w:val="SingleTxt"/>
      </w:pPr>
      <w:r w:rsidRPr="00BC7AA5">
        <w:t>37.</w:t>
      </w:r>
      <w:r w:rsidRPr="00BC7AA5">
        <w:tab/>
        <w:t>El equipo de tareas se reunió una vez durante el período de sesiones y convocó una reunión virtual del Comité con la Relatora Especial sobre la violencia contra las mujeres y las niñas, sus causas y consecuencias, Reem Alsalem, quien informó al Comité sobre el riesgo de que se supriman los derechos y el lenguaje basado en el sexo y su informe al Consejo de Derechos Humanos sobre la custodia, la violencia contra las mujeres y la violencia contra los niños. El equipo de tareas también había celebrado reuniones en línea entre sesiones con otros expertos.</w:t>
      </w:r>
      <w:bookmarkStart w:id="13" w:name="_Hlk158926199"/>
      <w:bookmarkEnd w:id="13"/>
    </w:p>
    <w:p w14:paraId="6ECC978F" w14:textId="77777777" w:rsidR="00DC67D5" w:rsidRPr="00BC7AA5" w:rsidRDefault="00DC67D5" w:rsidP="00DC67D5">
      <w:pPr>
        <w:pStyle w:val="SingleTxt"/>
      </w:pPr>
      <w:r w:rsidRPr="00BC7AA5">
        <w:br w:type="page"/>
      </w:r>
    </w:p>
    <w:p w14:paraId="39DF4242" w14:textId="77777777" w:rsidR="00DC67D5" w:rsidRPr="00BC7AA5" w:rsidRDefault="00DC67D5"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VIII</w:t>
      </w:r>
    </w:p>
    <w:p w14:paraId="44FDBAD0" w14:textId="79441EC6" w:rsidR="00DC67D5" w:rsidRPr="00BC7AA5" w:rsidRDefault="003A7E51"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DC67D5" w:rsidRPr="00BC7AA5">
        <w:t>Programa provisional del 88º período de sesiones</w:t>
      </w:r>
    </w:p>
    <w:p w14:paraId="54F4996C" w14:textId="77777777" w:rsidR="00DC67D5" w:rsidRPr="00BC7AA5" w:rsidRDefault="00DC67D5" w:rsidP="003A7E51">
      <w:pPr>
        <w:pStyle w:val="SingleTxt"/>
        <w:spacing w:after="0" w:line="120" w:lineRule="exact"/>
        <w:rPr>
          <w:sz w:val="10"/>
        </w:rPr>
      </w:pPr>
    </w:p>
    <w:p w14:paraId="2E29DD3A" w14:textId="77777777" w:rsidR="003A7E51" w:rsidRPr="00BC7AA5" w:rsidRDefault="003A7E51" w:rsidP="003A7E51">
      <w:pPr>
        <w:pStyle w:val="SingleTxt"/>
        <w:spacing w:after="0" w:line="120" w:lineRule="exact"/>
        <w:rPr>
          <w:sz w:val="10"/>
        </w:rPr>
      </w:pPr>
    </w:p>
    <w:p w14:paraId="37ECA2CB" w14:textId="77777777" w:rsidR="00DC67D5" w:rsidRPr="00BC7AA5" w:rsidRDefault="00DC67D5" w:rsidP="00DC67D5">
      <w:pPr>
        <w:pStyle w:val="SingleTxt"/>
      </w:pPr>
      <w:r w:rsidRPr="00BC7AA5">
        <w:t>38.</w:t>
      </w:r>
      <w:r w:rsidRPr="00BC7AA5">
        <w:tab/>
        <w:t>En su 2058ª sesión, celebrada el 16 de febrero de 2024, el Comité examinó y aprobó el proyecto de programa provisional de su 88º período de sesiones.</w:t>
      </w:r>
    </w:p>
    <w:p w14:paraId="0C2E1E17" w14:textId="77777777" w:rsidR="00DC67D5" w:rsidRPr="00BC7AA5" w:rsidRDefault="00DC67D5" w:rsidP="00DC67D5">
      <w:pPr>
        <w:pStyle w:val="SingleTxt"/>
      </w:pPr>
      <w:r w:rsidRPr="00BC7AA5">
        <w:br w:type="page"/>
      </w:r>
    </w:p>
    <w:p w14:paraId="604511C0" w14:textId="77777777" w:rsidR="00DC67D5" w:rsidRPr="00BC7AA5" w:rsidRDefault="00DC67D5"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Capítulo IX</w:t>
      </w:r>
    </w:p>
    <w:p w14:paraId="54C6D1D5" w14:textId="5ADF3463" w:rsidR="00DC67D5" w:rsidRPr="00BC7AA5" w:rsidRDefault="003A7E51" w:rsidP="003A7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r>
      <w:r w:rsidR="00DC67D5" w:rsidRPr="00BC7AA5">
        <w:t>Aprobación del programa</w:t>
      </w:r>
    </w:p>
    <w:p w14:paraId="6A6CC579" w14:textId="77777777" w:rsidR="00DC67D5" w:rsidRPr="00BC7AA5" w:rsidRDefault="00DC67D5" w:rsidP="003A7E51">
      <w:pPr>
        <w:pStyle w:val="SingleTxt"/>
        <w:spacing w:after="0" w:line="120" w:lineRule="exact"/>
        <w:rPr>
          <w:sz w:val="10"/>
        </w:rPr>
      </w:pPr>
    </w:p>
    <w:p w14:paraId="01E03498" w14:textId="77777777" w:rsidR="003A7E51" w:rsidRPr="00BC7AA5" w:rsidRDefault="003A7E51" w:rsidP="003A7E51">
      <w:pPr>
        <w:pStyle w:val="SingleTxt"/>
        <w:spacing w:after="0" w:line="120" w:lineRule="exact"/>
        <w:rPr>
          <w:sz w:val="10"/>
        </w:rPr>
      </w:pPr>
    </w:p>
    <w:p w14:paraId="693820BE" w14:textId="77777777" w:rsidR="00DC67D5" w:rsidRPr="00BC7AA5" w:rsidRDefault="00DC67D5" w:rsidP="00DC67D5">
      <w:pPr>
        <w:pStyle w:val="SingleTxt"/>
      </w:pPr>
      <w:r w:rsidRPr="00BC7AA5">
        <w:t>39.</w:t>
      </w:r>
      <w:r w:rsidRPr="00BC7AA5">
        <w:tab/>
        <w:t>En su 2058ª sesión, celebrada el 16 de febrero de 2024, el Comité examinó y aprobó, en su forma revisada oralmente, el proyecto de programa provisional de su 87º período de sesiones.</w:t>
      </w:r>
    </w:p>
    <w:p w14:paraId="294CFACE" w14:textId="77777777" w:rsidR="00DC67D5" w:rsidRPr="00BC7AA5" w:rsidRDefault="00DC67D5" w:rsidP="00DC67D5">
      <w:pPr>
        <w:pStyle w:val="SingleTxt"/>
      </w:pPr>
      <w:r w:rsidRPr="00BC7AA5">
        <w:br w:type="page"/>
      </w:r>
    </w:p>
    <w:p w14:paraId="093E8C41" w14:textId="77777777" w:rsidR="00DC67D5" w:rsidRPr="00BC7AA5" w:rsidRDefault="00DC67D5" w:rsidP="003A7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Anexo I</w:t>
      </w:r>
    </w:p>
    <w:p w14:paraId="3F973DCE" w14:textId="77777777" w:rsidR="00DC67D5" w:rsidRPr="00BC7AA5" w:rsidRDefault="00DC67D5" w:rsidP="003A7E51">
      <w:pPr>
        <w:pStyle w:val="SingleTxt"/>
        <w:spacing w:after="0" w:line="120" w:lineRule="exact"/>
        <w:rPr>
          <w:sz w:val="10"/>
        </w:rPr>
      </w:pPr>
    </w:p>
    <w:p w14:paraId="282AD769" w14:textId="77777777" w:rsidR="00DC67D5" w:rsidRPr="00BC7AA5" w:rsidRDefault="00DC67D5" w:rsidP="003A7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BC7AA5">
        <w:tab/>
      </w:r>
      <w:r w:rsidRPr="00BC7AA5">
        <w:tab/>
        <w:t>Documentos que el Comité tuvo ante sí en su 87º período de sesiones</w:t>
      </w:r>
    </w:p>
    <w:p w14:paraId="0E96AD3E" w14:textId="77777777" w:rsidR="00DC67D5" w:rsidRPr="00BC7AA5" w:rsidRDefault="00DC67D5" w:rsidP="003A7E51">
      <w:pPr>
        <w:pStyle w:val="SingleTxt"/>
        <w:spacing w:after="0" w:line="120" w:lineRule="exact"/>
        <w:rPr>
          <w:sz w:val="10"/>
        </w:rPr>
      </w:pPr>
    </w:p>
    <w:p w14:paraId="69E1AD84" w14:textId="77777777" w:rsidR="003A7E51" w:rsidRPr="00BC7AA5" w:rsidRDefault="003A7E51" w:rsidP="003A7E51">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6"/>
        <w:gridCol w:w="4444"/>
      </w:tblGrid>
      <w:tr w:rsidR="001B747B" w:rsidRPr="00BC7AA5" w14:paraId="6FC8C0F6" w14:textId="77777777" w:rsidTr="001B747B">
        <w:trPr>
          <w:tblHeader/>
        </w:trPr>
        <w:tc>
          <w:tcPr>
            <w:tcW w:w="2876" w:type="dxa"/>
            <w:tcBorders>
              <w:top w:val="single" w:sz="4" w:space="0" w:color="auto"/>
              <w:bottom w:val="single" w:sz="12" w:space="0" w:color="auto"/>
            </w:tcBorders>
            <w:shd w:val="clear" w:color="auto" w:fill="auto"/>
            <w:vAlign w:val="bottom"/>
          </w:tcPr>
          <w:p w14:paraId="5947B0A7" w14:textId="77777777" w:rsidR="001B747B" w:rsidRPr="00BC7AA5" w:rsidRDefault="001B747B" w:rsidP="00517422">
            <w:pPr>
              <w:tabs>
                <w:tab w:val="left" w:pos="288"/>
                <w:tab w:val="left" w:pos="576"/>
                <w:tab w:val="left" w:pos="864"/>
                <w:tab w:val="left" w:pos="1152"/>
              </w:tabs>
              <w:spacing w:before="81" w:after="81" w:line="160" w:lineRule="exact"/>
              <w:ind w:right="40"/>
              <w:rPr>
                <w:i/>
                <w:sz w:val="14"/>
                <w:szCs w:val="14"/>
              </w:rPr>
            </w:pPr>
            <w:r w:rsidRPr="00BC7AA5">
              <w:rPr>
                <w:i/>
                <w:iCs/>
                <w:sz w:val="14"/>
                <w:szCs w:val="14"/>
              </w:rPr>
              <w:t>Signatura</w:t>
            </w:r>
          </w:p>
        </w:tc>
        <w:tc>
          <w:tcPr>
            <w:tcW w:w="4444" w:type="dxa"/>
            <w:tcBorders>
              <w:top w:val="single" w:sz="4" w:space="0" w:color="auto"/>
              <w:bottom w:val="single" w:sz="12" w:space="0" w:color="auto"/>
            </w:tcBorders>
            <w:shd w:val="clear" w:color="auto" w:fill="auto"/>
            <w:vAlign w:val="bottom"/>
          </w:tcPr>
          <w:p w14:paraId="2E50E0B1" w14:textId="77777777" w:rsidR="001B747B" w:rsidRPr="00BC7AA5" w:rsidRDefault="001B747B" w:rsidP="001B747B">
            <w:pPr>
              <w:tabs>
                <w:tab w:val="left" w:pos="288"/>
                <w:tab w:val="left" w:pos="576"/>
                <w:tab w:val="left" w:pos="864"/>
                <w:tab w:val="left" w:pos="1152"/>
              </w:tabs>
              <w:spacing w:before="81" w:after="81" w:line="160" w:lineRule="exact"/>
              <w:ind w:left="72" w:right="40"/>
              <w:rPr>
                <w:i/>
                <w:sz w:val="14"/>
                <w:szCs w:val="14"/>
              </w:rPr>
            </w:pPr>
            <w:r w:rsidRPr="00BC7AA5">
              <w:rPr>
                <w:i/>
                <w:iCs/>
                <w:sz w:val="14"/>
                <w:szCs w:val="14"/>
              </w:rPr>
              <w:t>Título o descripción</w:t>
            </w:r>
          </w:p>
        </w:tc>
      </w:tr>
      <w:tr w:rsidR="001B747B" w:rsidRPr="00BC7AA5" w14:paraId="0D2B6E68" w14:textId="77777777" w:rsidTr="001B747B">
        <w:trPr>
          <w:trHeight w:hRule="exact" w:val="115"/>
          <w:tblHeader/>
        </w:trPr>
        <w:tc>
          <w:tcPr>
            <w:tcW w:w="2876" w:type="dxa"/>
            <w:tcBorders>
              <w:top w:val="single" w:sz="12" w:space="0" w:color="auto"/>
            </w:tcBorders>
            <w:shd w:val="clear" w:color="auto" w:fill="auto"/>
            <w:vAlign w:val="bottom"/>
          </w:tcPr>
          <w:p w14:paraId="039F9555" w14:textId="77777777" w:rsidR="001B747B" w:rsidRPr="00BC7AA5" w:rsidRDefault="001B747B" w:rsidP="005174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4444" w:type="dxa"/>
            <w:tcBorders>
              <w:top w:val="single" w:sz="12" w:space="0" w:color="auto"/>
            </w:tcBorders>
            <w:shd w:val="clear" w:color="auto" w:fill="auto"/>
            <w:vAlign w:val="bottom"/>
          </w:tcPr>
          <w:p w14:paraId="1C308A04"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72" w:right="40"/>
              <w:jc w:val="left"/>
            </w:pPr>
          </w:p>
        </w:tc>
      </w:tr>
      <w:tr w:rsidR="001B747B" w:rsidRPr="00BC7AA5" w14:paraId="05C424D5" w14:textId="77777777" w:rsidTr="001B747B">
        <w:tc>
          <w:tcPr>
            <w:tcW w:w="2876" w:type="dxa"/>
            <w:shd w:val="clear" w:color="auto" w:fill="auto"/>
          </w:tcPr>
          <w:p w14:paraId="56375309" w14:textId="09CAEB88"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08" w:history="1">
              <w:r w:rsidR="001B747B" w:rsidRPr="00BC7AA5">
                <w:rPr>
                  <w:rStyle w:val="Hyperlink"/>
                </w:rPr>
                <w:t>CEDAW/C/87/1</w:t>
              </w:r>
            </w:hyperlink>
          </w:p>
        </w:tc>
        <w:tc>
          <w:tcPr>
            <w:tcW w:w="4444" w:type="dxa"/>
            <w:shd w:val="clear" w:color="auto" w:fill="auto"/>
          </w:tcPr>
          <w:p w14:paraId="23797682"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 xml:space="preserve">Programa provisional anotado </w:t>
            </w:r>
          </w:p>
        </w:tc>
      </w:tr>
      <w:tr w:rsidR="001B747B" w:rsidRPr="00BC7AA5" w14:paraId="2B46FC68" w14:textId="77777777" w:rsidTr="001B747B">
        <w:tc>
          <w:tcPr>
            <w:tcW w:w="2876" w:type="dxa"/>
            <w:shd w:val="clear" w:color="auto" w:fill="auto"/>
          </w:tcPr>
          <w:p w14:paraId="50C5BD6B"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bCs/>
              </w:rPr>
            </w:pPr>
            <w:r w:rsidRPr="00BC7AA5">
              <w:rPr>
                <w:b/>
                <w:bCs/>
              </w:rPr>
              <w:t>Informes de los Estados partes</w:t>
            </w:r>
          </w:p>
        </w:tc>
        <w:tc>
          <w:tcPr>
            <w:tcW w:w="4444" w:type="dxa"/>
            <w:shd w:val="clear" w:color="auto" w:fill="auto"/>
          </w:tcPr>
          <w:p w14:paraId="4D009AFF" w14:textId="1AA4D066"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rPr>
                <w:b/>
                <w:bCs/>
              </w:rPr>
            </w:pPr>
          </w:p>
        </w:tc>
      </w:tr>
      <w:tr w:rsidR="001B747B" w:rsidRPr="00BC7AA5" w14:paraId="279699A7" w14:textId="77777777" w:rsidTr="001B747B">
        <w:tc>
          <w:tcPr>
            <w:tcW w:w="2876" w:type="dxa"/>
            <w:shd w:val="clear" w:color="auto" w:fill="auto"/>
          </w:tcPr>
          <w:p w14:paraId="6AA84569" w14:textId="34E54C4D"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09" w:history="1">
              <w:r w:rsidR="001B747B" w:rsidRPr="00BC7AA5">
                <w:rPr>
                  <w:rStyle w:val="Hyperlink"/>
                </w:rPr>
                <w:t>CEDAW/C/DJI/4-5</w:t>
              </w:r>
            </w:hyperlink>
          </w:p>
        </w:tc>
        <w:tc>
          <w:tcPr>
            <w:tcW w:w="4444" w:type="dxa"/>
            <w:shd w:val="clear" w:color="auto" w:fill="auto"/>
          </w:tcPr>
          <w:p w14:paraId="547BAC87"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Informes periódicos cuarto y quinto combinados de Djibouti</w:t>
            </w:r>
          </w:p>
        </w:tc>
      </w:tr>
      <w:tr w:rsidR="001B747B" w:rsidRPr="00BC7AA5" w14:paraId="417547BD" w14:textId="77777777" w:rsidTr="001B747B">
        <w:tc>
          <w:tcPr>
            <w:tcW w:w="2876" w:type="dxa"/>
            <w:shd w:val="clear" w:color="auto" w:fill="auto"/>
          </w:tcPr>
          <w:p w14:paraId="579150A4" w14:textId="12C56F71"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0" w:history="1">
              <w:r w:rsidR="001B747B" w:rsidRPr="00BC7AA5">
                <w:rPr>
                  <w:rStyle w:val="Hyperlink"/>
                </w:rPr>
                <w:t>CEDAW/C/GRC/8-9</w:t>
              </w:r>
            </w:hyperlink>
          </w:p>
        </w:tc>
        <w:tc>
          <w:tcPr>
            <w:tcW w:w="4444" w:type="dxa"/>
            <w:shd w:val="clear" w:color="auto" w:fill="auto"/>
          </w:tcPr>
          <w:p w14:paraId="7CCF8D86"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Informes periódicos octavo y noveno combinados de Grecia, presentados conforme al procedimiento simplificado</w:t>
            </w:r>
          </w:p>
        </w:tc>
      </w:tr>
      <w:tr w:rsidR="001B747B" w:rsidRPr="00BC7AA5" w14:paraId="6B6B0A47" w14:textId="77777777" w:rsidTr="001B747B">
        <w:tc>
          <w:tcPr>
            <w:tcW w:w="2876" w:type="dxa"/>
            <w:shd w:val="clear" w:color="auto" w:fill="auto"/>
          </w:tcPr>
          <w:p w14:paraId="4B4DF374" w14:textId="2D0A60A8"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1" w:history="1">
              <w:r w:rsidR="001B747B" w:rsidRPr="00BC7AA5">
                <w:rPr>
                  <w:rStyle w:val="Hyperlink"/>
                </w:rPr>
                <w:t>CEDAW/C/ITA/8</w:t>
              </w:r>
            </w:hyperlink>
          </w:p>
        </w:tc>
        <w:tc>
          <w:tcPr>
            <w:tcW w:w="4444" w:type="dxa"/>
            <w:shd w:val="clear" w:color="auto" w:fill="auto"/>
          </w:tcPr>
          <w:p w14:paraId="08818229"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Octavo informe periódico de Italia, presentado conforme al procedimiento simplificado</w:t>
            </w:r>
          </w:p>
        </w:tc>
      </w:tr>
      <w:tr w:rsidR="001B747B" w:rsidRPr="00BC7AA5" w14:paraId="49BFB94C" w14:textId="77777777" w:rsidTr="001B747B">
        <w:tc>
          <w:tcPr>
            <w:tcW w:w="2876" w:type="dxa"/>
            <w:shd w:val="clear" w:color="auto" w:fill="auto"/>
          </w:tcPr>
          <w:p w14:paraId="04762628" w14:textId="3DF423B7"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2" w:history="1">
              <w:r w:rsidR="001B747B" w:rsidRPr="00BC7AA5">
                <w:rPr>
                  <w:rStyle w:val="Hyperlink"/>
                </w:rPr>
                <w:t>CEDAW/C/NER/5</w:t>
              </w:r>
            </w:hyperlink>
          </w:p>
        </w:tc>
        <w:tc>
          <w:tcPr>
            <w:tcW w:w="4444" w:type="dxa"/>
            <w:shd w:val="clear" w:color="auto" w:fill="auto"/>
          </w:tcPr>
          <w:p w14:paraId="43A2706C"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Quinto informe periódico del Níger, presentado conforme al procedimiento simplificado</w:t>
            </w:r>
          </w:p>
        </w:tc>
      </w:tr>
      <w:tr w:rsidR="001B747B" w:rsidRPr="00BC7AA5" w14:paraId="0810A195" w14:textId="77777777" w:rsidTr="001B747B">
        <w:tc>
          <w:tcPr>
            <w:tcW w:w="2876" w:type="dxa"/>
            <w:shd w:val="clear" w:color="auto" w:fill="auto"/>
          </w:tcPr>
          <w:p w14:paraId="5B347F2F" w14:textId="74B8E389"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3" w:history="1">
              <w:r w:rsidR="001B747B" w:rsidRPr="00BC7AA5">
                <w:rPr>
                  <w:rStyle w:val="Hyperlink"/>
                </w:rPr>
                <w:t>CEDAW/C/OMN/4</w:t>
              </w:r>
            </w:hyperlink>
          </w:p>
        </w:tc>
        <w:tc>
          <w:tcPr>
            <w:tcW w:w="4444" w:type="dxa"/>
            <w:shd w:val="clear" w:color="auto" w:fill="auto"/>
          </w:tcPr>
          <w:p w14:paraId="08002178"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Cuarto informe periódico de Omán</w:t>
            </w:r>
          </w:p>
        </w:tc>
      </w:tr>
      <w:tr w:rsidR="001B747B" w:rsidRPr="00BC7AA5" w14:paraId="798C8C7A" w14:textId="77777777" w:rsidTr="001B747B">
        <w:tc>
          <w:tcPr>
            <w:tcW w:w="2876" w:type="dxa"/>
            <w:shd w:val="clear" w:color="auto" w:fill="auto"/>
          </w:tcPr>
          <w:p w14:paraId="06D89FBC" w14:textId="71793038"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4" w:history="1">
              <w:r w:rsidR="001B747B" w:rsidRPr="00BC7AA5">
                <w:rPr>
                  <w:rStyle w:val="Hyperlink"/>
                </w:rPr>
                <w:t>CEDAW/C/</w:t>
              </w:r>
              <w:r w:rsidR="00804824" w:rsidRPr="00BC7AA5">
                <w:rPr>
                  <w:rStyle w:val="Hyperlink"/>
                </w:rPr>
                <w:t>CA</w:t>
              </w:r>
              <w:r w:rsidR="00804824">
                <w:rPr>
                  <w:rStyle w:val="Hyperlink"/>
                </w:rPr>
                <w:t>F</w:t>
              </w:r>
              <w:r w:rsidR="001B747B" w:rsidRPr="00BC7AA5">
                <w:rPr>
                  <w:rStyle w:val="Hyperlink"/>
                </w:rPr>
                <w:t>/6</w:t>
              </w:r>
            </w:hyperlink>
          </w:p>
        </w:tc>
        <w:tc>
          <w:tcPr>
            <w:tcW w:w="4444" w:type="dxa"/>
            <w:shd w:val="clear" w:color="auto" w:fill="auto"/>
          </w:tcPr>
          <w:p w14:paraId="3F74A938" w14:textId="482DA878"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Sexto informe periódico de la República Centroafricana</w:t>
            </w:r>
          </w:p>
        </w:tc>
      </w:tr>
      <w:tr w:rsidR="001B747B" w:rsidRPr="00BC7AA5" w14:paraId="6208CB90" w14:textId="77777777" w:rsidTr="001B747B">
        <w:tc>
          <w:tcPr>
            <w:tcW w:w="2876" w:type="dxa"/>
            <w:shd w:val="clear" w:color="auto" w:fill="auto"/>
          </w:tcPr>
          <w:p w14:paraId="01139252" w14:textId="7E5E9BBA"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5" w:history="1">
              <w:r w:rsidR="001B747B" w:rsidRPr="00BC7AA5">
                <w:rPr>
                  <w:rStyle w:val="Hyperlink"/>
                </w:rPr>
                <w:t>CEDAW/C/TJK/7</w:t>
              </w:r>
            </w:hyperlink>
          </w:p>
        </w:tc>
        <w:tc>
          <w:tcPr>
            <w:tcW w:w="4444" w:type="dxa"/>
            <w:shd w:val="clear" w:color="auto" w:fill="auto"/>
          </w:tcPr>
          <w:p w14:paraId="66E10850"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Séptimo informe periódico de Tayikistán</w:t>
            </w:r>
          </w:p>
        </w:tc>
      </w:tr>
      <w:tr w:rsidR="001B747B" w:rsidRPr="00BC7AA5" w14:paraId="5758A9A6" w14:textId="77777777" w:rsidTr="001B747B">
        <w:tc>
          <w:tcPr>
            <w:tcW w:w="2876" w:type="dxa"/>
            <w:tcBorders>
              <w:bottom w:val="single" w:sz="12" w:space="0" w:color="auto"/>
            </w:tcBorders>
            <w:shd w:val="clear" w:color="auto" w:fill="auto"/>
          </w:tcPr>
          <w:p w14:paraId="06764B34" w14:textId="3C6D3ACA" w:rsidR="001B747B" w:rsidRPr="00BC7AA5" w:rsidRDefault="00901BF9"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hyperlink r:id="rId116" w:history="1">
              <w:r w:rsidR="001B747B" w:rsidRPr="00BC7AA5">
                <w:rPr>
                  <w:rStyle w:val="Hyperlink"/>
                </w:rPr>
                <w:t>CEDAW/C/TKM/6</w:t>
              </w:r>
            </w:hyperlink>
          </w:p>
        </w:tc>
        <w:tc>
          <w:tcPr>
            <w:tcW w:w="4444" w:type="dxa"/>
            <w:tcBorders>
              <w:bottom w:val="single" w:sz="12" w:space="0" w:color="auto"/>
            </w:tcBorders>
            <w:shd w:val="clear" w:color="auto" w:fill="auto"/>
          </w:tcPr>
          <w:p w14:paraId="032FAEFC" w14:textId="77777777" w:rsidR="001B747B" w:rsidRPr="00BC7AA5" w:rsidRDefault="001B747B" w:rsidP="001B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72" w:right="40"/>
              <w:jc w:val="left"/>
            </w:pPr>
            <w:r w:rsidRPr="00BC7AA5">
              <w:t>Sexto informe periódico de Turkmenistán</w:t>
            </w:r>
          </w:p>
        </w:tc>
      </w:tr>
    </w:tbl>
    <w:p w14:paraId="59786365" w14:textId="77777777" w:rsidR="00DC67D5" w:rsidRPr="00BC7AA5" w:rsidRDefault="00DC67D5" w:rsidP="00DC67D5">
      <w:pPr>
        <w:pStyle w:val="SingleTxt"/>
      </w:pPr>
    </w:p>
    <w:p w14:paraId="7A89F4BA" w14:textId="77777777" w:rsidR="00DC67D5" w:rsidRPr="00BC7AA5" w:rsidRDefault="00DC67D5" w:rsidP="00DC67D5">
      <w:pPr>
        <w:pStyle w:val="SingleTxt"/>
      </w:pPr>
      <w:r w:rsidRPr="00BC7AA5">
        <w:br w:type="page"/>
      </w:r>
    </w:p>
    <w:p w14:paraId="197E7803" w14:textId="77777777" w:rsidR="00DC67D5" w:rsidRPr="00BC7AA5" w:rsidRDefault="00DC67D5" w:rsidP="0000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Anexo II</w:t>
      </w:r>
    </w:p>
    <w:p w14:paraId="23CEC90F" w14:textId="77777777" w:rsidR="00DC67D5" w:rsidRPr="00BC7AA5" w:rsidRDefault="00DC67D5" w:rsidP="00004B45">
      <w:pPr>
        <w:pStyle w:val="SingleTxt"/>
        <w:spacing w:after="0" w:line="120" w:lineRule="exact"/>
        <w:rPr>
          <w:sz w:val="10"/>
        </w:rPr>
      </w:pPr>
    </w:p>
    <w:p w14:paraId="4F04003E" w14:textId="77777777" w:rsidR="00DC67D5" w:rsidRPr="00BC7AA5" w:rsidRDefault="00DC67D5" w:rsidP="0000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7AA5">
        <w:tab/>
      </w:r>
      <w:r w:rsidRPr="00BC7AA5">
        <w:tab/>
        <w:t>Composición del Comité al 16 de febrero de 2024</w:t>
      </w:r>
    </w:p>
    <w:p w14:paraId="678A226A" w14:textId="77777777" w:rsidR="00DC67D5" w:rsidRPr="00BC7AA5" w:rsidRDefault="00DC67D5" w:rsidP="00004B45">
      <w:pPr>
        <w:pStyle w:val="SingleTxt"/>
        <w:spacing w:after="0" w:line="120" w:lineRule="exact"/>
        <w:rPr>
          <w:sz w:val="10"/>
        </w:rPr>
      </w:pPr>
    </w:p>
    <w:p w14:paraId="598595AA" w14:textId="77777777" w:rsidR="00004B45" w:rsidRPr="00BC7AA5" w:rsidRDefault="00004B45" w:rsidP="00004B45">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36"/>
        <w:gridCol w:w="2700"/>
        <w:gridCol w:w="1384"/>
      </w:tblGrid>
      <w:tr w:rsidR="00004B45" w:rsidRPr="00BC7AA5" w14:paraId="1FF511D8" w14:textId="77777777" w:rsidTr="00004B45">
        <w:trPr>
          <w:tblHeader/>
        </w:trPr>
        <w:tc>
          <w:tcPr>
            <w:tcW w:w="3236" w:type="dxa"/>
            <w:tcBorders>
              <w:top w:val="single" w:sz="4" w:space="0" w:color="auto"/>
              <w:bottom w:val="single" w:sz="12" w:space="0" w:color="auto"/>
            </w:tcBorders>
            <w:shd w:val="clear" w:color="auto" w:fill="auto"/>
            <w:vAlign w:val="bottom"/>
          </w:tcPr>
          <w:p w14:paraId="55C0E8DB" w14:textId="77777777" w:rsidR="00004B45" w:rsidRPr="00BC7AA5" w:rsidRDefault="00004B45" w:rsidP="00517422">
            <w:pPr>
              <w:tabs>
                <w:tab w:val="left" w:pos="288"/>
                <w:tab w:val="left" w:pos="576"/>
                <w:tab w:val="left" w:pos="864"/>
                <w:tab w:val="left" w:pos="1152"/>
              </w:tabs>
              <w:spacing w:before="81" w:after="81" w:line="160" w:lineRule="exact"/>
              <w:ind w:right="40"/>
              <w:rPr>
                <w:i/>
                <w:sz w:val="14"/>
                <w:szCs w:val="14"/>
              </w:rPr>
            </w:pPr>
            <w:r w:rsidRPr="00BC7AA5">
              <w:rPr>
                <w:i/>
                <w:iCs/>
                <w:sz w:val="14"/>
                <w:szCs w:val="14"/>
              </w:rPr>
              <w:t>Nombre y apellidos del miembro</w:t>
            </w:r>
          </w:p>
        </w:tc>
        <w:tc>
          <w:tcPr>
            <w:tcW w:w="2700" w:type="dxa"/>
            <w:tcBorders>
              <w:top w:val="single" w:sz="4" w:space="0" w:color="auto"/>
              <w:bottom w:val="single" w:sz="12" w:space="0" w:color="auto"/>
            </w:tcBorders>
            <w:shd w:val="clear" w:color="auto" w:fill="auto"/>
            <w:vAlign w:val="bottom"/>
          </w:tcPr>
          <w:p w14:paraId="64B2012F" w14:textId="77777777" w:rsidR="00004B45" w:rsidRPr="00BC7AA5" w:rsidRDefault="00004B45" w:rsidP="00004B45">
            <w:pPr>
              <w:tabs>
                <w:tab w:val="left" w:pos="288"/>
                <w:tab w:val="left" w:pos="576"/>
                <w:tab w:val="left" w:pos="864"/>
                <w:tab w:val="left" w:pos="1152"/>
              </w:tabs>
              <w:spacing w:before="81" w:after="81" w:line="160" w:lineRule="exact"/>
              <w:ind w:right="40"/>
              <w:rPr>
                <w:i/>
                <w:sz w:val="14"/>
                <w:szCs w:val="14"/>
              </w:rPr>
            </w:pPr>
            <w:r w:rsidRPr="00BC7AA5">
              <w:rPr>
                <w:i/>
                <w:iCs/>
                <w:sz w:val="14"/>
                <w:szCs w:val="14"/>
              </w:rPr>
              <w:t>País de nacionalidad</w:t>
            </w:r>
          </w:p>
        </w:tc>
        <w:tc>
          <w:tcPr>
            <w:tcW w:w="1384" w:type="dxa"/>
            <w:tcBorders>
              <w:top w:val="single" w:sz="4" w:space="0" w:color="auto"/>
              <w:bottom w:val="single" w:sz="12" w:space="0" w:color="auto"/>
            </w:tcBorders>
            <w:shd w:val="clear" w:color="auto" w:fill="auto"/>
            <w:vAlign w:val="bottom"/>
          </w:tcPr>
          <w:p w14:paraId="1BE449EF" w14:textId="77777777" w:rsidR="00004B45" w:rsidRPr="00BC7AA5" w:rsidRDefault="00004B45" w:rsidP="00004B45">
            <w:pPr>
              <w:tabs>
                <w:tab w:val="left" w:pos="288"/>
                <w:tab w:val="left" w:pos="576"/>
                <w:tab w:val="left" w:pos="864"/>
                <w:tab w:val="left" w:pos="1152"/>
              </w:tabs>
              <w:spacing w:before="81" w:after="81" w:line="160" w:lineRule="exact"/>
              <w:ind w:right="43"/>
              <w:rPr>
                <w:i/>
                <w:sz w:val="14"/>
                <w:szCs w:val="14"/>
              </w:rPr>
            </w:pPr>
            <w:r w:rsidRPr="00BC7AA5">
              <w:rPr>
                <w:i/>
                <w:iCs/>
                <w:sz w:val="14"/>
                <w:szCs w:val="14"/>
              </w:rPr>
              <w:t>El mandato termina el 31 de diciembre</w:t>
            </w:r>
          </w:p>
        </w:tc>
      </w:tr>
      <w:tr w:rsidR="00004B45" w:rsidRPr="00BC7AA5" w14:paraId="49DEC9A0" w14:textId="77777777" w:rsidTr="00004B45">
        <w:trPr>
          <w:trHeight w:hRule="exact" w:val="115"/>
          <w:tblHeader/>
        </w:trPr>
        <w:tc>
          <w:tcPr>
            <w:tcW w:w="3236" w:type="dxa"/>
            <w:tcBorders>
              <w:top w:val="single" w:sz="12" w:space="0" w:color="auto"/>
            </w:tcBorders>
            <w:shd w:val="clear" w:color="auto" w:fill="auto"/>
            <w:vAlign w:val="bottom"/>
          </w:tcPr>
          <w:p w14:paraId="17BA51E7" w14:textId="77777777" w:rsidR="00004B45" w:rsidRPr="00BC7AA5" w:rsidRDefault="00004B45" w:rsidP="005174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2700" w:type="dxa"/>
            <w:tcBorders>
              <w:top w:val="single" w:sz="12" w:space="0" w:color="auto"/>
            </w:tcBorders>
            <w:shd w:val="clear" w:color="auto" w:fill="auto"/>
            <w:vAlign w:val="bottom"/>
          </w:tcPr>
          <w:p w14:paraId="61E4DAD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pPr>
          </w:p>
        </w:tc>
        <w:tc>
          <w:tcPr>
            <w:tcW w:w="1384" w:type="dxa"/>
            <w:tcBorders>
              <w:top w:val="single" w:sz="12" w:space="0" w:color="auto"/>
            </w:tcBorders>
            <w:shd w:val="clear" w:color="auto" w:fill="auto"/>
            <w:vAlign w:val="bottom"/>
          </w:tcPr>
          <w:p w14:paraId="23AD4939"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pPr>
          </w:p>
        </w:tc>
      </w:tr>
      <w:tr w:rsidR="00004B45" w:rsidRPr="00BC7AA5" w14:paraId="2F2201CF" w14:textId="77777777" w:rsidTr="00004B45">
        <w:tc>
          <w:tcPr>
            <w:tcW w:w="3236" w:type="dxa"/>
            <w:shd w:val="clear" w:color="auto" w:fill="auto"/>
          </w:tcPr>
          <w:p w14:paraId="02E9E8A1"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Brenda Akia</w:t>
            </w:r>
          </w:p>
        </w:tc>
        <w:tc>
          <w:tcPr>
            <w:tcW w:w="2700" w:type="dxa"/>
            <w:shd w:val="clear" w:color="auto" w:fill="auto"/>
          </w:tcPr>
          <w:p w14:paraId="628E125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Uganda</w:t>
            </w:r>
          </w:p>
        </w:tc>
        <w:tc>
          <w:tcPr>
            <w:tcW w:w="1384" w:type="dxa"/>
            <w:shd w:val="clear" w:color="auto" w:fill="auto"/>
          </w:tcPr>
          <w:p w14:paraId="7F63B4F4"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0641A5E2" w14:textId="77777777" w:rsidTr="00004B45">
        <w:tc>
          <w:tcPr>
            <w:tcW w:w="3236" w:type="dxa"/>
            <w:shd w:val="clear" w:color="auto" w:fill="auto"/>
          </w:tcPr>
          <w:p w14:paraId="46AC1DC4"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Hiroko Akizuki (Vicepresidenta)</w:t>
            </w:r>
          </w:p>
        </w:tc>
        <w:tc>
          <w:tcPr>
            <w:tcW w:w="2700" w:type="dxa"/>
            <w:shd w:val="clear" w:color="auto" w:fill="auto"/>
          </w:tcPr>
          <w:p w14:paraId="53FED18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Japón</w:t>
            </w:r>
          </w:p>
        </w:tc>
        <w:tc>
          <w:tcPr>
            <w:tcW w:w="1384" w:type="dxa"/>
            <w:shd w:val="clear" w:color="auto" w:fill="auto"/>
          </w:tcPr>
          <w:p w14:paraId="71B9F6E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76DB4B4A" w14:textId="77777777" w:rsidTr="00004B45">
        <w:tc>
          <w:tcPr>
            <w:tcW w:w="3236" w:type="dxa"/>
            <w:shd w:val="clear" w:color="auto" w:fill="auto"/>
          </w:tcPr>
          <w:p w14:paraId="1F8577CA"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Nicole Ameline</w:t>
            </w:r>
          </w:p>
        </w:tc>
        <w:tc>
          <w:tcPr>
            <w:tcW w:w="2700" w:type="dxa"/>
            <w:shd w:val="clear" w:color="auto" w:fill="auto"/>
          </w:tcPr>
          <w:p w14:paraId="5E514C0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Francia</w:t>
            </w:r>
          </w:p>
        </w:tc>
        <w:tc>
          <w:tcPr>
            <w:tcW w:w="1384" w:type="dxa"/>
            <w:shd w:val="clear" w:color="auto" w:fill="auto"/>
          </w:tcPr>
          <w:p w14:paraId="6FDFC6D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56A4B482" w14:textId="77777777" w:rsidTr="00004B45">
        <w:tc>
          <w:tcPr>
            <w:tcW w:w="3236" w:type="dxa"/>
            <w:shd w:val="clear" w:color="auto" w:fill="auto"/>
          </w:tcPr>
          <w:p w14:paraId="55E45064"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Marion Bethel (Relatora)</w:t>
            </w:r>
          </w:p>
        </w:tc>
        <w:tc>
          <w:tcPr>
            <w:tcW w:w="2700" w:type="dxa"/>
            <w:shd w:val="clear" w:color="auto" w:fill="auto"/>
          </w:tcPr>
          <w:p w14:paraId="32ECE59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Bahamas</w:t>
            </w:r>
          </w:p>
        </w:tc>
        <w:tc>
          <w:tcPr>
            <w:tcW w:w="1384" w:type="dxa"/>
            <w:shd w:val="clear" w:color="auto" w:fill="auto"/>
          </w:tcPr>
          <w:p w14:paraId="452FD254"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1FA97136" w14:textId="77777777" w:rsidTr="00004B45">
        <w:tc>
          <w:tcPr>
            <w:tcW w:w="3236" w:type="dxa"/>
            <w:shd w:val="clear" w:color="auto" w:fill="auto"/>
          </w:tcPr>
          <w:p w14:paraId="07ADD0D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Leticia Bonifaz Alfonzo</w:t>
            </w:r>
          </w:p>
        </w:tc>
        <w:tc>
          <w:tcPr>
            <w:tcW w:w="2700" w:type="dxa"/>
            <w:shd w:val="clear" w:color="auto" w:fill="auto"/>
          </w:tcPr>
          <w:p w14:paraId="3230C9DA"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México</w:t>
            </w:r>
          </w:p>
        </w:tc>
        <w:tc>
          <w:tcPr>
            <w:tcW w:w="1384" w:type="dxa"/>
            <w:shd w:val="clear" w:color="auto" w:fill="auto"/>
          </w:tcPr>
          <w:p w14:paraId="14BC8791"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4B35BB6C" w14:textId="77777777" w:rsidTr="00004B45">
        <w:tc>
          <w:tcPr>
            <w:tcW w:w="3236" w:type="dxa"/>
            <w:shd w:val="clear" w:color="auto" w:fill="auto"/>
          </w:tcPr>
          <w:p w14:paraId="4268EC8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Rangita de Silva de Alwis</w:t>
            </w:r>
          </w:p>
        </w:tc>
        <w:tc>
          <w:tcPr>
            <w:tcW w:w="2700" w:type="dxa"/>
            <w:shd w:val="clear" w:color="auto" w:fill="auto"/>
          </w:tcPr>
          <w:p w14:paraId="4E479F1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Sri Lanka</w:t>
            </w:r>
          </w:p>
        </w:tc>
        <w:tc>
          <w:tcPr>
            <w:tcW w:w="1384" w:type="dxa"/>
            <w:shd w:val="clear" w:color="auto" w:fill="auto"/>
          </w:tcPr>
          <w:p w14:paraId="2CAEDBD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16F0B762" w14:textId="77777777" w:rsidTr="00004B45">
        <w:tc>
          <w:tcPr>
            <w:tcW w:w="3236" w:type="dxa"/>
            <w:shd w:val="clear" w:color="auto" w:fill="auto"/>
          </w:tcPr>
          <w:p w14:paraId="67640E0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Corinne Dettmeijer-Vermeulen</w:t>
            </w:r>
          </w:p>
        </w:tc>
        <w:tc>
          <w:tcPr>
            <w:tcW w:w="2700" w:type="dxa"/>
            <w:shd w:val="clear" w:color="auto" w:fill="auto"/>
          </w:tcPr>
          <w:p w14:paraId="047AFCB0"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Países Bajos (Reino de los)</w:t>
            </w:r>
          </w:p>
        </w:tc>
        <w:tc>
          <w:tcPr>
            <w:tcW w:w="1384" w:type="dxa"/>
            <w:shd w:val="clear" w:color="auto" w:fill="auto"/>
          </w:tcPr>
          <w:p w14:paraId="7D3C8CC1"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2F6E9EA3" w14:textId="77777777" w:rsidTr="00004B45">
        <w:tc>
          <w:tcPr>
            <w:tcW w:w="3236" w:type="dxa"/>
            <w:shd w:val="clear" w:color="auto" w:fill="auto"/>
          </w:tcPr>
          <w:p w14:paraId="2BB7FA67"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Esther Eghobamien-Mshelia (Vicepresidenta)</w:t>
            </w:r>
          </w:p>
        </w:tc>
        <w:tc>
          <w:tcPr>
            <w:tcW w:w="2700" w:type="dxa"/>
            <w:shd w:val="clear" w:color="auto" w:fill="auto"/>
          </w:tcPr>
          <w:p w14:paraId="4C0E060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Nigeria</w:t>
            </w:r>
          </w:p>
        </w:tc>
        <w:tc>
          <w:tcPr>
            <w:tcW w:w="1384" w:type="dxa"/>
            <w:shd w:val="clear" w:color="auto" w:fill="auto"/>
          </w:tcPr>
          <w:p w14:paraId="510B093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40B2E5FB" w14:textId="77777777" w:rsidTr="00004B45">
        <w:tc>
          <w:tcPr>
            <w:tcW w:w="3236" w:type="dxa"/>
            <w:shd w:val="clear" w:color="auto" w:fill="auto"/>
          </w:tcPr>
          <w:p w14:paraId="41C8AA8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Hilary Gbedemah</w:t>
            </w:r>
          </w:p>
        </w:tc>
        <w:tc>
          <w:tcPr>
            <w:tcW w:w="2700" w:type="dxa"/>
            <w:shd w:val="clear" w:color="auto" w:fill="auto"/>
          </w:tcPr>
          <w:p w14:paraId="4A420828"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Ghana</w:t>
            </w:r>
          </w:p>
        </w:tc>
        <w:tc>
          <w:tcPr>
            <w:tcW w:w="1384" w:type="dxa"/>
            <w:shd w:val="clear" w:color="auto" w:fill="auto"/>
          </w:tcPr>
          <w:p w14:paraId="623FB29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79B8BA2A" w14:textId="77777777" w:rsidTr="00004B45">
        <w:tc>
          <w:tcPr>
            <w:tcW w:w="3236" w:type="dxa"/>
            <w:shd w:val="clear" w:color="auto" w:fill="auto"/>
          </w:tcPr>
          <w:p w14:paraId="2A2D9E9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Yamila González Ferrer</w:t>
            </w:r>
          </w:p>
        </w:tc>
        <w:tc>
          <w:tcPr>
            <w:tcW w:w="2700" w:type="dxa"/>
            <w:shd w:val="clear" w:color="auto" w:fill="auto"/>
          </w:tcPr>
          <w:p w14:paraId="3329902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Cuba</w:t>
            </w:r>
          </w:p>
        </w:tc>
        <w:tc>
          <w:tcPr>
            <w:tcW w:w="1384" w:type="dxa"/>
            <w:shd w:val="clear" w:color="auto" w:fill="auto"/>
          </w:tcPr>
          <w:p w14:paraId="5C8BC95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5C181D7A" w14:textId="77777777" w:rsidTr="00004B45">
        <w:tc>
          <w:tcPr>
            <w:tcW w:w="3236" w:type="dxa"/>
            <w:shd w:val="clear" w:color="auto" w:fill="auto"/>
          </w:tcPr>
          <w:p w14:paraId="3ECAE51A"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Daphna Hacker</w:t>
            </w:r>
          </w:p>
        </w:tc>
        <w:tc>
          <w:tcPr>
            <w:tcW w:w="2700" w:type="dxa"/>
            <w:shd w:val="clear" w:color="auto" w:fill="auto"/>
          </w:tcPr>
          <w:p w14:paraId="08C3FC6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Israel</w:t>
            </w:r>
          </w:p>
        </w:tc>
        <w:tc>
          <w:tcPr>
            <w:tcW w:w="1384" w:type="dxa"/>
            <w:shd w:val="clear" w:color="auto" w:fill="auto"/>
          </w:tcPr>
          <w:p w14:paraId="61B79D3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1F3F6866" w14:textId="77777777" w:rsidTr="00004B45">
        <w:tc>
          <w:tcPr>
            <w:tcW w:w="3236" w:type="dxa"/>
            <w:shd w:val="clear" w:color="auto" w:fill="auto"/>
          </w:tcPr>
          <w:p w14:paraId="242FB5E0"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Nahla Haidar</w:t>
            </w:r>
          </w:p>
        </w:tc>
        <w:tc>
          <w:tcPr>
            <w:tcW w:w="2700" w:type="dxa"/>
            <w:shd w:val="clear" w:color="auto" w:fill="auto"/>
          </w:tcPr>
          <w:p w14:paraId="5561231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Líbano</w:t>
            </w:r>
          </w:p>
        </w:tc>
        <w:tc>
          <w:tcPr>
            <w:tcW w:w="1384" w:type="dxa"/>
            <w:shd w:val="clear" w:color="auto" w:fill="auto"/>
          </w:tcPr>
          <w:p w14:paraId="0A8B5B6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1AEC76C7" w14:textId="77777777" w:rsidTr="00004B45">
        <w:tc>
          <w:tcPr>
            <w:tcW w:w="3236" w:type="dxa"/>
            <w:shd w:val="clear" w:color="auto" w:fill="auto"/>
          </w:tcPr>
          <w:p w14:paraId="5E94D7E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Dalia Leinarte</w:t>
            </w:r>
          </w:p>
        </w:tc>
        <w:tc>
          <w:tcPr>
            <w:tcW w:w="2700" w:type="dxa"/>
            <w:shd w:val="clear" w:color="auto" w:fill="auto"/>
          </w:tcPr>
          <w:p w14:paraId="0F2CE59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Lituania</w:t>
            </w:r>
          </w:p>
        </w:tc>
        <w:tc>
          <w:tcPr>
            <w:tcW w:w="1384" w:type="dxa"/>
            <w:shd w:val="clear" w:color="auto" w:fill="auto"/>
          </w:tcPr>
          <w:p w14:paraId="4870655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01A91785" w14:textId="77777777" w:rsidTr="00004B45">
        <w:tc>
          <w:tcPr>
            <w:tcW w:w="3236" w:type="dxa"/>
            <w:shd w:val="clear" w:color="auto" w:fill="auto"/>
          </w:tcPr>
          <w:p w14:paraId="7C955E4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Rosario G. Manalo</w:t>
            </w:r>
          </w:p>
        </w:tc>
        <w:tc>
          <w:tcPr>
            <w:tcW w:w="2700" w:type="dxa"/>
            <w:shd w:val="clear" w:color="auto" w:fill="auto"/>
          </w:tcPr>
          <w:p w14:paraId="094F77A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Filipinas</w:t>
            </w:r>
          </w:p>
        </w:tc>
        <w:tc>
          <w:tcPr>
            <w:tcW w:w="1384" w:type="dxa"/>
            <w:shd w:val="clear" w:color="auto" w:fill="auto"/>
          </w:tcPr>
          <w:p w14:paraId="48AF219B"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7E20E74C" w14:textId="77777777" w:rsidTr="00004B45">
        <w:tc>
          <w:tcPr>
            <w:tcW w:w="3236" w:type="dxa"/>
            <w:shd w:val="clear" w:color="auto" w:fill="auto"/>
          </w:tcPr>
          <w:p w14:paraId="4EF8057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Marianne Mikko</w:t>
            </w:r>
          </w:p>
        </w:tc>
        <w:tc>
          <w:tcPr>
            <w:tcW w:w="2700" w:type="dxa"/>
            <w:shd w:val="clear" w:color="auto" w:fill="auto"/>
          </w:tcPr>
          <w:p w14:paraId="1BF73A6B"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Estonia</w:t>
            </w:r>
          </w:p>
        </w:tc>
        <w:tc>
          <w:tcPr>
            <w:tcW w:w="1384" w:type="dxa"/>
            <w:shd w:val="clear" w:color="auto" w:fill="auto"/>
          </w:tcPr>
          <w:p w14:paraId="7688EE0A"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7D95A0EA" w14:textId="77777777" w:rsidTr="00004B45">
        <w:tc>
          <w:tcPr>
            <w:tcW w:w="3236" w:type="dxa"/>
            <w:shd w:val="clear" w:color="auto" w:fill="auto"/>
          </w:tcPr>
          <w:p w14:paraId="4F563D94"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Maya Morsy</w:t>
            </w:r>
          </w:p>
        </w:tc>
        <w:tc>
          <w:tcPr>
            <w:tcW w:w="2700" w:type="dxa"/>
            <w:shd w:val="clear" w:color="auto" w:fill="auto"/>
          </w:tcPr>
          <w:p w14:paraId="3A85310E"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Egipto</w:t>
            </w:r>
          </w:p>
        </w:tc>
        <w:tc>
          <w:tcPr>
            <w:tcW w:w="1384" w:type="dxa"/>
            <w:shd w:val="clear" w:color="auto" w:fill="auto"/>
          </w:tcPr>
          <w:p w14:paraId="22B7BB3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1DE5EBF7" w14:textId="77777777" w:rsidTr="00004B45">
        <w:tc>
          <w:tcPr>
            <w:tcW w:w="3236" w:type="dxa"/>
            <w:shd w:val="clear" w:color="auto" w:fill="auto"/>
          </w:tcPr>
          <w:p w14:paraId="704B27D7" w14:textId="79A5DA5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Ana Peláez Narváez (Presidenta)</w:t>
            </w:r>
          </w:p>
        </w:tc>
        <w:tc>
          <w:tcPr>
            <w:tcW w:w="2700" w:type="dxa"/>
            <w:shd w:val="clear" w:color="auto" w:fill="auto"/>
          </w:tcPr>
          <w:p w14:paraId="0E44669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España</w:t>
            </w:r>
          </w:p>
        </w:tc>
        <w:tc>
          <w:tcPr>
            <w:tcW w:w="1384" w:type="dxa"/>
            <w:shd w:val="clear" w:color="auto" w:fill="auto"/>
          </w:tcPr>
          <w:p w14:paraId="712119C1"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23CBD512" w14:textId="77777777" w:rsidTr="00004B45">
        <w:tc>
          <w:tcPr>
            <w:tcW w:w="3236" w:type="dxa"/>
            <w:shd w:val="clear" w:color="auto" w:fill="auto"/>
          </w:tcPr>
          <w:p w14:paraId="189A171C"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Bandana Rana</w:t>
            </w:r>
          </w:p>
        </w:tc>
        <w:tc>
          <w:tcPr>
            <w:tcW w:w="2700" w:type="dxa"/>
            <w:shd w:val="clear" w:color="auto" w:fill="auto"/>
          </w:tcPr>
          <w:p w14:paraId="6A753F5F"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Nepal</w:t>
            </w:r>
          </w:p>
        </w:tc>
        <w:tc>
          <w:tcPr>
            <w:tcW w:w="1384" w:type="dxa"/>
            <w:shd w:val="clear" w:color="auto" w:fill="auto"/>
          </w:tcPr>
          <w:p w14:paraId="2F0D142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07AA75D6" w14:textId="77777777" w:rsidTr="00004B45">
        <w:tc>
          <w:tcPr>
            <w:tcW w:w="3236" w:type="dxa"/>
            <w:shd w:val="clear" w:color="auto" w:fill="auto"/>
          </w:tcPr>
          <w:p w14:paraId="5DB9DB6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Rhoda Reddock</w:t>
            </w:r>
          </w:p>
        </w:tc>
        <w:tc>
          <w:tcPr>
            <w:tcW w:w="2700" w:type="dxa"/>
            <w:shd w:val="clear" w:color="auto" w:fill="auto"/>
          </w:tcPr>
          <w:p w14:paraId="3E2292F3"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Trinidad y Tabago</w:t>
            </w:r>
          </w:p>
        </w:tc>
        <w:tc>
          <w:tcPr>
            <w:tcW w:w="1384" w:type="dxa"/>
            <w:shd w:val="clear" w:color="auto" w:fill="auto"/>
          </w:tcPr>
          <w:p w14:paraId="4F6C454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453F77D1" w14:textId="77777777" w:rsidTr="00004B45">
        <w:tc>
          <w:tcPr>
            <w:tcW w:w="3236" w:type="dxa"/>
            <w:shd w:val="clear" w:color="auto" w:fill="auto"/>
          </w:tcPr>
          <w:p w14:paraId="31773955"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Elgun Safarov</w:t>
            </w:r>
          </w:p>
        </w:tc>
        <w:tc>
          <w:tcPr>
            <w:tcW w:w="2700" w:type="dxa"/>
            <w:shd w:val="clear" w:color="auto" w:fill="auto"/>
          </w:tcPr>
          <w:p w14:paraId="45DF3A4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Azerbaiyán</w:t>
            </w:r>
          </w:p>
        </w:tc>
        <w:tc>
          <w:tcPr>
            <w:tcW w:w="1384" w:type="dxa"/>
            <w:shd w:val="clear" w:color="auto" w:fill="auto"/>
          </w:tcPr>
          <w:p w14:paraId="1FCAE1A7"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5CDC0939" w14:textId="77777777" w:rsidTr="00004B45">
        <w:tc>
          <w:tcPr>
            <w:tcW w:w="3236" w:type="dxa"/>
            <w:shd w:val="clear" w:color="auto" w:fill="auto"/>
          </w:tcPr>
          <w:p w14:paraId="2EE476F3"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Natasha Stott Despoja</w:t>
            </w:r>
          </w:p>
        </w:tc>
        <w:tc>
          <w:tcPr>
            <w:tcW w:w="2700" w:type="dxa"/>
            <w:shd w:val="clear" w:color="auto" w:fill="auto"/>
          </w:tcPr>
          <w:p w14:paraId="0DB422F2"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Australia</w:t>
            </w:r>
          </w:p>
        </w:tc>
        <w:tc>
          <w:tcPr>
            <w:tcW w:w="1384" w:type="dxa"/>
            <w:shd w:val="clear" w:color="auto" w:fill="auto"/>
          </w:tcPr>
          <w:p w14:paraId="52AD4926"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r w:rsidR="00004B45" w:rsidRPr="00BC7AA5" w14:paraId="499D0D43" w14:textId="77777777" w:rsidTr="00004B45">
        <w:tc>
          <w:tcPr>
            <w:tcW w:w="3236" w:type="dxa"/>
            <w:shd w:val="clear" w:color="auto" w:fill="auto"/>
          </w:tcPr>
          <w:p w14:paraId="005AC86C" w14:textId="1802A6EC"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Genoveva Tisheva (Vicepresidenta)</w:t>
            </w:r>
          </w:p>
        </w:tc>
        <w:tc>
          <w:tcPr>
            <w:tcW w:w="2700" w:type="dxa"/>
            <w:shd w:val="clear" w:color="auto" w:fill="auto"/>
          </w:tcPr>
          <w:p w14:paraId="35C77C40"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Bulgaria</w:t>
            </w:r>
          </w:p>
        </w:tc>
        <w:tc>
          <w:tcPr>
            <w:tcW w:w="1384" w:type="dxa"/>
            <w:shd w:val="clear" w:color="auto" w:fill="auto"/>
          </w:tcPr>
          <w:p w14:paraId="40F672C0"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2026</w:t>
            </w:r>
          </w:p>
        </w:tc>
      </w:tr>
      <w:tr w:rsidR="00004B45" w:rsidRPr="00BC7AA5" w14:paraId="538E1D0E" w14:textId="77777777" w:rsidTr="00004B45">
        <w:tc>
          <w:tcPr>
            <w:tcW w:w="3236" w:type="dxa"/>
            <w:tcBorders>
              <w:bottom w:val="single" w:sz="12" w:space="0" w:color="auto"/>
            </w:tcBorders>
            <w:shd w:val="clear" w:color="auto" w:fill="auto"/>
          </w:tcPr>
          <w:p w14:paraId="29129131"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Jie Xia</w:t>
            </w:r>
          </w:p>
        </w:tc>
        <w:tc>
          <w:tcPr>
            <w:tcW w:w="2700" w:type="dxa"/>
            <w:tcBorders>
              <w:bottom w:val="single" w:sz="12" w:space="0" w:color="auto"/>
            </w:tcBorders>
            <w:shd w:val="clear" w:color="auto" w:fill="auto"/>
          </w:tcPr>
          <w:p w14:paraId="4858D413"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C7AA5">
              <w:t>China</w:t>
            </w:r>
          </w:p>
        </w:tc>
        <w:tc>
          <w:tcPr>
            <w:tcW w:w="1384" w:type="dxa"/>
            <w:tcBorders>
              <w:bottom w:val="single" w:sz="12" w:space="0" w:color="auto"/>
            </w:tcBorders>
            <w:shd w:val="clear" w:color="auto" w:fill="auto"/>
          </w:tcPr>
          <w:p w14:paraId="12CCBD7D" w14:textId="77777777" w:rsidR="00004B45" w:rsidRPr="00BC7AA5" w:rsidRDefault="00004B45" w:rsidP="00004B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C7AA5">
              <w:t>2024</w:t>
            </w:r>
          </w:p>
        </w:tc>
      </w:tr>
    </w:tbl>
    <w:p w14:paraId="3FD41A42" w14:textId="77777777" w:rsidR="00004B45" w:rsidRPr="001E093B" w:rsidRDefault="00004B45" w:rsidP="001E093B">
      <w:pPr>
        <w:pStyle w:val="SingleTxt"/>
        <w:spacing w:after="0" w:line="240" w:lineRule="auto"/>
        <w:rPr>
          <w:sz w:val="2"/>
        </w:rPr>
      </w:pPr>
    </w:p>
    <w:p w14:paraId="41537FFF" w14:textId="3944E808" w:rsidR="00AB5B99" w:rsidRDefault="00FA4511" w:rsidP="00AB5B99">
      <w:pPr>
        <w:framePr w:w="4320" w:h="520" w:hSpace="180" w:vSpace="288" w:wrap="around" w:vAnchor="page" w:hAnchor="margin" w:x="1" w:y="14343"/>
      </w:pPr>
      <w:fldSimple w:instr=" DOCVARIABLE &quot;jobn&quot; \* MERGEFORMAT ">
        <w:r w:rsidR="00901BF9">
          <w:t>24-06741 (S)</w:t>
        </w:r>
      </w:fldSimple>
      <w:r w:rsidR="00AB5B99">
        <w:t xml:space="preserve">    090524    100524</w:t>
      </w:r>
    </w:p>
    <w:p w14:paraId="034ED105" w14:textId="704079A8" w:rsidR="00AB5B99" w:rsidRPr="00B212E1" w:rsidRDefault="00AB5B99" w:rsidP="00B212E1">
      <w:pPr>
        <w:framePr w:w="4320" w:h="520" w:hSpace="180" w:vSpace="288" w:wrap="around" w:vAnchor="page" w:hAnchor="margin" w:x="1" w:y="14343"/>
        <w:spacing w:before="80" w:line="210" w:lineRule="exact"/>
        <w:rPr>
          <w:rFonts w:ascii="Barcode 3 of 9 by request" w:hAnsi="Barcode 3 of 9 by request"/>
          <w:w w:val="100"/>
          <w:sz w:val="24"/>
        </w:rPr>
      </w:pPr>
      <w:r>
        <w:rPr>
          <w:rFonts w:ascii="Barcode 3 of 9 by request" w:hAnsi="Barcode 3 of 9 by request"/>
          <w:b/>
          <w:w w:val="100"/>
          <w:sz w:val="24"/>
        </w:rPr>
        <w:fldChar w:fldCharType="begin"/>
      </w:r>
      <w:r>
        <w:rPr>
          <w:rFonts w:ascii="Barcode 3 of 9 by request" w:hAnsi="Barcode 3 of 9 by request"/>
          <w:b/>
          <w:w w:val="100"/>
          <w:sz w:val="24"/>
        </w:rPr>
        <w:instrText xml:space="preserve"> DOCVARIABLE "Barcode" \* MERGEFORMAT </w:instrText>
      </w:r>
      <w:r>
        <w:rPr>
          <w:rFonts w:ascii="Barcode 3 of 9 by request" w:hAnsi="Barcode 3 of 9 by request"/>
          <w:b/>
          <w:w w:val="100"/>
          <w:sz w:val="24"/>
        </w:rPr>
        <w:fldChar w:fldCharType="separate"/>
      </w:r>
      <w:r w:rsidR="00901BF9">
        <w:rPr>
          <w:rFonts w:ascii="Barcode 3 of 9 by request" w:hAnsi="Barcode 3 of 9 by request"/>
          <w:b/>
          <w:w w:val="100"/>
          <w:sz w:val="24"/>
        </w:rPr>
        <w:t>*2406741*</w:t>
      </w:r>
      <w:r>
        <w:rPr>
          <w:rFonts w:ascii="Barcode 3 of 9 by request" w:hAnsi="Barcode 3 of 9 by request"/>
          <w:b/>
          <w:w w:val="100"/>
          <w:sz w:val="24"/>
        </w:rPr>
        <w:fldChar w:fldCharType="end"/>
      </w:r>
    </w:p>
    <w:p w14:paraId="031D5CEF" w14:textId="3E81C479" w:rsidR="00954421" w:rsidRPr="00BC7AA5" w:rsidRDefault="00EB3771" w:rsidP="00EE336E">
      <w:pPr>
        <w:pStyle w:val="SingleTxt"/>
        <w:rPr>
          <w:lang w:val="es-419"/>
        </w:rPr>
      </w:pPr>
      <w:r w:rsidRPr="00BC7AA5">
        <w:rPr>
          <w:noProof/>
          <w:w w:val="100"/>
          <w:lang w:val="es-419"/>
        </w:rPr>
        <mc:AlternateContent>
          <mc:Choice Requires="wps">
            <w:drawing>
              <wp:anchor distT="0" distB="0" distL="114300" distR="114300" simplePos="0" relativeHeight="251659264" behindDoc="0" locked="0" layoutInCell="1" allowOverlap="1" wp14:anchorId="135B22FD" wp14:editId="02B28B4B">
                <wp:simplePos x="0" y="0"/>
                <wp:positionH relativeFrom="column">
                  <wp:posOffset>2669540</wp:posOffset>
                </wp:positionH>
                <wp:positionV relativeFrom="paragraph">
                  <wp:posOffset>304800</wp:posOffset>
                </wp:positionV>
                <wp:extent cx="914400" cy="0"/>
                <wp:effectExtent l="0" t="0" r="0" b="0"/>
                <wp:wrapNone/>
                <wp:docPr id="145455778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F20D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Start w:id="14" w:name="EndPage"/>
      <w:bookmarkEnd w:id="14"/>
    </w:p>
    <w:sectPr w:rsidR="00954421" w:rsidRPr="00BC7AA5" w:rsidSect="001C2FAD">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5-08T15:50:00Z" w:initials="Start">
    <w:p w14:paraId="5E2BE6C5" w14:textId="77777777" w:rsidR="00943033" w:rsidRDefault="00943033">
      <w:pPr>
        <w:pStyle w:val="CommentText"/>
      </w:pPr>
      <w:r>
        <w:rPr>
          <w:rStyle w:val="CommentReference"/>
        </w:rPr>
        <w:annotationRef/>
      </w:r>
      <w:r>
        <w:t>&lt;&lt;ODS JOB NO&gt;&gt;N2410046S&lt;&lt;ODS JOB NO&gt;&gt;</w:t>
      </w:r>
    </w:p>
    <w:p w14:paraId="391C86B8" w14:textId="77777777" w:rsidR="00943033" w:rsidRDefault="00943033">
      <w:pPr>
        <w:pStyle w:val="CommentText"/>
      </w:pPr>
      <w:r>
        <w:t>&lt;&lt;ODS DOC SYMBOL1&gt;&gt;A/79/38&lt;&lt;ODS DOC SYMBOL1&gt;&gt;</w:t>
      </w:r>
    </w:p>
    <w:p w14:paraId="2AE2B3B0" w14:textId="16690BC6" w:rsidR="00943033" w:rsidRDefault="0094303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AE2B3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E61DB5" w16cex:dateUtc="2024-05-08T1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E2B3B0" w16cid:durableId="29E61D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5CD9D" w14:textId="77777777" w:rsidR="001C2FAD" w:rsidRDefault="001C2FAD" w:rsidP="00331D20">
      <w:r>
        <w:separator/>
      </w:r>
    </w:p>
  </w:endnote>
  <w:endnote w:type="continuationSeparator" w:id="0">
    <w:p w14:paraId="561C54E7" w14:textId="77777777" w:rsidR="001C2FAD" w:rsidRDefault="001C2FA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4"/>
      <w:gridCol w:w="4915"/>
    </w:tblGrid>
    <w:tr w:rsidR="00943033" w14:paraId="3905C87B" w14:textId="77777777" w:rsidTr="00943033">
      <w:tc>
        <w:tcPr>
          <w:tcW w:w="3744" w:type="dxa"/>
          <w:shd w:val="clear" w:color="auto" w:fill="auto"/>
        </w:tcPr>
        <w:p w14:paraId="7EDA8A9A" w14:textId="77777777" w:rsidR="00943033" w:rsidRDefault="00943033">
          <w:pPr>
            <w:pStyle w:val="Footer"/>
          </w:pPr>
        </w:p>
      </w:tc>
      <w:tc>
        <w:tcPr>
          <w:tcW w:w="4915" w:type="dxa"/>
          <w:shd w:val="clear" w:color="auto" w:fill="auto"/>
        </w:tcPr>
        <w:p w14:paraId="2104322E" w14:textId="77777777" w:rsidR="00943033" w:rsidRDefault="00943033" w:rsidP="00943033">
          <w:pPr>
            <w:pStyle w:val="Footer"/>
            <w:jc w:val="right"/>
          </w:pPr>
          <w:r>
            <w:drawing>
              <wp:inline distT="0" distB="0" distL="0" distR="0" wp14:anchorId="70E90BE8" wp14:editId="377AA8E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DE8F23F" w14:textId="77777777" w:rsidR="00943033" w:rsidRDefault="00943033" w:rsidP="00943033">
    <w:pPr>
      <w:pStyle w:val="Footer"/>
      <w:spacing w:line="14" w:lineRule="exact"/>
    </w:pPr>
    <w:r>
      <w:drawing>
        <wp:anchor distT="0" distB="0" distL="114300" distR="114300" simplePos="0" relativeHeight="251658240" behindDoc="0" locked="0" layoutInCell="1" allowOverlap="1" wp14:anchorId="77ADCBA0" wp14:editId="6169BE0C">
          <wp:simplePos x="0" y="0"/>
          <wp:positionH relativeFrom="column">
            <wp:posOffset>5532120</wp:posOffset>
          </wp:positionH>
          <wp:positionV relativeFrom="paragraph">
            <wp:posOffset>-685800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943033" w:rsidRPr="00943033" w14:paraId="1F55EDA9" w14:textId="77777777" w:rsidTr="00943033">
      <w:tc>
        <w:tcPr>
          <w:tcW w:w="4920" w:type="dxa"/>
          <w:shd w:val="clear" w:color="auto" w:fill="auto"/>
        </w:tcPr>
        <w:p w14:paraId="159FD01D" w14:textId="54754DB7" w:rsidR="00943033" w:rsidRPr="00943033" w:rsidRDefault="00A80CC4" w:rsidP="0094303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901BF9">
            <w:rPr>
              <w:w w:val="103"/>
            </w:rPr>
            <w:t>54</w:t>
          </w:r>
          <w:r>
            <w:rPr>
              <w:w w:val="103"/>
            </w:rPr>
            <w:fldChar w:fldCharType="end"/>
          </w:r>
        </w:p>
      </w:tc>
      <w:tc>
        <w:tcPr>
          <w:tcW w:w="4920" w:type="dxa"/>
          <w:shd w:val="clear" w:color="auto" w:fill="auto"/>
        </w:tcPr>
        <w:p w14:paraId="2EFF9DCF" w14:textId="57556438" w:rsidR="00943033" w:rsidRPr="00943033" w:rsidRDefault="00943033" w:rsidP="009430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BF9">
            <w:rPr>
              <w:b w:val="0"/>
              <w:w w:val="103"/>
              <w:sz w:val="14"/>
            </w:rPr>
            <w:t>24-06741</w:t>
          </w:r>
          <w:r>
            <w:rPr>
              <w:b w:val="0"/>
              <w:w w:val="103"/>
              <w:sz w:val="14"/>
            </w:rPr>
            <w:fldChar w:fldCharType="end"/>
          </w:r>
        </w:p>
      </w:tc>
    </w:tr>
  </w:tbl>
  <w:p w14:paraId="504DDA48" w14:textId="77777777" w:rsidR="00943033" w:rsidRDefault="009430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943033" w:rsidRPr="00943033" w14:paraId="603D3259" w14:textId="77777777" w:rsidTr="00943033">
      <w:tc>
        <w:tcPr>
          <w:tcW w:w="4920" w:type="dxa"/>
          <w:shd w:val="clear" w:color="auto" w:fill="auto"/>
        </w:tcPr>
        <w:p w14:paraId="24596855" w14:textId="54E9E3B3" w:rsidR="00943033" w:rsidRPr="00943033" w:rsidRDefault="00943033" w:rsidP="009430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BF9">
            <w:rPr>
              <w:b w:val="0"/>
              <w:w w:val="103"/>
              <w:sz w:val="14"/>
            </w:rPr>
            <w:t>24-06741</w:t>
          </w:r>
          <w:r>
            <w:rPr>
              <w:b w:val="0"/>
              <w:w w:val="103"/>
              <w:sz w:val="14"/>
            </w:rPr>
            <w:fldChar w:fldCharType="end"/>
          </w:r>
        </w:p>
      </w:tc>
      <w:tc>
        <w:tcPr>
          <w:tcW w:w="4920" w:type="dxa"/>
          <w:shd w:val="clear" w:color="auto" w:fill="auto"/>
        </w:tcPr>
        <w:p w14:paraId="150447A5" w14:textId="2D031637" w:rsidR="00943033" w:rsidRPr="00943033" w:rsidRDefault="00A80CC4" w:rsidP="0094303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901BF9">
            <w:rPr>
              <w:w w:val="103"/>
            </w:rPr>
            <w:t>54</w:t>
          </w:r>
          <w:r>
            <w:rPr>
              <w:w w:val="103"/>
            </w:rPr>
            <w:fldChar w:fldCharType="end"/>
          </w:r>
        </w:p>
      </w:tc>
    </w:tr>
  </w:tbl>
  <w:p w14:paraId="1E0D2307" w14:textId="77777777" w:rsidR="00943033" w:rsidRDefault="0094303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943033" w:rsidRPr="00943033" w14:paraId="3D4BF5C4" w14:textId="77777777" w:rsidTr="00943033">
      <w:tc>
        <w:tcPr>
          <w:tcW w:w="4920" w:type="dxa"/>
          <w:shd w:val="clear" w:color="auto" w:fill="auto"/>
        </w:tcPr>
        <w:p w14:paraId="05CA0B00" w14:textId="4D643FA5" w:rsidR="00943033" w:rsidRPr="00943033" w:rsidRDefault="00A80CC4" w:rsidP="0094303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53</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901BF9">
            <w:rPr>
              <w:w w:val="103"/>
            </w:rPr>
            <w:t>54</w:t>
          </w:r>
          <w:r>
            <w:rPr>
              <w:w w:val="103"/>
            </w:rPr>
            <w:fldChar w:fldCharType="end"/>
          </w:r>
        </w:p>
      </w:tc>
      <w:tc>
        <w:tcPr>
          <w:tcW w:w="4920" w:type="dxa"/>
          <w:shd w:val="clear" w:color="auto" w:fill="auto"/>
        </w:tcPr>
        <w:p w14:paraId="3314BAB8" w14:textId="0A86A14D" w:rsidR="00943033" w:rsidRPr="00943033" w:rsidRDefault="00943033" w:rsidP="009430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BF9">
            <w:rPr>
              <w:b w:val="0"/>
              <w:w w:val="103"/>
              <w:sz w:val="14"/>
            </w:rPr>
            <w:t>24-06741</w:t>
          </w:r>
          <w:r>
            <w:rPr>
              <w:b w:val="0"/>
              <w:w w:val="103"/>
              <w:sz w:val="14"/>
            </w:rPr>
            <w:fldChar w:fldCharType="end"/>
          </w:r>
        </w:p>
      </w:tc>
    </w:tr>
  </w:tbl>
  <w:p w14:paraId="262040A3" w14:textId="77777777" w:rsidR="00943033" w:rsidRDefault="0094303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4920"/>
      <w:gridCol w:w="4920"/>
    </w:tblGrid>
    <w:tr w:rsidR="00943033" w:rsidRPr="00943033" w14:paraId="30E521C0" w14:textId="77777777" w:rsidTr="00943033">
      <w:tc>
        <w:tcPr>
          <w:tcW w:w="4920" w:type="dxa"/>
          <w:shd w:val="clear" w:color="auto" w:fill="auto"/>
        </w:tcPr>
        <w:p w14:paraId="7180D2F2" w14:textId="52EAA6B1" w:rsidR="00943033" w:rsidRPr="00943033" w:rsidRDefault="00943033" w:rsidP="009430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BF9">
            <w:rPr>
              <w:b w:val="0"/>
              <w:w w:val="103"/>
              <w:sz w:val="14"/>
            </w:rPr>
            <w:t>24-06741</w:t>
          </w:r>
          <w:r>
            <w:rPr>
              <w:b w:val="0"/>
              <w:w w:val="103"/>
              <w:sz w:val="14"/>
            </w:rPr>
            <w:fldChar w:fldCharType="end"/>
          </w:r>
        </w:p>
      </w:tc>
      <w:tc>
        <w:tcPr>
          <w:tcW w:w="4920" w:type="dxa"/>
          <w:shd w:val="clear" w:color="auto" w:fill="auto"/>
        </w:tcPr>
        <w:p w14:paraId="76297E74" w14:textId="752CDB71" w:rsidR="00943033" w:rsidRPr="00943033" w:rsidRDefault="00A80CC4" w:rsidP="0094303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52</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901BF9">
            <w:rPr>
              <w:w w:val="103"/>
            </w:rPr>
            <w:t>54</w:t>
          </w:r>
          <w:r>
            <w:rPr>
              <w:w w:val="103"/>
            </w:rPr>
            <w:fldChar w:fldCharType="end"/>
          </w:r>
        </w:p>
      </w:tc>
    </w:tr>
  </w:tbl>
  <w:p w14:paraId="614C9518" w14:textId="77777777" w:rsidR="00943033" w:rsidRDefault="00943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DD34E" w14:textId="77777777" w:rsidR="001C2FAD" w:rsidRPr="00DC67D5" w:rsidRDefault="001C2FAD" w:rsidP="00DC67D5">
      <w:pPr>
        <w:pStyle w:val="Footer"/>
        <w:spacing w:after="80"/>
        <w:ind w:left="792"/>
        <w:rPr>
          <w:sz w:val="16"/>
        </w:rPr>
      </w:pPr>
      <w:r w:rsidRPr="00DC67D5">
        <w:rPr>
          <w:sz w:val="16"/>
        </w:rPr>
        <w:t>__________________</w:t>
      </w:r>
    </w:p>
  </w:footnote>
  <w:footnote w:type="continuationSeparator" w:id="0">
    <w:p w14:paraId="32D7BA4E" w14:textId="77777777" w:rsidR="001C2FAD" w:rsidRPr="00DC67D5" w:rsidRDefault="001C2FAD" w:rsidP="00DC67D5">
      <w:pPr>
        <w:pStyle w:val="Footer"/>
        <w:spacing w:after="80"/>
        <w:ind w:left="792"/>
        <w:rPr>
          <w:sz w:val="16"/>
        </w:rPr>
      </w:pPr>
      <w:r w:rsidRPr="00DC67D5">
        <w:rPr>
          <w:sz w:val="16"/>
        </w:rPr>
        <w:t>__________________</w:t>
      </w:r>
    </w:p>
  </w:footnote>
  <w:footnote w:id="1">
    <w:p w14:paraId="7297B8B7" w14:textId="2212721A" w:rsidR="00265313" w:rsidRDefault="00265313" w:rsidP="00DC67D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Puede consultarse en </w:t>
      </w:r>
      <w:hyperlink r:id="rId1" w:history="1">
        <w:r w:rsidR="0045774E" w:rsidRPr="00111331">
          <w:rPr>
            <w:rStyle w:val="Hyperlink"/>
            <w:spacing w:val="2"/>
          </w:rPr>
          <w:t>https://tbinternet.ohchr.org/_layouts/15/treatybodyexternal/Download.aspx?symbolno=</w:t>
        </w:r>
        <w:r w:rsidR="0045774E" w:rsidRPr="00111331">
          <w:rPr>
            <w:rStyle w:val="Hyperlink"/>
            <w:spacing w:val="2"/>
          </w:rPr>
          <w:br/>
          <w:t>INT%2FCEDAW%2FSED%2F85%2F35523&amp;Lang=en</w:t>
        </w:r>
      </w:hyperlink>
      <w:r w:rsidR="0045774E">
        <w:t>.</w:t>
      </w:r>
    </w:p>
  </w:footnote>
  <w:footnote w:id="2">
    <w:p w14:paraId="41962FA1" w14:textId="534A6AF5" w:rsidR="00265313" w:rsidRDefault="00265313" w:rsidP="00DC67D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Puede consultarse en </w:t>
      </w:r>
      <w:hyperlink r:id="rId2" w:history="1">
        <w:r w:rsidR="0045774E" w:rsidRPr="009B0F24">
          <w:rPr>
            <w:rStyle w:val="Hyperlink"/>
            <w:spacing w:val="2"/>
          </w:rPr>
          <w:t>https://tbinternet.ohchr.org/_layouts/15/treatybodyexternal/Download.aspx?symbolno=</w:t>
        </w:r>
        <w:r w:rsidR="0045774E" w:rsidRPr="009B0F24">
          <w:rPr>
            <w:rStyle w:val="Hyperlink"/>
            <w:spacing w:val="2"/>
          </w:rPr>
          <w:br/>
          <w:t>INT%2FCEDAW%2FSED%2F85%2F35524&amp;Lang=en</w:t>
        </w:r>
      </w:hyperlink>
      <w:r>
        <w:t>.</w:t>
      </w:r>
    </w:p>
  </w:footnote>
  <w:footnote w:id="3">
    <w:p w14:paraId="39AE03BD" w14:textId="44D5E7C7" w:rsidR="00265313" w:rsidRDefault="004F473F" w:rsidP="00DC67D5">
      <w:pPr>
        <w:pStyle w:val="FootnoteText"/>
        <w:tabs>
          <w:tab w:val="clear" w:pos="418"/>
          <w:tab w:val="right" w:pos="1195"/>
          <w:tab w:val="left" w:pos="1267"/>
          <w:tab w:val="left" w:pos="1742"/>
          <w:tab w:val="left" w:pos="2218"/>
          <w:tab w:val="left" w:pos="2693"/>
        </w:tabs>
        <w:ind w:left="1267" w:right="1267" w:hanging="432"/>
      </w:pPr>
      <w:r>
        <w:tab/>
      </w:r>
      <w:r w:rsidR="00265313">
        <w:rPr>
          <w:rStyle w:val="FootnoteReference"/>
        </w:rPr>
        <w:footnoteRef/>
      </w:r>
      <w:r w:rsidR="00265313">
        <w:t xml:space="preserve"> </w:t>
      </w:r>
      <w:r>
        <w:tab/>
      </w:r>
      <w:r w:rsidR="00265313">
        <w:t xml:space="preserve">Puede consultarse en </w:t>
      </w:r>
      <w:hyperlink r:id="rId3" w:history="1">
        <w:r w:rsidRPr="00B736AF">
          <w:rPr>
            <w:rStyle w:val="Hyperlink"/>
          </w:rPr>
          <w:t>www.ohchr.org/en/treaty-bodies/cedaw/activities</w:t>
        </w:r>
      </w:hyperlink>
      <w:r>
        <w:t>.</w:t>
      </w:r>
    </w:p>
  </w:footnote>
  <w:footnote w:id="4">
    <w:p w14:paraId="1B7FD329" w14:textId="1E10D69D" w:rsidR="00EE336E" w:rsidRDefault="00EE336E" w:rsidP="00DC67D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 consultarse en </w:t>
      </w:r>
      <w:hyperlink r:id="rId4" w:history="1">
        <w:r w:rsidR="009C5ABC" w:rsidRPr="00B212E1">
          <w:rPr>
            <w:rStyle w:val="Hyperlink"/>
            <w:lang w:val="es-419"/>
          </w:rPr>
          <w:t>www.ohchr.org/sites/default/files/documents/hrbodies/cedaw/statements/CEDAW-Statement-International-Day-Girl-Child%202023.pdf</w:t>
        </w:r>
      </w:hyperlink>
      <w:r>
        <w:t>.</w:t>
      </w:r>
    </w:p>
  </w:footnote>
  <w:footnote w:id="5">
    <w:p w14:paraId="11D49EEB" w14:textId="0E8B23B1" w:rsidR="00EE336E" w:rsidRDefault="00EE336E" w:rsidP="00DC67D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 consultarse en </w:t>
      </w:r>
      <w:hyperlink r:id="rId5" w:history="1">
        <w:r w:rsidR="009C5ABC" w:rsidRPr="00B212E1">
          <w:rPr>
            <w:rStyle w:val="Hyperlink"/>
            <w:lang w:val="es-419"/>
          </w:rPr>
          <w:t>www.ohchr.org/en/press-releases/2023/10/un-womens-rights-committee-deplores-withdrawal-nicaraguan-ambassador-public</w:t>
        </w:r>
      </w:hyperlink>
      <w:r>
        <w:t xml:space="preserve">. </w:t>
      </w:r>
    </w:p>
  </w:footnote>
  <w:footnote w:id="6">
    <w:p w14:paraId="24E15ABD" w14:textId="0CA24C35" w:rsidR="00EE336E" w:rsidRDefault="00EE336E" w:rsidP="00DC67D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Puede consultarse en </w:t>
      </w:r>
      <w:hyperlink r:id="rId6" w:history="1">
        <w:r w:rsidR="009C5ABC" w:rsidRPr="009B0F24">
          <w:rPr>
            <w:rStyle w:val="Hyperlink"/>
          </w:rPr>
          <w:t>www.ohchr.org/en/treaty-bodies/cedaw/activities</w:t>
        </w:r>
      </w:hyperlink>
      <w:r>
        <w:t xml:space="preserve">. </w:t>
      </w:r>
    </w:p>
  </w:footnote>
  <w:footnote w:id="7">
    <w:p w14:paraId="7462D56E" w14:textId="76A933A6" w:rsidR="00EE336E" w:rsidRDefault="00EE336E" w:rsidP="00DC67D5">
      <w:pPr>
        <w:pStyle w:val="FootnoteText"/>
        <w:tabs>
          <w:tab w:val="clear" w:pos="418"/>
          <w:tab w:val="right" w:pos="1195"/>
          <w:tab w:val="left" w:pos="1267"/>
          <w:tab w:val="left" w:pos="1742"/>
          <w:tab w:val="left" w:pos="2218"/>
          <w:tab w:val="left" w:pos="2693"/>
        </w:tabs>
        <w:ind w:left="1267" w:right="1267" w:hanging="432"/>
        <w:rPr>
          <w:sz w:val="18"/>
          <w:szCs w:val="18"/>
        </w:rPr>
      </w:pPr>
      <w:r>
        <w:tab/>
      </w:r>
      <w:r>
        <w:rPr>
          <w:rStyle w:val="FootnoteReference"/>
        </w:rPr>
        <w:footnoteRef/>
      </w:r>
      <w:r>
        <w:tab/>
        <w:t xml:space="preserve">Puede consultarse en </w:t>
      </w:r>
      <w:hyperlink r:id="rId7" w:history="1">
        <w:r w:rsidR="00FD3B87" w:rsidRPr="009B0F24">
          <w:rPr>
            <w:rStyle w:val="Hyperlink"/>
            <w:spacing w:val="2"/>
          </w:rPr>
          <w:t>https://tbinternet.ohchr.org/_layouts/15/treatybodyexternal/Download.aspx?symbolno=</w:t>
        </w:r>
        <w:r w:rsidR="00FD3B87" w:rsidRPr="009B0F24">
          <w:rPr>
            <w:rStyle w:val="Hyperlink"/>
            <w:spacing w:val="2"/>
          </w:rPr>
          <w:br/>
          <w:t>INT%2FCEDAW%2FSED%2F86%2F36249&amp;Lang=en</w:t>
        </w:r>
      </w:hyperlink>
      <w:r>
        <w:t>.</w:t>
      </w:r>
    </w:p>
  </w:footnote>
  <w:footnote w:id="8">
    <w:p w14:paraId="0EA2D5D3" w14:textId="3A5AAFB2" w:rsidR="00EE336E" w:rsidRDefault="00EE336E" w:rsidP="00DC67D5">
      <w:pPr>
        <w:pStyle w:val="FootnoteText"/>
        <w:tabs>
          <w:tab w:val="clear" w:pos="418"/>
          <w:tab w:val="right" w:pos="1195"/>
          <w:tab w:val="left" w:pos="1267"/>
          <w:tab w:val="left" w:pos="1742"/>
          <w:tab w:val="left" w:pos="2218"/>
          <w:tab w:val="left" w:pos="2693"/>
        </w:tabs>
        <w:ind w:left="1267" w:right="1267" w:hanging="432"/>
        <w:rPr>
          <w:sz w:val="18"/>
          <w:szCs w:val="18"/>
        </w:rPr>
      </w:pPr>
      <w:r>
        <w:rPr>
          <w:sz w:val="18"/>
          <w:szCs w:val="18"/>
        </w:rPr>
        <w:tab/>
      </w:r>
      <w:r>
        <w:rPr>
          <w:rStyle w:val="FootnoteReference"/>
          <w:sz w:val="18"/>
          <w:szCs w:val="18"/>
        </w:rPr>
        <w:footnoteRef/>
      </w:r>
      <w:r>
        <w:tab/>
        <w:t xml:space="preserve">Puede consultarse en </w:t>
      </w:r>
      <w:hyperlink r:id="rId8" w:history="1">
        <w:r w:rsidR="007D1975" w:rsidRPr="00080F2C">
          <w:rPr>
            <w:rStyle w:val="Hyperlink"/>
            <w:spacing w:val="2"/>
          </w:rPr>
          <w:t>https://tbinternet.ohchr.org/_layouts/15/treatybodyexternal/Download.aspx?symbolno=</w:t>
        </w:r>
        <w:r w:rsidR="007D1975" w:rsidRPr="00080F2C">
          <w:rPr>
            <w:rStyle w:val="Hyperlink"/>
            <w:spacing w:val="2"/>
          </w:rPr>
          <w:br/>
          <w:t>INT%2FCEDAW%2FSED%2F86%2F36250&amp;Lang=en</w:t>
        </w:r>
      </w:hyperlink>
      <w:r>
        <w:t>.</w:t>
      </w:r>
    </w:p>
  </w:footnote>
  <w:footnote w:id="9">
    <w:p w14:paraId="218EDC3E" w14:textId="2D784802" w:rsidR="00DC67D5" w:rsidRDefault="00AD74E4" w:rsidP="00DC67D5">
      <w:pPr>
        <w:pStyle w:val="FootnoteText"/>
        <w:tabs>
          <w:tab w:val="clear" w:pos="418"/>
          <w:tab w:val="right" w:pos="1195"/>
          <w:tab w:val="left" w:pos="1267"/>
          <w:tab w:val="left" w:pos="1742"/>
          <w:tab w:val="left" w:pos="2218"/>
          <w:tab w:val="left" w:pos="2693"/>
        </w:tabs>
        <w:ind w:left="1267" w:right="1267" w:hanging="432"/>
      </w:pPr>
      <w:r>
        <w:tab/>
      </w:r>
      <w:r w:rsidR="00DC67D5">
        <w:rPr>
          <w:rStyle w:val="FootnoteReference"/>
        </w:rPr>
        <w:footnoteRef/>
      </w:r>
      <w:r w:rsidR="00DC67D5">
        <w:t xml:space="preserve"> </w:t>
      </w:r>
      <w:r>
        <w:tab/>
      </w:r>
      <w:r w:rsidR="00DC67D5">
        <w:t xml:space="preserve">Puede consultarse en </w:t>
      </w:r>
      <w:hyperlink r:id="rId9" w:history="1">
        <w:r w:rsidRPr="00B212E1">
          <w:rPr>
            <w:rStyle w:val="Hyperlink"/>
            <w:lang w:val="es-419"/>
          </w:rPr>
          <w:t>www.ohchr.org/en/treaty-bodies/cedaw/activities</w:t>
        </w:r>
      </w:hyperlink>
      <w:r w:rsidR="00DC67D5">
        <w:t xml:space="preserve">. </w:t>
      </w:r>
    </w:p>
  </w:footnote>
  <w:footnote w:id="10">
    <w:p w14:paraId="00A3F6E4" w14:textId="19CFD1BD" w:rsidR="00DC67D5" w:rsidRDefault="00AD74E4" w:rsidP="00DC67D5">
      <w:pPr>
        <w:pStyle w:val="FootnoteText"/>
        <w:tabs>
          <w:tab w:val="clear" w:pos="418"/>
          <w:tab w:val="right" w:pos="1195"/>
          <w:tab w:val="left" w:pos="1267"/>
          <w:tab w:val="left" w:pos="1742"/>
          <w:tab w:val="left" w:pos="2218"/>
          <w:tab w:val="left" w:pos="2693"/>
        </w:tabs>
        <w:ind w:left="1267" w:right="1267" w:hanging="432"/>
      </w:pPr>
      <w:r>
        <w:tab/>
      </w:r>
      <w:r w:rsidR="00DC67D5">
        <w:rPr>
          <w:rStyle w:val="FootnoteReference"/>
        </w:rPr>
        <w:footnoteRef/>
      </w:r>
      <w:r w:rsidR="00DC67D5">
        <w:t xml:space="preserve"> </w:t>
      </w:r>
      <w:r>
        <w:tab/>
      </w:r>
      <w:r w:rsidR="00DC67D5">
        <w:t xml:space="preserve">Puede consultarse en </w:t>
      </w:r>
      <w:hyperlink r:id="rId10" w:history="1">
        <w:r w:rsidRPr="00B212E1">
          <w:rPr>
            <w:rStyle w:val="Hyperlink"/>
            <w:lang w:val="es-419"/>
          </w:rPr>
          <w:t>www.ohchr.org/en/press-releases/2024/02/afghanistan-talibans-arbitrary-arrests-and-detention-women-and-girls-over</w:t>
        </w:r>
      </w:hyperlink>
      <w:r w:rsidR="00DC67D5">
        <w:t>.</w:t>
      </w:r>
    </w:p>
  </w:footnote>
  <w:footnote w:id="11">
    <w:p w14:paraId="2D433D6E" w14:textId="34C7A42D" w:rsidR="00DC67D5" w:rsidRDefault="00AD74E4" w:rsidP="00DC67D5">
      <w:pPr>
        <w:pStyle w:val="FootnoteText"/>
        <w:tabs>
          <w:tab w:val="clear" w:pos="418"/>
          <w:tab w:val="right" w:pos="1195"/>
          <w:tab w:val="left" w:pos="1267"/>
          <w:tab w:val="left" w:pos="1742"/>
          <w:tab w:val="left" w:pos="2218"/>
          <w:tab w:val="left" w:pos="2693"/>
        </w:tabs>
        <w:ind w:left="1267" w:right="1267" w:hanging="432"/>
      </w:pPr>
      <w:r>
        <w:tab/>
      </w:r>
      <w:r w:rsidR="00DC67D5">
        <w:rPr>
          <w:rStyle w:val="FootnoteReference"/>
        </w:rPr>
        <w:footnoteRef/>
      </w:r>
      <w:r w:rsidR="00DC67D5">
        <w:t xml:space="preserve"> </w:t>
      </w:r>
      <w:r>
        <w:tab/>
      </w:r>
      <w:r w:rsidR="00DC67D5">
        <w:t xml:space="preserve">Puede consultarse en </w:t>
      </w:r>
      <w:hyperlink r:id="rId11" w:history="1">
        <w:r w:rsidRPr="009B0F24">
          <w:rPr>
            <w:rStyle w:val="Hyperlink"/>
          </w:rPr>
          <w:t>www.ohchr.org/en/statements/2024/02/gaza-when-mothers-have-bury-least-7700-children-very-basic-principles-are</w:t>
        </w:r>
      </w:hyperlink>
      <w:r w:rsidR="00DC67D5">
        <w:t>.</w:t>
      </w:r>
    </w:p>
  </w:footnote>
  <w:footnote w:id="12">
    <w:p w14:paraId="07986C13" w14:textId="076B6395" w:rsidR="00DC67D5" w:rsidRDefault="00AD74E4" w:rsidP="00DC67D5">
      <w:pPr>
        <w:pStyle w:val="FootnoteText"/>
        <w:tabs>
          <w:tab w:val="clear" w:pos="418"/>
          <w:tab w:val="right" w:pos="1195"/>
          <w:tab w:val="left" w:pos="1267"/>
          <w:tab w:val="left" w:pos="1742"/>
          <w:tab w:val="left" w:pos="2218"/>
          <w:tab w:val="left" w:pos="2693"/>
        </w:tabs>
        <w:ind w:left="1267" w:right="1267" w:hanging="432"/>
      </w:pPr>
      <w:r>
        <w:tab/>
      </w:r>
      <w:r w:rsidR="00DC67D5">
        <w:rPr>
          <w:rStyle w:val="FootnoteReference"/>
        </w:rPr>
        <w:footnoteRef/>
      </w:r>
      <w:r w:rsidR="00DC67D5">
        <w:t xml:space="preserve"> </w:t>
      </w:r>
      <w:r>
        <w:tab/>
      </w:r>
      <w:r w:rsidR="00DC67D5">
        <w:t xml:space="preserve">Puede consultarse en </w:t>
      </w:r>
      <w:hyperlink r:id="rId12" w:history="1">
        <w:r w:rsidRPr="00B212E1">
          <w:rPr>
            <w:rStyle w:val="Hyperlink"/>
            <w:lang w:val="es-419"/>
          </w:rPr>
          <w:t>www.ohchr.org/sites/default/files/documents/issues/women/edvaw/statement-2024-03-08-edvaw.pdf</w:t>
        </w:r>
      </w:hyperlink>
      <w:r w:rsidR="00DC67D5">
        <w:t>.</w:t>
      </w:r>
    </w:p>
  </w:footnote>
  <w:footnote w:id="13">
    <w:p w14:paraId="7D76BBF9" w14:textId="23ED3F5C" w:rsidR="00DC67D5" w:rsidRDefault="009A1DC0" w:rsidP="00DC67D5">
      <w:pPr>
        <w:pStyle w:val="FootnoteText"/>
        <w:tabs>
          <w:tab w:val="clear" w:pos="418"/>
          <w:tab w:val="right" w:pos="1195"/>
          <w:tab w:val="left" w:pos="1267"/>
          <w:tab w:val="left" w:pos="1742"/>
          <w:tab w:val="left" w:pos="2218"/>
          <w:tab w:val="left" w:pos="2693"/>
        </w:tabs>
        <w:ind w:left="1267" w:right="1267" w:hanging="432"/>
      </w:pPr>
      <w:r>
        <w:tab/>
      </w:r>
      <w:r w:rsidR="00DC67D5">
        <w:rPr>
          <w:rStyle w:val="FootnoteReference"/>
        </w:rPr>
        <w:footnoteRef/>
      </w:r>
      <w:r w:rsidR="00DC67D5">
        <w:t xml:space="preserve"> </w:t>
      </w:r>
      <w:r>
        <w:tab/>
      </w:r>
      <w:r w:rsidR="00DC67D5">
        <w:t xml:space="preserve">Puede consultarse en </w:t>
      </w:r>
      <w:hyperlink r:id="rId13" w:history="1">
        <w:r w:rsidRPr="00A32232">
          <w:rPr>
            <w:rStyle w:val="Hyperlink"/>
          </w:rPr>
          <w:t>www.ohchr.org/sites/default/files/documents/hrbodies/cedaw/activities/CEDAW-Submission-to-HLPF-2024.pdf</w:t>
        </w:r>
      </w:hyperlink>
      <w:r w:rsidR="00DC67D5">
        <w:t>.</w:t>
      </w:r>
    </w:p>
  </w:footnote>
  <w:footnote w:id="14">
    <w:p w14:paraId="4F164850" w14:textId="42FC69D3" w:rsidR="00DC67D5" w:rsidRDefault="00DC67D5" w:rsidP="00DC67D5">
      <w:pPr>
        <w:pStyle w:val="FootnoteText"/>
        <w:tabs>
          <w:tab w:val="clear" w:pos="418"/>
          <w:tab w:val="right" w:pos="1195"/>
          <w:tab w:val="left" w:pos="1267"/>
          <w:tab w:val="left" w:pos="1742"/>
          <w:tab w:val="left" w:pos="2218"/>
          <w:tab w:val="left" w:pos="2693"/>
        </w:tabs>
        <w:ind w:left="1267" w:right="1267" w:hanging="432"/>
        <w:rPr>
          <w:sz w:val="18"/>
          <w:szCs w:val="18"/>
        </w:rPr>
      </w:pPr>
      <w:r>
        <w:tab/>
      </w:r>
      <w:r>
        <w:rPr>
          <w:rStyle w:val="FootnoteReference"/>
        </w:rPr>
        <w:footnoteRef/>
      </w:r>
      <w:r>
        <w:tab/>
        <w:t xml:space="preserve">Puede consultarse en </w:t>
      </w:r>
      <w:hyperlink r:id="rId14" w:history="1">
        <w:r w:rsidRPr="00E35C49">
          <w:rPr>
            <w:rStyle w:val="Hyperlink"/>
          </w:rPr>
          <w:t>https://tbinternet.ohchr.org/_layouts/15/treatybodyexternal/Download.aspx?symbolno=INT%2FCEDAW%2FSED%2F87%2F36475&amp;Lang=en</w:t>
        </w:r>
      </w:hyperlink>
      <w:r>
        <w:t>.</w:t>
      </w:r>
    </w:p>
  </w:footnote>
  <w:footnote w:id="15">
    <w:p w14:paraId="24E1093E" w14:textId="5F2C2107" w:rsidR="00DC67D5" w:rsidRDefault="00DC67D5" w:rsidP="00DC67D5">
      <w:pPr>
        <w:pStyle w:val="FootnoteText"/>
        <w:tabs>
          <w:tab w:val="clear" w:pos="418"/>
          <w:tab w:val="right" w:pos="1195"/>
          <w:tab w:val="left" w:pos="1267"/>
          <w:tab w:val="left" w:pos="1742"/>
          <w:tab w:val="left" w:pos="2218"/>
          <w:tab w:val="left" w:pos="2693"/>
        </w:tabs>
        <w:ind w:left="1267" w:right="1267" w:hanging="432"/>
        <w:rPr>
          <w:sz w:val="18"/>
          <w:szCs w:val="18"/>
        </w:rPr>
      </w:pPr>
      <w:r>
        <w:rPr>
          <w:sz w:val="18"/>
          <w:szCs w:val="18"/>
        </w:rPr>
        <w:tab/>
      </w:r>
      <w:r>
        <w:rPr>
          <w:rStyle w:val="FootnoteReference"/>
          <w:sz w:val="18"/>
          <w:szCs w:val="18"/>
        </w:rPr>
        <w:footnoteRef/>
      </w:r>
      <w:r>
        <w:tab/>
        <w:t xml:space="preserve">Puede consultarse en </w:t>
      </w:r>
      <w:hyperlink r:id="rId15" w:history="1">
        <w:r w:rsidRPr="00051D2B">
          <w:rPr>
            <w:rStyle w:val="Hyperlink"/>
          </w:rPr>
          <w:t>https://tbinternet.ohchr.org/_layouts/15/treatybodyexternal/Download.aspx?symbolno=INT%2FCEDAW%2FSED%2F87%2F36476&amp;Lang=en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24444" w14:textId="77777777" w:rsidR="00943033" w:rsidRDefault="00943033" w:rsidP="00943033">
    <w:pPr>
      <w:pStyle w:val="Header"/>
      <w:spacing w:before="340"/>
      <w:jc w:val="right"/>
      <w:rPr>
        <w:sz w:val="20"/>
      </w:rPr>
    </w:pPr>
    <w:r>
      <w:rPr>
        <w:sz w:val="20"/>
      </w:rPr>
      <w:t>A/79/38</w:t>
    </w:r>
  </w:p>
  <w:p w14:paraId="7D11CCA0" w14:textId="77777777" w:rsidR="00943033" w:rsidRPr="00943033" w:rsidRDefault="00943033" w:rsidP="00943033">
    <w:pPr>
      <w:spacing w:before="1480"/>
      <w:ind w:left="1260"/>
    </w:pPr>
    <w:r>
      <w:rPr>
        <w:noProof/>
      </w:rPr>
      <w:drawing>
        <wp:inline distT="0" distB="0" distL="0" distR="0" wp14:anchorId="09EFD2E2" wp14:editId="5079EF95">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943033" w:rsidRPr="00943033" w14:paraId="6C84B7C0" w14:textId="77777777" w:rsidTr="00943033">
      <w:trPr>
        <w:trHeight w:hRule="exact" w:val="1008"/>
      </w:trPr>
      <w:tc>
        <w:tcPr>
          <w:tcW w:w="9850" w:type="dxa"/>
          <w:shd w:val="clear" w:color="auto" w:fill="auto"/>
          <w:vAlign w:val="bottom"/>
        </w:tcPr>
        <w:p w14:paraId="22A3446C" w14:textId="77777777" w:rsidR="00943033" w:rsidRPr="00943033" w:rsidRDefault="00943033" w:rsidP="00943033">
          <w:pPr>
            <w:pStyle w:val="Header"/>
            <w:spacing w:after="80"/>
            <w:rPr>
              <w:b/>
            </w:rPr>
          </w:pPr>
        </w:p>
      </w:tc>
    </w:tr>
  </w:tbl>
  <w:p w14:paraId="4DCA45D6" w14:textId="77777777" w:rsidR="00943033" w:rsidRDefault="009430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943033" w:rsidRPr="00943033" w14:paraId="04498122" w14:textId="77777777" w:rsidTr="00943033">
      <w:trPr>
        <w:trHeight w:hRule="exact" w:val="1008"/>
      </w:trPr>
      <w:tc>
        <w:tcPr>
          <w:tcW w:w="9850" w:type="dxa"/>
          <w:shd w:val="clear" w:color="auto" w:fill="auto"/>
          <w:vAlign w:val="bottom"/>
        </w:tcPr>
        <w:p w14:paraId="30032905" w14:textId="77777777" w:rsidR="00943033" w:rsidRPr="00943033" w:rsidRDefault="00943033" w:rsidP="00943033">
          <w:pPr>
            <w:pStyle w:val="Header"/>
            <w:spacing w:after="80"/>
            <w:jc w:val="right"/>
            <w:rPr>
              <w:b/>
            </w:rPr>
          </w:pPr>
        </w:p>
      </w:tc>
    </w:tr>
  </w:tbl>
  <w:p w14:paraId="44E75F8D" w14:textId="77777777" w:rsidR="00943033" w:rsidRDefault="009430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B2718" w14:textId="77777777" w:rsidR="00943033" w:rsidRDefault="00943033" w:rsidP="00943033">
    <w:pPr>
      <w:pStyle w:val="Header"/>
      <w:spacing w:before="340"/>
      <w:jc w:val="right"/>
      <w:rPr>
        <w:sz w:val="20"/>
      </w:rPr>
    </w:pPr>
    <w:r>
      <w:rPr>
        <w:sz w:val="20"/>
      </w:rPr>
      <w:t>A/79/38</w:t>
    </w:r>
  </w:p>
  <w:p w14:paraId="2EA78907" w14:textId="77777777" w:rsidR="00943033" w:rsidRPr="00943033" w:rsidRDefault="00943033" w:rsidP="00943033">
    <w:pPr>
      <w:spacing w:before="1480"/>
      <w:ind w:left="1260"/>
    </w:pPr>
    <w:r>
      <w:rPr>
        <w:noProof/>
      </w:rPr>
      <w:drawing>
        <wp:inline distT="0" distB="0" distL="0" distR="0" wp14:anchorId="6C40AC0E" wp14:editId="08157F1D">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3033" w14:paraId="455DC283" w14:textId="77777777" w:rsidTr="00943033">
      <w:trPr>
        <w:trHeight w:hRule="exact" w:val="864"/>
      </w:trPr>
      <w:tc>
        <w:tcPr>
          <w:tcW w:w="4920" w:type="dxa"/>
          <w:shd w:val="clear" w:color="auto" w:fill="auto"/>
          <w:vAlign w:val="bottom"/>
        </w:tcPr>
        <w:p w14:paraId="51E85F8E" w14:textId="7BEB9E98" w:rsidR="00943033" w:rsidRPr="00943033" w:rsidRDefault="00943033" w:rsidP="00943033">
          <w:pPr>
            <w:pStyle w:val="Header"/>
            <w:spacing w:after="80"/>
            <w:rPr>
              <w:b/>
            </w:rPr>
          </w:pPr>
          <w:r>
            <w:rPr>
              <w:b/>
            </w:rPr>
            <w:fldChar w:fldCharType="begin"/>
          </w:r>
          <w:r>
            <w:rPr>
              <w:b/>
            </w:rPr>
            <w:instrText xml:space="preserve"> DOCVARIABLE "Symbol1" \* MERGEFORMAT </w:instrText>
          </w:r>
          <w:r>
            <w:rPr>
              <w:b/>
            </w:rPr>
            <w:fldChar w:fldCharType="separate"/>
          </w:r>
          <w:r w:rsidR="00901BF9">
            <w:rPr>
              <w:b/>
            </w:rPr>
            <w:t>A/79/38</w:t>
          </w:r>
          <w:r>
            <w:rPr>
              <w:b/>
            </w:rPr>
            <w:fldChar w:fldCharType="end"/>
          </w:r>
        </w:p>
      </w:tc>
      <w:tc>
        <w:tcPr>
          <w:tcW w:w="4920" w:type="dxa"/>
          <w:shd w:val="clear" w:color="auto" w:fill="auto"/>
          <w:vAlign w:val="bottom"/>
        </w:tcPr>
        <w:p w14:paraId="5AA6A03A" w14:textId="77777777" w:rsidR="00943033" w:rsidRDefault="00943033" w:rsidP="00943033">
          <w:pPr>
            <w:pStyle w:val="Header"/>
          </w:pPr>
        </w:p>
      </w:tc>
    </w:tr>
  </w:tbl>
  <w:p w14:paraId="397C40DF" w14:textId="77777777" w:rsidR="00943033" w:rsidRPr="00943033" w:rsidRDefault="00943033" w:rsidP="009430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43033" w14:paraId="2474F736" w14:textId="77777777" w:rsidTr="00943033">
      <w:trPr>
        <w:trHeight w:hRule="exact" w:val="864"/>
      </w:trPr>
      <w:tc>
        <w:tcPr>
          <w:tcW w:w="4920" w:type="dxa"/>
          <w:shd w:val="clear" w:color="auto" w:fill="auto"/>
          <w:vAlign w:val="bottom"/>
        </w:tcPr>
        <w:p w14:paraId="51B1BF99" w14:textId="77777777" w:rsidR="00943033" w:rsidRDefault="00943033" w:rsidP="00943033">
          <w:pPr>
            <w:pStyle w:val="Header"/>
          </w:pPr>
        </w:p>
      </w:tc>
      <w:tc>
        <w:tcPr>
          <w:tcW w:w="4920" w:type="dxa"/>
          <w:shd w:val="clear" w:color="auto" w:fill="auto"/>
          <w:vAlign w:val="bottom"/>
        </w:tcPr>
        <w:p w14:paraId="2B101EA9" w14:textId="64ED00C7" w:rsidR="00943033" w:rsidRPr="00943033" w:rsidRDefault="00943033" w:rsidP="00943033">
          <w:pPr>
            <w:pStyle w:val="Header"/>
            <w:spacing w:after="80"/>
            <w:jc w:val="right"/>
            <w:rPr>
              <w:b/>
            </w:rPr>
          </w:pPr>
          <w:r>
            <w:rPr>
              <w:b/>
            </w:rPr>
            <w:fldChar w:fldCharType="begin"/>
          </w:r>
          <w:r>
            <w:rPr>
              <w:b/>
            </w:rPr>
            <w:instrText xml:space="preserve"> DOCVARIABLE "Symbol1" \* MERGEFORMAT </w:instrText>
          </w:r>
          <w:r>
            <w:rPr>
              <w:b/>
            </w:rPr>
            <w:fldChar w:fldCharType="separate"/>
          </w:r>
          <w:r w:rsidR="00901BF9">
            <w:rPr>
              <w:b/>
            </w:rPr>
            <w:t>A/79/38</w:t>
          </w:r>
          <w:r>
            <w:rPr>
              <w:b/>
            </w:rPr>
            <w:fldChar w:fldCharType="end"/>
          </w:r>
        </w:p>
      </w:tc>
    </w:tr>
  </w:tbl>
  <w:p w14:paraId="6E5E7500" w14:textId="77777777" w:rsidR="00943033" w:rsidRPr="00943033" w:rsidRDefault="00943033" w:rsidP="00943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D8A5F69"/>
    <w:multiLevelType w:val="multilevel"/>
    <w:tmpl w:val="190AFE34"/>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4336D5B"/>
    <w:multiLevelType w:val="multilevel"/>
    <w:tmpl w:val="46C66E68"/>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15:restartNumberingAfterBreak="0">
    <w:nsid w:val="379877AE"/>
    <w:multiLevelType w:val="multilevel"/>
    <w:tmpl w:val="AB14AAAC"/>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15:restartNumberingAfterBreak="0">
    <w:nsid w:val="3E9C258D"/>
    <w:multiLevelType w:val="multilevel"/>
    <w:tmpl w:val="E258EA9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15:restartNumberingAfterBreak="0">
    <w:nsid w:val="42377C47"/>
    <w:multiLevelType w:val="multilevel"/>
    <w:tmpl w:val="FE22FC9A"/>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A54450F"/>
    <w:multiLevelType w:val="hybridMultilevel"/>
    <w:tmpl w:val="71C28F54"/>
    <w:lvl w:ilvl="0" w:tplc="C06471F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6"/>
  </w:num>
  <w:num w:numId="8" w16cid:durableId="164712109">
    <w:abstractNumId w:val="6"/>
  </w:num>
  <w:num w:numId="9" w16cid:durableId="250091437">
    <w:abstractNumId w:val="15"/>
  </w:num>
  <w:num w:numId="10" w16cid:durableId="524252012">
    <w:abstractNumId w:val="14"/>
  </w:num>
  <w:num w:numId="11" w16cid:durableId="1374187316">
    <w:abstractNumId w:val="12"/>
  </w:num>
  <w:num w:numId="12" w16cid:durableId="36052305">
    <w:abstractNumId w:val="16"/>
  </w:num>
  <w:num w:numId="13" w16cid:durableId="1679231921">
    <w:abstractNumId w:val="6"/>
  </w:num>
  <w:num w:numId="14" w16cid:durableId="1031536774">
    <w:abstractNumId w:val="15"/>
  </w:num>
  <w:num w:numId="15" w16cid:durableId="875393002">
    <w:abstractNumId w:val="12"/>
  </w:num>
  <w:num w:numId="16" w16cid:durableId="1483237288">
    <w:abstractNumId w:val="12"/>
  </w:num>
  <w:num w:numId="17" w16cid:durableId="912012482">
    <w:abstractNumId w:val="12"/>
  </w:num>
  <w:num w:numId="18" w16cid:durableId="1379892502">
    <w:abstractNumId w:val="12"/>
  </w:num>
  <w:num w:numId="19" w16cid:durableId="1788037444">
    <w:abstractNumId w:val="12"/>
  </w:num>
  <w:num w:numId="20" w16cid:durableId="984509384">
    <w:abstractNumId w:val="12"/>
  </w:num>
  <w:num w:numId="21" w16cid:durableId="723914449">
    <w:abstractNumId w:val="12"/>
  </w:num>
  <w:num w:numId="22" w16cid:durableId="563181366">
    <w:abstractNumId w:val="12"/>
  </w:num>
  <w:num w:numId="23" w16cid:durableId="1979722990">
    <w:abstractNumId w:val="12"/>
  </w:num>
  <w:num w:numId="24" w16cid:durableId="1877236076">
    <w:abstractNumId w:val="14"/>
  </w:num>
  <w:num w:numId="25" w16cid:durableId="1461075889">
    <w:abstractNumId w:val="12"/>
  </w:num>
  <w:num w:numId="26" w16cid:durableId="1680888098">
    <w:abstractNumId w:val="9"/>
  </w:num>
  <w:num w:numId="27" w16cid:durableId="1097947857">
    <w:abstractNumId w:val="10"/>
  </w:num>
  <w:num w:numId="28" w16cid:durableId="1078794492">
    <w:abstractNumId w:val="8"/>
  </w:num>
  <w:num w:numId="29" w16cid:durableId="1167289945">
    <w:abstractNumId w:val="5"/>
  </w:num>
  <w:num w:numId="30" w16cid:durableId="689573252">
    <w:abstractNumId w:val="7"/>
  </w:num>
  <w:num w:numId="31" w16cid:durableId="2070490513">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revisionView w:markup="0"/>
  <w:defaultTabStop w:val="475"/>
  <w:autoHyphenation/>
  <w:doNotHyphenateCaps/>
  <w:evenAndOddHeaders/>
  <w:characterSpacingControl w:val="doNotCompress"/>
  <w:hdrShapeDefaults>
    <o:shapedefaults v:ext="edit" spidmax="2050"/>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41*"/>
    <w:docVar w:name="CreationDt" w:val="08/05/2024 3:50: PM"/>
    <w:docVar w:name="DocCategory" w:val="Supplements"/>
    <w:docVar w:name="DocType" w:val="Final"/>
    <w:docVar w:name="DutyStation" w:val="New York"/>
    <w:docVar w:name="FooterJN" w:val="24-06741"/>
    <w:docVar w:name="jobn" w:val="24-06741 (S)"/>
    <w:docVar w:name="jobnDT" w:val="24-06741 (S)   080524"/>
    <w:docVar w:name="jobnDTDT" w:val="24-06741 (S)   080524   080524"/>
    <w:docVar w:name="JobNo" w:val="2406741S"/>
    <w:docVar w:name="JobNo2" w:val="24100463:50: PM"/>
    <w:docVar w:name="LocalDrive" w:val="-1"/>
    <w:docVar w:name="OandT" w:val="pl"/>
    <w:docVar w:name="sss1" w:val="A/79/38"/>
    <w:docVar w:name="sss2" w:val="-"/>
    <w:docVar w:name="Symbol1" w:val="A/79/38"/>
    <w:docVar w:name="Symbol2" w:val="-"/>
  </w:docVars>
  <w:rsids>
    <w:rsidRoot w:val="00C73245"/>
    <w:rsid w:val="00001169"/>
    <w:rsid w:val="00001967"/>
    <w:rsid w:val="00004B45"/>
    <w:rsid w:val="00036527"/>
    <w:rsid w:val="00051D2B"/>
    <w:rsid w:val="00093B41"/>
    <w:rsid w:val="000B5BE0"/>
    <w:rsid w:val="00105618"/>
    <w:rsid w:val="00106027"/>
    <w:rsid w:val="00107F44"/>
    <w:rsid w:val="00123454"/>
    <w:rsid w:val="001325B0"/>
    <w:rsid w:val="001440BA"/>
    <w:rsid w:val="00150F09"/>
    <w:rsid w:val="00151F81"/>
    <w:rsid w:val="00171CDD"/>
    <w:rsid w:val="001978D5"/>
    <w:rsid w:val="001B1AF0"/>
    <w:rsid w:val="001B2CAD"/>
    <w:rsid w:val="001B747B"/>
    <w:rsid w:val="001C2FAD"/>
    <w:rsid w:val="001E093B"/>
    <w:rsid w:val="001E6632"/>
    <w:rsid w:val="001F3CF8"/>
    <w:rsid w:val="00247400"/>
    <w:rsid w:val="00261268"/>
    <w:rsid w:val="00265313"/>
    <w:rsid w:val="00267DB4"/>
    <w:rsid w:val="0027492E"/>
    <w:rsid w:val="00280568"/>
    <w:rsid w:val="00280FD1"/>
    <w:rsid w:val="002B2D9E"/>
    <w:rsid w:val="002C6CBD"/>
    <w:rsid w:val="0032512E"/>
    <w:rsid w:val="00331D20"/>
    <w:rsid w:val="003457BF"/>
    <w:rsid w:val="00347806"/>
    <w:rsid w:val="00350957"/>
    <w:rsid w:val="00362627"/>
    <w:rsid w:val="00365FD7"/>
    <w:rsid w:val="00382E7D"/>
    <w:rsid w:val="00393B7E"/>
    <w:rsid w:val="003A7E51"/>
    <w:rsid w:val="003B03B5"/>
    <w:rsid w:val="003C5654"/>
    <w:rsid w:val="003D7E33"/>
    <w:rsid w:val="003E5E54"/>
    <w:rsid w:val="003F1163"/>
    <w:rsid w:val="003F75F8"/>
    <w:rsid w:val="0040398E"/>
    <w:rsid w:val="004051C9"/>
    <w:rsid w:val="004356C0"/>
    <w:rsid w:val="0045774E"/>
    <w:rsid w:val="0047638E"/>
    <w:rsid w:val="00476BE2"/>
    <w:rsid w:val="004812A1"/>
    <w:rsid w:val="004851BB"/>
    <w:rsid w:val="00495E7B"/>
    <w:rsid w:val="0049669D"/>
    <w:rsid w:val="004A58FE"/>
    <w:rsid w:val="004B183E"/>
    <w:rsid w:val="004E643F"/>
    <w:rsid w:val="004F2437"/>
    <w:rsid w:val="004F473F"/>
    <w:rsid w:val="004F5722"/>
    <w:rsid w:val="00523485"/>
    <w:rsid w:val="0054211F"/>
    <w:rsid w:val="00560578"/>
    <w:rsid w:val="005610B1"/>
    <w:rsid w:val="00566805"/>
    <w:rsid w:val="005A0362"/>
    <w:rsid w:val="005A4F9C"/>
    <w:rsid w:val="005C42B4"/>
    <w:rsid w:val="005D4F00"/>
    <w:rsid w:val="00614B3E"/>
    <w:rsid w:val="00621AD9"/>
    <w:rsid w:val="006642E0"/>
    <w:rsid w:val="00686C44"/>
    <w:rsid w:val="006A3C79"/>
    <w:rsid w:val="006B7593"/>
    <w:rsid w:val="006C7738"/>
    <w:rsid w:val="00701773"/>
    <w:rsid w:val="00727155"/>
    <w:rsid w:val="00744EFB"/>
    <w:rsid w:val="007633C9"/>
    <w:rsid w:val="00781FA2"/>
    <w:rsid w:val="007B4CD6"/>
    <w:rsid w:val="007B71B0"/>
    <w:rsid w:val="007D1975"/>
    <w:rsid w:val="007F0770"/>
    <w:rsid w:val="007F564F"/>
    <w:rsid w:val="00804824"/>
    <w:rsid w:val="008138CB"/>
    <w:rsid w:val="008554D3"/>
    <w:rsid w:val="00863195"/>
    <w:rsid w:val="008651BB"/>
    <w:rsid w:val="00871053"/>
    <w:rsid w:val="00872945"/>
    <w:rsid w:val="00877270"/>
    <w:rsid w:val="0088056D"/>
    <w:rsid w:val="008A2590"/>
    <w:rsid w:val="008F11CA"/>
    <w:rsid w:val="00901BF9"/>
    <w:rsid w:val="0091314C"/>
    <w:rsid w:val="00934EB1"/>
    <w:rsid w:val="00943033"/>
    <w:rsid w:val="00954421"/>
    <w:rsid w:val="009904A0"/>
    <w:rsid w:val="00992166"/>
    <w:rsid w:val="009A1DC0"/>
    <w:rsid w:val="009B00E9"/>
    <w:rsid w:val="009C327F"/>
    <w:rsid w:val="009C5ABC"/>
    <w:rsid w:val="009D56BA"/>
    <w:rsid w:val="00A143D8"/>
    <w:rsid w:val="00A35CCF"/>
    <w:rsid w:val="00A375B4"/>
    <w:rsid w:val="00A546AD"/>
    <w:rsid w:val="00A72797"/>
    <w:rsid w:val="00A80CC4"/>
    <w:rsid w:val="00A87A16"/>
    <w:rsid w:val="00AA29EE"/>
    <w:rsid w:val="00AB5B99"/>
    <w:rsid w:val="00AD74E4"/>
    <w:rsid w:val="00AF5AE9"/>
    <w:rsid w:val="00B125A0"/>
    <w:rsid w:val="00B212E1"/>
    <w:rsid w:val="00B272FA"/>
    <w:rsid w:val="00B27698"/>
    <w:rsid w:val="00B340B8"/>
    <w:rsid w:val="00B43769"/>
    <w:rsid w:val="00B62E90"/>
    <w:rsid w:val="00B7299C"/>
    <w:rsid w:val="00B72C67"/>
    <w:rsid w:val="00B83403"/>
    <w:rsid w:val="00B901FD"/>
    <w:rsid w:val="00B95601"/>
    <w:rsid w:val="00B95E79"/>
    <w:rsid w:val="00BA2870"/>
    <w:rsid w:val="00BA64E0"/>
    <w:rsid w:val="00BC2292"/>
    <w:rsid w:val="00BC2C8A"/>
    <w:rsid w:val="00BC7AA5"/>
    <w:rsid w:val="00BD1CBA"/>
    <w:rsid w:val="00C104DA"/>
    <w:rsid w:val="00C16A02"/>
    <w:rsid w:val="00C16D72"/>
    <w:rsid w:val="00C174A0"/>
    <w:rsid w:val="00C60123"/>
    <w:rsid w:val="00C6119A"/>
    <w:rsid w:val="00C73245"/>
    <w:rsid w:val="00CC2D86"/>
    <w:rsid w:val="00CD1C05"/>
    <w:rsid w:val="00CD292D"/>
    <w:rsid w:val="00CE35F9"/>
    <w:rsid w:val="00CF3804"/>
    <w:rsid w:val="00D23FFB"/>
    <w:rsid w:val="00D409D0"/>
    <w:rsid w:val="00D429C8"/>
    <w:rsid w:val="00D457B6"/>
    <w:rsid w:val="00D673F8"/>
    <w:rsid w:val="00D71DB2"/>
    <w:rsid w:val="00D95246"/>
    <w:rsid w:val="00DA4642"/>
    <w:rsid w:val="00DB0712"/>
    <w:rsid w:val="00DB25F0"/>
    <w:rsid w:val="00DB4C41"/>
    <w:rsid w:val="00DB652C"/>
    <w:rsid w:val="00DC0799"/>
    <w:rsid w:val="00DC67D5"/>
    <w:rsid w:val="00DE254A"/>
    <w:rsid w:val="00E047B4"/>
    <w:rsid w:val="00E233F3"/>
    <w:rsid w:val="00E34241"/>
    <w:rsid w:val="00E35C49"/>
    <w:rsid w:val="00E548DF"/>
    <w:rsid w:val="00E63251"/>
    <w:rsid w:val="00E8036E"/>
    <w:rsid w:val="00EA0B5C"/>
    <w:rsid w:val="00EA1709"/>
    <w:rsid w:val="00EB3771"/>
    <w:rsid w:val="00EE336E"/>
    <w:rsid w:val="00EE5BD1"/>
    <w:rsid w:val="00EE74DA"/>
    <w:rsid w:val="00F05AC4"/>
    <w:rsid w:val="00F146D9"/>
    <w:rsid w:val="00F26288"/>
    <w:rsid w:val="00F65F4F"/>
    <w:rsid w:val="00F665DD"/>
    <w:rsid w:val="00F95E56"/>
    <w:rsid w:val="00FA4511"/>
    <w:rsid w:val="00FC0E38"/>
    <w:rsid w:val="00FD1B9D"/>
    <w:rsid w:val="00FD1F3C"/>
    <w:rsid w:val="00FD3B87"/>
    <w:rsid w:val="00FD669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2B302"/>
  <w15:chartTrackingRefBased/>
  <w15:docId w15:val="{DFD0C8D2-A881-4A06-A998-69590610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943033"/>
    <w:pPr>
      <w:spacing w:line="240" w:lineRule="auto"/>
    </w:pPr>
    <w:rPr>
      <w:szCs w:val="20"/>
    </w:rPr>
  </w:style>
  <w:style w:type="character" w:customStyle="1" w:styleId="CommentTextChar">
    <w:name w:val="Comment Text Char"/>
    <w:basedOn w:val="DefaultParagraphFont"/>
    <w:link w:val="CommentText"/>
    <w:uiPriority w:val="99"/>
    <w:semiHidden/>
    <w:rsid w:val="0094303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43033"/>
    <w:rPr>
      <w:b/>
      <w:bCs/>
    </w:rPr>
  </w:style>
  <w:style w:type="character" w:customStyle="1" w:styleId="CommentSubjectChar">
    <w:name w:val="Comment Subject Char"/>
    <w:basedOn w:val="CommentTextChar"/>
    <w:link w:val="CommentSubject"/>
    <w:uiPriority w:val="99"/>
    <w:semiHidden/>
    <w:rsid w:val="00943033"/>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32512E"/>
    <w:pPr>
      <w:ind w:left="720"/>
      <w:contextualSpacing/>
    </w:pPr>
  </w:style>
  <w:style w:type="table" w:customStyle="1" w:styleId="TableGrid1">
    <w:name w:val="Table Grid1"/>
    <w:basedOn w:val="TableNormal"/>
    <w:next w:val="TableGrid"/>
    <w:rsid w:val="004356C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6057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117" Type="http://schemas.openxmlformats.org/officeDocument/2006/relationships/fontTable" Target="fontTable.xml"/><Relationship Id="rId21" Type="http://schemas.openxmlformats.org/officeDocument/2006/relationships/footer" Target="footer3.xml"/><Relationship Id="rId42" Type="http://schemas.openxmlformats.org/officeDocument/2006/relationships/hyperlink" Target="https://undocs.org/es/CEDAW/C/85/D/150/2019" TargetMode="External"/><Relationship Id="rId47" Type="http://schemas.openxmlformats.org/officeDocument/2006/relationships/hyperlink" Target="https://undocs.org/es/CEDAW/C/DEU/9" TargetMode="External"/><Relationship Id="rId63" Type="http://schemas.openxmlformats.org/officeDocument/2006/relationships/hyperlink" Target="https://undocs.org/es/CEDAW/C/JAM/CO/8" TargetMode="External"/><Relationship Id="rId68" Type="http://schemas.openxmlformats.org/officeDocument/2006/relationships/hyperlink" Target="https://undocs.org/es/CEDAW/C/PAK/FCO/5" TargetMode="External"/><Relationship Id="rId84" Type="http://schemas.openxmlformats.org/officeDocument/2006/relationships/hyperlink" Target="https://undocs.org/es/CEDAW/C/URY/10" TargetMode="External"/><Relationship Id="rId89" Type="http://schemas.openxmlformats.org/officeDocument/2006/relationships/hyperlink" Target="https://undocs.org/es/CEDAW/C/87/1" TargetMode="External"/><Relationship Id="rId112" Type="http://schemas.openxmlformats.org/officeDocument/2006/relationships/hyperlink" Target="https://undocs.org/es/CEDAW/C/NER/5" TargetMode="External"/><Relationship Id="rId16" Type="http://schemas.openxmlformats.org/officeDocument/2006/relationships/header" Target="header1.xml"/><Relationship Id="rId107" Type="http://schemas.openxmlformats.org/officeDocument/2006/relationships/hyperlink" Target="https://undocs.org/es/CEDAW/C/60/D/48/2013" TargetMode="External"/><Relationship Id="rId11" Type="http://schemas.openxmlformats.org/officeDocument/2006/relationships/image" Target="media/image1.jpeg"/><Relationship Id="rId32" Type="http://schemas.openxmlformats.org/officeDocument/2006/relationships/hyperlink" Target="https://undocs.org/es/CEDAW/C/ESP/CO/9" TargetMode="External"/><Relationship Id="rId37" Type="http://schemas.openxmlformats.org/officeDocument/2006/relationships/hyperlink" Target="https://undocs.org/es/CEDAW/C/BIH/FCO/6" TargetMode="External"/><Relationship Id="rId53" Type="http://schemas.openxmlformats.org/officeDocument/2006/relationships/hyperlink" Target="https://undocs.org/es/CEDAW/C/STP/1-5" TargetMode="External"/><Relationship Id="rId58" Type="http://schemas.openxmlformats.org/officeDocument/2006/relationships/hyperlink" Target="https://undocs.org/es/CEDAW/C/ALB/CO/5" TargetMode="External"/><Relationship Id="rId74" Type="http://schemas.openxmlformats.org/officeDocument/2006/relationships/hyperlink" Target="https://undocs.org/es/CEDAW/C/60/D/48/2013" TargetMode="External"/><Relationship Id="rId79" Type="http://schemas.openxmlformats.org/officeDocument/2006/relationships/hyperlink" Target="https://undocs.org/es/CEDAW/C/FRA/9" TargetMode="External"/><Relationship Id="rId102" Type="http://schemas.openxmlformats.org/officeDocument/2006/relationships/hyperlink" Target="https://undocs.org/es/CEDAW/C/EGY/FCO/8-10" TargetMode="External"/><Relationship Id="rId5" Type="http://schemas.openxmlformats.org/officeDocument/2006/relationships/numbering" Target="numbering.xml"/><Relationship Id="rId90" Type="http://schemas.openxmlformats.org/officeDocument/2006/relationships/hyperlink" Target="https://undocs.org/es/CEDAW/C/PSWG/87/1" TargetMode="External"/><Relationship Id="rId95" Type="http://schemas.openxmlformats.org/officeDocument/2006/relationships/hyperlink" Target="https://undocs.org/es/CEDAW/C/NIC/CO/7-10" TargetMode="External"/><Relationship Id="rId22" Type="http://schemas.openxmlformats.org/officeDocument/2006/relationships/header" Target="header4.xml"/><Relationship Id="rId27" Type="http://schemas.openxmlformats.org/officeDocument/2006/relationships/hyperlink" Target="https://undocs.org/es/CEDAW/C/85/1" TargetMode="External"/><Relationship Id="rId43" Type="http://schemas.openxmlformats.org/officeDocument/2006/relationships/hyperlink" Target="https://undocs.org/es/CEDAW/C/85/D/178/2022" TargetMode="External"/><Relationship Id="rId48" Type="http://schemas.openxmlformats.org/officeDocument/2006/relationships/hyperlink" Target="https://undocs.org/es/CEDAW/C/CHN-HKG/9" TargetMode="External"/><Relationship Id="rId64" Type="http://schemas.openxmlformats.org/officeDocument/2006/relationships/hyperlink" Target="https://undocs.org/es/CEDAW/C/MWI/CO/8" TargetMode="External"/><Relationship Id="rId69" Type="http://schemas.openxmlformats.org/officeDocument/2006/relationships/hyperlink" Target="https://undocs.org/es/CEDAW/C/86/D/152/2019" TargetMode="External"/><Relationship Id="rId113" Type="http://schemas.openxmlformats.org/officeDocument/2006/relationships/hyperlink" Target="https://undocs.org/es/CEDAW/C/OMN/4" TargetMode="External"/><Relationship Id="rId118" Type="http://schemas.microsoft.com/office/2011/relationships/people" Target="people.xml"/><Relationship Id="rId80" Type="http://schemas.openxmlformats.org/officeDocument/2006/relationships/hyperlink" Target="https://undocs.org/es/CEDAW/C/GTM/10" TargetMode="External"/><Relationship Id="rId85" Type="http://schemas.openxmlformats.org/officeDocument/2006/relationships/hyperlink" Target="https://undocs.org/es/CEDAW/C/NIC/PCO/7-10" TargetMode="External"/><Relationship Id="rId12" Type="http://schemas.openxmlformats.org/officeDocument/2006/relationships/comments" Target="comments.xml"/><Relationship Id="rId17" Type="http://schemas.openxmlformats.org/officeDocument/2006/relationships/footer" Target="footer1.xml"/><Relationship Id="rId33" Type="http://schemas.openxmlformats.org/officeDocument/2006/relationships/hyperlink" Target="https://undocs.org/es/CEDAW/C/ISL/CO/9" TargetMode="External"/><Relationship Id="rId38" Type="http://schemas.openxmlformats.org/officeDocument/2006/relationships/hyperlink" Target="https://undocs.org/es/CEDAW/C/DNK/FCO/9" TargetMode="External"/><Relationship Id="rId59" Type="http://schemas.openxmlformats.org/officeDocument/2006/relationships/hyperlink" Target="https://undocs.org/es/CEDAW/C/BTN/CO/10" TargetMode="External"/><Relationship Id="rId103" Type="http://schemas.openxmlformats.org/officeDocument/2006/relationships/hyperlink" Target="https://undocs.org/es/CEDAW/C/MDV/FCO/6" TargetMode="External"/><Relationship Id="rId108" Type="http://schemas.openxmlformats.org/officeDocument/2006/relationships/hyperlink" Target="https://undocs.org/es/CEDAW/C/87/1" TargetMode="External"/><Relationship Id="rId54" Type="http://schemas.openxmlformats.org/officeDocument/2006/relationships/hyperlink" Target="https://undocs.org/es/CEDAW/C/TLS/4" TargetMode="External"/><Relationship Id="rId70" Type="http://schemas.openxmlformats.org/officeDocument/2006/relationships/hyperlink" Target="https://undocs.org/es/CEDAW/C/86/D/139/2018" TargetMode="External"/><Relationship Id="rId75" Type="http://schemas.openxmlformats.org/officeDocument/2006/relationships/hyperlink" Target="https://undocs.org/es/CEDAW/C/86/1" TargetMode="External"/><Relationship Id="rId91" Type="http://schemas.openxmlformats.org/officeDocument/2006/relationships/hyperlink" Target="https://undocs.org/es/CEDAW/C/NIC/PCO/7-10" TargetMode="External"/><Relationship Id="rId96" Type="http://schemas.openxmlformats.org/officeDocument/2006/relationships/hyperlink" Target="https://undocs.org/es/CEDAW/C/NER/CO/5"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5.xml"/><Relationship Id="rId28" Type="http://schemas.openxmlformats.org/officeDocument/2006/relationships/hyperlink" Target="https://undocs.org/es/CEDAW/C/PSWG/85/1" TargetMode="External"/><Relationship Id="rId49" Type="http://schemas.openxmlformats.org/officeDocument/2006/relationships/hyperlink" Target="https://undocs.org/es/CEDAW/C/CHN-MAC/9" TargetMode="External"/><Relationship Id="rId114" Type="http://schemas.openxmlformats.org/officeDocument/2006/relationships/hyperlink" Target="https://undocs.org/es/CEDAW/C/CAF/6"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undocs.org/es/CEDAW/C/SVK/CO/7" TargetMode="External"/><Relationship Id="rId44" Type="http://schemas.openxmlformats.org/officeDocument/2006/relationships/hyperlink" Target="https://undocs.org/es/A/HRC/RES/51/20" TargetMode="External"/><Relationship Id="rId52" Type="http://schemas.openxmlformats.org/officeDocument/2006/relationships/hyperlink" Target="https://undocs.org/es/CEDAW/C/ISL/9" TargetMode="External"/><Relationship Id="rId60" Type="http://schemas.openxmlformats.org/officeDocument/2006/relationships/hyperlink" Target="https://undocs.org/es/CEDAW/C/PHL/CO/9" TargetMode="External"/><Relationship Id="rId65" Type="http://schemas.openxmlformats.org/officeDocument/2006/relationships/hyperlink" Target="https://undocs.org/es/CEDAW/C/NIC/PCO/7-10" TargetMode="External"/><Relationship Id="rId73" Type="http://schemas.openxmlformats.org/officeDocument/2006/relationships/hyperlink" Target="https://undocs.org/es/CEDAW/C/63/D/60/2013" TargetMode="External"/><Relationship Id="rId78" Type="http://schemas.openxmlformats.org/officeDocument/2006/relationships/hyperlink" Target="https://undocs.org/es/CEDAW/C/PHL/9" TargetMode="External"/><Relationship Id="rId81" Type="http://schemas.openxmlformats.org/officeDocument/2006/relationships/hyperlink" Target="https://undocs.org/es/CEDAW/C/JAM/8" TargetMode="External"/><Relationship Id="rId86" Type="http://schemas.openxmlformats.org/officeDocument/2006/relationships/hyperlink" Target="https://undocs.org/es/CEDAW/C/NIC/CO/7-10" TargetMode="External"/><Relationship Id="rId94" Type="http://schemas.openxmlformats.org/officeDocument/2006/relationships/hyperlink" Target="https://undocs.org/es/CEDAW/C/ITA/CO/8" TargetMode="External"/><Relationship Id="rId99" Type="http://schemas.openxmlformats.org/officeDocument/2006/relationships/hyperlink" Target="https://undocs.org/es/CEDAW/C/TJK/CO/7" TargetMode="External"/><Relationship Id="rId101" Type="http://schemas.openxmlformats.org/officeDocument/2006/relationships/hyperlink" Target="https://undocs.org/es/CEDAW/C/ECU/FCO/1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eader" Target="header2.xml"/><Relationship Id="rId39" Type="http://schemas.openxmlformats.org/officeDocument/2006/relationships/hyperlink" Target="https://undocs.org/es/CEDAW/C/MDA/FCO/6" TargetMode="External"/><Relationship Id="rId109" Type="http://schemas.openxmlformats.org/officeDocument/2006/relationships/hyperlink" Target="https://undocs.org/es/CEDAW/C/DJI/4-5" TargetMode="External"/><Relationship Id="rId34" Type="http://schemas.openxmlformats.org/officeDocument/2006/relationships/hyperlink" Target="https://undocs.org/es/CEDAW/C/STP/CO/1-5" TargetMode="External"/><Relationship Id="rId50" Type="http://schemas.openxmlformats.org/officeDocument/2006/relationships/hyperlink" Target="https://undocs.org/es/CEDAW/C/SVK/7" TargetMode="External"/><Relationship Id="rId55" Type="http://schemas.openxmlformats.org/officeDocument/2006/relationships/hyperlink" Target="https://undocs.org/es/CEDAW/C/VEN/9" TargetMode="External"/><Relationship Id="rId76" Type="http://schemas.openxmlformats.org/officeDocument/2006/relationships/hyperlink" Target="https://undocs.org/es/CEDAW/C/ALB/5" TargetMode="External"/><Relationship Id="rId97" Type="http://schemas.openxmlformats.org/officeDocument/2006/relationships/hyperlink" Target="https://undocs.org/es/CEDAW/C/OMN/CO/4" TargetMode="External"/><Relationship Id="rId104" Type="http://schemas.openxmlformats.org/officeDocument/2006/relationships/hyperlink" Target="https://undocs.org/es/CEDAW/C/87/D/158/2020" TargetMode="External"/><Relationship Id="rId7" Type="http://schemas.openxmlformats.org/officeDocument/2006/relationships/settings" Target="settings.xml"/><Relationship Id="rId71" Type="http://schemas.openxmlformats.org/officeDocument/2006/relationships/hyperlink" Target="https://undocs.org/es/CEDAW/C/86/D/127/2018" TargetMode="External"/><Relationship Id="rId92" Type="http://schemas.openxmlformats.org/officeDocument/2006/relationships/hyperlink" Target="https://undocs.org/es/CEDAW/C/DJI/CO/4-5" TargetMode="External"/><Relationship Id="rId2" Type="http://schemas.openxmlformats.org/officeDocument/2006/relationships/customXml" Target="../customXml/item2.xml"/><Relationship Id="rId29" Type="http://schemas.openxmlformats.org/officeDocument/2006/relationships/hyperlink" Target="https://undocs.org/es/CEDAW/C/DEU/CO/9" TargetMode="External"/><Relationship Id="rId24" Type="http://schemas.openxmlformats.org/officeDocument/2006/relationships/header" Target="header6.xml"/><Relationship Id="rId40" Type="http://schemas.openxmlformats.org/officeDocument/2006/relationships/hyperlink" Target="https://undocs.org/es/CEDAW/C/85/D/146/2019" TargetMode="External"/><Relationship Id="rId45" Type="http://schemas.openxmlformats.org/officeDocument/2006/relationships/hyperlink" Target="https://undocs.org/es/CEDAW/C/UKR/CO/9" TargetMode="External"/><Relationship Id="rId66" Type="http://schemas.openxmlformats.org/officeDocument/2006/relationships/hyperlink" Target="https://undocs.org/es/CEDAW/C/URY/CO/10" TargetMode="External"/><Relationship Id="rId87" Type="http://schemas.openxmlformats.org/officeDocument/2006/relationships/hyperlink" Target="https://undocs.org/es/CEDAW/C/COD/QPR/EP/1" TargetMode="External"/><Relationship Id="rId110" Type="http://schemas.openxmlformats.org/officeDocument/2006/relationships/hyperlink" Target="https://undocs.org/es/CEDAW/C/GRC/8-9" TargetMode="External"/><Relationship Id="rId115" Type="http://schemas.openxmlformats.org/officeDocument/2006/relationships/hyperlink" Target="https://undocs.org/es/CEDAW/C/TJK/7" TargetMode="External"/><Relationship Id="rId61" Type="http://schemas.openxmlformats.org/officeDocument/2006/relationships/hyperlink" Target="https://undocs.org/es/CEDAW/C/FRA/CO/9" TargetMode="External"/><Relationship Id="rId82" Type="http://schemas.openxmlformats.org/officeDocument/2006/relationships/hyperlink" Target="https://undocs.org/es/CEDAW/C/MWI/8" TargetMode="External"/><Relationship Id="rId19" Type="http://schemas.openxmlformats.org/officeDocument/2006/relationships/header" Target="header3.xml"/><Relationship Id="rId14" Type="http://schemas.microsoft.com/office/2016/09/relationships/commentsIds" Target="commentsIds.xml"/><Relationship Id="rId30" Type="http://schemas.openxmlformats.org/officeDocument/2006/relationships/hyperlink" Target="https://undocs.org/es/CEDAW/C/CHN/CO/9" TargetMode="External"/><Relationship Id="rId35" Type="http://schemas.openxmlformats.org/officeDocument/2006/relationships/hyperlink" Target="https://undocs.org/es/CEDAW/C/TLS/CO/4" TargetMode="External"/><Relationship Id="rId56" Type="http://schemas.openxmlformats.org/officeDocument/2006/relationships/hyperlink" Target="https://undocs.org/es/CEDAW/C/86/1" TargetMode="External"/><Relationship Id="rId77" Type="http://schemas.openxmlformats.org/officeDocument/2006/relationships/hyperlink" Target="https://undocs.org/es/CEDAW/C/BTN/10" TargetMode="External"/><Relationship Id="rId100" Type="http://schemas.openxmlformats.org/officeDocument/2006/relationships/hyperlink" Target="https://undocs.org/es/CEDAW/C/COD/QPR/EP/1" TargetMode="External"/><Relationship Id="rId105" Type="http://schemas.openxmlformats.org/officeDocument/2006/relationships/hyperlink" Target="https://undocs.org/es/CEDAW/C/87/D/165/2021" TargetMode="External"/><Relationship Id="rId8" Type="http://schemas.openxmlformats.org/officeDocument/2006/relationships/webSettings" Target="webSettings.xml"/><Relationship Id="rId51" Type="http://schemas.openxmlformats.org/officeDocument/2006/relationships/hyperlink" Target="https://undocs.org/es/CEDAW/C/ESP/9" TargetMode="External"/><Relationship Id="rId72" Type="http://schemas.openxmlformats.org/officeDocument/2006/relationships/hyperlink" Target="https://undocs.org/es/CEDAW/C/67/D/75/2014" TargetMode="External"/><Relationship Id="rId93" Type="http://schemas.openxmlformats.org/officeDocument/2006/relationships/hyperlink" Target="https://undocs.org/es/CEDAW/C/GRC/CO/8-9" TargetMode="External"/><Relationship Id="rId98" Type="http://schemas.openxmlformats.org/officeDocument/2006/relationships/hyperlink" Target="https://undocs.org/es/CEDAW/C/CAF/CO/6" TargetMode="External"/><Relationship Id="rId3" Type="http://schemas.openxmlformats.org/officeDocument/2006/relationships/customXml" Target="../customXml/item3.xml"/><Relationship Id="rId25" Type="http://schemas.openxmlformats.org/officeDocument/2006/relationships/footer" Target="footer4.xml"/><Relationship Id="rId46" Type="http://schemas.openxmlformats.org/officeDocument/2006/relationships/hyperlink" Target="https://undocs.org/es/CEDAW/C/85/1" TargetMode="External"/><Relationship Id="rId67" Type="http://schemas.openxmlformats.org/officeDocument/2006/relationships/hyperlink" Target="https://undocs.org/es/CEDAW/C/KGZ/FCO/5" TargetMode="External"/><Relationship Id="rId116" Type="http://schemas.openxmlformats.org/officeDocument/2006/relationships/hyperlink" Target="https://undocs.org/es/CEDAW/C/TKM/6" TargetMode="External"/><Relationship Id="rId20" Type="http://schemas.openxmlformats.org/officeDocument/2006/relationships/footer" Target="footer2.xml"/><Relationship Id="rId41" Type="http://schemas.openxmlformats.org/officeDocument/2006/relationships/hyperlink" Target="https://undocs.org/es/CEDAW/C/85/D/173/2021" TargetMode="External"/><Relationship Id="rId62" Type="http://schemas.openxmlformats.org/officeDocument/2006/relationships/hyperlink" Target="https://undocs.org/es/CEDAW/C/GTM/CO/10" TargetMode="External"/><Relationship Id="rId83" Type="http://schemas.openxmlformats.org/officeDocument/2006/relationships/hyperlink" Target="https://undocs.org/es/CEDAW/C/NIC/7-10" TargetMode="External"/><Relationship Id="rId88" Type="http://schemas.openxmlformats.org/officeDocument/2006/relationships/hyperlink" Target="https://undocs.org/es/A/67/222" TargetMode="External"/><Relationship Id="rId111" Type="http://schemas.openxmlformats.org/officeDocument/2006/relationships/hyperlink" Target="https://undocs.org/es/CEDAW/C/ITA/8" TargetMode="External"/><Relationship Id="rId15" Type="http://schemas.microsoft.com/office/2018/08/relationships/commentsExtensible" Target="commentsExtensible.xml"/><Relationship Id="rId36" Type="http://schemas.openxmlformats.org/officeDocument/2006/relationships/hyperlink" Target="https://undocs.org/es/CEDAW/C/VEN/CO/9" TargetMode="External"/><Relationship Id="rId57" Type="http://schemas.openxmlformats.org/officeDocument/2006/relationships/hyperlink" Target="https://undocs.org/es/CEDAW/C/PSWG/86/1" TargetMode="External"/><Relationship Id="rId106" Type="http://schemas.openxmlformats.org/officeDocument/2006/relationships/hyperlink" Target="https://undocs.org/es/CEDAW/C/87/D/157/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SED%2F86%2F36250&amp;Lang=en" TargetMode="External"/><Relationship Id="rId13" Type="http://schemas.openxmlformats.org/officeDocument/2006/relationships/hyperlink" Target="http://www.ohchr.org/sites/default/files/documents/hrbodies/cedaw/activities/CEDAW-Submission-to-HLPF-2024.pdf" TargetMode="External"/><Relationship Id="rId3" Type="http://schemas.openxmlformats.org/officeDocument/2006/relationships/hyperlink" Target="http://www.ohchr.org/en/treaty-bodies/cedaw/activities" TargetMode="External"/><Relationship Id="rId7" Type="http://schemas.openxmlformats.org/officeDocument/2006/relationships/hyperlink" Target="https://tbinternet.ohchr.org/_layouts/15/treatybodyexternal/Download.aspx?symbolno=INT%2FCEDAW%2FSED%2F86%2F36249&amp;Lang=en" TargetMode="External"/><Relationship Id="rId12" Type="http://schemas.openxmlformats.org/officeDocument/2006/relationships/hyperlink" Target="http://www.ohchr.org/sites/default/files/documents/issues/women/edvaw/statement-2024-03-08-edvaw.pdf" TargetMode="External"/><Relationship Id="rId2" Type="http://schemas.openxmlformats.org/officeDocument/2006/relationships/hyperlink" Target="https://tbinternet.ohchr.org/_layouts/15/treatybodyexternal/Download.aspx?symbolno=INT%2FCEDAW%2FSED%2F85%2F35524&amp;Lang=en" TargetMode="External"/><Relationship Id="rId1" Type="http://schemas.openxmlformats.org/officeDocument/2006/relationships/hyperlink" Target="https://tbinternet.ohchr.org/_layouts/15/treatybodyexternal/Download.aspx?symbolno=INT%2FCEDAW%2FSED%2F85%2F35523&amp;Lang=en" TargetMode="External"/><Relationship Id="rId6" Type="http://schemas.openxmlformats.org/officeDocument/2006/relationships/hyperlink" Target="http://www.ohchr.org/en/treaty-bodies/cedaw/activities" TargetMode="External"/><Relationship Id="rId11" Type="http://schemas.openxmlformats.org/officeDocument/2006/relationships/hyperlink" Target="http://www.ohchr.org/en/statements/2024/02/gaza-when-mothers-have-bury-least-7700-children-very-basic-principles-are" TargetMode="External"/><Relationship Id="rId5" Type="http://schemas.openxmlformats.org/officeDocument/2006/relationships/hyperlink" Target="http://www.ohchr.org/en/press-releases/2023/10/un-womens-rights-committee-deplores-withdrawal-nicaraguan-ambassador-public" TargetMode="External"/><Relationship Id="rId15" Type="http://schemas.openxmlformats.org/officeDocument/2006/relationships/hyperlink" Target="https://tbinternet.ohchr.org/_layouts/15/treatybodyexternal/Download.aspx?symbolno=INT%2FCEDAW%2FSED%2F87%2F36476&amp;Lang=en" TargetMode="External"/><Relationship Id="rId10" Type="http://schemas.openxmlformats.org/officeDocument/2006/relationships/hyperlink" Target="http://www.ohchr.org/en/press-releases/2024/02/afghanistan-talibans-arbitrary-arrests-and-detention-women-and-girls-over" TargetMode="External"/><Relationship Id="rId4" Type="http://schemas.openxmlformats.org/officeDocument/2006/relationships/hyperlink" Target="http://www.ohchr.org/sites/default/files/documents/hrbodies/cedaw/statements/CEDAW-Statement-International-Day-Girl-Child%202023.pdf" TargetMode="External"/><Relationship Id="rId9" Type="http://schemas.openxmlformats.org/officeDocument/2006/relationships/hyperlink" Target="http://www.ohchr.org/en/treaty-bodies/cedaw/activities" TargetMode="External"/><Relationship Id="rId14" Type="http://schemas.openxmlformats.org/officeDocument/2006/relationships/hyperlink" Target="https://tbinternet.ohchr.org/_layouts/15/treatybodyexternal/Download.aspx?symbolno=INT%2FCEDAW%2FSED%2F87%2F36475&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CEB52A-8B81-4712-AFE2-0C28A973C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12868</Words>
  <Characters>67561</Characters>
  <Application>Microsoft Office Word</Application>
  <DocSecurity>0</DocSecurity>
  <Lines>2047</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Patricia Lopez Horta</cp:lastModifiedBy>
  <cp:revision>3</cp:revision>
  <cp:lastPrinted>2024-05-09T19:34:00Z</cp:lastPrinted>
  <dcterms:created xsi:type="dcterms:W3CDTF">2024-05-09T19:34:00Z</dcterms:created>
  <dcterms:modified xsi:type="dcterms:W3CDTF">2024-05-09T19:34:00Z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2406741</vt:lpwstr>
  </property>
  <property fmtid="{D5CDD505-2E9C-101B-9397-08002B2CF9AE}" pid="3" name="ODSRefJobNo">
    <vt:lpwstr>2410046</vt:lpwstr>
  </property>
  <property fmtid="{D5CDD505-2E9C-101B-9397-08002B2CF9AE}" pid="4" name="Symbol1">
    <vt:lpwstr>A/79/38</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ies>
</file>